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2B4E" w14:textId="3095E0C3" w:rsidR="00BA0E3F" w:rsidRDefault="00871CC0" w:rsidP="00BA0E3F">
      <w:pPr>
        <w:pStyle w:val="Heading1"/>
      </w:pPr>
      <w:r>
        <w:t xml:space="preserve">How </w:t>
      </w:r>
      <w:r w:rsidR="00BA0E3F">
        <w:t xml:space="preserve">legal advice </w:t>
      </w:r>
      <w:r>
        <w:t>can ameliorate the unequal health impact of Covid-19</w:t>
      </w:r>
    </w:p>
    <w:p w14:paraId="65EB095D" w14:textId="77777777" w:rsidR="004C04FE" w:rsidRPr="004C04FE" w:rsidRDefault="004C04FE" w:rsidP="004C04FE">
      <w:pPr>
        <w:spacing w:after="0"/>
      </w:pPr>
      <w:r w:rsidRPr="004C04FE">
        <w:t>James Organ, University of Liverpool School of Law and Social Justice</w:t>
      </w:r>
    </w:p>
    <w:p w14:paraId="0E1EAB77" w14:textId="293C3A37" w:rsidR="00871CC0" w:rsidRDefault="00871CC0" w:rsidP="00DC2065">
      <w:pPr>
        <w:spacing w:after="0"/>
      </w:pPr>
      <w:r>
        <w:t>Sophie Wickham</w:t>
      </w:r>
      <w:r w:rsidR="003461DF">
        <w:t>, University of Liverpool</w:t>
      </w:r>
      <w:r w:rsidR="00867E06">
        <w:t>, Department of Public Health, Policy and Systems,</w:t>
      </w:r>
      <w:r w:rsidR="003461DF">
        <w:t xml:space="preserve"> Institute of Population Health</w:t>
      </w:r>
    </w:p>
    <w:p w14:paraId="61E500A2" w14:textId="791A5960" w:rsidR="00871CC0" w:rsidRPr="00DC2065" w:rsidRDefault="00871CC0" w:rsidP="00DC2065">
      <w:pPr>
        <w:spacing w:after="0"/>
      </w:pPr>
      <w:r>
        <w:t>Jennifer Sigafoos</w:t>
      </w:r>
      <w:r w:rsidR="003461DF">
        <w:t>, University of Liverpool School of Law and Social Justice</w:t>
      </w:r>
      <w:r w:rsidR="004C04FE">
        <w:rPr>
          <w:rStyle w:val="FootnoteReference"/>
        </w:rPr>
        <w:footnoteReference w:id="1"/>
      </w:r>
    </w:p>
    <w:p w14:paraId="49FC0126" w14:textId="77777777" w:rsidR="00771FFF" w:rsidRDefault="00771FFF" w:rsidP="00DC2065"/>
    <w:p w14:paraId="7AEBF231" w14:textId="597DF95B" w:rsidR="00E510A9" w:rsidRDefault="00E510A9" w:rsidP="00E510A9">
      <w:pPr>
        <w:pStyle w:val="Heading2"/>
      </w:pPr>
      <w:r>
        <w:t>Abstract</w:t>
      </w:r>
    </w:p>
    <w:p w14:paraId="11E5222E" w14:textId="7C4D832C" w:rsidR="00E510A9" w:rsidRPr="00E510A9" w:rsidRDefault="00E510A9" w:rsidP="00E510A9">
      <w:r w:rsidRPr="00E510A9">
        <w:t xml:space="preserve">The coronavirus 2019 (Covid-19) crisis worsened population health and health inequalities in the UK and caused social and economic upheaval. Austerity-driven policies have already reduced access to legal advice and widened health inequalities. This article examines the theoretical links between legal advice and health inequalities, arguing that legal advice is essential to overcome the effects legal problems have on the </w:t>
      </w:r>
      <w:r w:rsidR="00F3687E">
        <w:t>social determinants of health.</w:t>
      </w:r>
      <w:r w:rsidRPr="00E510A9">
        <w:t xml:space="preserve"> The article further explores how Covid-19, a synergistic pandemic, is working in concert with existing health inequalities in a cyclical reinforcing relationship. This evidence draws on research from a University of Liverpool, Liverpool City Council-funded access to justice project. We found that advice services have adapted rapidly in response to Covid-19, but concerns </w:t>
      </w:r>
      <w:proofErr w:type="gramStart"/>
      <w:r w:rsidRPr="00E510A9">
        <w:t>are raised</w:t>
      </w:r>
      <w:proofErr w:type="gramEnd"/>
      <w:r w:rsidRPr="00E510A9">
        <w:t xml:space="preserve"> about how these changes might affect the hardest to serve populations. It has highlighted the risk of exclusion that remote services bring for some groups</w:t>
      </w:r>
      <w:r w:rsidR="002316F6">
        <w:t>,</w:t>
      </w:r>
      <w:r w:rsidRPr="00E510A9">
        <w:t xml:space="preserve"> and the importance of </w:t>
      </w:r>
      <w:r w:rsidR="002316F6">
        <w:t xml:space="preserve">effective referral mechanisms and </w:t>
      </w:r>
      <w:r w:rsidRPr="00E510A9">
        <w:t xml:space="preserve">co-located advice services. </w:t>
      </w:r>
    </w:p>
    <w:p w14:paraId="66444C41" w14:textId="77777777" w:rsidR="00E510A9" w:rsidRDefault="00E510A9" w:rsidP="00DC2065"/>
    <w:p w14:paraId="70242299" w14:textId="40A3744C" w:rsidR="00871CC0" w:rsidRDefault="001B36A2" w:rsidP="00BA0E3F">
      <w:pPr>
        <w:pStyle w:val="Heading2"/>
      </w:pPr>
      <w:r>
        <w:t xml:space="preserve">1. </w:t>
      </w:r>
      <w:r>
        <w:tab/>
      </w:r>
      <w:r w:rsidR="00BA0E3F">
        <w:t>Introduction</w:t>
      </w:r>
    </w:p>
    <w:p w14:paraId="6C2882F0" w14:textId="7225E2E3" w:rsidR="003015EF" w:rsidRDefault="00F943AF" w:rsidP="1D3A95D2">
      <w:r w:rsidRPr="00F943AF">
        <w:t xml:space="preserve">The coronavirus 2019 (Covid-19) crisis </w:t>
      </w:r>
      <w:r w:rsidR="00B545C7">
        <w:t>has worsened</w:t>
      </w:r>
      <w:r w:rsidRPr="00F943AF">
        <w:t xml:space="preserve"> population health and health inequalities in the U</w:t>
      </w:r>
      <w:r w:rsidR="00E131A7">
        <w:t>K and</w:t>
      </w:r>
      <w:r w:rsidRPr="00F943AF">
        <w:t xml:space="preserve"> cause</w:t>
      </w:r>
      <w:r w:rsidR="00B545C7">
        <w:t>d</w:t>
      </w:r>
      <w:r w:rsidRPr="00F943AF">
        <w:t xml:space="preserve"> social </w:t>
      </w:r>
      <w:r w:rsidR="67ED6B5E" w:rsidRPr="00F943AF">
        <w:t xml:space="preserve">and economic </w:t>
      </w:r>
      <w:r w:rsidRPr="00F943AF">
        <w:t>upheaval</w:t>
      </w:r>
      <w:r w:rsidR="00495B99">
        <w:t xml:space="preserve">. </w:t>
      </w:r>
      <w:r w:rsidRPr="00F943AF">
        <w:t>The social determinants of health (</w:t>
      </w:r>
      <w:proofErr w:type="spellStart"/>
      <w:r w:rsidRPr="00F943AF">
        <w:t>SDoH</w:t>
      </w:r>
      <w:proofErr w:type="spellEnd"/>
      <w:r w:rsidRPr="00F943AF">
        <w:t xml:space="preserve">) </w:t>
      </w:r>
      <w:proofErr w:type="gramStart"/>
      <w:r w:rsidRPr="00F943AF">
        <w:t>are well established</w:t>
      </w:r>
      <w:proofErr w:type="gramEnd"/>
      <w:r w:rsidRPr="00F943AF">
        <w:t>: these are individual, economic, environmental and social factors that threaten, promote and protect health, as outlined by Dahlgren and Whitehead.</w:t>
      </w:r>
      <w:r w:rsidRPr="00F943AF">
        <w:rPr>
          <w:vertAlign w:val="superscript"/>
        </w:rPr>
        <w:footnoteReference w:id="2"/>
      </w:r>
      <w:r w:rsidRPr="00F943AF">
        <w:t xml:space="preserve"> </w:t>
      </w:r>
      <w:r w:rsidR="00B545C7">
        <w:t>T</w:t>
      </w:r>
      <w:r w:rsidRPr="00F943AF">
        <w:t>en years of austerity-driven policies</w:t>
      </w:r>
      <w:r w:rsidR="00DC46B2">
        <w:t xml:space="preserve"> targeted in large part at cuts to the availability and generosity of welfare benefits</w:t>
      </w:r>
      <w:r w:rsidRPr="00F943AF">
        <w:t xml:space="preserve"> have led to</w:t>
      </w:r>
      <w:r w:rsidR="288590AE">
        <w:t xml:space="preserve"> </w:t>
      </w:r>
      <w:r w:rsidRPr="00F943AF">
        <w:t xml:space="preserve">rises in poverty, foodbank usage, </w:t>
      </w:r>
      <w:r w:rsidR="00DC2065">
        <w:t xml:space="preserve">anxiety and </w:t>
      </w:r>
      <w:r w:rsidRPr="00F943AF">
        <w:t>mental health difficulties, precarious work</w:t>
      </w:r>
      <w:r>
        <w:t>,</w:t>
      </w:r>
      <w:r w:rsidR="00AC3526">
        <w:t xml:space="preserve"> homelessness and even suicide</w:t>
      </w:r>
      <w:r w:rsidR="6ED014F2">
        <w:t>.</w:t>
      </w:r>
      <w:r w:rsidRPr="00F943AF">
        <w:rPr>
          <w:vertAlign w:val="superscript"/>
        </w:rPr>
        <w:footnoteReference w:id="3"/>
      </w:r>
      <w:r w:rsidR="48864445">
        <w:t xml:space="preserve"> </w:t>
      </w:r>
      <w:r w:rsidR="1F61944F">
        <w:t>As such, t</w:t>
      </w:r>
      <w:r w:rsidR="573F538C">
        <w:t>he UK</w:t>
      </w:r>
      <w:r w:rsidR="5CC92112">
        <w:t xml:space="preserve"> </w:t>
      </w:r>
      <w:r w:rsidR="573F538C">
        <w:t>has some of the largest health inequalities</w:t>
      </w:r>
      <w:r w:rsidR="20B159F9">
        <w:t xml:space="preserve"> (differences in health </w:t>
      </w:r>
      <w:r w:rsidR="20B159F9">
        <w:lastRenderedPageBreak/>
        <w:t>between people and places)</w:t>
      </w:r>
      <w:r w:rsidR="6F544714">
        <w:t xml:space="preserve"> </w:t>
      </w:r>
      <w:r w:rsidR="43F11DA0">
        <w:t>in Europe</w:t>
      </w:r>
      <w:r w:rsidR="00AC3526">
        <w:t>.</w:t>
      </w:r>
      <w:r w:rsidR="00AC3526">
        <w:rPr>
          <w:rStyle w:val="FootnoteReference"/>
        </w:rPr>
        <w:footnoteReference w:id="4"/>
      </w:r>
      <w:r>
        <w:t xml:space="preserve"> </w:t>
      </w:r>
      <w:r w:rsidR="00AC3526" w:rsidRPr="00AC3526">
        <w:t>The</w:t>
      </w:r>
      <w:r w:rsidR="00E131A7">
        <w:t xml:space="preserve">se </w:t>
      </w:r>
      <w:r w:rsidR="00AC3526">
        <w:t xml:space="preserve">existing problems </w:t>
      </w:r>
      <w:r w:rsidR="00E131A7">
        <w:t>are worsening the impact of Covid-1</w:t>
      </w:r>
      <w:r w:rsidR="40165214">
        <w:t>9</w:t>
      </w:r>
      <w:r w:rsidR="00444DD9">
        <w:t>,</w:t>
      </w:r>
      <w:r w:rsidR="00E131A7">
        <w:t xml:space="preserve"> unequally</w:t>
      </w:r>
      <w:r w:rsidR="00444DD9">
        <w:t>,</w:t>
      </w:r>
      <w:r w:rsidR="00E131A7">
        <w:t xml:space="preserve"> across the country.</w:t>
      </w:r>
      <w:r w:rsidR="00E131A7">
        <w:rPr>
          <w:rStyle w:val="FootnoteReference"/>
        </w:rPr>
        <w:footnoteReference w:id="5"/>
      </w:r>
      <w:r w:rsidR="00E131A7">
        <w:t xml:space="preserve"> </w:t>
      </w:r>
      <w:r w:rsidR="003931DC" w:rsidRPr="00421B8D">
        <w:t>Th</w:t>
      </w:r>
      <w:r w:rsidR="003931DC">
        <w:t>e</w:t>
      </w:r>
      <w:r w:rsidR="003931DC" w:rsidRPr="00421B8D">
        <w:t xml:space="preserve"> inadequacy of the welfare system</w:t>
      </w:r>
      <w:r w:rsidR="003931DC">
        <w:t xml:space="preserve"> and impact of income inequalities </w:t>
      </w:r>
      <w:proofErr w:type="gramStart"/>
      <w:r w:rsidR="003931DC">
        <w:t>are</w:t>
      </w:r>
      <w:r w:rsidR="003931DC" w:rsidRPr="00421B8D">
        <w:t xml:space="preserve"> well documented</w:t>
      </w:r>
      <w:proofErr w:type="gramEnd"/>
      <w:r w:rsidR="003931DC" w:rsidRPr="00421B8D">
        <w:t xml:space="preserve"> elsewhere.</w:t>
      </w:r>
      <w:r w:rsidR="003931DC" w:rsidRPr="00421B8D">
        <w:rPr>
          <w:vertAlign w:val="superscript"/>
        </w:rPr>
        <w:footnoteReference w:id="6"/>
      </w:r>
      <w:r w:rsidR="003931DC" w:rsidRPr="00421B8D">
        <w:t xml:space="preserve"> </w:t>
      </w:r>
      <w:r w:rsidR="003931DC">
        <w:t>Although related, th</w:t>
      </w:r>
      <w:r w:rsidR="003931DC" w:rsidRPr="00421B8D">
        <w:t xml:space="preserve">is article </w:t>
      </w:r>
      <w:r w:rsidR="003931DC">
        <w:t xml:space="preserve">instead </w:t>
      </w:r>
      <w:r w:rsidR="003931DC" w:rsidRPr="00421B8D">
        <w:t xml:space="preserve">focuses on </w:t>
      </w:r>
      <w:r w:rsidR="003931DC">
        <w:t xml:space="preserve">drawing </w:t>
      </w:r>
      <w:r w:rsidR="003931DC" w:rsidRPr="00421B8D">
        <w:t>the link between access to lega</w:t>
      </w:r>
      <w:r w:rsidR="003931DC">
        <w:t>l advice and health inequality</w:t>
      </w:r>
      <w:r w:rsidR="00DC2065">
        <w:t>,</w:t>
      </w:r>
      <w:r w:rsidR="003931DC">
        <w:t xml:space="preserve"> a relatively underexplored area of research</w:t>
      </w:r>
      <w:r w:rsidR="005B023C">
        <w:t xml:space="preserve"> that is very topical in light of the pandemic</w:t>
      </w:r>
      <w:r w:rsidR="003931DC">
        <w:t>.</w:t>
      </w:r>
    </w:p>
    <w:p w14:paraId="0D515645" w14:textId="578A3D18" w:rsidR="005B023C" w:rsidRPr="00DB7186" w:rsidRDefault="002C6C6A" w:rsidP="00DB7186">
      <w:r w:rsidRPr="0017432E">
        <w:t xml:space="preserve">The role that a lack of access to legal advice can play in exacerbating the </w:t>
      </w:r>
      <w:proofErr w:type="spellStart"/>
      <w:r w:rsidRPr="0017432E">
        <w:t>SDoH</w:t>
      </w:r>
      <w:proofErr w:type="spellEnd"/>
      <w:r w:rsidRPr="0017432E">
        <w:t xml:space="preserve"> is clear.</w:t>
      </w:r>
      <w:r w:rsidR="008E094B" w:rsidRPr="0017432E">
        <w:rPr>
          <w:vertAlign w:val="superscript"/>
        </w:rPr>
        <w:footnoteReference w:id="7"/>
      </w:r>
      <w:r w:rsidRPr="0017432E">
        <w:t xml:space="preserve"> Job loss, accessing welfare benefits, poverty, insecure housing, debt, family breakdown, et cetera are all </w:t>
      </w:r>
      <w:proofErr w:type="spellStart"/>
      <w:r>
        <w:t>SDoH</w:t>
      </w:r>
      <w:proofErr w:type="spellEnd"/>
      <w:r w:rsidRPr="0017432E">
        <w:t xml:space="preserve"> with a legal dimension</w:t>
      </w:r>
      <w:r>
        <w:t>.</w:t>
      </w:r>
      <w:r w:rsidR="00E131A7">
        <w:t xml:space="preserve"> </w:t>
      </w:r>
      <w:r w:rsidR="00DC46B2">
        <w:t xml:space="preserve">For many of these, difficulties with accessing welfare benefits play either a causative or a compounding role. </w:t>
      </w:r>
      <w:r w:rsidR="00E131A7">
        <w:t xml:space="preserve">The Covid-19 crisis is </w:t>
      </w:r>
      <w:r w:rsidR="00E131A7" w:rsidRPr="00AC3526">
        <w:t>increas</w:t>
      </w:r>
      <w:r w:rsidR="00E131A7">
        <w:t>ing</w:t>
      </w:r>
      <w:r w:rsidR="00E131A7" w:rsidRPr="00AC3526">
        <w:t xml:space="preserve"> the incidence of </w:t>
      </w:r>
      <w:r w:rsidR="00E131A7">
        <w:t xml:space="preserve">these </w:t>
      </w:r>
      <w:r w:rsidR="00E131A7" w:rsidRPr="00AC3526">
        <w:t xml:space="preserve">social welfare law </w:t>
      </w:r>
      <w:r w:rsidR="00E131A7">
        <w:t>issues</w:t>
      </w:r>
      <w:r w:rsidR="00E131A7" w:rsidRPr="00AC3526">
        <w:t>,</w:t>
      </w:r>
      <w:r w:rsidR="00E131A7" w:rsidRPr="00AC3526">
        <w:rPr>
          <w:vertAlign w:val="superscript"/>
        </w:rPr>
        <w:footnoteReference w:id="8"/>
      </w:r>
      <w:r w:rsidR="00E131A7" w:rsidRPr="00AC3526">
        <w:t xml:space="preserve"> both income-related and not</w:t>
      </w:r>
      <w:r w:rsidR="00E131A7">
        <w:t>,</w:t>
      </w:r>
      <w:r w:rsidR="00E131A7" w:rsidRPr="00AC3526">
        <w:rPr>
          <w:vertAlign w:val="superscript"/>
        </w:rPr>
        <w:footnoteReference w:id="9"/>
      </w:r>
      <w:r w:rsidR="00E131A7" w:rsidRPr="00AC3526">
        <w:t xml:space="preserve"> </w:t>
      </w:r>
      <w:r w:rsidR="00E131A7">
        <w:t>at a time of limited access to and availability of free legal advice.</w:t>
      </w:r>
      <w:r w:rsidRPr="0017432E">
        <w:t xml:space="preserve"> </w:t>
      </w:r>
      <w:r w:rsidR="003015EF" w:rsidRPr="003015EF">
        <w:t xml:space="preserve">In the </w:t>
      </w:r>
      <w:proofErr w:type="gramStart"/>
      <w:r w:rsidR="003015EF" w:rsidRPr="003015EF">
        <w:t>years</w:t>
      </w:r>
      <w:proofErr w:type="gramEnd"/>
      <w:r w:rsidR="003015EF" w:rsidRPr="003015EF">
        <w:t xml:space="preserve"> preceding Covid-19 </w:t>
      </w:r>
      <w:r w:rsidR="2C3F1FE6" w:rsidRPr="003015EF">
        <w:t xml:space="preserve">there was a </w:t>
      </w:r>
      <w:r w:rsidR="003015EF" w:rsidRPr="003015EF">
        <w:t>dramatic reduction in the availability of free legal advice, particular</w:t>
      </w:r>
      <w:r w:rsidR="42507481" w:rsidRPr="003015EF">
        <w:t>ly from</w:t>
      </w:r>
      <w:r w:rsidR="003015EF" w:rsidRPr="003015EF">
        <w:t xml:space="preserve"> cuts to legal aid,</w:t>
      </w:r>
      <w:r w:rsidR="003015EF" w:rsidRPr="003015EF">
        <w:rPr>
          <w:vertAlign w:val="superscript"/>
        </w:rPr>
        <w:footnoteReference w:id="10"/>
      </w:r>
      <w:r w:rsidR="003015EF" w:rsidRPr="003015EF">
        <w:t xml:space="preserve"> and to local authority budgets. People in need of free advice </w:t>
      </w:r>
      <w:r w:rsidR="4C64F6CD" w:rsidRPr="003015EF">
        <w:t>must</w:t>
      </w:r>
      <w:r w:rsidR="003015EF" w:rsidRPr="003015EF">
        <w:t xml:space="preserve"> </w:t>
      </w:r>
      <w:r w:rsidR="7A8EC34E" w:rsidRPr="003015EF">
        <w:t xml:space="preserve">now </w:t>
      </w:r>
      <w:r w:rsidR="003015EF" w:rsidRPr="003015EF">
        <w:t>rely on an uneven patchwork from not-for-profit organisations and council services, residual legal aid contracts or pro bono activities.</w:t>
      </w:r>
      <w:r w:rsidR="003015EF" w:rsidRPr="003015EF">
        <w:rPr>
          <w:vertAlign w:val="superscript"/>
        </w:rPr>
        <w:footnoteReference w:id="11"/>
      </w:r>
      <w:r w:rsidR="003015EF" w:rsidRPr="003015EF">
        <w:t xml:space="preserve"> </w:t>
      </w:r>
      <w:r w:rsidR="005B023C">
        <w:t xml:space="preserve">Although there has been some increased funding in response to Covid-19 that the advice sector could </w:t>
      </w:r>
      <w:proofErr w:type="gramStart"/>
      <w:r w:rsidR="005B023C">
        <w:lastRenderedPageBreak/>
        <w:t>access</w:t>
      </w:r>
      <w:proofErr w:type="gramEnd"/>
      <w:r w:rsidR="005B023C">
        <w:t>,</w:t>
      </w:r>
      <w:r w:rsidR="005B023C">
        <w:rPr>
          <w:rStyle w:val="FootnoteReference"/>
        </w:rPr>
        <w:footnoteReference w:id="12"/>
      </w:r>
      <w:r w:rsidR="005B023C">
        <w:t xml:space="preserve"> the sector was in no fit state to respond as robustly as was required by the challenges of 2020. </w:t>
      </w:r>
      <w:r w:rsidR="00E131A7">
        <w:t xml:space="preserve">Covid-19 has thus deepened the problems that negatively </w:t>
      </w:r>
      <w:proofErr w:type="gramStart"/>
      <w:r w:rsidR="00E131A7">
        <w:t>impact</w:t>
      </w:r>
      <w:proofErr w:type="gramEnd"/>
      <w:r w:rsidR="00E131A7">
        <w:t xml:space="preserve"> the </w:t>
      </w:r>
      <w:proofErr w:type="spellStart"/>
      <w:r w:rsidR="00E131A7">
        <w:t>SD</w:t>
      </w:r>
      <w:r w:rsidR="42B29796">
        <w:t>o</w:t>
      </w:r>
      <w:r w:rsidR="00E131A7">
        <w:t>H</w:t>
      </w:r>
      <w:proofErr w:type="spellEnd"/>
      <w:r w:rsidR="00E131A7">
        <w:t xml:space="preserve"> while at the same time hampering the legal advice that </w:t>
      </w:r>
      <w:r w:rsidR="114520F0">
        <w:t>may</w:t>
      </w:r>
      <w:r w:rsidR="00E131A7">
        <w:t xml:space="preserve"> ameliorate </w:t>
      </w:r>
      <w:r w:rsidR="62810024">
        <w:t>their long-term consequences</w:t>
      </w:r>
      <w:r w:rsidR="00E131A7">
        <w:t>.</w:t>
      </w:r>
    </w:p>
    <w:p w14:paraId="09372F98" w14:textId="4274C04D" w:rsidR="005B023C" w:rsidRDefault="00460EB4" w:rsidP="00F943AF">
      <w:r w:rsidRPr="00460EB4">
        <w:t xml:space="preserve">Colleagues from the School of Law and Social Justice and </w:t>
      </w:r>
      <w:r w:rsidRPr="00460EB4">
        <w:rPr>
          <w:bCs/>
        </w:rPr>
        <w:t xml:space="preserve">Department of Public Health, Policy and Systems </w:t>
      </w:r>
      <w:r w:rsidRPr="00460EB4">
        <w:t xml:space="preserve">at the University of Liverpool are leading a Liverpool City </w:t>
      </w:r>
      <w:r w:rsidR="0017432E">
        <w:t xml:space="preserve">Council-funded project, starting in 2020, </w:t>
      </w:r>
      <w:r w:rsidRPr="00460EB4">
        <w:t>to understand and increase access to legal advice in t</w:t>
      </w:r>
      <w:r w:rsidR="0017432E">
        <w:t>he city</w:t>
      </w:r>
      <w:r w:rsidRPr="00460EB4">
        <w:t xml:space="preserve">. The research </w:t>
      </w:r>
      <w:proofErr w:type="gramStart"/>
      <w:r w:rsidRPr="00460EB4">
        <w:t>was widened</w:t>
      </w:r>
      <w:proofErr w:type="gramEnd"/>
      <w:r w:rsidRPr="00460EB4">
        <w:t xml:space="preserve"> to include the impact of Covid-19 on access to legal advice, and this article is based on those findings from the first phase of the wider project. </w:t>
      </w:r>
      <w:r w:rsidR="005B023C" w:rsidRPr="003015EF">
        <w:t>The</w:t>
      </w:r>
      <w:r w:rsidR="00382161">
        <w:t xml:space="preserve">y </w:t>
      </w:r>
      <w:r w:rsidR="005B023C" w:rsidRPr="003015EF">
        <w:t xml:space="preserve">provide new insights into the functioning of the fragmented advice ecosystem, its response to Covid-19, and the </w:t>
      </w:r>
      <w:r w:rsidR="00E131A7">
        <w:t xml:space="preserve">potential consequences for the </w:t>
      </w:r>
      <w:proofErr w:type="spellStart"/>
      <w:r w:rsidR="00E131A7">
        <w:t>SDoH</w:t>
      </w:r>
      <w:proofErr w:type="spellEnd"/>
      <w:r w:rsidR="005B023C" w:rsidRPr="003015EF">
        <w:t xml:space="preserve">. </w:t>
      </w:r>
    </w:p>
    <w:p w14:paraId="31A6BA4B" w14:textId="13916C85" w:rsidR="00253360" w:rsidRDefault="00385E2B" w:rsidP="00F943AF">
      <w:r>
        <w:t>We begin this article by establishing the link</w:t>
      </w:r>
      <w:r w:rsidR="00253360">
        <w:t>s</w:t>
      </w:r>
      <w:r>
        <w:t xml:space="preserve"> between legal advice and </w:t>
      </w:r>
      <w:r w:rsidR="00253360">
        <w:t>he</w:t>
      </w:r>
      <w:r w:rsidR="00E510A9">
        <w:t xml:space="preserve">alth inequalities, arguing that </w:t>
      </w:r>
      <w:r w:rsidR="00253360">
        <w:t xml:space="preserve">legal advice </w:t>
      </w:r>
      <w:r w:rsidR="00585134">
        <w:t xml:space="preserve">is essential to overcome the effects </w:t>
      </w:r>
      <w:r w:rsidR="00382161">
        <w:t xml:space="preserve">that </w:t>
      </w:r>
      <w:r w:rsidR="00585134">
        <w:t xml:space="preserve">legal problems </w:t>
      </w:r>
      <w:r w:rsidR="65AD2EC9">
        <w:t xml:space="preserve">have </w:t>
      </w:r>
      <w:r w:rsidR="00585134">
        <w:t>on the</w:t>
      </w:r>
      <w:r>
        <w:t xml:space="preserve"> </w:t>
      </w:r>
      <w:proofErr w:type="spellStart"/>
      <w:r>
        <w:t>SDoH</w:t>
      </w:r>
      <w:proofErr w:type="spellEnd"/>
      <w:r>
        <w:t xml:space="preserve">. </w:t>
      </w:r>
      <w:r w:rsidR="00585134">
        <w:t xml:space="preserve">We also explain how Covid-19 is a synergistic pandemic, working in concert with existing health inequalities in a cyclical reinforcing relationship. </w:t>
      </w:r>
      <w:r w:rsidR="001B36A2">
        <w:t>W</w:t>
      </w:r>
      <w:r w:rsidR="00B64615">
        <w:t>e</w:t>
      </w:r>
      <w:r w:rsidR="001B36A2">
        <w:t xml:space="preserve"> then</w:t>
      </w:r>
      <w:r w:rsidR="00B64615">
        <w:t xml:space="preserve"> </w:t>
      </w:r>
      <w:r w:rsidR="00406EC5">
        <w:t xml:space="preserve">examine what our research findings tell us about </w:t>
      </w:r>
      <w:r w:rsidR="001C6624">
        <w:t xml:space="preserve">what the Covid-19 pandemic has meant for demand for advice services, and </w:t>
      </w:r>
      <w:r w:rsidR="00406EC5">
        <w:t xml:space="preserve">how </w:t>
      </w:r>
      <w:r w:rsidR="001C6624">
        <w:t xml:space="preserve">organisations have responded. </w:t>
      </w:r>
      <w:r w:rsidR="00406EC5">
        <w:t xml:space="preserve"> </w:t>
      </w:r>
      <w:r w:rsidR="001C6624">
        <w:t>We consider</w:t>
      </w:r>
      <w:r w:rsidR="00406EC5">
        <w:t xml:space="preserve"> how </w:t>
      </w:r>
      <w:r w:rsidR="001C6624">
        <w:t>this</w:t>
      </w:r>
      <w:r w:rsidR="00406EC5">
        <w:t xml:space="preserve"> has </w:t>
      </w:r>
      <w:proofErr w:type="gramStart"/>
      <w:r w:rsidR="00406EC5">
        <w:t>impacted on</w:t>
      </w:r>
      <w:proofErr w:type="gramEnd"/>
      <w:r w:rsidR="00406EC5">
        <w:t xml:space="preserve"> </w:t>
      </w:r>
      <w:r w:rsidR="001B36A2">
        <w:t xml:space="preserve">organisations’ </w:t>
      </w:r>
      <w:r w:rsidR="00406EC5">
        <w:t xml:space="preserve">roles of helping people to identify legal issues, to gain access to free legal advice, and to provide those services. </w:t>
      </w:r>
      <w:r w:rsidR="00585134">
        <w:t xml:space="preserve">We conclude by </w:t>
      </w:r>
      <w:r w:rsidR="3754D630">
        <w:t>discussing</w:t>
      </w:r>
      <w:r w:rsidR="00585134">
        <w:t xml:space="preserve"> what this means for health inequalities.</w:t>
      </w:r>
    </w:p>
    <w:p w14:paraId="2AF4B141" w14:textId="0840D578" w:rsidR="00BA0E3F" w:rsidRDefault="00BA0E3F" w:rsidP="00F943AF"/>
    <w:p w14:paraId="60AB2CDA" w14:textId="1A823857" w:rsidR="00CD31F2" w:rsidRDefault="001B36A2" w:rsidP="00CD31F2">
      <w:pPr>
        <w:rPr>
          <w:lang w:val="en-US"/>
        </w:rPr>
      </w:pPr>
      <w:r w:rsidRPr="00885319">
        <w:rPr>
          <w:rStyle w:val="Heading2Char"/>
        </w:rPr>
        <w:t>2.</w:t>
      </w:r>
      <w:r w:rsidRPr="00885319">
        <w:rPr>
          <w:rStyle w:val="Heading2Char"/>
        </w:rPr>
        <w:tab/>
      </w:r>
      <w:r w:rsidR="00901E4D" w:rsidRPr="00885319">
        <w:rPr>
          <w:rStyle w:val="Heading2Char"/>
        </w:rPr>
        <w:t>L</w:t>
      </w:r>
      <w:r w:rsidR="00CD31F2" w:rsidRPr="00885319">
        <w:rPr>
          <w:rStyle w:val="Heading2Char"/>
        </w:rPr>
        <w:t>egal dimension</w:t>
      </w:r>
      <w:r w:rsidR="00585134" w:rsidRPr="00885319">
        <w:rPr>
          <w:rStyle w:val="Heading2Char"/>
        </w:rPr>
        <w:t>s</w:t>
      </w:r>
      <w:r w:rsidR="00CD31F2" w:rsidRPr="00885319">
        <w:rPr>
          <w:rStyle w:val="Heading2Char"/>
        </w:rPr>
        <w:t xml:space="preserve"> </w:t>
      </w:r>
      <w:r w:rsidR="00901E4D" w:rsidRPr="00885319">
        <w:rPr>
          <w:rStyle w:val="Heading2Char"/>
        </w:rPr>
        <w:t>of the</w:t>
      </w:r>
      <w:r w:rsidR="00CD31F2" w:rsidRPr="00885319">
        <w:rPr>
          <w:rStyle w:val="Heading2Char"/>
        </w:rPr>
        <w:t xml:space="preserve"> social determinants of health</w:t>
      </w:r>
      <w:r w:rsidR="00585134" w:rsidRPr="00885319">
        <w:rPr>
          <w:rStyle w:val="Heading2Char"/>
        </w:rPr>
        <w:t xml:space="preserve"> and the synergistic pandemic</w:t>
      </w:r>
    </w:p>
    <w:p w14:paraId="004D0C00" w14:textId="10B8104A" w:rsidR="007E1ABC" w:rsidRDefault="27EFCAF2" w:rsidP="73AAC10A">
      <w:pPr>
        <w:rPr>
          <w:lang w:val="en-US"/>
        </w:rPr>
      </w:pPr>
      <w:r w:rsidRPr="572B3941">
        <w:rPr>
          <w:lang w:val="en-US"/>
        </w:rPr>
        <w:t>Differences in health exist across all regions, between different groups of people. For example, in the UK th</w:t>
      </w:r>
      <w:r w:rsidR="00111636">
        <w:rPr>
          <w:lang w:val="en-US"/>
        </w:rPr>
        <w:t>ere is a well-established north-</w:t>
      </w:r>
      <w:r w:rsidRPr="572B3941">
        <w:rPr>
          <w:lang w:val="en-US"/>
        </w:rPr>
        <w:t xml:space="preserve">south divide, where people in the North are found to be less healthy than their counterparts in the </w:t>
      </w:r>
      <w:proofErr w:type="gramStart"/>
      <w:r w:rsidR="00444DD9">
        <w:rPr>
          <w:lang w:val="en-US"/>
        </w:rPr>
        <w:t>S</w:t>
      </w:r>
      <w:r w:rsidRPr="572B3941">
        <w:rPr>
          <w:lang w:val="en-US"/>
        </w:rPr>
        <w:t>outh</w:t>
      </w:r>
      <w:proofErr w:type="gramEnd"/>
      <w:r w:rsidRPr="572B3941">
        <w:rPr>
          <w:lang w:val="en-US"/>
        </w:rPr>
        <w:t>, across all social groups and sexes.</w:t>
      </w:r>
      <w:r w:rsidR="00444DD9">
        <w:rPr>
          <w:rStyle w:val="FootnoteReference"/>
          <w:lang w:val="en-US"/>
        </w:rPr>
        <w:footnoteReference w:id="13"/>
      </w:r>
      <w:r>
        <w:t xml:space="preserve"> </w:t>
      </w:r>
      <w:r w:rsidR="34039573" w:rsidRPr="572B3941">
        <w:rPr>
          <w:lang w:val="en-US"/>
        </w:rPr>
        <w:t>In 2018</w:t>
      </w:r>
      <w:r w:rsidR="40B539B7" w:rsidRPr="73AAC10A">
        <w:rPr>
          <w:lang w:val="en-US"/>
        </w:rPr>
        <w:t>-19</w:t>
      </w:r>
      <w:r w:rsidR="34039573" w:rsidRPr="572B3941">
        <w:rPr>
          <w:lang w:val="en-US"/>
        </w:rPr>
        <w:t xml:space="preserve"> in </w:t>
      </w:r>
      <w:proofErr w:type="gramStart"/>
      <w:r w:rsidR="34039573" w:rsidRPr="572B3941">
        <w:rPr>
          <w:lang w:val="en-US"/>
        </w:rPr>
        <w:t>Liverpool</w:t>
      </w:r>
      <w:proofErr w:type="gramEnd"/>
      <w:r w:rsidR="34039573" w:rsidRPr="572B3941">
        <w:rPr>
          <w:lang w:val="en-US"/>
        </w:rPr>
        <w:t xml:space="preserve"> there were 1,300 </w:t>
      </w:r>
      <w:r w:rsidR="61D62338" w:rsidRPr="572B3941">
        <w:rPr>
          <w:lang w:val="en-US"/>
        </w:rPr>
        <w:t>more</w:t>
      </w:r>
      <w:r w:rsidR="34039573" w:rsidRPr="572B3941">
        <w:rPr>
          <w:lang w:val="en-US"/>
        </w:rPr>
        <w:t xml:space="preserve"> deaths, 13,300 more working age people living with a disability</w:t>
      </w:r>
      <w:r w:rsidR="00111636">
        <w:rPr>
          <w:lang w:val="en-US"/>
        </w:rPr>
        <w:t xml:space="preserve"> or a </w:t>
      </w:r>
      <w:r w:rsidR="00BC4D45">
        <w:rPr>
          <w:lang w:val="en-US"/>
        </w:rPr>
        <w:t>long-term</w:t>
      </w:r>
      <w:r w:rsidR="00111636">
        <w:rPr>
          <w:lang w:val="en-US"/>
        </w:rPr>
        <w:t xml:space="preserve"> health condition</w:t>
      </w:r>
      <w:r w:rsidR="34039573" w:rsidRPr="572B3941">
        <w:rPr>
          <w:lang w:val="en-US"/>
        </w:rPr>
        <w:t xml:space="preserve"> and 20,000 more people with mental health difficulties, compared to the rest of England.</w:t>
      </w:r>
      <w:r w:rsidR="00E44C67">
        <w:rPr>
          <w:rStyle w:val="FootnoteReference"/>
          <w:lang w:val="en-US"/>
        </w:rPr>
        <w:footnoteReference w:id="14"/>
      </w:r>
      <w:r w:rsidR="34039573" w:rsidRPr="572B3941">
        <w:rPr>
          <w:lang w:val="en-US"/>
        </w:rPr>
        <w:t xml:space="preserve"> </w:t>
      </w:r>
      <w:r w:rsidR="61D62338" w:rsidRPr="572B3941">
        <w:rPr>
          <w:lang w:val="en-US"/>
        </w:rPr>
        <w:t xml:space="preserve">These </w:t>
      </w:r>
      <w:r w:rsidR="00111636">
        <w:rPr>
          <w:lang w:val="en-US"/>
        </w:rPr>
        <w:t>health inequalities</w:t>
      </w:r>
      <w:r w:rsidR="61D62338" w:rsidRPr="572B3941">
        <w:rPr>
          <w:lang w:val="en-US"/>
        </w:rPr>
        <w:t xml:space="preserve"> ar</w:t>
      </w:r>
      <w:r w:rsidR="56F3F4C0" w:rsidRPr="572B3941">
        <w:rPr>
          <w:lang w:val="en-US"/>
        </w:rPr>
        <w:t xml:space="preserve">e </w:t>
      </w:r>
      <w:r w:rsidR="0CE448F3" w:rsidRPr="572B3941">
        <w:rPr>
          <w:lang w:val="en-US"/>
        </w:rPr>
        <w:t>entrenched</w:t>
      </w:r>
      <w:r w:rsidR="56F3F4C0" w:rsidRPr="572B3941">
        <w:rPr>
          <w:lang w:val="en-US"/>
        </w:rPr>
        <w:t xml:space="preserve"> and persistent</w:t>
      </w:r>
      <w:r w:rsidR="0CE448F3" w:rsidRPr="572B3941">
        <w:rPr>
          <w:lang w:val="en-US"/>
        </w:rPr>
        <w:t>.</w:t>
      </w:r>
      <w:r w:rsidR="6E0BA5B3" w:rsidRPr="572B3941">
        <w:rPr>
          <w:lang w:val="en-US"/>
        </w:rPr>
        <w:t xml:space="preserve"> Perhaps most notable is the observed change in life expectancy at birth, which</w:t>
      </w:r>
      <w:r w:rsidR="710534F5">
        <w:rPr>
          <w:lang w:val="en-US"/>
        </w:rPr>
        <w:t xml:space="preserve"> has</w:t>
      </w:r>
      <w:r w:rsidR="6E0BA5B3" w:rsidRPr="572B3941">
        <w:rPr>
          <w:lang w:val="en-US"/>
        </w:rPr>
        <w:t xml:space="preserve"> not only stalled since 2010</w:t>
      </w:r>
      <w:r w:rsidR="710534F5">
        <w:rPr>
          <w:lang w:val="en-US"/>
        </w:rPr>
        <w:t>,</w:t>
      </w:r>
      <w:r w:rsidR="6E0BA5B3" w:rsidRPr="572B3941">
        <w:rPr>
          <w:lang w:val="en-US"/>
        </w:rPr>
        <w:t xml:space="preserve"> but has reversed for women in the </w:t>
      </w:r>
      <w:r w:rsidR="00111636">
        <w:rPr>
          <w:lang w:val="en-US"/>
        </w:rPr>
        <w:t>most disadvantaged communities.</w:t>
      </w:r>
      <w:r w:rsidR="00E44C67">
        <w:rPr>
          <w:rStyle w:val="FootnoteReference"/>
          <w:lang w:val="en-US"/>
        </w:rPr>
        <w:footnoteReference w:id="15"/>
      </w:r>
      <w:r w:rsidR="6E0BA5B3" w:rsidRPr="572B3941">
        <w:rPr>
          <w:lang w:val="en-US"/>
        </w:rPr>
        <w:t xml:space="preserve"> </w:t>
      </w:r>
    </w:p>
    <w:p w14:paraId="2AA95B15" w14:textId="7DF75ADD" w:rsidR="007E1ABC" w:rsidRDefault="57E74243" w:rsidP="73AAC10A">
      <w:pPr>
        <w:rPr>
          <w:lang w:val="en-US"/>
        </w:rPr>
      </w:pPr>
      <w:r w:rsidRPr="572B3941">
        <w:rPr>
          <w:lang w:val="en-US"/>
        </w:rPr>
        <w:t xml:space="preserve">These health </w:t>
      </w:r>
      <w:r w:rsidR="00111636">
        <w:rPr>
          <w:lang w:val="en-US"/>
        </w:rPr>
        <w:t xml:space="preserve">inequalities </w:t>
      </w:r>
      <w:proofErr w:type="gramStart"/>
      <w:r w:rsidR="61D62338" w:rsidRPr="572B3941">
        <w:rPr>
          <w:lang w:val="en-US"/>
        </w:rPr>
        <w:t>are caused</w:t>
      </w:r>
      <w:proofErr w:type="gramEnd"/>
      <w:r w:rsidR="61D62338" w:rsidRPr="572B3941">
        <w:rPr>
          <w:lang w:val="en-US"/>
        </w:rPr>
        <w:t xml:space="preserve"> by differences in access to resources need</w:t>
      </w:r>
      <w:r w:rsidR="55CA09AB" w:rsidRPr="572B3941">
        <w:rPr>
          <w:lang w:val="en-US"/>
        </w:rPr>
        <w:t>ed</w:t>
      </w:r>
      <w:r w:rsidR="61D62338" w:rsidRPr="572B3941">
        <w:rPr>
          <w:lang w:val="en-US"/>
        </w:rPr>
        <w:t xml:space="preserve"> for good health. </w:t>
      </w:r>
      <w:proofErr w:type="gramStart"/>
      <w:r w:rsidR="61D62338" w:rsidRPr="572B3941">
        <w:rPr>
          <w:lang w:val="en-US"/>
        </w:rPr>
        <w:t xml:space="preserve">Evidence from </w:t>
      </w:r>
      <w:r w:rsidRPr="572B3941">
        <w:rPr>
          <w:lang w:val="en-US"/>
        </w:rPr>
        <w:t xml:space="preserve">the European Health Equity Status Report </w:t>
      </w:r>
      <w:r w:rsidR="6E0BA5B3" w:rsidRPr="572B3941">
        <w:rPr>
          <w:lang w:val="en-US"/>
        </w:rPr>
        <w:t>attributed</w:t>
      </w:r>
      <w:r w:rsidR="512FAD5A" w:rsidRPr="572B3941">
        <w:rPr>
          <w:lang w:val="en-US"/>
        </w:rPr>
        <w:t xml:space="preserve"> five</w:t>
      </w:r>
      <w:r w:rsidR="6E0BA5B3" w:rsidRPr="572B3941">
        <w:rPr>
          <w:lang w:val="en-US"/>
        </w:rPr>
        <w:t xml:space="preserve"> key</w:t>
      </w:r>
      <w:r w:rsidR="512FAD5A" w:rsidRPr="572B3941">
        <w:rPr>
          <w:lang w:val="en-US"/>
        </w:rPr>
        <w:t xml:space="preserve"> factors that drive health inequalities between regions: </w:t>
      </w:r>
      <w:r w:rsidR="797A9DFE" w:rsidRPr="572B3941">
        <w:rPr>
          <w:lang w:val="en-US"/>
        </w:rPr>
        <w:t>income security and social protection</w:t>
      </w:r>
      <w:r w:rsidR="6E0BA5B3" w:rsidRPr="572B3941">
        <w:rPr>
          <w:lang w:val="en-US"/>
        </w:rPr>
        <w:t xml:space="preserve"> (i.e. affordability of goods and services essential to living a dignified, decent and independent life)</w:t>
      </w:r>
      <w:r w:rsidR="00111636">
        <w:rPr>
          <w:lang w:val="en-US"/>
        </w:rPr>
        <w:t>;</w:t>
      </w:r>
      <w:r w:rsidR="29A7A309" w:rsidRPr="572B3941">
        <w:rPr>
          <w:lang w:val="en-US"/>
        </w:rPr>
        <w:t xml:space="preserve"> living conditions</w:t>
      </w:r>
      <w:r w:rsidR="6E0BA5B3" w:rsidRPr="572B3941">
        <w:rPr>
          <w:lang w:val="en-US"/>
        </w:rPr>
        <w:t xml:space="preserve"> (including housing deprivation, fuel deprivation, access to green space, crime, overcrowding, ai</w:t>
      </w:r>
      <w:r w:rsidR="5D01AC14" w:rsidRPr="572B3941">
        <w:rPr>
          <w:lang w:val="en-US"/>
        </w:rPr>
        <w:t>r</w:t>
      </w:r>
      <w:r w:rsidR="6E0BA5B3" w:rsidRPr="572B3941">
        <w:rPr>
          <w:lang w:val="en-US"/>
        </w:rPr>
        <w:t xml:space="preserve"> quality and </w:t>
      </w:r>
      <w:r w:rsidR="6E0BA5B3" w:rsidRPr="572B3941">
        <w:rPr>
          <w:lang w:val="en-US"/>
        </w:rPr>
        <w:lastRenderedPageBreak/>
        <w:t>food deprivation)</w:t>
      </w:r>
      <w:r w:rsidR="00111636">
        <w:rPr>
          <w:lang w:val="en-US"/>
        </w:rPr>
        <w:t>;</w:t>
      </w:r>
      <w:r w:rsidR="29A7A309" w:rsidRPr="572B3941">
        <w:rPr>
          <w:lang w:val="en-US"/>
        </w:rPr>
        <w:t xml:space="preserve"> social and human capital</w:t>
      </w:r>
      <w:r w:rsidR="6E0BA5B3" w:rsidRPr="572B3941">
        <w:rPr>
          <w:lang w:val="en-US"/>
        </w:rPr>
        <w:t xml:space="preserve"> (</w:t>
      </w:r>
      <w:r w:rsidR="7FF1146C" w:rsidRPr="572B3941">
        <w:rPr>
          <w:lang w:val="en-US"/>
        </w:rPr>
        <w:t>differences in educational outcomes, lac</w:t>
      </w:r>
      <w:r w:rsidR="00111636">
        <w:rPr>
          <w:lang w:val="en-US"/>
        </w:rPr>
        <w:t>k of trust and political voice);</w:t>
      </w:r>
      <w:r w:rsidR="7FF1146C" w:rsidRPr="572B3941">
        <w:rPr>
          <w:lang w:val="en-US"/>
        </w:rPr>
        <w:t xml:space="preserve"> </w:t>
      </w:r>
      <w:r w:rsidR="29A7A309" w:rsidRPr="572B3941">
        <w:rPr>
          <w:lang w:val="en-US"/>
        </w:rPr>
        <w:t xml:space="preserve">health services </w:t>
      </w:r>
      <w:r w:rsidR="6E0BA5B3" w:rsidRPr="572B3941">
        <w:rPr>
          <w:lang w:val="en-US"/>
        </w:rPr>
        <w:t>(i.e. quality of services, affordability and unmet need)</w:t>
      </w:r>
      <w:r w:rsidR="00111636">
        <w:rPr>
          <w:lang w:val="en-US"/>
        </w:rPr>
        <w:t>;</w:t>
      </w:r>
      <w:r w:rsidR="6E0BA5B3" w:rsidRPr="572B3941">
        <w:rPr>
          <w:lang w:val="en-US"/>
        </w:rPr>
        <w:t xml:space="preserve"> </w:t>
      </w:r>
      <w:r w:rsidR="29A7A309" w:rsidRPr="572B3941">
        <w:rPr>
          <w:lang w:val="en-US"/>
        </w:rPr>
        <w:t>and employment and working conditions</w:t>
      </w:r>
      <w:r w:rsidR="7FF1146C" w:rsidRPr="572B3941">
        <w:rPr>
          <w:lang w:val="en-US"/>
        </w:rPr>
        <w:t xml:space="preserve"> (employment status and excessive hours)</w:t>
      </w:r>
      <w:r w:rsidR="29A7A309" w:rsidRPr="572B3941">
        <w:rPr>
          <w:lang w:val="en-US"/>
        </w:rPr>
        <w:t>.</w:t>
      </w:r>
      <w:proofErr w:type="gramEnd"/>
      <w:r w:rsidR="512FAD5A" w:rsidRPr="572B3941">
        <w:rPr>
          <w:lang w:val="en-US"/>
        </w:rPr>
        <w:t xml:space="preserve"> </w:t>
      </w:r>
    </w:p>
    <w:p w14:paraId="444639FF" w14:textId="2DBECFFA" w:rsidR="007E1ABC" w:rsidRDefault="0D63F67D" w:rsidP="73AAC10A">
      <w:pPr>
        <w:rPr>
          <w:lang w:val="en-US"/>
        </w:rPr>
      </w:pPr>
      <w:r w:rsidRPr="572B3941">
        <w:rPr>
          <w:lang w:val="en-US"/>
        </w:rPr>
        <w:t xml:space="preserve">There </w:t>
      </w:r>
      <w:r w:rsidR="4FDE92FB" w:rsidRPr="73AAC10A">
        <w:rPr>
          <w:lang w:val="en-US"/>
        </w:rPr>
        <w:t>are</w:t>
      </w:r>
      <w:r w:rsidR="512FAD5A" w:rsidRPr="572B3941">
        <w:rPr>
          <w:lang w:val="en-US"/>
        </w:rPr>
        <w:t xml:space="preserve"> legal dimension</w:t>
      </w:r>
      <w:r w:rsidR="1FC3604E" w:rsidRPr="73AAC10A">
        <w:rPr>
          <w:lang w:val="en-US"/>
        </w:rPr>
        <w:t>s</w:t>
      </w:r>
      <w:r w:rsidR="79D0EAD0" w:rsidRPr="572B3941">
        <w:rPr>
          <w:lang w:val="en-US"/>
        </w:rPr>
        <w:t xml:space="preserve"> to problems in all these </w:t>
      </w:r>
      <w:proofErr w:type="spellStart"/>
      <w:r w:rsidR="00826D50" w:rsidRPr="1D3A95D2">
        <w:rPr>
          <w:lang w:val="en-US"/>
        </w:rPr>
        <w:t>SDoH</w:t>
      </w:r>
      <w:proofErr w:type="spellEnd"/>
      <w:r w:rsidR="79D0EAD0" w:rsidRPr="572B3941">
        <w:rPr>
          <w:lang w:val="en-US"/>
        </w:rPr>
        <w:t xml:space="preserve">. </w:t>
      </w:r>
      <w:r w:rsidR="284800DD" w:rsidRPr="572B3941">
        <w:rPr>
          <w:lang w:val="en-US"/>
        </w:rPr>
        <w:t>In social welfare law</w:t>
      </w:r>
      <w:r w:rsidR="00111636">
        <w:rPr>
          <w:lang w:val="en-US"/>
        </w:rPr>
        <w:t>,</w:t>
      </w:r>
      <w:r w:rsidR="284800DD" w:rsidRPr="572B3941">
        <w:rPr>
          <w:lang w:val="en-US"/>
        </w:rPr>
        <w:t xml:space="preserve"> these </w:t>
      </w:r>
      <w:r w:rsidR="00705910" w:rsidRPr="1D3A95D2">
        <w:rPr>
          <w:lang w:val="en-US"/>
        </w:rPr>
        <w:t xml:space="preserve">legal </w:t>
      </w:r>
      <w:r w:rsidR="284800DD" w:rsidRPr="572B3941">
        <w:rPr>
          <w:lang w:val="en-US"/>
        </w:rPr>
        <w:t>problem</w:t>
      </w:r>
      <w:r w:rsidR="6CA5F6BF" w:rsidRPr="572B3941">
        <w:rPr>
          <w:lang w:val="en-US"/>
        </w:rPr>
        <w:t>s</w:t>
      </w:r>
      <w:r w:rsidR="284800DD" w:rsidRPr="572B3941">
        <w:rPr>
          <w:lang w:val="en-US"/>
        </w:rPr>
        <w:t xml:space="preserve"> relate to housing</w:t>
      </w:r>
      <w:r w:rsidR="3D1DC725" w:rsidRPr="572B3941">
        <w:rPr>
          <w:lang w:val="en-US"/>
        </w:rPr>
        <w:t xml:space="preserve"> disrepair and eviction</w:t>
      </w:r>
      <w:r w:rsidR="284800DD" w:rsidRPr="572B3941">
        <w:rPr>
          <w:lang w:val="en-US"/>
        </w:rPr>
        <w:t>, employment</w:t>
      </w:r>
      <w:r w:rsidR="07DBE762" w:rsidRPr="572B3941">
        <w:rPr>
          <w:lang w:val="en-US"/>
        </w:rPr>
        <w:t xml:space="preserve"> conditions</w:t>
      </w:r>
      <w:r w:rsidR="284800DD" w:rsidRPr="572B3941">
        <w:rPr>
          <w:lang w:val="en-US"/>
        </w:rPr>
        <w:t xml:space="preserve">, welfare benefits needed to reduce poverty, </w:t>
      </w:r>
      <w:r w:rsidR="371A563F" w:rsidRPr="572B3941">
        <w:rPr>
          <w:lang w:val="en-US"/>
        </w:rPr>
        <w:t>domestic abuse, access to education and health services</w:t>
      </w:r>
      <w:r w:rsidR="284800DD" w:rsidRPr="572B3941">
        <w:rPr>
          <w:lang w:val="en-US"/>
        </w:rPr>
        <w:t xml:space="preserve"> and so on.</w:t>
      </w:r>
      <w:r w:rsidR="328B223A" w:rsidRPr="572B3941">
        <w:rPr>
          <w:lang w:val="en-US"/>
        </w:rPr>
        <w:t xml:space="preserve"> </w:t>
      </w:r>
      <w:r w:rsidR="008703BA">
        <w:rPr>
          <w:lang w:val="en-US"/>
        </w:rPr>
        <w:t xml:space="preserve">Issues with accessing welfare benefits for many are a key driver of negative impacts on the </w:t>
      </w:r>
      <w:proofErr w:type="spellStart"/>
      <w:r w:rsidR="008703BA">
        <w:rPr>
          <w:lang w:val="en-US"/>
        </w:rPr>
        <w:t>SDoH</w:t>
      </w:r>
      <w:proofErr w:type="spellEnd"/>
      <w:r w:rsidR="008703BA">
        <w:rPr>
          <w:lang w:val="en-US"/>
        </w:rPr>
        <w:t xml:space="preserve">.  </w:t>
      </w:r>
      <w:r w:rsidR="00705910" w:rsidRPr="1D3A95D2">
        <w:rPr>
          <w:lang w:val="en-US"/>
        </w:rPr>
        <w:t>These legal problems</w:t>
      </w:r>
      <w:r w:rsidR="328B223A" w:rsidRPr="572B3941">
        <w:rPr>
          <w:lang w:val="en-US"/>
        </w:rPr>
        <w:t xml:space="preserve"> </w:t>
      </w:r>
      <w:r w:rsidR="00705910" w:rsidRPr="1D3A95D2">
        <w:rPr>
          <w:lang w:val="en-US"/>
        </w:rPr>
        <w:t>‘</w:t>
      </w:r>
      <w:r w:rsidR="328B223A" w:rsidRPr="572B3941">
        <w:rPr>
          <w:lang w:val="en-US"/>
        </w:rPr>
        <w:t>are experienced in the seamless mesh of people’s day-to-day lives</w:t>
      </w:r>
      <w:r w:rsidR="7F39ACC5" w:rsidRPr="572B3941">
        <w:rPr>
          <w:lang w:val="en-US"/>
        </w:rPr>
        <w:t xml:space="preserve"> [and]</w:t>
      </w:r>
      <w:r w:rsidR="328B223A" w:rsidRPr="572B3941">
        <w:rPr>
          <w:lang w:val="en-US"/>
        </w:rPr>
        <w:t xml:space="preserve"> a number of health and social problems can develop </w:t>
      </w:r>
      <w:proofErr w:type="gramStart"/>
      <w:r w:rsidR="328B223A" w:rsidRPr="572B3941">
        <w:rPr>
          <w:lang w:val="en-US"/>
        </w:rPr>
        <w:t>as a consequence</w:t>
      </w:r>
      <w:proofErr w:type="gramEnd"/>
      <w:r w:rsidR="00111636">
        <w:rPr>
          <w:lang w:val="en-US"/>
        </w:rPr>
        <w:t>.</w:t>
      </w:r>
      <w:r w:rsidR="1F25A952" w:rsidRPr="572B3941">
        <w:rPr>
          <w:lang w:val="en-US"/>
        </w:rPr>
        <w:t>’</w:t>
      </w:r>
      <w:r w:rsidR="00F7403E" w:rsidRPr="00BDD19F">
        <w:rPr>
          <w:rStyle w:val="FootnoteReference"/>
          <w:lang w:val="en-US"/>
        </w:rPr>
        <w:footnoteReference w:id="16"/>
      </w:r>
      <w:r w:rsidR="36FBC9BC" w:rsidRPr="572B3941">
        <w:rPr>
          <w:lang w:val="en-US"/>
        </w:rPr>
        <w:t xml:space="preserve"> </w:t>
      </w:r>
      <w:r w:rsidR="7AADCEC8" w:rsidRPr="572B3941">
        <w:rPr>
          <w:lang w:val="en-US"/>
        </w:rPr>
        <w:t xml:space="preserve">Furthermore, </w:t>
      </w:r>
      <w:r w:rsidR="00705910" w:rsidRPr="1D3A95D2">
        <w:rPr>
          <w:lang w:val="en-US"/>
        </w:rPr>
        <w:t>legal</w:t>
      </w:r>
      <w:r w:rsidR="7AADCEC8" w:rsidRPr="572B3941">
        <w:rPr>
          <w:lang w:val="en-US"/>
        </w:rPr>
        <w:t xml:space="preserve"> problems </w:t>
      </w:r>
      <w:r w:rsidR="00705910" w:rsidRPr="1D3A95D2">
        <w:rPr>
          <w:lang w:val="en-US"/>
        </w:rPr>
        <w:t>‘</w:t>
      </w:r>
      <w:r w:rsidR="7AADCEC8" w:rsidRPr="572B3941">
        <w:rPr>
          <w:lang w:val="en-US"/>
        </w:rPr>
        <w:t>appear to be integral aspects of patterns of disadvantage,</w:t>
      </w:r>
      <w:r w:rsidR="64E6F77B" w:rsidRPr="572B3941">
        <w:rPr>
          <w:lang w:val="en-US"/>
        </w:rPr>
        <w:t xml:space="preserve"> </w:t>
      </w:r>
      <w:r w:rsidR="7AADCEC8" w:rsidRPr="572B3941">
        <w:rPr>
          <w:lang w:val="en-US"/>
        </w:rPr>
        <w:t>alternatively described as social exclusion’.</w:t>
      </w:r>
      <w:r w:rsidR="00F7403E" w:rsidRPr="00BDD19F">
        <w:rPr>
          <w:rStyle w:val="FootnoteReference"/>
          <w:lang w:val="en-US"/>
        </w:rPr>
        <w:footnoteReference w:id="17"/>
      </w:r>
      <w:r w:rsidR="508C632D" w:rsidRPr="572B3941">
        <w:rPr>
          <w:lang w:val="en-US"/>
        </w:rPr>
        <w:t xml:space="preserve"> </w:t>
      </w:r>
      <w:r w:rsidR="5710769F" w:rsidRPr="572B3941">
        <w:rPr>
          <w:lang w:val="en-US"/>
        </w:rPr>
        <w:t>N</w:t>
      </w:r>
      <w:r w:rsidR="56C125C7" w:rsidRPr="572B3941">
        <w:rPr>
          <w:lang w:val="en-US"/>
        </w:rPr>
        <w:t xml:space="preserve">ot only do large numbers of people have </w:t>
      </w:r>
      <w:r w:rsidR="00705910" w:rsidRPr="1D3A95D2">
        <w:rPr>
          <w:lang w:val="en-US"/>
        </w:rPr>
        <w:t xml:space="preserve">legal </w:t>
      </w:r>
      <w:r w:rsidR="56C125C7" w:rsidRPr="572B3941">
        <w:rPr>
          <w:lang w:val="en-US"/>
        </w:rPr>
        <w:t xml:space="preserve">problems as part of their </w:t>
      </w:r>
      <w:r w:rsidR="3F36946B" w:rsidRPr="572B3941">
        <w:rPr>
          <w:lang w:val="en-US"/>
        </w:rPr>
        <w:t xml:space="preserve">everyday </w:t>
      </w:r>
      <w:r w:rsidR="56C125C7" w:rsidRPr="572B3941">
        <w:rPr>
          <w:lang w:val="en-US"/>
        </w:rPr>
        <w:t>lives</w:t>
      </w:r>
      <w:r w:rsidR="2C1A0755" w:rsidRPr="572B3941">
        <w:rPr>
          <w:lang w:val="en-US"/>
        </w:rPr>
        <w:t xml:space="preserve"> that </w:t>
      </w:r>
      <w:r w:rsidR="491916C4" w:rsidRPr="572B3941">
        <w:rPr>
          <w:lang w:val="en-US"/>
        </w:rPr>
        <w:t xml:space="preserve">are closely associated with the </w:t>
      </w:r>
      <w:r w:rsidR="33D695F2" w:rsidRPr="572B3941">
        <w:rPr>
          <w:lang w:val="en-US"/>
        </w:rPr>
        <w:t xml:space="preserve">drivers of health inequality, </w:t>
      </w:r>
      <w:r w:rsidR="00111636">
        <w:rPr>
          <w:lang w:val="en-US"/>
        </w:rPr>
        <w:t>these problems</w:t>
      </w:r>
      <w:r w:rsidR="33D695F2" w:rsidRPr="572B3941">
        <w:rPr>
          <w:lang w:val="en-US"/>
        </w:rPr>
        <w:t xml:space="preserve"> often begin and end with health issues. Figure 1 gives </w:t>
      </w:r>
      <w:r w:rsidR="00826D50" w:rsidRPr="1D3A95D2">
        <w:rPr>
          <w:lang w:val="en-US"/>
        </w:rPr>
        <w:t xml:space="preserve">an </w:t>
      </w:r>
      <w:r w:rsidR="4AD538A0" w:rsidRPr="572B3941">
        <w:rPr>
          <w:lang w:val="en-US"/>
        </w:rPr>
        <w:t xml:space="preserve">example of </w:t>
      </w:r>
      <w:r w:rsidR="3680D7E6" w:rsidRPr="572B3941">
        <w:rPr>
          <w:lang w:val="en-US"/>
        </w:rPr>
        <w:t>one possible pathway</w:t>
      </w:r>
      <w:r w:rsidR="4AD538A0" w:rsidRPr="572B3941">
        <w:rPr>
          <w:lang w:val="en-US"/>
        </w:rPr>
        <w:t xml:space="preserve"> through </w:t>
      </w:r>
      <w:r w:rsidR="00705910" w:rsidRPr="1D3A95D2">
        <w:rPr>
          <w:lang w:val="en-US"/>
        </w:rPr>
        <w:t xml:space="preserve">legal </w:t>
      </w:r>
      <w:r w:rsidR="4E0AA442" w:rsidRPr="572B3941">
        <w:rPr>
          <w:lang w:val="en-US"/>
        </w:rPr>
        <w:t xml:space="preserve">problems causing </w:t>
      </w:r>
      <w:r w:rsidR="3301E8B9" w:rsidRPr="572B3941">
        <w:rPr>
          <w:lang w:val="en-US"/>
        </w:rPr>
        <w:t xml:space="preserve">cyclical </w:t>
      </w:r>
      <w:r w:rsidR="4E0AA442" w:rsidRPr="572B3941">
        <w:rPr>
          <w:lang w:val="en-US"/>
        </w:rPr>
        <w:t>health problem</w:t>
      </w:r>
      <w:r w:rsidR="00826D50" w:rsidRPr="1D3A95D2">
        <w:rPr>
          <w:lang w:val="en-US"/>
        </w:rPr>
        <w:t>s</w:t>
      </w:r>
      <w:r w:rsidR="2A0C414C" w:rsidRPr="572B3941">
        <w:rPr>
          <w:lang w:val="en-US"/>
        </w:rPr>
        <w:t>.</w:t>
      </w:r>
      <w:r w:rsidR="00826D50" w:rsidRPr="1D3A95D2">
        <w:rPr>
          <w:lang w:val="en-US"/>
        </w:rPr>
        <w:t xml:space="preserve"> </w:t>
      </w:r>
      <w:r w:rsidR="7BF80A81" w:rsidRPr="572B3941">
        <w:rPr>
          <w:lang w:val="en-US"/>
        </w:rPr>
        <w:t>The figure</w:t>
      </w:r>
      <w:r w:rsidR="4398AD0D" w:rsidRPr="73AAC10A">
        <w:rPr>
          <w:lang w:val="en-US"/>
        </w:rPr>
        <w:t xml:space="preserve"> demonstrates how access to legal advice can </w:t>
      </w:r>
      <w:r w:rsidR="00111636">
        <w:rPr>
          <w:lang w:val="en-US"/>
        </w:rPr>
        <w:t>lessen</w:t>
      </w:r>
      <w:r w:rsidR="4398AD0D" w:rsidRPr="73AAC10A">
        <w:rPr>
          <w:lang w:val="en-US"/>
        </w:rPr>
        <w:t xml:space="preserve"> the impact on health and thus health inequalities</w:t>
      </w:r>
      <w:r w:rsidR="72BAD21A" w:rsidRPr="73AAC10A">
        <w:rPr>
          <w:lang w:val="en-US"/>
        </w:rPr>
        <w:t xml:space="preserve"> </w:t>
      </w:r>
      <w:r w:rsidR="00826D50" w:rsidRPr="1D3A95D2">
        <w:rPr>
          <w:lang w:val="en-US"/>
        </w:rPr>
        <w:t>by disrupting</w:t>
      </w:r>
      <w:r w:rsidR="4398AD0D" w:rsidRPr="73AAC10A">
        <w:rPr>
          <w:lang w:val="en-US"/>
        </w:rPr>
        <w:t xml:space="preserve"> a negative cycle where problems in one </w:t>
      </w:r>
      <w:proofErr w:type="spellStart"/>
      <w:r w:rsidR="4398AD0D" w:rsidRPr="73AAC10A">
        <w:rPr>
          <w:lang w:val="en-US"/>
        </w:rPr>
        <w:t>SDoH</w:t>
      </w:r>
      <w:proofErr w:type="spellEnd"/>
      <w:r w:rsidR="4398AD0D" w:rsidRPr="73AAC10A">
        <w:rPr>
          <w:lang w:val="en-US"/>
        </w:rPr>
        <w:t xml:space="preserve"> lead to further problems in others, creating a cumulative clustered effect to these legal problems.</w:t>
      </w:r>
      <w:r w:rsidR="50F94083" w:rsidRPr="73AAC10A">
        <w:rPr>
          <w:lang w:val="en-US"/>
        </w:rPr>
        <w:t xml:space="preserve"> </w:t>
      </w:r>
      <w:r w:rsidR="000B52FD">
        <w:rPr>
          <w:lang w:val="en-US"/>
        </w:rPr>
        <w:t xml:space="preserve">Problems related to welfare benefits are often an important part of this negative cycle. </w:t>
      </w:r>
      <w:r w:rsidR="00703884">
        <w:rPr>
          <w:lang w:val="en-US"/>
        </w:rPr>
        <w:t>As an example of this mechanism</w:t>
      </w:r>
      <w:r w:rsidR="0078531C">
        <w:rPr>
          <w:lang w:val="en-US"/>
        </w:rPr>
        <w:t xml:space="preserve">, in Figure 1 </w:t>
      </w:r>
      <w:r w:rsidR="00703884">
        <w:rPr>
          <w:rFonts w:ascii="Calibri" w:eastAsia="Times New Roman" w:hAnsi="Calibri" w:cs="Calibri"/>
          <w:lang w:eastAsia="en-GB"/>
        </w:rPr>
        <w:t>timely employment advice</w:t>
      </w:r>
      <w:r w:rsidR="00703884" w:rsidRPr="00703884">
        <w:rPr>
          <w:rFonts w:ascii="Calibri" w:eastAsia="Times New Roman" w:hAnsi="Calibri" w:cs="Calibri"/>
          <w:lang w:eastAsia="en-GB"/>
        </w:rPr>
        <w:t xml:space="preserve"> </w:t>
      </w:r>
      <w:r w:rsidR="00703884">
        <w:rPr>
          <w:rFonts w:ascii="Calibri" w:eastAsia="Times New Roman" w:hAnsi="Calibri" w:cs="Calibri"/>
          <w:lang w:eastAsia="en-GB"/>
        </w:rPr>
        <w:t>might prevent a situation</w:t>
      </w:r>
      <w:r w:rsidR="00703884" w:rsidRPr="00703884">
        <w:rPr>
          <w:rFonts w:ascii="Calibri" w:eastAsia="Times New Roman" w:hAnsi="Calibri" w:cs="Calibri"/>
          <w:lang w:eastAsia="en-GB"/>
        </w:rPr>
        <w:t xml:space="preserve"> </w:t>
      </w:r>
      <w:r w:rsidR="00703884">
        <w:rPr>
          <w:rFonts w:ascii="Calibri" w:eastAsia="Times New Roman" w:hAnsi="Calibri" w:cs="Calibri"/>
          <w:lang w:eastAsia="en-GB"/>
        </w:rPr>
        <w:t xml:space="preserve">where an employee </w:t>
      </w:r>
      <w:proofErr w:type="gramStart"/>
      <w:r w:rsidR="00703884">
        <w:rPr>
          <w:rFonts w:ascii="Calibri" w:eastAsia="Times New Roman" w:hAnsi="Calibri" w:cs="Calibri"/>
          <w:lang w:eastAsia="en-GB"/>
        </w:rPr>
        <w:t xml:space="preserve">is </w:t>
      </w:r>
      <w:r w:rsidR="00703884" w:rsidRPr="00703884">
        <w:rPr>
          <w:rFonts w:ascii="Calibri" w:eastAsia="Times New Roman" w:hAnsi="Calibri" w:cs="Calibri"/>
          <w:lang w:eastAsia="en-GB"/>
        </w:rPr>
        <w:t>forced</w:t>
      </w:r>
      <w:proofErr w:type="gramEnd"/>
      <w:r w:rsidR="00703884" w:rsidRPr="00703884">
        <w:rPr>
          <w:rFonts w:ascii="Calibri" w:eastAsia="Times New Roman" w:hAnsi="Calibri" w:cs="Calibri"/>
          <w:lang w:eastAsia="en-GB"/>
        </w:rPr>
        <w:t xml:space="preserve"> to accept unsafe </w:t>
      </w:r>
      <w:r w:rsidR="00703884">
        <w:rPr>
          <w:rFonts w:ascii="Calibri" w:eastAsia="Times New Roman" w:hAnsi="Calibri" w:cs="Calibri"/>
          <w:lang w:eastAsia="en-GB"/>
        </w:rPr>
        <w:t xml:space="preserve">or unfair </w:t>
      </w:r>
      <w:r w:rsidR="00703884" w:rsidRPr="00703884">
        <w:rPr>
          <w:rFonts w:ascii="Calibri" w:eastAsia="Times New Roman" w:hAnsi="Calibri" w:cs="Calibri"/>
          <w:lang w:eastAsia="en-GB"/>
        </w:rPr>
        <w:t xml:space="preserve">working conditions, or </w:t>
      </w:r>
      <w:r w:rsidR="00703884">
        <w:rPr>
          <w:rFonts w:ascii="Calibri" w:eastAsia="Times New Roman" w:hAnsi="Calibri" w:cs="Calibri"/>
          <w:lang w:eastAsia="en-GB"/>
        </w:rPr>
        <w:t>is wrongfully terminated, disrupting the rest of the cycle.</w:t>
      </w:r>
      <w:r w:rsidR="000B52FD">
        <w:rPr>
          <w:rFonts w:ascii="Calibri" w:eastAsia="Times New Roman" w:hAnsi="Calibri" w:cs="Calibri"/>
          <w:lang w:eastAsia="en-GB"/>
        </w:rPr>
        <w:t xml:space="preserve"> </w:t>
      </w:r>
      <w:r w:rsidR="50F94083" w:rsidRPr="73AAC10A">
        <w:rPr>
          <w:lang w:val="en-US"/>
        </w:rPr>
        <w:t xml:space="preserve">These problems can be part of the everyday grind of a life that fluctuates towards and away from destitution. </w:t>
      </w:r>
    </w:p>
    <w:p w14:paraId="5E392C01" w14:textId="38C3AD91" w:rsidR="007E1ABC" w:rsidRDefault="007E1ABC" w:rsidP="73AAC10A">
      <w:pPr>
        <w:rPr>
          <w:lang w:val="en-US"/>
        </w:rPr>
      </w:pPr>
    </w:p>
    <w:p w14:paraId="427FCBCA" w14:textId="46861B3B" w:rsidR="00BDD19F" w:rsidRDefault="7A8349DC" w:rsidP="009839E7">
      <w:pPr>
        <w:keepNext/>
        <w:rPr>
          <w:rFonts w:ascii="Calibri" w:eastAsia="Calibri" w:hAnsi="Calibri" w:cs="Calibri"/>
        </w:rPr>
      </w:pPr>
      <w:r>
        <w:t>Figu</w:t>
      </w:r>
      <w:r w:rsidR="7D33EF7D">
        <w:t>re 1. One possible pathwa</w:t>
      </w:r>
      <w:r w:rsidR="3122A5C6">
        <w:t xml:space="preserve">y to poor health outcomes </w:t>
      </w:r>
      <w:proofErr w:type="gramStart"/>
      <w:r w:rsidR="3122A5C6">
        <w:t>as a result</w:t>
      </w:r>
      <w:proofErr w:type="gramEnd"/>
      <w:r w:rsidR="3122A5C6">
        <w:t xml:space="preserve"> of</w:t>
      </w:r>
      <w:r w:rsidR="0AD6DEA1" w:rsidRPr="73AAC10A">
        <w:rPr>
          <w:rFonts w:ascii="Calibri" w:eastAsia="Calibri" w:hAnsi="Calibri" w:cs="Calibri"/>
        </w:rPr>
        <w:t xml:space="preserve"> problems wi</w:t>
      </w:r>
      <w:r w:rsidR="36BAEB3A" w:rsidRPr="73AAC10A">
        <w:rPr>
          <w:rFonts w:ascii="Calibri" w:eastAsia="Calibri" w:hAnsi="Calibri" w:cs="Calibri"/>
        </w:rPr>
        <w:t>t</w:t>
      </w:r>
      <w:r w:rsidR="0AD6DEA1" w:rsidRPr="73AAC10A">
        <w:rPr>
          <w:rFonts w:ascii="Calibri" w:eastAsia="Calibri" w:hAnsi="Calibri" w:cs="Calibri"/>
        </w:rPr>
        <w:t>h a legal dimension.</w:t>
      </w:r>
    </w:p>
    <w:p w14:paraId="2DA9774D" w14:textId="59A5444F" w:rsidR="7A8349DC" w:rsidRDefault="7A8349DC" w:rsidP="73AAC10A">
      <w:r>
        <w:rPr>
          <w:noProof/>
          <w:lang w:eastAsia="en-GB"/>
        </w:rPr>
        <w:drawing>
          <wp:inline distT="0" distB="0" distL="0" distR="0" wp14:anchorId="19FF37D4" wp14:editId="1F7EA58A">
            <wp:extent cx="5692588" cy="2431210"/>
            <wp:effectExtent l="0" t="0" r="0" b="0"/>
            <wp:docPr id="1677987323" name="Picture 167798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987323"/>
                    <pic:cNvPicPr/>
                  </pic:nvPicPr>
                  <pic:blipFill>
                    <a:blip r:embed="rId11">
                      <a:extLst>
                        <a:ext uri="{28A0092B-C50C-407E-A947-70E740481C1C}">
                          <a14:useLocalDpi xmlns:a14="http://schemas.microsoft.com/office/drawing/2010/main" val="0"/>
                        </a:ext>
                      </a:extLst>
                    </a:blip>
                    <a:stretch>
                      <a:fillRect/>
                    </a:stretch>
                  </pic:blipFill>
                  <pic:spPr>
                    <a:xfrm>
                      <a:off x="0" y="0"/>
                      <a:ext cx="5692588" cy="2431210"/>
                    </a:xfrm>
                    <a:prstGeom prst="rect">
                      <a:avLst/>
                    </a:prstGeom>
                  </pic:spPr>
                </pic:pic>
              </a:graphicData>
            </a:graphic>
          </wp:inline>
        </w:drawing>
      </w:r>
    </w:p>
    <w:p w14:paraId="556EC091" w14:textId="35B23AFF" w:rsidR="00377603" w:rsidRDefault="3D32C92C" w:rsidP="73AAC10A">
      <w:pPr>
        <w:rPr>
          <w:lang w:val="en-US"/>
        </w:rPr>
      </w:pPr>
      <w:r w:rsidRPr="73AAC10A">
        <w:rPr>
          <w:lang w:val="en-US"/>
        </w:rPr>
        <w:t xml:space="preserve">We are </w:t>
      </w:r>
      <w:r w:rsidR="009839E7">
        <w:rPr>
          <w:lang w:val="en-US"/>
        </w:rPr>
        <w:t>now seeing inequalities in Covid</w:t>
      </w:r>
      <w:r w:rsidRPr="73AAC10A">
        <w:rPr>
          <w:lang w:val="en-US"/>
        </w:rPr>
        <w:t>-19</w:t>
      </w:r>
      <w:r w:rsidR="3DD72BB5" w:rsidRPr="73AAC10A">
        <w:rPr>
          <w:lang w:val="en-US"/>
        </w:rPr>
        <w:t xml:space="preserve"> health impacts</w:t>
      </w:r>
      <w:r w:rsidRPr="73AAC10A">
        <w:rPr>
          <w:lang w:val="en-US"/>
        </w:rPr>
        <w:t>:</w:t>
      </w:r>
      <w:r>
        <w:t xml:space="preserve"> infection transmission, severity, hospitalisation and death </w:t>
      </w:r>
      <w:proofErr w:type="gramStart"/>
      <w:r>
        <w:t>are experienced</w:t>
      </w:r>
      <w:proofErr w:type="gramEnd"/>
      <w:r>
        <w:t xml:space="preserve"> </w:t>
      </w:r>
      <w:r w:rsidR="009839E7">
        <w:t xml:space="preserve">more severely </w:t>
      </w:r>
      <w:r>
        <w:t>in more deprived areas</w:t>
      </w:r>
      <w:r w:rsidR="68A2E8EC">
        <w:t>.</w:t>
      </w:r>
      <w:r w:rsidR="00377603" w:rsidRPr="73AAC10A">
        <w:rPr>
          <w:vertAlign w:val="superscript"/>
        </w:rPr>
        <w:footnoteReference w:id="18"/>
      </w:r>
      <w:r w:rsidR="009839E7">
        <w:t xml:space="preserve"> </w:t>
      </w:r>
      <w:r w:rsidR="20359C8C" w:rsidRPr="73AAC10A">
        <w:rPr>
          <w:lang w:val="en-US"/>
        </w:rPr>
        <w:t xml:space="preserve">Figure 2 outlines </w:t>
      </w:r>
      <w:r w:rsidR="20359C8C" w:rsidRPr="73AAC10A">
        <w:rPr>
          <w:lang w:val="en-US"/>
        </w:rPr>
        <w:lastRenderedPageBreak/>
        <w:t xml:space="preserve">the key </w:t>
      </w:r>
      <w:proofErr w:type="spellStart"/>
      <w:r w:rsidR="20359C8C" w:rsidRPr="73AAC10A">
        <w:rPr>
          <w:lang w:val="en-US"/>
        </w:rPr>
        <w:t>SDoH</w:t>
      </w:r>
      <w:proofErr w:type="spellEnd"/>
      <w:r w:rsidR="009839E7">
        <w:rPr>
          <w:lang w:val="en-US"/>
        </w:rPr>
        <w:t xml:space="preserve"> from</w:t>
      </w:r>
      <w:r w:rsidR="20359C8C" w:rsidRPr="73AAC10A">
        <w:rPr>
          <w:lang w:val="en-US"/>
        </w:rPr>
        <w:t xml:space="preserve"> Whitehead and Dahlgren in 1991, as adapted by </w:t>
      </w:r>
      <w:proofErr w:type="spellStart"/>
      <w:r w:rsidR="20359C8C" w:rsidRPr="73AAC10A">
        <w:rPr>
          <w:lang w:val="en-US"/>
        </w:rPr>
        <w:t>Bambra</w:t>
      </w:r>
      <w:proofErr w:type="spellEnd"/>
      <w:r w:rsidR="20359C8C" w:rsidRPr="73AAC10A">
        <w:rPr>
          <w:lang w:val="en-US"/>
        </w:rPr>
        <w:t xml:space="preserve"> et al</w:t>
      </w:r>
      <w:r w:rsidR="00AA2C58">
        <w:rPr>
          <w:lang w:val="en-US"/>
        </w:rPr>
        <w:t>,</w:t>
      </w:r>
      <w:r w:rsidR="00A8510D">
        <w:rPr>
          <w:rStyle w:val="FootnoteReference"/>
          <w:lang w:val="en-US"/>
        </w:rPr>
        <w:footnoteReference w:id="19"/>
      </w:r>
      <w:r w:rsidR="20359C8C" w:rsidRPr="73AAC10A">
        <w:rPr>
          <w:lang w:val="en-US"/>
        </w:rPr>
        <w:t xml:space="preserve"> to explain how the Covid-19 pandemic has amplified existing health inequalities. Each layer represents different types of determinants, from macro structural factors such as the political, socioeconomic, cultural and environmental conditions (outside layer) to the mid structural social determinants, which includes living and working conditions, followed by social and community networks, individual lifestyle factors (i.e. actions taken by a person such as food, drinking and smoking habits</w:t>
      </w:r>
      <w:r w:rsidR="0078531C">
        <w:rPr>
          <w:lang w:val="en-US"/>
        </w:rPr>
        <w:t>)</w:t>
      </w:r>
      <w:r w:rsidR="20359C8C" w:rsidRPr="73AAC10A">
        <w:rPr>
          <w:lang w:val="en-US"/>
        </w:rPr>
        <w:t xml:space="preserve">. At the </w:t>
      </w:r>
      <w:proofErr w:type="spellStart"/>
      <w:r w:rsidR="20359C8C" w:rsidRPr="73AAC10A">
        <w:rPr>
          <w:lang w:val="en-US"/>
        </w:rPr>
        <w:t>centre</w:t>
      </w:r>
      <w:proofErr w:type="spellEnd"/>
      <w:r w:rsidR="20359C8C" w:rsidRPr="73AAC10A">
        <w:rPr>
          <w:lang w:val="en-US"/>
        </w:rPr>
        <w:t xml:space="preserve"> </w:t>
      </w:r>
      <w:proofErr w:type="gramStart"/>
      <w:r w:rsidR="20359C8C" w:rsidRPr="73AAC10A">
        <w:rPr>
          <w:lang w:val="en-US"/>
        </w:rPr>
        <w:t>are fixed</w:t>
      </w:r>
      <w:proofErr w:type="gramEnd"/>
      <w:r w:rsidR="20359C8C" w:rsidRPr="73AAC10A">
        <w:rPr>
          <w:lang w:val="en-US"/>
        </w:rPr>
        <w:t xml:space="preserve"> factors like age, and sex. Bambra and</w:t>
      </w:r>
      <w:r w:rsidR="0078531C">
        <w:rPr>
          <w:lang w:val="en-US"/>
        </w:rPr>
        <w:t xml:space="preserve"> colleagues highlight that Covid</w:t>
      </w:r>
      <w:r w:rsidR="20359C8C" w:rsidRPr="73AAC10A">
        <w:rPr>
          <w:lang w:val="en-US"/>
        </w:rPr>
        <w:t>-19 is</w:t>
      </w:r>
      <w:r w:rsidR="0078531C">
        <w:rPr>
          <w:lang w:val="en-US"/>
        </w:rPr>
        <w:t xml:space="preserve"> a co-</w:t>
      </w:r>
      <w:r w:rsidR="2454C5FD" w:rsidRPr="73AAC10A">
        <w:rPr>
          <w:lang w:val="en-US"/>
        </w:rPr>
        <w:t>occurring</w:t>
      </w:r>
      <w:r w:rsidR="1CFB34CD" w:rsidRPr="73AAC10A">
        <w:rPr>
          <w:lang w:val="en-US"/>
        </w:rPr>
        <w:t xml:space="preserve">, ’synergistic </w:t>
      </w:r>
      <w:proofErr w:type="gramStart"/>
      <w:r w:rsidR="1CFB34CD" w:rsidRPr="73AAC10A">
        <w:rPr>
          <w:lang w:val="en-US"/>
        </w:rPr>
        <w:t>pandemic‘ that</w:t>
      </w:r>
      <w:proofErr w:type="gramEnd"/>
      <w:r w:rsidR="1CFB34CD" w:rsidRPr="73AAC10A">
        <w:rPr>
          <w:lang w:val="en-US"/>
        </w:rPr>
        <w:t xml:space="preserve"> not </w:t>
      </w:r>
      <w:r w:rsidR="5993222B" w:rsidRPr="73AAC10A">
        <w:rPr>
          <w:lang w:val="en-US"/>
        </w:rPr>
        <w:t>only</w:t>
      </w:r>
      <w:r w:rsidR="1CFB34CD" w:rsidRPr="73AAC10A">
        <w:rPr>
          <w:lang w:val="en-US"/>
        </w:rPr>
        <w:t xml:space="preserve"> interacts with but exacerbates pre-existin</w:t>
      </w:r>
      <w:r w:rsidR="74320F4A" w:rsidRPr="73AAC10A">
        <w:rPr>
          <w:lang w:val="en-US"/>
        </w:rPr>
        <w:t xml:space="preserve">g health and </w:t>
      </w:r>
      <w:r w:rsidR="2CF4903A" w:rsidRPr="73AAC10A">
        <w:rPr>
          <w:lang w:val="en-US"/>
        </w:rPr>
        <w:t>social</w:t>
      </w:r>
      <w:r w:rsidR="74320F4A" w:rsidRPr="73AAC10A">
        <w:rPr>
          <w:lang w:val="en-US"/>
        </w:rPr>
        <w:t xml:space="preserve"> conditions. We have further adapted their model to illustrate th</w:t>
      </w:r>
      <w:r w:rsidR="0C8E74A4" w:rsidRPr="73AAC10A">
        <w:rPr>
          <w:lang w:val="en-US"/>
        </w:rPr>
        <w:t>at almost all</w:t>
      </w:r>
      <w:r w:rsidR="74320F4A" w:rsidRPr="73AAC10A">
        <w:rPr>
          <w:lang w:val="en-US"/>
        </w:rPr>
        <w:t xml:space="preserve"> </w:t>
      </w:r>
      <w:proofErr w:type="spellStart"/>
      <w:r w:rsidR="0078531C">
        <w:rPr>
          <w:lang w:val="en-US"/>
        </w:rPr>
        <w:t>SDoH</w:t>
      </w:r>
      <w:proofErr w:type="spellEnd"/>
      <w:r w:rsidR="74320F4A" w:rsidRPr="73AAC10A">
        <w:rPr>
          <w:lang w:val="en-US"/>
        </w:rPr>
        <w:t xml:space="preserve"> have a clear legal dimension</w:t>
      </w:r>
      <w:r w:rsidR="41FD8DCB" w:rsidRPr="73AAC10A">
        <w:rPr>
          <w:lang w:val="en-US"/>
        </w:rPr>
        <w:t>.</w:t>
      </w:r>
    </w:p>
    <w:p w14:paraId="5CB7C918" w14:textId="44D461B9" w:rsidR="00377603" w:rsidRDefault="00377603" w:rsidP="73AAC10A">
      <w:pPr>
        <w:rPr>
          <w:lang w:val="en-US"/>
        </w:rPr>
      </w:pPr>
    </w:p>
    <w:p w14:paraId="67923F0B" w14:textId="2C658C23" w:rsidR="00377603" w:rsidRPr="003C4312" w:rsidRDefault="41FD8DCB" w:rsidP="0078531C">
      <w:pPr>
        <w:keepNext/>
        <w:rPr>
          <w:rFonts w:ascii="Calibri" w:eastAsia="Calibri" w:hAnsi="Calibri" w:cs="Calibri"/>
          <w:color w:val="333333"/>
          <w:lang w:val="en-US"/>
        </w:rPr>
      </w:pPr>
      <w:r w:rsidRPr="73AAC10A">
        <w:rPr>
          <w:lang w:val="en-US"/>
        </w:rPr>
        <w:t xml:space="preserve">Figure 2. </w:t>
      </w:r>
      <w:r w:rsidRPr="003C4312">
        <w:rPr>
          <w:rFonts w:ascii="Calibri" w:eastAsia="Calibri" w:hAnsi="Calibri" w:cs="Calibri"/>
          <w:color w:val="333333"/>
          <w:lang w:val="en-US"/>
        </w:rPr>
        <w:t xml:space="preserve">The </w:t>
      </w:r>
      <w:r w:rsidR="67DCA44D" w:rsidRPr="003C4312">
        <w:rPr>
          <w:rFonts w:ascii="Calibri" w:eastAsia="Calibri" w:hAnsi="Calibri" w:cs="Calibri"/>
          <w:color w:val="333333"/>
          <w:lang w:val="en-US"/>
        </w:rPr>
        <w:t xml:space="preserve">synergistic pandemic </w:t>
      </w:r>
      <w:r w:rsidR="0078531C">
        <w:rPr>
          <w:rFonts w:ascii="Calibri" w:eastAsia="Calibri" w:hAnsi="Calibri" w:cs="Calibri"/>
          <w:color w:val="333333"/>
          <w:lang w:val="en-US"/>
        </w:rPr>
        <w:t>of Covid</w:t>
      </w:r>
      <w:r w:rsidRPr="003C4312">
        <w:rPr>
          <w:rFonts w:ascii="Calibri" w:eastAsia="Calibri" w:hAnsi="Calibri" w:cs="Calibri"/>
          <w:color w:val="333333"/>
          <w:lang w:val="en-US"/>
        </w:rPr>
        <w:t xml:space="preserve">-19 and the social determinants of health </w:t>
      </w:r>
      <w:r w:rsidR="61760DE9" w:rsidRPr="003C4312">
        <w:rPr>
          <w:rFonts w:ascii="Calibri" w:eastAsia="Calibri" w:hAnsi="Calibri" w:cs="Calibri"/>
          <w:color w:val="333333"/>
          <w:lang w:val="en-US"/>
        </w:rPr>
        <w:t xml:space="preserve">with legal dimensions </w:t>
      </w:r>
      <w:r w:rsidRPr="003C4312">
        <w:rPr>
          <w:rFonts w:ascii="Calibri" w:eastAsia="Calibri" w:hAnsi="Calibri" w:cs="Calibri"/>
          <w:color w:val="333333"/>
          <w:lang w:val="en-US"/>
        </w:rPr>
        <w:t xml:space="preserve">(adapted </w:t>
      </w:r>
      <w:r w:rsidR="75DAA0AA" w:rsidRPr="003C4312">
        <w:rPr>
          <w:rFonts w:ascii="Calibri" w:eastAsia="Calibri" w:hAnsi="Calibri" w:cs="Calibri"/>
          <w:color w:val="333333"/>
          <w:lang w:val="en-US"/>
        </w:rPr>
        <w:t>from Bambra</w:t>
      </w:r>
      <w:r w:rsidR="0078531C">
        <w:rPr>
          <w:rFonts w:ascii="Calibri" w:eastAsia="Calibri" w:hAnsi="Calibri" w:cs="Calibri"/>
          <w:color w:val="333333"/>
          <w:lang w:val="en-US"/>
        </w:rPr>
        <w:t>, et al.</w:t>
      </w:r>
      <w:r w:rsidR="75DAA0AA" w:rsidRPr="003C4312">
        <w:rPr>
          <w:rFonts w:ascii="Calibri" w:eastAsia="Calibri" w:hAnsi="Calibri" w:cs="Calibri"/>
          <w:color w:val="333333"/>
          <w:lang w:val="en-US"/>
        </w:rPr>
        <w:t xml:space="preserve"> </w:t>
      </w:r>
      <w:proofErr w:type="gramStart"/>
      <w:r w:rsidR="75DAA0AA" w:rsidRPr="003C4312">
        <w:rPr>
          <w:rFonts w:ascii="Calibri" w:eastAsia="Calibri" w:hAnsi="Calibri" w:cs="Calibri"/>
          <w:color w:val="333333"/>
          <w:lang w:val="en-US"/>
        </w:rPr>
        <w:t xml:space="preserve">2020 </w:t>
      </w:r>
      <w:r w:rsidRPr="003C4312">
        <w:rPr>
          <w:rFonts w:ascii="Calibri" w:eastAsia="Calibri" w:hAnsi="Calibri" w:cs="Calibri"/>
          <w:color w:val="333333"/>
          <w:lang w:val="en-US"/>
        </w:rPr>
        <w:t>and Dahlgren</w:t>
      </w:r>
      <w:proofErr w:type="gramEnd"/>
      <w:r w:rsidRPr="003C4312">
        <w:rPr>
          <w:rFonts w:ascii="Calibri" w:eastAsia="Calibri" w:hAnsi="Calibri" w:cs="Calibri"/>
          <w:color w:val="333333"/>
          <w:lang w:val="en-US"/>
        </w:rPr>
        <w:t xml:space="preserve"> and Whitehead</w:t>
      </w:r>
      <w:r w:rsidR="6C6424DE" w:rsidRPr="003C4312">
        <w:rPr>
          <w:rFonts w:ascii="Calibri" w:eastAsia="Calibri" w:hAnsi="Calibri" w:cs="Calibri"/>
          <w:color w:val="333333"/>
          <w:lang w:val="en-US"/>
        </w:rPr>
        <w:t xml:space="preserve"> 1991)</w:t>
      </w:r>
      <w:r w:rsidR="00A74E94">
        <w:rPr>
          <w:rStyle w:val="FootnoteReference"/>
          <w:rFonts w:ascii="Calibri" w:eastAsia="Calibri" w:hAnsi="Calibri" w:cs="Calibri"/>
          <w:color w:val="333333"/>
          <w:lang w:val="en-US"/>
        </w:rPr>
        <w:footnoteReference w:id="20"/>
      </w:r>
    </w:p>
    <w:p w14:paraId="7C12FDB2" w14:textId="3AB657C0" w:rsidR="00377603" w:rsidRDefault="0B2560F7" w:rsidP="73AAC10A">
      <w:r>
        <w:rPr>
          <w:noProof/>
          <w:lang w:eastAsia="en-GB"/>
        </w:rPr>
        <w:drawing>
          <wp:inline distT="0" distB="0" distL="0" distR="0" wp14:anchorId="1907F17C" wp14:editId="75F0FC0C">
            <wp:extent cx="4572000" cy="4429125"/>
            <wp:effectExtent l="0" t="0" r="0" b="0"/>
            <wp:docPr id="801192089" name="Picture 80119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192089"/>
                    <pic:cNvPicPr/>
                  </pic:nvPicPr>
                  <pic:blipFill>
                    <a:blip r:embed="rId12">
                      <a:extLst>
                        <a:ext uri="{28A0092B-C50C-407E-A947-70E740481C1C}">
                          <a14:useLocalDpi xmlns:a14="http://schemas.microsoft.com/office/drawing/2010/main" val="0"/>
                        </a:ext>
                      </a:extLst>
                    </a:blip>
                    <a:stretch>
                      <a:fillRect/>
                    </a:stretch>
                  </pic:blipFill>
                  <pic:spPr>
                    <a:xfrm>
                      <a:off x="0" y="0"/>
                      <a:ext cx="4572000" cy="4429125"/>
                    </a:xfrm>
                    <a:prstGeom prst="rect">
                      <a:avLst/>
                    </a:prstGeom>
                  </pic:spPr>
                </pic:pic>
              </a:graphicData>
            </a:graphic>
          </wp:inline>
        </w:drawing>
      </w:r>
    </w:p>
    <w:p w14:paraId="5DD38172" w14:textId="04CFE2BF" w:rsidR="00377603" w:rsidRDefault="00377603" w:rsidP="73AAC10A">
      <w:pPr>
        <w:rPr>
          <w:lang w:val="en-US"/>
        </w:rPr>
      </w:pPr>
    </w:p>
    <w:p w14:paraId="059D305A" w14:textId="6FFE225B" w:rsidR="0078531C" w:rsidRDefault="37ABB481" w:rsidP="572B3941">
      <w:pPr>
        <w:rPr>
          <w:lang w:val="en-US"/>
        </w:rPr>
      </w:pPr>
      <w:r w:rsidRPr="00CD31F2">
        <w:rPr>
          <w:lang w:val="en-US"/>
        </w:rPr>
        <w:t xml:space="preserve">As both </w:t>
      </w:r>
      <w:r w:rsidR="00705910" w:rsidRPr="1D3A95D2">
        <w:rPr>
          <w:lang w:val="en-US"/>
        </w:rPr>
        <w:t>F</w:t>
      </w:r>
      <w:r w:rsidRPr="00CD31F2">
        <w:rPr>
          <w:lang w:val="en-US"/>
        </w:rPr>
        <w:t>igure</w:t>
      </w:r>
      <w:r w:rsidR="00705910" w:rsidRPr="1D3A95D2">
        <w:rPr>
          <w:lang w:val="en-US"/>
        </w:rPr>
        <w:t>s</w:t>
      </w:r>
      <w:r w:rsidRPr="00CD31F2">
        <w:rPr>
          <w:lang w:val="en-US"/>
        </w:rPr>
        <w:t xml:space="preserve"> 1 and 2 show, t</w:t>
      </w:r>
      <w:r w:rsidR="00CD31F2" w:rsidRPr="00CD31F2">
        <w:rPr>
          <w:lang w:val="en-US"/>
        </w:rPr>
        <w:t xml:space="preserve">he </w:t>
      </w:r>
      <w:proofErr w:type="spellStart"/>
      <w:r w:rsidR="00CD31F2" w:rsidRPr="00CD31F2">
        <w:rPr>
          <w:lang w:val="en-US"/>
        </w:rPr>
        <w:t>SDoH</w:t>
      </w:r>
      <w:proofErr w:type="spellEnd"/>
      <w:r w:rsidR="00CD31F2" w:rsidRPr="00CD31F2">
        <w:rPr>
          <w:lang w:val="en-US"/>
        </w:rPr>
        <w:t xml:space="preserve"> </w:t>
      </w:r>
      <w:proofErr w:type="gramStart"/>
      <w:r w:rsidR="00CD31F2" w:rsidRPr="00CD31F2">
        <w:rPr>
          <w:lang w:val="en-US"/>
        </w:rPr>
        <w:t>are closely linked</w:t>
      </w:r>
      <w:proofErr w:type="gramEnd"/>
      <w:r w:rsidR="00CD31F2" w:rsidRPr="00CD31F2">
        <w:rPr>
          <w:lang w:val="en-US"/>
        </w:rPr>
        <w:t xml:space="preserve"> to life events that could be otherwise </w:t>
      </w:r>
      <w:proofErr w:type="spellStart"/>
      <w:r w:rsidR="00CD31F2" w:rsidRPr="00CD31F2">
        <w:rPr>
          <w:lang w:val="en-US"/>
        </w:rPr>
        <w:t>characterised</w:t>
      </w:r>
      <w:proofErr w:type="spellEnd"/>
      <w:r w:rsidR="00CD31F2" w:rsidRPr="00CD31F2">
        <w:rPr>
          <w:lang w:val="en-US"/>
        </w:rPr>
        <w:t xml:space="preserve"> as </w:t>
      </w:r>
      <w:r w:rsidR="0078531C">
        <w:rPr>
          <w:lang w:val="en-US"/>
        </w:rPr>
        <w:t>social welfare law problems</w:t>
      </w:r>
      <w:r w:rsidR="710534F5">
        <w:rPr>
          <w:lang w:val="en-US"/>
        </w:rPr>
        <w:t>.</w:t>
      </w:r>
      <w:r w:rsidR="00CD31F2" w:rsidRPr="00CD31F2">
        <w:rPr>
          <w:vertAlign w:val="superscript"/>
        </w:rPr>
        <w:footnoteReference w:id="21"/>
      </w:r>
      <w:r w:rsidR="00CD31F2" w:rsidRPr="00CD31F2">
        <w:rPr>
          <w:lang w:val="en-US"/>
        </w:rPr>
        <w:t xml:space="preserve"> </w:t>
      </w:r>
      <w:r w:rsidR="40FABEB5" w:rsidRPr="00DA6FB8">
        <w:rPr>
          <w:lang w:val="en-US"/>
        </w:rPr>
        <w:t>Th</w:t>
      </w:r>
      <w:r w:rsidR="40FABEB5">
        <w:rPr>
          <w:lang w:val="en-US"/>
        </w:rPr>
        <w:t>is argument fits within what th</w:t>
      </w:r>
      <w:r w:rsidR="40FABEB5" w:rsidRPr="00DA6FB8">
        <w:rPr>
          <w:lang w:val="en-US"/>
        </w:rPr>
        <w:t>e OECD</w:t>
      </w:r>
      <w:r w:rsidR="40FABEB5">
        <w:t xml:space="preserve"> </w:t>
      </w:r>
      <w:r w:rsidR="40FABEB5" w:rsidRPr="00DA6FB8">
        <w:t>call</w:t>
      </w:r>
      <w:r w:rsidR="40FABEB5">
        <w:t xml:space="preserve">s </w:t>
      </w:r>
      <w:r w:rsidR="40FABEB5" w:rsidRPr="00DA6FB8">
        <w:t xml:space="preserve">‘the </w:t>
      </w:r>
      <w:r w:rsidR="40FABEB5" w:rsidRPr="00DA6FB8">
        <w:lastRenderedPageBreak/>
        <w:t>everyday legal problems paradigm of access to justice’.</w:t>
      </w:r>
      <w:r w:rsidR="00DA6FB8" w:rsidRPr="00DA6FB8">
        <w:rPr>
          <w:vertAlign w:val="superscript"/>
        </w:rPr>
        <w:footnoteReference w:id="22"/>
      </w:r>
      <w:r w:rsidR="40FABEB5" w:rsidRPr="00DA6FB8">
        <w:t xml:space="preserve"> </w:t>
      </w:r>
      <w:r w:rsidR="00CD31F2" w:rsidRPr="00CD31F2">
        <w:rPr>
          <w:lang w:val="en-US"/>
        </w:rPr>
        <w:t>Numerous studies</w:t>
      </w:r>
      <w:r w:rsidR="0078531C">
        <w:rPr>
          <w:lang w:val="en-US"/>
        </w:rPr>
        <w:t xml:space="preserve"> worldwide</w:t>
      </w:r>
      <w:r w:rsidR="00CD31F2" w:rsidRPr="00CD31F2">
        <w:rPr>
          <w:lang w:val="en-US"/>
        </w:rPr>
        <w:t xml:space="preserve"> have established that civil legal problems are very common in everyday life.</w:t>
      </w:r>
      <w:r w:rsidR="00CD31F2" w:rsidRPr="00CD31F2">
        <w:rPr>
          <w:vertAlign w:val="superscript"/>
        </w:rPr>
        <w:footnoteReference w:id="23"/>
      </w:r>
      <w:r w:rsidR="00CD31F2" w:rsidRPr="00CD31F2">
        <w:rPr>
          <w:lang w:val="en-US"/>
        </w:rPr>
        <w:t xml:space="preserve"> </w:t>
      </w:r>
      <w:r w:rsidR="6573ECAB">
        <w:rPr>
          <w:lang w:val="en-US"/>
        </w:rPr>
        <w:t xml:space="preserve">The OECD </w:t>
      </w:r>
      <w:r w:rsidR="00CD31F2" w:rsidRPr="00CD31F2">
        <w:rPr>
          <w:lang w:val="en-US"/>
        </w:rPr>
        <w:t xml:space="preserve">notes that, </w:t>
      </w:r>
      <w:r w:rsidR="00F22FE2">
        <w:rPr>
          <w:lang w:val="en-US"/>
        </w:rPr>
        <w:t>“[l</w:t>
      </w:r>
      <w:r w:rsidR="00F22FE2">
        <w:t>]</w:t>
      </w:r>
      <w:r w:rsidR="00CD31F2" w:rsidRPr="00CD31F2">
        <w:t>egal rights, responsibilities and protections provide frameworks for behaviour</w:t>
      </w:r>
      <w:r w:rsidR="00F22FE2">
        <w:t>”</w:t>
      </w:r>
      <w:r w:rsidR="00CD31F2" w:rsidRPr="00CD31F2">
        <w:t xml:space="preserve"> across multiple spheres of life.</w:t>
      </w:r>
      <w:r w:rsidR="00CD31F2" w:rsidRPr="00CD31F2">
        <w:rPr>
          <w:vertAlign w:val="superscript"/>
        </w:rPr>
        <w:footnoteReference w:id="24"/>
      </w:r>
      <w:r w:rsidR="00CD31F2" w:rsidRPr="00CD31F2">
        <w:t xml:space="preserve"> </w:t>
      </w:r>
      <w:proofErr w:type="gramStart"/>
      <w:r w:rsidR="00CD31F2" w:rsidRPr="00CD31F2">
        <w:t xml:space="preserve">Civil legal problems are disproportionately experienced by people </w:t>
      </w:r>
      <w:r w:rsidR="19DB9B98" w:rsidRPr="00CD31F2">
        <w:t>on</w:t>
      </w:r>
      <w:r w:rsidR="00CD31F2" w:rsidRPr="00CD31F2">
        <w:t xml:space="preserve"> low income or experiencing other disadvantage</w:t>
      </w:r>
      <w:proofErr w:type="gramEnd"/>
      <w:r w:rsidR="00CD31F2" w:rsidRPr="00CD31F2">
        <w:t>, and the consequences of legal problems are more severe for them.</w:t>
      </w:r>
      <w:r w:rsidR="00CD31F2" w:rsidRPr="00CD31F2">
        <w:rPr>
          <w:vertAlign w:val="superscript"/>
        </w:rPr>
        <w:footnoteReference w:id="25"/>
      </w:r>
      <w:r w:rsidR="00CD31F2" w:rsidRPr="00CD31F2">
        <w:t xml:space="preserve"> </w:t>
      </w:r>
      <w:r w:rsidR="00CD31F2" w:rsidRPr="00CD31F2">
        <w:rPr>
          <w:lang w:val="en-US"/>
        </w:rPr>
        <w:t xml:space="preserve">A study of civil legal needs in a mid-sized American city found that </w:t>
      </w:r>
      <w:r w:rsidR="43345E99" w:rsidRPr="00CD31F2">
        <w:rPr>
          <w:lang w:val="en-US"/>
        </w:rPr>
        <w:t>low-income</w:t>
      </w:r>
      <w:r w:rsidR="00CD31F2" w:rsidRPr="00CD31F2">
        <w:rPr>
          <w:lang w:val="en-US"/>
        </w:rPr>
        <w:t xml:space="preserve"> people were about 30% more likely to experience a civil legal problem, and that the most frequent consequence of their civil justice problem was negative health </w:t>
      </w:r>
      <w:proofErr w:type="gramStart"/>
      <w:r w:rsidR="00CD31F2" w:rsidRPr="00CD31F2">
        <w:rPr>
          <w:lang w:val="en-US"/>
        </w:rPr>
        <w:t>impacts</w:t>
      </w:r>
      <w:proofErr w:type="gramEnd"/>
      <w:r w:rsidR="00CD31F2" w:rsidRPr="00CD31F2">
        <w:rPr>
          <w:lang w:val="en-US"/>
        </w:rPr>
        <w:t>.</w:t>
      </w:r>
      <w:r w:rsidR="00CD31F2" w:rsidRPr="00CD31F2">
        <w:rPr>
          <w:vertAlign w:val="superscript"/>
        </w:rPr>
        <w:footnoteReference w:id="26"/>
      </w:r>
      <w:r w:rsidR="00CD31F2" w:rsidRPr="00CD31F2">
        <w:rPr>
          <w:lang w:val="en-US"/>
        </w:rPr>
        <w:t xml:space="preserve"> </w:t>
      </w:r>
      <w:r w:rsidR="72B26BD5" w:rsidRPr="1D3A95D2">
        <w:rPr>
          <w:lang w:val="en-US"/>
        </w:rPr>
        <w:t>P</w:t>
      </w:r>
      <w:r w:rsidR="0072678B" w:rsidRPr="1D3A95D2">
        <w:rPr>
          <w:lang w:val="en-US"/>
        </w:rPr>
        <w:t xml:space="preserve">revious high levels of health inequalities </w:t>
      </w:r>
      <w:r w:rsidR="31ABED07" w:rsidRPr="1D3A95D2">
        <w:rPr>
          <w:lang w:val="en-US"/>
        </w:rPr>
        <w:t xml:space="preserve">therefore have </w:t>
      </w:r>
      <w:r w:rsidR="0078531C">
        <w:rPr>
          <w:lang w:val="en-US"/>
        </w:rPr>
        <w:t>a</w:t>
      </w:r>
      <w:r w:rsidR="0072678B" w:rsidRPr="1D3A95D2">
        <w:rPr>
          <w:lang w:val="en-US"/>
        </w:rPr>
        <w:t xml:space="preserve"> synergistic effect, worsening the impact of the Covid-19 pandemic in more deprived areas.</w:t>
      </w:r>
    </w:p>
    <w:p w14:paraId="1AFFC83D" w14:textId="4260D07F" w:rsidR="00CD31F2" w:rsidRDefault="0072678B" w:rsidP="572B3941">
      <w:pPr>
        <w:rPr>
          <w:lang w:val="en-US"/>
        </w:rPr>
      </w:pPr>
      <w:r w:rsidRPr="1D3A95D2">
        <w:rPr>
          <w:lang w:val="en-US"/>
        </w:rPr>
        <w:t xml:space="preserve">We have established </w:t>
      </w:r>
      <w:r w:rsidR="49A6F0E2" w:rsidRPr="1D3A95D2">
        <w:rPr>
          <w:lang w:val="en-US"/>
        </w:rPr>
        <w:t xml:space="preserve">here </w:t>
      </w:r>
      <w:r w:rsidRPr="1D3A95D2">
        <w:rPr>
          <w:lang w:val="en-US"/>
        </w:rPr>
        <w:t xml:space="preserve">how legal advice can operate at key points to disrupt the cycle of negative impacts of legal problems within the </w:t>
      </w:r>
      <w:proofErr w:type="spellStart"/>
      <w:r w:rsidRPr="1D3A95D2">
        <w:rPr>
          <w:lang w:val="en-US"/>
        </w:rPr>
        <w:t>SDoH</w:t>
      </w:r>
      <w:proofErr w:type="spellEnd"/>
      <w:r w:rsidRPr="1D3A95D2">
        <w:rPr>
          <w:lang w:val="en-US"/>
        </w:rPr>
        <w:t xml:space="preserve">, leading to better health outcomes. </w:t>
      </w:r>
      <w:r w:rsidR="6EF9F8C4" w:rsidRPr="1D3A95D2">
        <w:rPr>
          <w:lang w:val="en-US"/>
        </w:rPr>
        <w:t>We will</w:t>
      </w:r>
      <w:r w:rsidRPr="1D3A95D2">
        <w:rPr>
          <w:lang w:val="en-US"/>
        </w:rPr>
        <w:t xml:space="preserve"> </w:t>
      </w:r>
      <w:r w:rsidR="35008170" w:rsidRPr="1D3A95D2">
        <w:rPr>
          <w:lang w:val="en-US"/>
        </w:rPr>
        <w:t>next</w:t>
      </w:r>
      <w:r w:rsidR="6EF9F8C4" w:rsidRPr="1D3A95D2">
        <w:rPr>
          <w:lang w:val="en-US"/>
        </w:rPr>
        <w:t xml:space="preserve"> use the evidence from </w:t>
      </w:r>
      <w:r w:rsidRPr="1D3A95D2">
        <w:rPr>
          <w:lang w:val="en-US"/>
        </w:rPr>
        <w:t xml:space="preserve">our </w:t>
      </w:r>
      <w:r w:rsidR="6EF9F8C4" w:rsidRPr="1D3A95D2">
        <w:rPr>
          <w:lang w:val="en-US"/>
        </w:rPr>
        <w:t xml:space="preserve">study to </w:t>
      </w:r>
      <w:proofErr w:type="spellStart"/>
      <w:r w:rsidR="00585134" w:rsidRPr="1D3A95D2">
        <w:rPr>
          <w:lang w:val="en-US"/>
        </w:rPr>
        <w:t>analyse</w:t>
      </w:r>
      <w:proofErr w:type="spellEnd"/>
      <w:r w:rsidR="00585134" w:rsidRPr="1D3A95D2">
        <w:rPr>
          <w:lang w:val="en-US"/>
        </w:rPr>
        <w:t xml:space="preserve"> how the advice ecosystem has attempted to adapt </w:t>
      </w:r>
      <w:r w:rsidR="006D4A08" w:rsidRPr="1D3A95D2">
        <w:rPr>
          <w:lang w:val="en-US"/>
        </w:rPr>
        <w:t>in response to the Covid-19 crisis</w:t>
      </w:r>
      <w:r w:rsidR="00585134" w:rsidRPr="1D3A95D2">
        <w:rPr>
          <w:lang w:val="en-US"/>
        </w:rPr>
        <w:t xml:space="preserve">, </w:t>
      </w:r>
      <w:r w:rsidR="006D4A08" w:rsidRPr="1D3A95D2">
        <w:rPr>
          <w:lang w:val="en-US"/>
        </w:rPr>
        <w:t xml:space="preserve">how successful this has been, </w:t>
      </w:r>
      <w:r w:rsidR="00585134" w:rsidRPr="1D3A95D2">
        <w:rPr>
          <w:lang w:val="en-US"/>
        </w:rPr>
        <w:t xml:space="preserve">and </w:t>
      </w:r>
      <w:r w:rsidR="162139AD" w:rsidRPr="1D3A95D2">
        <w:rPr>
          <w:lang w:val="en-US"/>
        </w:rPr>
        <w:t xml:space="preserve">then conclude with </w:t>
      </w:r>
      <w:r w:rsidR="00585134" w:rsidRPr="1D3A95D2">
        <w:rPr>
          <w:lang w:val="en-US"/>
        </w:rPr>
        <w:t xml:space="preserve">what the consequences of this might be for </w:t>
      </w:r>
      <w:r w:rsidR="006D4A08" w:rsidRPr="1D3A95D2">
        <w:rPr>
          <w:lang w:val="en-US"/>
        </w:rPr>
        <w:t>health inequalities</w:t>
      </w:r>
      <w:r w:rsidR="0A1F3A72" w:rsidRPr="1D3A95D2">
        <w:rPr>
          <w:lang w:val="en-US"/>
        </w:rPr>
        <w:t xml:space="preserve">. </w:t>
      </w:r>
    </w:p>
    <w:p w14:paraId="172B8011" w14:textId="77777777" w:rsidR="0078531C" w:rsidRPr="00CD31F2" w:rsidRDefault="0078531C" w:rsidP="572B3941">
      <w:pPr>
        <w:rPr>
          <w:lang w:val="en-US"/>
        </w:rPr>
      </w:pPr>
    </w:p>
    <w:p w14:paraId="065F487A" w14:textId="77777777" w:rsidR="00900E91" w:rsidRDefault="00900E91" w:rsidP="00900E91"/>
    <w:p w14:paraId="2B7EDAAC" w14:textId="1955FD23" w:rsidR="00CD31F2" w:rsidRPr="00900E91" w:rsidRDefault="00900E91" w:rsidP="00885319">
      <w:pPr>
        <w:pStyle w:val="Heading2"/>
        <w:rPr>
          <w:lang w:val="en-US"/>
        </w:rPr>
      </w:pPr>
      <w:r>
        <w:t xml:space="preserve">3. </w:t>
      </w:r>
      <w:r>
        <w:tab/>
      </w:r>
      <w:r w:rsidR="572B3941" w:rsidRPr="004058DE">
        <w:t>Methodology</w:t>
      </w:r>
    </w:p>
    <w:p w14:paraId="76F21FEE" w14:textId="77777777" w:rsidR="00BA6BAC" w:rsidRDefault="11B04676" w:rsidP="00BA6BAC">
      <w:r>
        <w:t>In the first phase of the on-going access to advice project, between April and June 2020, we conducted 30 interviews, with 40 interviewees.</w:t>
      </w:r>
      <w:r w:rsidR="12FFFD53">
        <w:t xml:space="preserve"> </w:t>
      </w:r>
      <w:r w:rsidR="32591893">
        <w:t xml:space="preserve">Participants work for organisations based in Liverpool that signpost or refer to advice organisations, or give some level of legal information or free legal advice.  </w:t>
      </w:r>
      <w:r w:rsidR="00AF5993">
        <w:t xml:space="preserve">The majority of interviews </w:t>
      </w:r>
      <w:proofErr w:type="gramStart"/>
      <w:r w:rsidR="00AF5993">
        <w:t>were conducted online and lasted between 45 minutes and an hour</w:t>
      </w:r>
      <w:proofErr w:type="gramEnd"/>
      <w:r w:rsidR="00AF5993">
        <w:t xml:space="preserve">. Interviews </w:t>
      </w:r>
      <w:proofErr w:type="gramStart"/>
      <w:r w:rsidR="00AF5993">
        <w:t>were recorded and transcribed verbatim</w:t>
      </w:r>
      <w:proofErr w:type="gramEnd"/>
      <w:r w:rsidR="00AF5993">
        <w:t>. Interviewees were either managers, supervisors or lead caseworkers. Some organisations chose more than one person to participate in an interview.</w:t>
      </w:r>
      <w:r w:rsidR="00BA6BAC">
        <w:t xml:space="preserve"> The </w:t>
      </w:r>
      <w:proofErr w:type="gramStart"/>
      <w:r w:rsidR="00BA6BAC">
        <w:t>project was approved by the University of Liverpool Research Ethics Committee</w:t>
      </w:r>
      <w:proofErr w:type="gramEnd"/>
      <w:r w:rsidR="00BA6BAC">
        <w:t xml:space="preserve">. </w:t>
      </w:r>
    </w:p>
    <w:p w14:paraId="68CD8997" w14:textId="5670AC3A" w:rsidR="00465AC7" w:rsidRDefault="12FFFD53" w:rsidP="00465AC7">
      <w:r>
        <w:t>Th</w:t>
      </w:r>
      <w:r w:rsidR="33861ADB">
        <w:t>e participants</w:t>
      </w:r>
      <w:r>
        <w:t xml:space="preserve"> represented 30 of the </w:t>
      </w:r>
      <w:r w:rsidRPr="000B295C">
        <w:t>89</w:t>
      </w:r>
      <w:r w:rsidRPr="000B295C">
        <w:rPr>
          <w:rFonts w:ascii="Calibri" w:eastAsia="Calibri" w:hAnsi="Calibri" w:cs="Calibri"/>
        </w:rPr>
        <w:t xml:space="preserve"> identified charity and voluntary sector </w:t>
      </w:r>
      <w:r w:rsidR="00465AC7" w:rsidRPr="000B295C">
        <w:rPr>
          <w:rFonts w:ascii="Calibri" w:eastAsia="Calibri" w:hAnsi="Calibri" w:cs="Calibri"/>
        </w:rPr>
        <w:t xml:space="preserve">(CVS) </w:t>
      </w:r>
      <w:r w:rsidRPr="000B295C">
        <w:rPr>
          <w:rFonts w:ascii="Calibri" w:eastAsia="Calibri" w:hAnsi="Calibri" w:cs="Calibri"/>
        </w:rPr>
        <w:t>organisations that publicise an offer of free legal information or advice in Liverpool.</w:t>
      </w:r>
      <w:r w:rsidR="11B04676" w:rsidRPr="000B295C">
        <w:t xml:space="preserve"> </w:t>
      </w:r>
      <w:r w:rsidR="7C2E6714">
        <w:t xml:space="preserve">Although there are other sources of free legal advice, such as private law firms with </w:t>
      </w:r>
      <w:r w:rsidR="65937C3D">
        <w:t xml:space="preserve">legal aid contracts and the </w:t>
      </w:r>
      <w:r w:rsidR="2E39EF22">
        <w:t xml:space="preserve">Council’s </w:t>
      </w:r>
      <w:r w:rsidR="65937C3D">
        <w:t>Benefit Maximisation team</w:t>
      </w:r>
      <w:r w:rsidR="179C2888">
        <w:t>, t</w:t>
      </w:r>
      <w:r w:rsidR="65937C3D">
        <w:t xml:space="preserve">he objective of the research was to understand the network from the perspective of the </w:t>
      </w:r>
      <w:r w:rsidR="00465AC7">
        <w:t>CVS</w:t>
      </w:r>
      <w:r w:rsidR="65937C3D">
        <w:t xml:space="preserve"> organisations. </w:t>
      </w:r>
      <w:r w:rsidR="00AF5993">
        <w:t xml:space="preserve">The organisations work in all areas of social welfare law – housing, welfare benefits, immigration and asylum, debt, employment, family – and vary in size and </w:t>
      </w:r>
      <w:r w:rsidR="00AF5993">
        <w:lastRenderedPageBreak/>
        <w:t xml:space="preserve">breadth of work. </w:t>
      </w:r>
      <w:r w:rsidR="00AF5993" w:rsidRPr="73AAC10A">
        <w:rPr>
          <w:rFonts w:ascii="Calibri" w:eastAsia="Calibri" w:hAnsi="Calibri" w:cs="Calibri"/>
          <w:color w:val="000000" w:themeColor="text1"/>
        </w:rPr>
        <w:t>Some are branches of national organisations, while others are local organisations</w:t>
      </w:r>
      <w:r w:rsidR="00AF5993">
        <w:rPr>
          <w:rFonts w:ascii="Calibri" w:eastAsia="Calibri" w:hAnsi="Calibri" w:cs="Calibri"/>
          <w:color w:val="000000" w:themeColor="text1"/>
        </w:rPr>
        <w:t>, with corresponding differences in their resilience to crisis</w:t>
      </w:r>
      <w:r w:rsidR="00AF5993" w:rsidRPr="73AAC10A">
        <w:rPr>
          <w:rFonts w:ascii="Calibri" w:eastAsia="Calibri" w:hAnsi="Calibri" w:cs="Calibri"/>
          <w:color w:val="000000" w:themeColor="text1"/>
        </w:rPr>
        <w:t>.</w:t>
      </w:r>
      <w:r w:rsidR="00AF5993">
        <w:rPr>
          <w:rFonts w:ascii="Calibri" w:eastAsia="Calibri" w:hAnsi="Calibri" w:cs="Calibri"/>
          <w:color w:val="000000" w:themeColor="text1"/>
        </w:rPr>
        <w:t xml:space="preserve"> </w:t>
      </w:r>
    </w:p>
    <w:p w14:paraId="0B5DDF10" w14:textId="08BDD71F" w:rsidR="65937C3D" w:rsidRDefault="00703884" w:rsidP="73AAC10A">
      <w:r>
        <w:t>For some of these organisations,</w:t>
      </w:r>
      <w:r w:rsidR="65937C3D">
        <w:t xml:space="preserve"> </w:t>
      </w:r>
      <w:r>
        <w:t xml:space="preserve">such as </w:t>
      </w:r>
      <w:r w:rsidR="65937C3D">
        <w:t>CAB,</w:t>
      </w:r>
      <w:r>
        <w:t xml:space="preserve"> </w:t>
      </w:r>
      <w:r w:rsidR="436BBE60">
        <w:t>L</w:t>
      </w:r>
      <w:r w:rsidR="65937C3D">
        <w:t xml:space="preserve">aw </w:t>
      </w:r>
      <w:r w:rsidR="57399E30">
        <w:t>C</w:t>
      </w:r>
      <w:r>
        <w:t>entres or</w:t>
      </w:r>
      <w:r w:rsidR="65937C3D">
        <w:t xml:space="preserve"> Shelter, </w:t>
      </w:r>
      <w:r>
        <w:t>advice services a</w:t>
      </w:r>
      <w:r w:rsidR="372CC9D6">
        <w:t xml:space="preserve">re the core of their work. </w:t>
      </w:r>
      <w:r>
        <w:t>Other organisations provide</w:t>
      </w:r>
      <w:r w:rsidR="3663D22D">
        <w:t xml:space="preserve"> free legal information or advice</w:t>
      </w:r>
      <w:r>
        <w:t xml:space="preserve"> as a supplement to</w:t>
      </w:r>
      <w:r w:rsidR="3663D22D">
        <w:t xml:space="preserve"> their </w:t>
      </w:r>
      <w:r w:rsidR="7D72C6CC">
        <w:t>core support services</w:t>
      </w:r>
      <w:r w:rsidR="28583D63">
        <w:t>. These</w:t>
      </w:r>
      <w:r w:rsidR="12F97F78">
        <w:t xml:space="preserve"> </w:t>
      </w:r>
      <w:r w:rsidR="00346FF9">
        <w:t xml:space="preserve">might </w:t>
      </w:r>
      <w:proofErr w:type="gramStart"/>
      <w:r w:rsidR="00346FF9">
        <w:t>be focussed</w:t>
      </w:r>
      <w:proofErr w:type="gramEnd"/>
      <w:r w:rsidR="00346FF9">
        <w:t xml:space="preserve"> on a sp</w:t>
      </w:r>
      <w:r w:rsidR="12F97F78">
        <w:t xml:space="preserve">ecific issue, such as homelessness or domestic abuse, or </w:t>
      </w:r>
      <w:r w:rsidR="00346FF9">
        <w:t>be</w:t>
      </w:r>
      <w:r w:rsidR="4FDB29D8">
        <w:t xml:space="preserve"> </w:t>
      </w:r>
      <w:r w:rsidR="78B28874">
        <w:t>targeted</w:t>
      </w:r>
      <w:r w:rsidR="12F97F78">
        <w:t xml:space="preserve"> </w:t>
      </w:r>
      <w:r w:rsidR="0062A02B">
        <w:t xml:space="preserve">based, for example, on ethnicity or health condition. </w:t>
      </w:r>
      <w:r w:rsidR="6EE231BB">
        <w:t>The level of i</w:t>
      </w:r>
      <w:r w:rsidR="00346FF9">
        <w:t>nformation and advice depends</w:t>
      </w:r>
      <w:r w:rsidR="0062A02B">
        <w:t xml:space="preserve"> </w:t>
      </w:r>
      <w:r w:rsidR="49F19538">
        <w:t>largely on available funding streams</w:t>
      </w:r>
      <w:r w:rsidR="31066DD1">
        <w:t xml:space="preserve">, and some of </w:t>
      </w:r>
      <w:r w:rsidR="00346FF9">
        <w:t>organisations</w:t>
      </w:r>
      <w:r w:rsidR="31066DD1">
        <w:t xml:space="preserve"> </w:t>
      </w:r>
      <w:r w:rsidR="00346FF9">
        <w:t xml:space="preserve">act </w:t>
      </w:r>
      <w:r w:rsidR="31066DD1">
        <w:t xml:space="preserve">mainly as a referral gateway </w:t>
      </w:r>
      <w:r w:rsidR="50028A9D">
        <w:t>t</w:t>
      </w:r>
      <w:r w:rsidR="31F839C6">
        <w:t>o</w:t>
      </w:r>
      <w:r w:rsidR="31066DD1">
        <w:t xml:space="preserve"> the advice network.</w:t>
      </w:r>
      <w:r w:rsidR="00346FF9">
        <w:t xml:space="preserve"> However, the distinction is fluid as </w:t>
      </w:r>
      <w:r w:rsidR="00465AC7">
        <w:t>organisational focus</w:t>
      </w:r>
      <w:r w:rsidR="00346FF9">
        <w:t xml:space="preserve"> shifts with available funding. Even organisations that mainly provide advice are unlikely to provide it in all areas, and therefore </w:t>
      </w:r>
      <w:proofErr w:type="gramStart"/>
      <w:r w:rsidR="00346FF9">
        <w:t>may also</w:t>
      </w:r>
      <w:proofErr w:type="gramEnd"/>
      <w:r w:rsidR="00346FF9">
        <w:t xml:space="preserve"> refer to other organisations.</w:t>
      </w:r>
    </w:p>
    <w:p w14:paraId="2F021DA7" w14:textId="108DAA0F" w:rsidR="00CD31F2" w:rsidRDefault="00AF5993" w:rsidP="00CD31F2">
      <w:r>
        <w:t xml:space="preserve">Liverpool </w:t>
      </w:r>
      <w:proofErr w:type="gramStart"/>
      <w:r>
        <w:t>is well placed</w:t>
      </w:r>
      <w:proofErr w:type="gramEnd"/>
      <w:r>
        <w:t xml:space="preserve"> </w:t>
      </w:r>
      <w:r w:rsidR="00465AC7">
        <w:t xml:space="preserve">well </w:t>
      </w:r>
      <w:r>
        <w:t xml:space="preserve">placed as a location to research the link between health and wider inequalities and access to advice. </w:t>
      </w:r>
      <w:r w:rsidR="00465AC7">
        <w:t>It</w:t>
      </w:r>
      <w:r>
        <w:t xml:space="preserve"> is the third most deprived local authority</w:t>
      </w:r>
      <w:r w:rsidR="00092994">
        <w:t xml:space="preserve"> in England</w:t>
      </w:r>
      <w:r>
        <w:t xml:space="preserve"> in the Indices of Multiple Deprivation</w:t>
      </w:r>
      <w:r w:rsidR="00465AC7">
        <w:t xml:space="preserve">, </w:t>
      </w:r>
      <w:proofErr w:type="gramStart"/>
      <w:r w:rsidR="00465AC7">
        <w:t xml:space="preserve">and </w:t>
      </w:r>
      <w:r>
        <w:t>also</w:t>
      </w:r>
      <w:proofErr w:type="gramEnd"/>
      <w:r>
        <w:t xml:space="preserve"> third highest for levels of health deprivation.</w:t>
      </w:r>
      <w:r>
        <w:rPr>
          <w:rStyle w:val="FootnoteReference"/>
        </w:rPr>
        <w:footnoteReference w:id="27"/>
      </w:r>
      <w:r>
        <w:t xml:space="preserve"> </w:t>
      </w:r>
      <w:r w:rsidR="11B04676">
        <w:t>LCC is at the forefront of placing access to advice at the heart of</w:t>
      </w:r>
      <w:r>
        <w:t xml:space="preserve"> its</w:t>
      </w:r>
      <w:r w:rsidR="11B04676">
        <w:t xml:space="preserve"> anti-poverty strategy. Liverpool also has one of the biggest health justice projects</w:t>
      </w:r>
      <w:r>
        <w:t>, the Advice on Prescription Project</w:t>
      </w:r>
      <w:r w:rsidR="11B04676">
        <w:t xml:space="preserve">. The investigators have well-established links in Liverpool and are building on previous studies. </w:t>
      </w:r>
    </w:p>
    <w:p w14:paraId="51905809" w14:textId="7BCEA286" w:rsidR="00CD31F2" w:rsidRDefault="11B04676" w:rsidP="572B3941">
      <w:r>
        <w:t xml:space="preserve">Having begun fieldwork in early 2020, the Covid-19 pandemic forced project reorganisation. Many organisations </w:t>
      </w:r>
      <w:proofErr w:type="gramStart"/>
      <w:r>
        <w:t>had been initially contacted</w:t>
      </w:r>
      <w:proofErr w:type="gramEnd"/>
      <w:r>
        <w:t xml:space="preserve"> prior to the lockdown, and interviews were delayed until after the initial lockdown period while many organisations, like the research team, were transitioning to home working.  At that point, organisations told us that that they had capacity to take part in the study because they had a lull in client demand. They therefore had a window of time when it was convenient to participate in the research. This experience was common across the organisations we interviewed.</w:t>
      </w:r>
    </w:p>
    <w:p w14:paraId="079906FE" w14:textId="33D5CB57" w:rsidR="00CD31F2" w:rsidRDefault="11B04676" w:rsidP="572B3941">
      <w:r>
        <w:t>In the semi-structured interviews, we explored the work of each organisation; what they understand by information and advice; the availability and capacity of services; the networks they are part of and what they understand by referrals and signposting. We added a section about how the Covid-19 crisis had affected services and the ability of clients to access them. Interview data was analysed collaboratively using a thematic analysis to develop common themes.</w:t>
      </w:r>
      <w:r w:rsidR="00CD31F2" w:rsidRPr="572B3941">
        <w:rPr>
          <w:vertAlign w:val="superscript"/>
        </w:rPr>
        <w:footnoteReference w:id="28"/>
      </w:r>
      <w:r>
        <w:t xml:space="preserve"> This article focuses on themes that relate to the Covid-19 crisis.</w:t>
      </w:r>
    </w:p>
    <w:p w14:paraId="61622809" w14:textId="66C52A66" w:rsidR="00BA0E3F" w:rsidRDefault="00BA0E3F" w:rsidP="00BA0E3F"/>
    <w:p w14:paraId="6938E9D1" w14:textId="072766AC" w:rsidR="00DA6FB8" w:rsidRPr="004058DE" w:rsidRDefault="00900E91" w:rsidP="00B42B8F">
      <w:pPr>
        <w:pStyle w:val="Heading2"/>
      </w:pPr>
      <w:r>
        <w:t>4.</w:t>
      </w:r>
      <w:r>
        <w:tab/>
      </w:r>
      <w:r w:rsidR="004058DE" w:rsidRPr="00DC2065">
        <w:t>Analysing t</w:t>
      </w:r>
      <w:r w:rsidR="006D4A08" w:rsidRPr="004058DE">
        <w:t xml:space="preserve">he </w:t>
      </w:r>
      <w:r w:rsidR="00DA6FB8" w:rsidRPr="004058DE">
        <w:t>Legal Advice Ecosystem and Response to Covid-19</w:t>
      </w:r>
    </w:p>
    <w:p w14:paraId="12AB3D7C" w14:textId="77777777" w:rsidR="00394B08" w:rsidRDefault="40FABEB5" w:rsidP="4B426190">
      <w:r>
        <w:t xml:space="preserve"> In this final section, we us</w:t>
      </w:r>
      <w:r w:rsidR="36732E5A">
        <w:t>e</w:t>
      </w:r>
      <w:r w:rsidR="017E3EDD">
        <w:t xml:space="preserve"> </w:t>
      </w:r>
      <w:r>
        <w:t xml:space="preserve">our research findings to explain the Liverpool advice ecosystem, and </w:t>
      </w:r>
      <w:r w:rsidR="2FC30B17">
        <w:t xml:space="preserve">examine </w:t>
      </w:r>
      <w:r w:rsidR="22875FFF">
        <w:t xml:space="preserve">the impact of </w:t>
      </w:r>
      <w:r>
        <w:t>Covid-19</w:t>
      </w:r>
      <w:r w:rsidR="188BDC3A">
        <w:t xml:space="preserve"> </w:t>
      </w:r>
      <w:r w:rsidR="0C51F213">
        <w:t>on</w:t>
      </w:r>
      <w:r w:rsidR="344C2F95">
        <w:t xml:space="preserve"> the access to and availability of free legal advice.</w:t>
      </w:r>
    </w:p>
    <w:p w14:paraId="06E90037" w14:textId="330B22A0" w:rsidR="00DA6FB8" w:rsidRPr="00885319" w:rsidRDefault="00885319" w:rsidP="00885319">
      <w:pPr>
        <w:pStyle w:val="Heading3"/>
      </w:pPr>
      <w:r w:rsidRPr="00885319">
        <w:t>A</w:t>
      </w:r>
      <w:r>
        <w:t>.</w:t>
      </w:r>
      <w:r w:rsidR="10991C72" w:rsidRPr="00885319">
        <w:t xml:space="preserve"> </w:t>
      </w:r>
      <w:r>
        <w:tab/>
      </w:r>
      <w:r w:rsidR="00DA6FB8" w:rsidRPr="00885319">
        <w:t>Covid-19 impact on demand for legal advice</w:t>
      </w:r>
    </w:p>
    <w:p w14:paraId="07FF8A2E" w14:textId="530B3CBA" w:rsidR="00E24D23" w:rsidRPr="00DA6FB8" w:rsidRDefault="00C5705C" w:rsidP="00E24D23">
      <w:r>
        <w:t>As</w:t>
      </w:r>
      <w:r w:rsidR="00BD3145">
        <w:t xml:space="preserve"> we demonstrated in </w:t>
      </w:r>
      <w:r w:rsidR="00900E91">
        <w:t>Section 2</w:t>
      </w:r>
      <w:r w:rsidR="00BD3145">
        <w:t>, without adequate access to legal advice the</w:t>
      </w:r>
      <w:r w:rsidR="24349F8C">
        <w:t xml:space="preserve"> initial </w:t>
      </w:r>
      <w:r w:rsidR="22D0FDEB">
        <w:t xml:space="preserve">impact </w:t>
      </w:r>
      <w:r w:rsidR="70E5BA34">
        <w:t xml:space="preserve">of Covid-19 on </w:t>
      </w:r>
      <w:r w:rsidR="35850FC8">
        <w:t xml:space="preserve">the </w:t>
      </w:r>
      <w:proofErr w:type="spellStart"/>
      <w:r w:rsidR="35850FC8">
        <w:t>SDoH</w:t>
      </w:r>
      <w:proofErr w:type="spellEnd"/>
      <w:r w:rsidR="35850FC8">
        <w:t xml:space="preserve"> </w:t>
      </w:r>
      <w:r w:rsidR="162139B7">
        <w:t xml:space="preserve">will have much stronger </w:t>
      </w:r>
      <w:proofErr w:type="gramStart"/>
      <w:r w:rsidR="162139B7">
        <w:t>long term</w:t>
      </w:r>
      <w:proofErr w:type="gramEnd"/>
      <w:r w:rsidR="162139B7">
        <w:t xml:space="preserve"> consequences.</w:t>
      </w:r>
      <w:r w:rsidR="00BD3145">
        <w:t xml:space="preserve"> </w:t>
      </w:r>
      <w:r w:rsidR="00E24D23" w:rsidRPr="00DA6FB8">
        <w:t xml:space="preserve">Demand </w:t>
      </w:r>
      <w:proofErr w:type="gramStart"/>
      <w:r w:rsidR="00E24D23" w:rsidRPr="00DA6FB8">
        <w:t>for free</w:t>
      </w:r>
      <w:proofErr w:type="gramEnd"/>
      <w:r w:rsidR="00E24D23" w:rsidRPr="00DA6FB8">
        <w:t xml:space="preserve"> legal advice </w:t>
      </w:r>
      <w:r w:rsidR="00E24D23" w:rsidRPr="00DA6FB8">
        <w:lastRenderedPageBreak/>
        <w:t xml:space="preserve">already outstripped the limited supply before the Covid-19 pandemic. </w:t>
      </w:r>
      <w:proofErr w:type="gramStart"/>
      <w:r w:rsidR="00E24D23" w:rsidRPr="00DA6FB8">
        <w:t>94%</w:t>
      </w:r>
      <w:proofErr w:type="gramEnd"/>
      <w:r w:rsidR="00E24D23" w:rsidRPr="00DA6FB8">
        <w:t xml:space="preserve"> of the organisations that responded to a 2016 study of the Liverpool advice sector reported unmet need for advice services.</w:t>
      </w:r>
      <w:r w:rsidR="00E24D23" w:rsidRPr="00DA6FB8">
        <w:rPr>
          <w:vertAlign w:val="superscript"/>
        </w:rPr>
        <w:footnoteReference w:id="29"/>
      </w:r>
      <w:r w:rsidR="00E24D23" w:rsidRPr="00DA6FB8">
        <w:t xml:space="preserve"> </w:t>
      </w:r>
    </w:p>
    <w:p w14:paraId="7164A953" w14:textId="49FA021B" w:rsidR="00E24D23" w:rsidRPr="00DA6FB8" w:rsidRDefault="00900E91" w:rsidP="00900E91">
      <w:pPr>
        <w:ind w:left="720"/>
      </w:pPr>
      <w:r>
        <w:t>“</w:t>
      </w:r>
      <w:proofErr w:type="gramStart"/>
      <w:r w:rsidR="00E24D23">
        <w:t>from</w:t>
      </w:r>
      <w:proofErr w:type="gramEnd"/>
      <w:r w:rsidR="00E24D23">
        <w:t xml:space="preserve"> a capacity point of view, obviously we’ve only got so many advisers. ... </w:t>
      </w:r>
      <w:proofErr w:type="gramStart"/>
      <w:r w:rsidR="00E24D23">
        <w:t>there’s</w:t>
      </w:r>
      <w:proofErr w:type="gramEnd"/>
      <w:r w:rsidR="00E24D23">
        <w:t xml:space="preserve"> been times in the past when our waiting rooms have been so full that it’s [a] health and safety issue.</w:t>
      </w:r>
      <w:r>
        <w:t>”</w:t>
      </w:r>
      <w:r w:rsidR="00AD16B2">
        <w:t xml:space="preserve"> (Interview O1)</w:t>
      </w:r>
    </w:p>
    <w:p w14:paraId="010914D1" w14:textId="172FA50C" w:rsidR="00DA6FB8" w:rsidRPr="00DA6FB8" w:rsidRDefault="00BD3145" w:rsidP="00DA6FB8">
      <w:r>
        <w:t>C</w:t>
      </w:r>
      <w:r w:rsidR="67CE6B33" w:rsidRPr="00DA6FB8">
        <w:t>uts to l</w:t>
      </w:r>
      <w:r w:rsidR="0BB6605A" w:rsidRPr="00DA6FB8">
        <w:t>egal aid</w:t>
      </w:r>
      <w:r w:rsidR="34F57EE4" w:rsidRPr="00DA6FB8">
        <w:t xml:space="preserve"> and</w:t>
      </w:r>
      <w:r w:rsidR="55AEA20F" w:rsidRPr="00DA6FB8">
        <w:t xml:space="preserve"> local authority budgets</w:t>
      </w:r>
      <w:r>
        <w:t xml:space="preserve"> had sharply reduced the supply of legal advice </w:t>
      </w:r>
      <w:r w:rsidR="00E24D23">
        <w:t>in recent years</w:t>
      </w:r>
      <w:r>
        <w:t>.</w:t>
      </w:r>
      <w:r w:rsidR="00DA6FB8" w:rsidRPr="73AAC10A">
        <w:rPr>
          <w:vertAlign w:val="superscript"/>
        </w:rPr>
        <w:footnoteReference w:id="30"/>
      </w:r>
      <w:r w:rsidR="40FABEB5" w:rsidRPr="00DA6FB8">
        <w:t xml:space="preserve"> Today legal aid has become a relatively small part of the funding for the organisations that make up Liverpool’s advice network. Funding now comes from local authorities, the </w:t>
      </w:r>
      <w:r w:rsidR="00900E91">
        <w:t>National Health Service (</w:t>
      </w:r>
      <w:r w:rsidR="40FABEB5" w:rsidRPr="00DA6FB8">
        <w:t>NHS</w:t>
      </w:r>
      <w:r w:rsidR="00900E91">
        <w:t>),</w:t>
      </w:r>
      <w:r w:rsidR="40FABEB5" w:rsidRPr="00DA6FB8">
        <w:t xml:space="preserve"> Big Lottery, charitable foundations, </w:t>
      </w:r>
      <w:r w:rsidR="00900E91">
        <w:t>Department for Work and Pensions (</w:t>
      </w:r>
      <w:r w:rsidR="40FABEB5" w:rsidRPr="00DA6FB8">
        <w:t>DWP</w:t>
      </w:r>
      <w:r w:rsidR="00900E91">
        <w:t>)</w:t>
      </w:r>
      <w:r w:rsidR="40FABEB5" w:rsidRPr="00DA6FB8">
        <w:t xml:space="preserve">, legal aid, </w:t>
      </w:r>
      <w:r>
        <w:t>u</w:t>
      </w:r>
      <w:r w:rsidR="40FABEB5" w:rsidRPr="00DA6FB8">
        <w:t>tility companies and a myriad of other sources.</w:t>
      </w:r>
      <w:r w:rsidR="00DA6FB8" w:rsidRPr="00DA6FB8">
        <w:rPr>
          <w:vertAlign w:val="superscript"/>
        </w:rPr>
        <w:footnoteReference w:id="31"/>
      </w:r>
      <w:r w:rsidR="40FABEB5" w:rsidRPr="00DA6FB8">
        <w:t xml:space="preserve"> Participants </w:t>
      </w:r>
      <w:r w:rsidR="15525863" w:rsidRPr="00DA6FB8">
        <w:t xml:space="preserve">perceive </w:t>
      </w:r>
      <w:r w:rsidR="145F5D97" w:rsidRPr="00DA6FB8">
        <w:t>this fragmented</w:t>
      </w:r>
      <w:r w:rsidR="552CBE29" w:rsidRPr="00DA6FB8">
        <w:t xml:space="preserve"> </w:t>
      </w:r>
      <w:r w:rsidR="145F5D97" w:rsidRPr="00DA6FB8">
        <w:t>funding environment as</w:t>
      </w:r>
      <w:r w:rsidR="7A9C98B5" w:rsidRPr="00DA6FB8">
        <w:t xml:space="preserve"> having a negative impact on collaboration</w:t>
      </w:r>
      <w:r w:rsidR="7228F2F1" w:rsidRPr="00DA6FB8">
        <w:t xml:space="preserve"> and integration</w:t>
      </w:r>
      <w:r w:rsidR="7A9C98B5">
        <w:t xml:space="preserve">. </w:t>
      </w:r>
      <w:r w:rsidR="40FABEB5" w:rsidRPr="00DA6FB8">
        <w:t>As one advice service manager said:</w:t>
      </w:r>
    </w:p>
    <w:p w14:paraId="7135D7AD" w14:textId="7B6EAEF3" w:rsidR="00DA6FB8" w:rsidRPr="00DA6FB8" w:rsidRDefault="00900E91" w:rsidP="00B42B8F">
      <w:pPr>
        <w:ind w:left="720"/>
        <w:rPr>
          <w:bCs/>
        </w:rPr>
      </w:pPr>
      <w:r>
        <w:rPr>
          <w:bCs/>
        </w:rPr>
        <w:t>“</w:t>
      </w:r>
      <w:r w:rsidR="00DA6FB8" w:rsidRPr="00DA6FB8">
        <w:rPr>
          <w:bCs/>
        </w:rPr>
        <w:t>We found ourselves in competition with our own colleagues and with organisations that we’ve previously worked</w:t>
      </w:r>
      <w:r w:rsidR="00BD3145">
        <w:rPr>
          <w:bCs/>
        </w:rPr>
        <w:t xml:space="preserve"> with, and that is really heart </w:t>
      </w:r>
      <w:r w:rsidR="00DA6FB8" w:rsidRPr="00DA6FB8">
        <w:rPr>
          <w:bCs/>
        </w:rPr>
        <w:t>breaking … But I think on the top of it, what we then lose sight of is the humanity and we lose sight of the person, and the individual.</w:t>
      </w:r>
      <w:r>
        <w:rPr>
          <w:bCs/>
        </w:rPr>
        <w:t>”</w:t>
      </w:r>
      <w:r w:rsidR="00DA6FB8" w:rsidRPr="00DA6FB8">
        <w:rPr>
          <w:bCs/>
        </w:rPr>
        <w:t xml:space="preserve"> (Interview Q1)</w:t>
      </w:r>
    </w:p>
    <w:p w14:paraId="419CCBE2" w14:textId="6B27D5D7" w:rsidR="00E24D23" w:rsidRDefault="40FABEB5" w:rsidP="00DA6FB8">
      <w:r w:rsidRPr="00DA6FB8">
        <w:t xml:space="preserve">Participants characterised this drive towards competition </w:t>
      </w:r>
      <w:r w:rsidRPr="73AAC10A">
        <w:t>between organisations as a waste of already scarce resources, and problematic for t</w:t>
      </w:r>
      <w:r w:rsidR="00E24D23">
        <w:t>he delivery of effective client-</w:t>
      </w:r>
      <w:r w:rsidRPr="73AAC10A">
        <w:t xml:space="preserve">focussed outcomes. </w:t>
      </w:r>
      <w:r w:rsidRPr="00DA6FB8">
        <w:t>A national survey in 2019 concluded</w:t>
      </w:r>
      <w:r w:rsidR="1893F080" w:rsidRPr="00DA6FB8">
        <w:t xml:space="preserve"> that for</w:t>
      </w:r>
      <w:r w:rsidRPr="00DA6FB8">
        <w:t xml:space="preserve"> 31% of individuals with a </w:t>
      </w:r>
      <w:r w:rsidRPr="00E24D23">
        <w:rPr>
          <w:iCs/>
        </w:rPr>
        <w:t xml:space="preserve">contentious legal </w:t>
      </w:r>
      <w:r w:rsidR="3DA9378E" w:rsidRPr="00E24D23">
        <w:rPr>
          <w:iCs/>
        </w:rPr>
        <w:t>issue</w:t>
      </w:r>
      <w:r w:rsidRPr="4B426190">
        <w:rPr>
          <w:i/>
          <w:iCs/>
        </w:rPr>
        <w:t xml:space="preserve"> </w:t>
      </w:r>
      <w:r w:rsidR="00E24D23">
        <w:t>their</w:t>
      </w:r>
      <w:r w:rsidR="6D48B437" w:rsidRPr="00DC2065">
        <w:t xml:space="preserve"> need for legal advice was unmet</w:t>
      </w:r>
      <w:r w:rsidRPr="4B426190">
        <w:rPr>
          <w:i/>
          <w:iCs/>
        </w:rPr>
        <w:t>.</w:t>
      </w:r>
      <w:r w:rsidR="00DA6FB8" w:rsidRPr="00DA6FB8">
        <w:rPr>
          <w:vertAlign w:val="superscript"/>
        </w:rPr>
        <w:footnoteReference w:id="32"/>
      </w:r>
      <w:r w:rsidRPr="00DA6FB8">
        <w:t xml:space="preserve"> </w:t>
      </w:r>
    </w:p>
    <w:p w14:paraId="694E97E3" w14:textId="151BFDB4" w:rsidR="00DA6FB8" w:rsidRPr="00DA6FB8" w:rsidRDefault="40FABEB5" w:rsidP="00DA6FB8">
      <w:r w:rsidRPr="00DA6FB8">
        <w:t>Against this existing backdrop of high demand and limited supply of free legal advice, participant advice agencies reported a short, temporary drop in demand at the start of the pandemic.</w:t>
      </w:r>
      <w:r w:rsidR="00DA6FB8" w:rsidRPr="00DA6FB8">
        <w:rPr>
          <w:vertAlign w:val="superscript"/>
        </w:rPr>
        <w:footnoteReference w:id="33"/>
      </w:r>
      <w:r w:rsidRPr="00DA6FB8">
        <w:t xml:space="preserve"> This was due to the enforced closure of offices and face-to-face services, which reduced access to the advice network, and a pause in the official mechanisms that brought clients to their services, such as welfare benefit decisions, </w:t>
      </w:r>
      <w:r w:rsidR="00E24D23">
        <w:t>evictions</w:t>
      </w:r>
      <w:r w:rsidRPr="00DA6FB8">
        <w:t xml:space="preserve">, and debt collection. </w:t>
      </w:r>
    </w:p>
    <w:p w14:paraId="1D3508B9" w14:textId="24E50ECC" w:rsidR="00DA6FB8" w:rsidRPr="00DA6FB8" w:rsidRDefault="00900E91" w:rsidP="00900E91">
      <w:pPr>
        <w:ind w:left="720"/>
      </w:pPr>
      <w:proofErr w:type="gramStart"/>
      <w:r>
        <w:t>“</w:t>
      </w:r>
      <w:r w:rsidR="083FB472">
        <w:t>I think the stay on possession proceedings for us has had a big impact in terms of people not coming to seek advice as much during that period, and ... in the access to justice meetings we hear that echoed across partners</w:t>
      </w:r>
      <w:r w:rsidR="00092994">
        <w:t xml:space="preserve"> </w:t>
      </w:r>
      <w:r w:rsidR="083FB472">
        <w:t>… that there has been a real drop in demand in advice, and I think like everybody else our worry is all that’s doing is building up a tidal wave that when the stay on possessions is lifted</w:t>
      </w:r>
      <w:r w:rsidR="00092994">
        <w:t xml:space="preserve"> </w:t>
      </w:r>
      <w:r w:rsidR="083FB472">
        <w:t>… it’s going to be a lot more difficult for us to be able to provide advice for them in terms of both capacity and options that are available</w:t>
      </w:r>
      <w:r w:rsidR="00092994">
        <w:t xml:space="preserve"> </w:t>
      </w:r>
      <w:r w:rsidR="083FB472">
        <w:t>… because you know potentially they could be a lot further into arrears by that point in time.</w:t>
      </w:r>
      <w:r>
        <w:t>”</w:t>
      </w:r>
      <w:proofErr w:type="gramEnd"/>
      <w:r w:rsidR="00AD16B2">
        <w:t xml:space="preserve"> </w:t>
      </w:r>
      <w:r w:rsidR="00AD16B2" w:rsidRPr="00AD16B2">
        <w:t>(Interview W1)</w:t>
      </w:r>
    </w:p>
    <w:p w14:paraId="4AC95366" w14:textId="3A10908A" w:rsidR="00DA6FB8" w:rsidRPr="00DA6FB8" w:rsidRDefault="40FABEB5" w:rsidP="00DA6FB8">
      <w:r w:rsidRPr="00DA6FB8">
        <w:lastRenderedPageBreak/>
        <w:t>Participants reported that after this initial dip</w:t>
      </w:r>
      <w:r w:rsidR="00C47EC2">
        <w:t>,</w:t>
      </w:r>
      <w:r w:rsidR="00264623">
        <w:t xml:space="preserve"> demand for legal advice had</w:t>
      </w:r>
      <w:r w:rsidRPr="00DA6FB8">
        <w:t xml:space="preserve"> risen beyond the high levels pre-Covid-19. Data from Citizens Advice Liverpool (CAL), for example, shows that calls to its helpline fall from 2137 in February to 1449 in April 2020 and then almost doubled by July to 2845.</w:t>
      </w:r>
      <w:r w:rsidR="00DA6FB8" w:rsidRPr="00DA6FB8">
        <w:rPr>
          <w:vertAlign w:val="superscript"/>
        </w:rPr>
        <w:footnoteReference w:id="34"/>
      </w:r>
      <w:r w:rsidRPr="00DA6FB8">
        <w:t xml:space="preserve"> CAL adapted services, used paid staff to make up for the drop-in volunteer numbers and as a result significantly increased the number of calls answered. The surge in demand though meant the average </w:t>
      </w:r>
      <w:r w:rsidRPr="4B426190">
        <w:rPr>
          <w:i/>
          <w:iCs/>
        </w:rPr>
        <w:t>percentage</w:t>
      </w:r>
      <w:r w:rsidRPr="00DA6FB8">
        <w:t xml:space="preserve"> of calls answered dropped from 65% of calls early in the Covid-19 crisis to 42% of calls in July 2020, despite the extra resources allocated to the phone line and the increased total of calls answered. This leaves over half of callers unable to access advice services. Other reports have confirmed this initial fall and then rise in demand for legal advice during the first months of the pandemic,</w:t>
      </w:r>
      <w:r w:rsidR="00DA6FB8" w:rsidRPr="00DA6FB8">
        <w:rPr>
          <w:vertAlign w:val="superscript"/>
        </w:rPr>
        <w:footnoteReference w:id="35"/>
      </w:r>
      <w:r w:rsidRPr="00DA6FB8">
        <w:t xml:space="preserve"> and it </w:t>
      </w:r>
      <w:proofErr w:type="gramStart"/>
      <w:r w:rsidRPr="00DA6FB8">
        <w:t>is reflected</w:t>
      </w:r>
      <w:proofErr w:type="gramEnd"/>
      <w:r w:rsidRPr="00DA6FB8">
        <w:t xml:space="preserve"> in national data. For example, across England and Wales Citizens Advice has seen a 50% rise in demand for employment advice compared to last year.</w:t>
      </w:r>
      <w:r w:rsidR="00DA6FB8" w:rsidRPr="00DA6FB8">
        <w:rPr>
          <w:vertAlign w:val="superscript"/>
        </w:rPr>
        <w:footnoteReference w:id="36"/>
      </w:r>
    </w:p>
    <w:p w14:paraId="1FC4A4B4" w14:textId="317F849A" w:rsidR="00DA6FB8" w:rsidRPr="00DA6FB8" w:rsidRDefault="40FABEB5" w:rsidP="00DA6FB8">
      <w:r w:rsidRPr="00DA6FB8">
        <w:t xml:space="preserve">Participants </w:t>
      </w:r>
      <w:r w:rsidR="00264623">
        <w:t>expected</w:t>
      </w:r>
      <w:r w:rsidRPr="00DA6FB8">
        <w:t xml:space="preserve"> demand for legal advice </w:t>
      </w:r>
      <w:r w:rsidR="00264623">
        <w:t>to</w:t>
      </w:r>
      <w:r w:rsidRPr="00DA6FB8">
        <w:t xml:space="preserve"> continue to increase because of the social and economic upheaval of Cov</w:t>
      </w:r>
      <w:r w:rsidR="00264623">
        <w:t>id-19. The rise in unemployment</w:t>
      </w:r>
      <w:r w:rsidR="00264623" w:rsidRPr="00DA6FB8">
        <w:t xml:space="preserve"> – </w:t>
      </w:r>
      <w:r w:rsidRPr="00DA6FB8">
        <w:t xml:space="preserve">a record </w:t>
      </w:r>
      <w:r w:rsidR="00BE16B6">
        <w:t xml:space="preserve">of </w:t>
      </w:r>
      <w:r w:rsidRPr="00DA6FB8">
        <w:t>3</w:t>
      </w:r>
      <w:r w:rsidR="00BE16B6">
        <w:t>70</w:t>
      </w:r>
      <w:r w:rsidRPr="00DA6FB8">
        <w:t xml:space="preserve">,000 redundancies in the 3 months to </w:t>
      </w:r>
      <w:r w:rsidR="00BE16B6">
        <w:t>October</w:t>
      </w:r>
      <w:r w:rsidRPr="00DA6FB8">
        <w:t xml:space="preserve"> 2020</w:t>
      </w:r>
      <w:r w:rsidR="00DA6FB8" w:rsidRPr="00DA6FB8">
        <w:rPr>
          <w:vertAlign w:val="superscript"/>
        </w:rPr>
        <w:footnoteReference w:id="37"/>
      </w:r>
      <w:r w:rsidR="00AD16B2">
        <w:t xml:space="preserve"> </w:t>
      </w:r>
      <w:r w:rsidR="00AD16B2" w:rsidRPr="00AD16B2">
        <w:t xml:space="preserve">– and the 121% increase in the number of people in receipt of working age benefits from March to </w:t>
      </w:r>
      <w:r w:rsidR="00BE16B6">
        <w:t>August</w:t>
      </w:r>
      <w:r w:rsidR="00AD16B2" w:rsidRPr="00AD16B2">
        <w:t xml:space="preserve"> </w:t>
      </w:r>
      <w:proofErr w:type="gramStart"/>
      <w:r w:rsidR="00AD16B2" w:rsidRPr="00AD16B2">
        <w:t>2020,</w:t>
      </w:r>
      <w:proofErr w:type="gramEnd"/>
      <w:r w:rsidR="00AD16B2" w:rsidRPr="00AD16B2">
        <w:rPr>
          <w:vertAlign w:val="superscript"/>
        </w:rPr>
        <w:footnoteReference w:id="38"/>
      </w:r>
      <w:r w:rsidR="00AD16B2" w:rsidRPr="00AD16B2">
        <w:t xml:space="preserve"> are just two indicators of the upheaval.</w:t>
      </w:r>
      <w:r w:rsidRPr="00DA6FB8">
        <w:t xml:space="preserve"> </w:t>
      </w:r>
      <w:r w:rsidR="1C37A553">
        <w:t xml:space="preserve">Participants expected that the unemployment </w:t>
      </w:r>
      <w:r w:rsidR="17CB3E37">
        <w:t xml:space="preserve">rates </w:t>
      </w:r>
      <w:r w:rsidR="00264623">
        <w:t xml:space="preserve">would </w:t>
      </w:r>
      <w:r w:rsidR="77228C97">
        <w:t>continue to</w:t>
      </w:r>
      <w:r w:rsidR="159FFAC4">
        <w:t xml:space="preserve"> </w:t>
      </w:r>
      <w:r w:rsidR="00264623">
        <w:t>rise</w:t>
      </w:r>
      <w:r w:rsidR="1C37A553">
        <w:t xml:space="preserve">, </w:t>
      </w:r>
      <w:r w:rsidR="42CEC75A">
        <w:t>further driving</w:t>
      </w:r>
      <w:r w:rsidR="1C37A553">
        <w:t xml:space="preserve"> </w:t>
      </w:r>
      <w:r w:rsidR="17D019FF">
        <w:t xml:space="preserve">up </w:t>
      </w:r>
      <w:r w:rsidR="1C37A553">
        <w:t>demand for employment advice</w:t>
      </w:r>
      <w:r w:rsidR="26440F64">
        <w:t>:</w:t>
      </w:r>
    </w:p>
    <w:p w14:paraId="1B5AA550" w14:textId="504EFF36" w:rsidR="00DA6FB8" w:rsidRPr="00DA6FB8" w:rsidRDefault="00900E91" w:rsidP="00900E91">
      <w:pPr>
        <w:ind w:left="720"/>
      </w:pPr>
      <w:r>
        <w:t>“</w:t>
      </w:r>
      <w:r w:rsidR="00264623">
        <w:t>O</w:t>
      </w:r>
      <w:r w:rsidR="1C37A553">
        <w:t>nce the furlough payments run out, they’re going to be getting rid of a lot of staff so people are g</w:t>
      </w:r>
      <w:r>
        <w:t>oing to need employment advice.”</w:t>
      </w:r>
      <w:r w:rsidR="00AD16B2" w:rsidRPr="00AD16B2">
        <w:t xml:space="preserve"> (Interview Z1)</w:t>
      </w:r>
    </w:p>
    <w:p w14:paraId="28914B9E" w14:textId="489623CF" w:rsidR="00DA6FB8" w:rsidRPr="00DA6FB8" w:rsidRDefault="40FABEB5" w:rsidP="00DA6FB8">
      <w:r w:rsidRPr="00DA6FB8">
        <w:t>This will also reduce the ability of people to pay for legal advice at the same time that the number of social welfare law issues</w:t>
      </w:r>
      <w:r w:rsidR="7616FEA3" w:rsidRPr="00DA6FB8">
        <w:t xml:space="preserve"> increases</w:t>
      </w:r>
      <w:r w:rsidRPr="00DA6FB8">
        <w:t xml:space="preserve">. Participants expected that when debt collection, housing evictions and the welfare safety net return to pre-Covid-19 operation and levels, the increase in demand will hit organisations hard. As one manager of an organisation that provides </w:t>
      </w:r>
      <w:proofErr w:type="gramStart"/>
      <w:r w:rsidRPr="00DA6FB8">
        <w:t>welfare</w:t>
      </w:r>
      <w:proofErr w:type="gramEnd"/>
      <w:r w:rsidRPr="00DA6FB8">
        <w:t xml:space="preserve"> rights and debt advice said:</w:t>
      </w:r>
    </w:p>
    <w:p w14:paraId="690EC4E3" w14:textId="5A887527" w:rsidR="00DA6FB8" w:rsidRPr="00DA6FB8" w:rsidRDefault="00900E91" w:rsidP="00900E91">
      <w:pPr>
        <w:ind w:left="720"/>
      </w:pPr>
      <w:r>
        <w:t>“</w:t>
      </w:r>
      <w:r w:rsidR="000475DB" w:rsidRPr="00AD16B2">
        <w:t>T</w:t>
      </w:r>
      <w:r w:rsidR="00DA6FB8" w:rsidRPr="00AD16B2">
        <w:t>he list [of postponed issues] is endless. </w:t>
      </w:r>
      <w:proofErr w:type="gramStart"/>
      <w:r w:rsidR="00DA6FB8" w:rsidRPr="00AD16B2">
        <w:t>It's</w:t>
      </w:r>
      <w:proofErr w:type="gramEnd"/>
      <w:r w:rsidR="00DA6FB8" w:rsidRPr="00AD16B2">
        <w:t> scary … How do we scale up to meet the demands of this, you know, COVID tsunami for welfare rights and money advice? Because it's coming and we are re</w:t>
      </w:r>
      <w:r>
        <w:t>ally, really going to struggle.”</w:t>
      </w:r>
      <w:r w:rsidR="00DA6FB8" w:rsidRPr="00AD16B2">
        <w:t xml:space="preserve"> </w:t>
      </w:r>
      <w:r w:rsidR="00AD16B2" w:rsidRPr="00AD16B2">
        <w:t>(Interview A2)</w:t>
      </w:r>
    </w:p>
    <w:p w14:paraId="76A42628" w14:textId="0FD2CEF4" w:rsidR="00DA6FB8" w:rsidRPr="00DA6FB8" w:rsidRDefault="40FABEB5" w:rsidP="00DA6FB8">
      <w:r w:rsidRPr="00DA6FB8">
        <w:lastRenderedPageBreak/>
        <w:t xml:space="preserve">If the unmet need for legal advice during the coming months is not reduced, </w:t>
      </w:r>
      <w:proofErr w:type="gramStart"/>
      <w:r w:rsidRPr="00DA6FB8">
        <w:t>so as to</w:t>
      </w:r>
      <w:proofErr w:type="gramEnd"/>
      <w:r w:rsidRPr="00DA6FB8">
        <w:t xml:space="preserve"> reduce the impact on the </w:t>
      </w:r>
      <w:proofErr w:type="spellStart"/>
      <w:r w:rsidRPr="00DA6FB8">
        <w:t>SDoH</w:t>
      </w:r>
      <w:proofErr w:type="spellEnd"/>
      <w:r w:rsidRPr="00DA6FB8">
        <w:t>, it will magnify the long-term socio-economic consequences and health inequalities</w:t>
      </w:r>
      <w:r w:rsidR="2F99A4BD" w:rsidRPr="00DA6FB8">
        <w:t xml:space="preserve"> caused by Covid-19</w:t>
      </w:r>
      <w:r w:rsidRPr="00DA6FB8">
        <w:t>.</w:t>
      </w:r>
      <w:r w:rsidR="00A91B55" w:rsidRPr="00DA6FB8">
        <w:rPr>
          <w:vertAlign w:val="superscript"/>
        </w:rPr>
        <w:footnoteReference w:id="39"/>
      </w:r>
      <w:r w:rsidRPr="00DA6FB8">
        <w:t xml:space="preserve"> </w:t>
      </w:r>
    </w:p>
    <w:p w14:paraId="1258C9BD" w14:textId="667BDED9" w:rsidR="00DA6FB8" w:rsidRPr="00885319" w:rsidRDefault="00885319" w:rsidP="00885319">
      <w:pPr>
        <w:pStyle w:val="Heading3"/>
      </w:pPr>
      <w:r w:rsidRPr="00885319">
        <w:t xml:space="preserve">B. </w:t>
      </w:r>
      <w:r w:rsidR="1EF02F12" w:rsidRPr="00885319">
        <w:t xml:space="preserve"> </w:t>
      </w:r>
      <w:r w:rsidRPr="00885319">
        <w:tab/>
      </w:r>
      <w:r w:rsidR="00DA6FB8" w:rsidRPr="00885319">
        <w:t>Legal Advice Ecosystem</w:t>
      </w:r>
    </w:p>
    <w:p w14:paraId="5A6D1FD3" w14:textId="53477AF2" w:rsidR="007A038F" w:rsidRDefault="40FABEB5" w:rsidP="4B426190">
      <w:r w:rsidRPr="00DA6FB8">
        <w:t>For the reasons indicated above</w:t>
      </w:r>
      <w:r w:rsidR="00E51751">
        <w:t>,</w:t>
      </w:r>
      <w:r w:rsidRPr="00DA6FB8">
        <w:t xml:space="preserve"> people now rely on a residual patchwork of free legal advice provision delivered by organisations that vary considerably in their aims, size, areas of law, level of advice, and client profile. One of the objectives of the research was to increase understanding of </w:t>
      </w:r>
      <w:r w:rsidR="00D21EB9">
        <w:t xml:space="preserve">the functioning of </w:t>
      </w:r>
      <w:r w:rsidRPr="00DA6FB8">
        <w:t>this network of organisations that support people in the process of resolving legal issues.</w:t>
      </w:r>
      <w:r w:rsidR="00DA6FB8" w:rsidRPr="00DA6FB8">
        <w:rPr>
          <w:vertAlign w:val="superscript"/>
        </w:rPr>
        <w:footnoteReference w:id="40"/>
      </w:r>
      <w:r w:rsidRPr="00DA6FB8">
        <w:t xml:space="preserve"> </w:t>
      </w:r>
      <w:r w:rsidR="00675E19">
        <w:t xml:space="preserve">There are three elements of the process to resolving people’s legal problems where the advice ecosystem can work holistically in </w:t>
      </w:r>
      <w:r w:rsidR="007F0882">
        <w:t>“</w:t>
      </w:r>
      <w:r w:rsidR="00675E19" w:rsidRPr="00DA6FB8">
        <w:t>the everyday legal problems paradigm of access to justice</w:t>
      </w:r>
      <w:r w:rsidR="007F0882">
        <w:t>”</w:t>
      </w:r>
      <w:r w:rsidR="00675E19" w:rsidRPr="00DA6FB8">
        <w:t>.</w:t>
      </w:r>
      <w:r w:rsidR="00675E19" w:rsidRPr="00DA6FB8">
        <w:rPr>
          <w:vertAlign w:val="superscript"/>
        </w:rPr>
        <w:footnoteReference w:id="41"/>
      </w:r>
      <w:r w:rsidR="00675E19" w:rsidRPr="00DA6FB8">
        <w:t xml:space="preserve"> </w:t>
      </w:r>
      <w:r w:rsidR="00675E19">
        <w:t xml:space="preserve"> </w:t>
      </w:r>
      <w:r w:rsidR="007A038F">
        <w:t>When</w:t>
      </w:r>
      <w:r w:rsidR="00D21EB9">
        <w:t xml:space="preserve"> trying to solve a legal issue, people </w:t>
      </w:r>
      <w:r w:rsidR="005F0FF5">
        <w:t xml:space="preserve">first </w:t>
      </w:r>
      <w:r w:rsidR="00D21EB9">
        <w:t>need to identify that they have a legal issue</w:t>
      </w:r>
      <w:r w:rsidR="00675E19">
        <w:t>.</w:t>
      </w:r>
      <w:r w:rsidR="007A038F">
        <w:t xml:space="preserve"> Organisations can </w:t>
      </w:r>
      <w:r w:rsidR="00675E19">
        <w:t xml:space="preserve">consider the client’s whole picture and </w:t>
      </w:r>
      <w:r w:rsidR="007A038F">
        <w:t xml:space="preserve">help </w:t>
      </w:r>
      <w:r w:rsidR="007A038F" w:rsidRPr="00DA6FB8">
        <w:t>people identify other issues where legal advice would help, beyond the client’s presenting problem</w:t>
      </w:r>
      <w:r w:rsidR="005F0FF5">
        <w:t>:</w:t>
      </w:r>
      <w:r w:rsidR="007A038F" w:rsidRPr="00DA6FB8">
        <w:t xml:space="preserve"> </w:t>
      </w:r>
    </w:p>
    <w:p w14:paraId="06DFC2CD" w14:textId="2E4D4CFC" w:rsidR="007A038F" w:rsidRPr="006E713D" w:rsidRDefault="00900E91" w:rsidP="0090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w:t>
      </w:r>
      <w:r w:rsidR="007A038F" w:rsidRPr="006E713D">
        <w:t xml:space="preserve">In the process of dealing with that debt, they’ll say, I have got </w:t>
      </w:r>
      <w:r w:rsidR="007A038F">
        <w:t>[this]</w:t>
      </w:r>
      <w:r w:rsidR="007A038F" w:rsidRPr="006E713D">
        <w:t xml:space="preserve"> much money coming </w:t>
      </w:r>
      <w:proofErr w:type="gramStart"/>
      <w:r w:rsidR="007A038F" w:rsidRPr="006E713D">
        <w:t>in,</w:t>
      </w:r>
      <w:proofErr w:type="gramEnd"/>
      <w:r w:rsidR="007A038F" w:rsidRPr="006E713D">
        <w:t xml:space="preserve"> and we’ll say wait a minute, that’s not right. You should be entitled to benefits. And then you know, we could identify a benefit issue </w:t>
      </w:r>
      <w:r w:rsidR="007A038F">
        <w:t>… T</w:t>
      </w:r>
      <w:r w:rsidR="007A038F" w:rsidRPr="006E713D">
        <w:t>here are 6 of you living in one roo</w:t>
      </w:r>
      <w:r>
        <w:t>m, we identify a housing issue.”</w:t>
      </w:r>
      <w:r w:rsidR="007A038F" w:rsidRPr="006E713D">
        <w:t xml:space="preserve"> (Interview O1).</w:t>
      </w:r>
    </w:p>
    <w:p w14:paraId="5140E37A" w14:textId="4235E870" w:rsidR="007A038F" w:rsidRDefault="00900E91" w:rsidP="00900E91">
      <w:pPr>
        <w:ind w:left="720"/>
      </w:pPr>
      <w:r>
        <w:t>“</w:t>
      </w:r>
      <w:r w:rsidR="007A038F">
        <w:t>A</w:t>
      </w:r>
      <w:r w:rsidR="007A038F" w:rsidRPr="00300B48">
        <w:t xml:space="preserve"> lot of the debt work that we do is in respect of Housing, where people have been issued with notices of intention of seeking possession and those types of issues.</w:t>
      </w:r>
      <w:r>
        <w:t>”</w:t>
      </w:r>
      <w:r w:rsidR="007A038F" w:rsidRPr="00300B48">
        <w:t xml:space="preserve"> (Interview F1)</w:t>
      </w:r>
    </w:p>
    <w:p w14:paraId="2B105594" w14:textId="3EDAB45E" w:rsidR="005F0FF5" w:rsidRDefault="007A038F" w:rsidP="4B426190">
      <w:r w:rsidRPr="4B426190">
        <w:t xml:space="preserve">It is recognised that a large number of people are likely to try to resolve an issue themselves before or after getting information about available services, and </w:t>
      </w:r>
      <w:r w:rsidR="005F0FF5" w:rsidRPr="4B426190">
        <w:t>self-ref</w:t>
      </w:r>
      <w:r w:rsidR="005F0FF5">
        <w:t>er</w:t>
      </w:r>
      <w:r>
        <w:t xml:space="preserve"> to advice once they realise that legal advice could be useful.</w:t>
      </w:r>
      <w:r w:rsidRPr="00DA6FB8">
        <w:rPr>
          <w:vertAlign w:val="superscript"/>
        </w:rPr>
        <w:footnoteReference w:id="42"/>
      </w:r>
      <w:r w:rsidR="005F0FF5">
        <w:t xml:space="preserve"> At this point, an organisation that does not provide the appropriate services can </w:t>
      </w:r>
      <w:r w:rsidR="00675E19">
        <w:t xml:space="preserve">provide the second element of </w:t>
      </w:r>
      <w:r w:rsidR="005F0FF5">
        <w:t xml:space="preserve">help by providing an effective referral to the type and </w:t>
      </w:r>
      <w:r w:rsidR="005F0FF5" w:rsidRPr="00DA6FB8">
        <w:t xml:space="preserve">appropriate level </w:t>
      </w:r>
      <w:r w:rsidR="00AD16B2">
        <w:t xml:space="preserve">of advice </w:t>
      </w:r>
      <w:r w:rsidR="005F0FF5" w:rsidRPr="00DA6FB8">
        <w:t>in the continuum of legal need</w:t>
      </w:r>
      <w:r w:rsidR="005F0FF5">
        <w:t>.</w:t>
      </w:r>
      <w:r w:rsidR="005F0FF5" w:rsidRPr="00DA6FB8">
        <w:rPr>
          <w:vertAlign w:val="superscript"/>
        </w:rPr>
        <w:footnoteReference w:id="43"/>
      </w:r>
      <w:r w:rsidR="005F0FF5">
        <w:t xml:space="preserve"> Finally, the legal advice itself </w:t>
      </w:r>
      <w:proofErr w:type="gramStart"/>
      <w:r w:rsidR="005F0FF5">
        <w:t>is needed</w:t>
      </w:r>
      <w:proofErr w:type="gramEnd"/>
      <w:r w:rsidR="005F0FF5">
        <w:t xml:space="preserve">. </w:t>
      </w:r>
    </w:p>
    <w:p w14:paraId="7ECA981A" w14:textId="3108DF11" w:rsidR="005F0FF5" w:rsidRPr="00DA6FB8" w:rsidRDefault="00675E19" w:rsidP="005F0FF5">
      <w:r>
        <w:t>T</w:t>
      </w:r>
      <w:r w:rsidR="005F0FF5" w:rsidRPr="00DA6FB8">
        <w:t xml:space="preserve">his approach acknowledges that legal and non-legal issues cause and are caused by each other and </w:t>
      </w:r>
      <w:proofErr w:type="gramStart"/>
      <w:r w:rsidR="005F0FF5" w:rsidRPr="00DA6FB8">
        <w:t>impact on</w:t>
      </w:r>
      <w:proofErr w:type="gramEnd"/>
      <w:r w:rsidR="005F0FF5" w:rsidRPr="00DA6FB8">
        <w:t xml:space="preserve"> the </w:t>
      </w:r>
      <w:proofErr w:type="spellStart"/>
      <w:r w:rsidR="005F0FF5" w:rsidRPr="00DA6FB8">
        <w:t>SDoH</w:t>
      </w:r>
      <w:proofErr w:type="spellEnd"/>
      <w:r w:rsidR="005F0FF5" w:rsidRPr="00DA6FB8">
        <w:t>, and that a diverse advice network helps people deal with the clusters of issues in their everyday</w:t>
      </w:r>
      <w:r w:rsidR="005F0FF5">
        <w:t xml:space="preserve"> lives</w:t>
      </w:r>
      <w:r w:rsidR="005F0FF5" w:rsidRPr="00DA6FB8">
        <w:t>.</w:t>
      </w:r>
      <w:r w:rsidR="005F0FF5">
        <w:rPr>
          <w:rStyle w:val="FootnoteReference"/>
        </w:rPr>
        <w:footnoteReference w:id="44"/>
      </w:r>
      <w:r w:rsidR="005F0FF5" w:rsidRPr="00DA6FB8">
        <w:t xml:space="preserve"> This will inform how best to respond to the Covid-19 impact on </w:t>
      </w:r>
      <w:proofErr w:type="spellStart"/>
      <w:r w:rsidR="005F0FF5" w:rsidRPr="00DA6FB8">
        <w:t>SDoH</w:t>
      </w:r>
      <w:proofErr w:type="spellEnd"/>
      <w:r w:rsidR="005F0FF5" w:rsidRPr="00DA6FB8">
        <w:t xml:space="preserve"> with a legal dimension. The next section discusses the impacts of Covid-19 on both phases of the advice process.</w:t>
      </w:r>
    </w:p>
    <w:p w14:paraId="592C024E" w14:textId="5165580D" w:rsidR="008122FC" w:rsidRPr="00885319" w:rsidRDefault="00885319" w:rsidP="00885319">
      <w:pPr>
        <w:pStyle w:val="Heading3"/>
      </w:pPr>
      <w:r w:rsidRPr="00885319">
        <w:lastRenderedPageBreak/>
        <w:t>C.</w:t>
      </w:r>
      <w:r w:rsidR="008122FC" w:rsidRPr="00885319">
        <w:t xml:space="preserve"> </w:t>
      </w:r>
      <w:r w:rsidRPr="00885319">
        <w:tab/>
      </w:r>
      <w:r w:rsidR="008122FC" w:rsidRPr="00885319">
        <w:t>Response to Covid-19 from the advice sector – digitalisation and remote services</w:t>
      </w:r>
    </w:p>
    <w:p w14:paraId="086142AE" w14:textId="77777777" w:rsidR="008122FC" w:rsidRPr="00DA6FB8" w:rsidRDefault="008122FC" w:rsidP="008122FC">
      <w:r w:rsidRPr="00DA6FB8">
        <w:t xml:space="preserve">For all organisations interviewed, </w:t>
      </w:r>
      <w:r>
        <w:t xml:space="preserve">the </w:t>
      </w:r>
      <w:r w:rsidRPr="00DA6FB8">
        <w:t xml:space="preserve">Covid-19 pandemic has changed how clients access advice services, and how organisations provide advice. The </w:t>
      </w:r>
      <w:proofErr w:type="gramStart"/>
      <w:r w:rsidRPr="00DA6FB8">
        <w:t>most immediate</w:t>
      </w:r>
      <w:proofErr w:type="gramEnd"/>
      <w:r w:rsidRPr="00DA6FB8">
        <w:t xml:space="preserve"> impact was the closure of offices and suspension of face-to-face services. Organisations had to furlough staff and volunteer numbers dropped, which further hit service capacity. Considerable and successful efforts have </w:t>
      </w:r>
      <w:r>
        <w:t>gone in to developing</w:t>
      </w:r>
      <w:r w:rsidRPr="00DA6FB8">
        <w:t xml:space="preserve"> new ways of working, and of communicating with clients. </w:t>
      </w:r>
      <w:r>
        <w:t>Pa</w:t>
      </w:r>
      <w:r w:rsidRPr="00DA6FB8">
        <w:t xml:space="preserve">rticipants reported an increasing use of telephone, email and other digital tools, such as Zoom and WhatsApp, to provide remote services. There is limited research </w:t>
      </w:r>
      <w:r>
        <w:t>on</w:t>
      </w:r>
      <w:r w:rsidRPr="00DA6FB8">
        <w:t xml:space="preserve"> the impact of digitalisation of advice services.</w:t>
      </w:r>
      <w:r w:rsidRPr="00DA6FB8">
        <w:rPr>
          <w:vertAlign w:val="superscript"/>
        </w:rPr>
        <w:footnoteReference w:id="45"/>
      </w:r>
      <w:r w:rsidRPr="00DA6FB8">
        <w:t xml:space="preserve"> Studies examining the shift to telephone-only legal aid services post- LASPO indicated that a shift to remote services could make it difficult to identify and address multiple legal </w:t>
      </w:r>
      <w:r>
        <w:t>issues and</w:t>
      </w:r>
      <w:r w:rsidRPr="00DA6FB8">
        <w:t xml:space="preserve"> indicated concern about the loss of face-to-face advice interviews for particularly vulnerable people</w:t>
      </w:r>
      <w:r>
        <w:t>, such as those with mental health difficulties or that are homeless</w:t>
      </w:r>
      <w:r w:rsidRPr="00DA6FB8">
        <w:t>.</w:t>
      </w:r>
      <w:r w:rsidRPr="00DA6FB8">
        <w:rPr>
          <w:vertAlign w:val="superscript"/>
        </w:rPr>
        <w:footnoteReference w:id="46"/>
      </w:r>
      <w:r w:rsidRPr="00DA6FB8">
        <w:t xml:space="preserve"> Participants in our study also expressed concern about </w:t>
      </w:r>
      <w:r w:rsidDel="40FABEB5">
        <w:t xml:space="preserve">vulnerable groups and the large numbers of </w:t>
      </w:r>
      <w:proofErr w:type="gramStart"/>
      <w:r w:rsidDel="40FABEB5">
        <w:t xml:space="preserve">people </w:t>
      </w:r>
      <w:r>
        <w:t xml:space="preserve"> </w:t>
      </w:r>
      <w:r w:rsidRPr="00DA6FB8">
        <w:t>trying</w:t>
      </w:r>
      <w:proofErr w:type="gramEnd"/>
      <w:r w:rsidRPr="00DA6FB8">
        <w:t xml:space="preserve"> to navigate an increasingly digital welfare system:</w:t>
      </w:r>
    </w:p>
    <w:p w14:paraId="1647C69C" w14:textId="1EEA4963" w:rsidR="008122FC" w:rsidRPr="00DA6FB8" w:rsidRDefault="00900E91" w:rsidP="00900E91">
      <w:pPr>
        <w:ind w:left="720"/>
      </w:pPr>
      <w:r>
        <w:t>“</w:t>
      </w:r>
      <w:r w:rsidR="008122FC" w:rsidRPr="00DA6FB8">
        <w:t>A lot of our clients fit into the vulnerable category … I think the concerns that the advice workers have is that these people are not getting a service from us or anyone else because of the nature of their emergency and the way the benefit system is gradually being transferred to a digital system. So, it’s not taken into account the fact that a lot of vulnerable people in our society are excluded from digita</w:t>
      </w:r>
      <w:r>
        <w:t>l.”</w:t>
      </w:r>
      <w:r w:rsidR="008122FC" w:rsidRPr="00DA6FB8">
        <w:t xml:space="preserve"> (Interview F1)</w:t>
      </w:r>
    </w:p>
    <w:p w14:paraId="5A9B0764" w14:textId="77777777" w:rsidR="008122FC" w:rsidRPr="00DA6FB8" w:rsidRDefault="008122FC" w:rsidP="008122FC">
      <w:r>
        <w:t xml:space="preserve">Participants also cited disabled people and older people as particularly difficult populations to serve via remote services: </w:t>
      </w:r>
    </w:p>
    <w:p w14:paraId="0877746D" w14:textId="29EC9127" w:rsidR="008122FC" w:rsidRPr="00DA6FB8" w:rsidRDefault="00900E91" w:rsidP="00900E91">
      <w:pPr>
        <w:ind w:left="720"/>
      </w:pPr>
      <w:r>
        <w:lastRenderedPageBreak/>
        <w:t>“</w:t>
      </w:r>
      <w:r w:rsidR="008122FC">
        <w:t xml:space="preserve">We’ve had lots of issues with people who are either deaf or blind as well … </w:t>
      </w:r>
      <w:proofErr w:type="spellStart"/>
      <w:r w:rsidR="008122FC">
        <w:t>Covid</w:t>
      </w:r>
      <w:proofErr w:type="spellEnd"/>
      <w:r w:rsidR="008122FC">
        <w:t xml:space="preserve"> has a massive impact, if they haven’t got the technology and are older it’s had a massive impact on the</w:t>
      </w:r>
      <w:r>
        <w:t>m being able to access anything”</w:t>
      </w:r>
      <w:r w:rsidR="008122FC">
        <w:t xml:space="preserve"> (Interview P2)</w:t>
      </w:r>
    </w:p>
    <w:p w14:paraId="69BA3F0E" w14:textId="1589F035" w:rsidR="008122FC" w:rsidRDefault="008122FC" w:rsidP="008122FC">
      <w:pPr>
        <w:spacing w:line="257" w:lineRule="auto"/>
        <w:rPr>
          <w:rFonts w:ascii="Calibri" w:eastAsia="Calibri" w:hAnsi="Calibri" w:cs="Calibri"/>
        </w:rPr>
      </w:pPr>
      <w:r>
        <w:t>Disabled people, as well as those with mental health difficulties</w:t>
      </w:r>
      <w:r w:rsidRPr="4B426190">
        <w:t xml:space="preserve">, are also likely to have considerable exposure to negative impacts on the </w:t>
      </w:r>
      <w:proofErr w:type="spellStart"/>
      <w:r w:rsidRPr="4B426190">
        <w:t>SDoH</w:t>
      </w:r>
      <w:proofErr w:type="spellEnd"/>
      <w:r w:rsidRPr="4B426190">
        <w:t xml:space="preserve">. </w:t>
      </w:r>
      <w:r>
        <w:t>D</w:t>
      </w:r>
      <w:r w:rsidRPr="00DC2065">
        <w:rPr>
          <w:rFonts w:ascii="Calibri" w:eastAsia="Calibri" w:hAnsi="Calibri" w:cs="Calibri"/>
        </w:rPr>
        <w:t xml:space="preserve">isabled people make up a majority of the </w:t>
      </w:r>
      <w:proofErr w:type="gramStart"/>
      <w:r w:rsidRPr="00DC2065">
        <w:rPr>
          <w:rFonts w:ascii="Calibri" w:eastAsia="Calibri" w:hAnsi="Calibri" w:cs="Calibri"/>
        </w:rPr>
        <w:t>working age benefit claimants</w:t>
      </w:r>
      <w:proofErr w:type="gramEnd"/>
      <w:r w:rsidRPr="00DC2065">
        <w:rPr>
          <w:rFonts w:ascii="Calibri" w:eastAsia="Calibri" w:hAnsi="Calibri" w:cs="Calibri"/>
        </w:rPr>
        <w:t xml:space="preserve"> in the UK</w:t>
      </w:r>
      <w:r>
        <w:rPr>
          <w:rFonts w:ascii="Calibri" w:eastAsia="Calibri" w:hAnsi="Calibri" w:cs="Calibri"/>
        </w:rPr>
        <w:t>,</w:t>
      </w:r>
      <w:r w:rsidR="006D26B1">
        <w:rPr>
          <w:rStyle w:val="FootnoteReference"/>
          <w:rFonts w:ascii="Calibri" w:eastAsia="Calibri" w:hAnsi="Calibri" w:cs="Calibri"/>
        </w:rPr>
        <w:footnoteReference w:id="47"/>
      </w:r>
      <w:r w:rsidRPr="00DC2065">
        <w:rPr>
          <w:rFonts w:ascii="Calibri" w:eastAsia="Calibri" w:hAnsi="Calibri" w:cs="Calibri"/>
        </w:rPr>
        <w:t xml:space="preserve"> tend to be out of work for longer, more likely to be in debt, and have significantly less savings and assets than non-disabled people.</w:t>
      </w:r>
      <w:r w:rsidR="006D26B1">
        <w:rPr>
          <w:rStyle w:val="FootnoteReference"/>
          <w:rFonts w:ascii="Calibri" w:eastAsia="Calibri" w:hAnsi="Calibri" w:cs="Calibri"/>
        </w:rPr>
        <w:footnoteReference w:id="48"/>
      </w:r>
    </w:p>
    <w:p w14:paraId="4D9A5D37" w14:textId="78448AB9" w:rsidR="008122FC" w:rsidRPr="00DA6FB8" w:rsidRDefault="008122FC" w:rsidP="008122FC">
      <w:r w:rsidRPr="00DA6FB8">
        <w:t>There are fears that Covid-19 will exacerbate the digital divide in society caused by a lack of digital skills or connectivity.</w:t>
      </w:r>
      <w:r w:rsidRPr="00DA6FB8">
        <w:rPr>
          <w:vertAlign w:val="superscript"/>
        </w:rPr>
        <w:footnoteReference w:id="49"/>
      </w:r>
      <w:r w:rsidRPr="00DA6FB8">
        <w:t xml:space="preserve"> The number of non-internet users is declining, but an ONS report estimated that in 2018 </w:t>
      </w:r>
      <w:r>
        <w:t>8</w:t>
      </w:r>
      <w:r w:rsidRPr="00DA6FB8">
        <w:t>% of the UK population were still internet non-users</w:t>
      </w:r>
      <w:r>
        <w:t xml:space="preserve">, </w:t>
      </w:r>
      <w:r w:rsidR="00F30C1E">
        <w:t>which</w:t>
      </w:r>
      <w:r>
        <w:t xml:space="preserve"> equates to 4.3 million people</w:t>
      </w:r>
      <w:r w:rsidRPr="00DA6FB8">
        <w:t>.</w:t>
      </w:r>
      <w:r w:rsidRPr="00DA6FB8">
        <w:rPr>
          <w:vertAlign w:val="superscript"/>
        </w:rPr>
        <w:footnoteReference w:id="50"/>
      </w:r>
      <w:r w:rsidRPr="00DA6FB8">
        <w:t xml:space="preserve"> Covid-19 has heightened the difficulties of accessing advice for these non-users because of the closure of almost all offices where people could ‘drop in’ for advice or have face-to-face interviews, and of places that had freely available online facilities, such as libraries and online learning centres:</w:t>
      </w:r>
    </w:p>
    <w:p w14:paraId="35F6E40B" w14:textId="039452DF" w:rsidR="008122FC" w:rsidRPr="00DA6FB8" w:rsidRDefault="00900E91" w:rsidP="00900E91">
      <w:pPr>
        <w:ind w:left="720"/>
      </w:pPr>
      <w:r>
        <w:t>“</w:t>
      </w:r>
      <w:r w:rsidR="008122FC">
        <w:t xml:space="preserve">The impact of </w:t>
      </w:r>
      <w:proofErr w:type="spellStart"/>
      <w:r w:rsidR="008122FC">
        <w:t>Covid</w:t>
      </w:r>
      <w:proofErr w:type="spellEnd"/>
      <w:r w:rsidR="008122FC">
        <w:t xml:space="preserve"> right across the board is the inability to sit in a room and give advice face to face. </w:t>
      </w:r>
      <w:proofErr w:type="gramStart"/>
      <w:r w:rsidR="008122FC">
        <w:t>So</w:t>
      </w:r>
      <w:proofErr w:type="gramEnd"/>
      <w:r w:rsidR="008122FC">
        <w:t>, I had a Zoom surgery the other day. It excludes people a Zoom surgery</w:t>
      </w:r>
      <w:r w:rsidR="00A91B55">
        <w:t xml:space="preserve"> </w:t>
      </w:r>
      <w:r w:rsidR="008122FC">
        <w:t xml:space="preserve">… there will be a lot of people that can’t get online … </w:t>
      </w:r>
      <w:proofErr w:type="gramStart"/>
      <w:r w:rsidR="008122FC">
        <w:t>it’s</w:t>
      </w:r>
      <w:proofErr w:type="gramEnd"/>
      <w:r w:rsidR="008122FC">
        <w:t xml:space="preserve"> inequality again isn’t it?  And that’s a huge </w:t>
      </w:r>
      <w:proofErr w:type="gramStart"/>
      <w:r w:rsidR="008122FC">
        <w:t>concern,</w:t>
      </w:r>
      <w:proofErr w:type="gramEnd"/>
      <w:r w:rsidR="008122FC">
        <w:t xml:space="preserve"> people are already struggling to access justice, now they can’t come in and kno</w:t>
      </w:r>
      <w:r>
        <w:t>ck on the door once in a while.”</w:t>
      </w:r>
      <w:r w:rsidR="008122FC">
        <w:t xml:space="preserve"> (Interview P1) </w:t>
      </w:r>
    </w:p>
    <w:p w14:paraId="5B974466" w14:textId="77777777" w:rsidR="008122FC" w:rsidRPr="00DA6FB8" w:rsidRDefault="008122FC" w:rsidP="008122FC">
      <w:r>
        <w:t xml:space="preserve">Face-to-face interviews </w:t>
      </w:r>
      <w:proofErr w:type="gramStart"/>
      <w:r>
        <w:t>are seen</w:t>
      </w:r>
      <w:proofErr w:type="gramEnd"/>
      <w:r>
        <w:t xml:space="preserve"> as a better means to explore clusters of legal and non-legal problems that people commonly have. When discussing online debt advice, this participant emphasised the perceived benefit of face-to-face services:</w:t>
      </w:r>
    </w:p>
    <w:p w14:paraId="5527E50E" w14:textId="1C54C073" w:rsidR="008122FC" w:rsidRPr="00DA6FB8" w:rsidRDefault="00900E91" w:rsidP="00900E91">
      <w:pPr>
        <w:ind w:left="720"/>
      </w:pPr>
      <w:proofErr w:type="gramStart"/>
      <w:r>
        <w:t>“</w:t>
      </w:r>
      <w:r w:rsidR="008122FC" w:rsidRPr="00DA6FB8">
        <w:t>We are seeing so many people shift to phone-based and online mechanisms as a way of creating efficiency, allowing choice … We would strongly advocate face–to-face debt advice … because most of the time still people won’t tell you about the marriage breakdown, their recovery from addiction, the problems they have been having with their children, so there is a bi</w:t>
      </w:r>
      <w:r>
        <w:t>g unpacking before you end up, ‘</w:t>
      </w:r>
      <w:r w:rsidR="008122FC" w:rsidRPr="00DA6FB8">
        <w:t>ok, tell us about your finances and wh</w:t>
      </w:r>
      <w:r>
        <w:t>at you want me to do with that’</w:t>
      </w:r>
      <w:r w:rsidR="005A5CB0">
        <w:t>.</w:t>
      </w:r>
      <w:r>
        <w:t>”</w:t>
      </w:r>
      <w:proofErr w:type="gramEnd"/>
      <w:r w:rsidR="008122FC" w:rsidRPr="00DA6FB8" w:rsidDel="00161015">
        <w:t xml:space="preserve"> </w:t>
      </w:r>
      <w:r w:rsidR="008122FC" w:rsidRPr="00DA6FB8">
        <w:t>(Interview B1)</w:t>
      </w:r>
    </w:p>
    <w:p w14:paraId="768B286B" w14:textId="77777777" w:rsidR="008122FC" w:rsidRPr="00DA6FB8" w:rsidRDefault="008122FC" w:rsidP="008122FC">
      <w:r>
        <w:t xml:space="preserve">Remote services, such as increased capacity of phone lines, can effectively provide advice for a large portion of the population.  Switching to remote services though has a downside. They will reduce </w:t>
      </w:r>
      <w:r>
        <w:lastRenderedPageBreak/>
        <w:t xml:space="preserve">the ability to provide advice to particularly vulnerable people, where the impact on </w:t>
      </w:r>
      <w:proofErr w:type="spellStart"/>
      <w:r>
        <w:t>SDoH</w:t>
      </w:r>
      <w:proofErr w:type="spellEnd"/>
      <w:r>
        <w:t xml:space="preserve"> will be greatest, and reduce the ability to address clusters of problems.</w:t>
      </w:r>
    </w:p>
    <w:p w14:paraId="539A8502" w14:textId="6D3C5627" w:rsidR="008122FC" w:rsidRPr="00DA6FB8" w:rsidRDefault="00885319" w:rsidP="00885319">
      <w:pPr>
        <w:pStyle w:val="Heading3"/>
      </w:pPr>
      <w:r>
        <w:t xml:space="preserve">D. </w:t>
      </w:r>
      <w:r w:rsidR="008122FC">
        <w:t xml:space="preserve"> </w:t>
      </w:r>
      <w:r>
        <w:tab/>
      </w:r>
      <w:r w:rsidR="008122FC">
        <w:t>Response to Covid-19 from the advice network – starting the advice process</w:t>
      </w:r>
    </w:p>
    <w:p w14:paraId="69ED8C8B" w14:textId="0315B134" w:rsidR="008122FC" w:rsidRPr="00DA6FB8" w:rsidRDefault="008122FC" w:rsidP="008122FC">
      <w:r w:rsidRPr="00DA6FB8">
        <w:t xml:space="preserve">The removal of face-to-face services has limited the means by which people start the journey towards resolving issues and getting access to advice services. The closure of physical offices and the shift to telephone or digital provision has had a generalised impact on clients that previously might have accessed advice services co-located in, or via referral from, places that provide mainly non-advice services. These include foodbanks, support for homeless people, GP surgeries and hospitals, support for people suffering from domestic abuse, community and faith centres, and so on. A number of these organisations also provide advice services, most commonly welfare rights or debt advice. Whether they provide advice or not, they are an important part of the network because they help identify </w:t>
      </w:r>
      <w:proofErr w:type="gramStart"/>
      <w:r w:rsidRPr="00DA6FB8">
        <w:t>when legal advice could be beneficial and then signpost</w:t>
      </w:r>
      <w:proofErr w:type="gramEnd"/>
      <w:r w:rsidRPr="00DA6FB8">
        <w:t xml:space="preserve"> or refer people, or work with a co-located service to facilitate a more holistic approach to the problems in people’s everyday lives. Our research identified referrals as an important function of the advice network, and part of the project funding has developed a new referral process in Liverpool. Understanding the benefits of effective referrals and co-location of services needs more </w:t>
      </w:r>
      <w:r>
        <w:t>exploration</w:t>
      </w:r>
      <w:r w:rsidRPr="00DA6FB8">
        <w:t>.</w:t>
      </w:r>
      <w:r w:rsidRPr="00DA6FB8">
        <w:rPr>
          <w:vertAlign w:val="superscript"/>
        </w:rPr>
        <w:footnoteReference w:id="51"/>
      </w:r>
      <w:r w:rsidRPr="00DA6FB8">
        <w:t xml:space="preserve"> </w:t>
      </w:r>
      <w:proofErr w:type="gramStart"/>
      <w:r w:rsidRPr="00DA6FB8">
        <w:t>Co-location of advice and health services is seen by health professionals</w:t>
      </w:r>
      <w:proofErr w:type="gramEnd"/>
      <w:r w:rsidRPr="00DA6FB8">
        <w:t xml:space="preserve"> as </w:t>
      </w:r>
      <w:r>
        <w:t xml:space="preserve">particularly </w:t>
      </w:r>
      <w:r w:rsidRPr="00DA6FB8">
        <w:t>beneficial from a health/patient perspective</w:t>
      </w:r>
      <w:r w:rsidR="000C04A3">
        <w:t>.</w:t>
      </w:r>
      <w:r w:rsidR="000C04A3">
        <w:rPr>
          <w:rStyle w:val="FootnoteReference"/>
        </w:rPr>
        <w:footnoteReference w:id="52"/>
      </w:r>
      <w:r w:rsidR="000C04A3">
        <w:t xml:space="preserve"> Co-location </w:t>
      </w:r>
      <w:proofErr w:type="gramStart"/>
      <w:r w:rsidR="003461DF">
        <w:t>has also been</w:t>
      </w:r>
      <w:r w:rsidR="00343FA3">
        <w:t xml:space="preserve"> </w:t>
      </w:r>
      <w:r w:rsidR="000C04A3">
        <w:t>recognised</w:t>
      </w:r>
      <w:proofErr w:type="gramEnd"/>
      <w:r w:rsidR="000C04A3">
        <w:t xml:space="preserve"> as </w:t>
      </w:r>
      <w:r w:rsidR="003461DF">
        <w:t>a key factor in preventing the causes of destitution</w:t>
      </w:r>
      <w:r w:rsidR="00343FA3">
        <w:t xml:space="preserve">, many of which are also </w:t>
      </w:r>
      <w:proofErr w:type="spellStart"/>
      <w:r w:rsidR="00343FA3">
        <w:t>SDoH</w:t>
      </w:r>
      <w:proofErr w:type="spellEnd"/>
      <w:r w:rsidR="00343FA3">
        <w:t>.</w:t>
      </w:r>
      <w:r w:rsidRPr="00DA6FB8">
        <w:rPr>
          <w:vertAlign w:val="superscript"/>
        </w:rPr>
        <w:footnoteReference w:id="53"/>
      </w:r>
      <w:r w:rsidRPr="00DA6FB8">
        <w:t xml:space="preserve"> </w:t>
      </w:r>
      <w:r w:rsidR="000C04A3">
        <w:t>W</w:t>
      </w:r>
      <w:r w:rsidRPr="00DA6FB8">
        <w:t xml:space="preserve">e </w:t>
      </w:r>
      <w:r w:rsidR="000C04A3">
        <w:t xml:space="preserve">nevertheless </w:t>
      </w:r>
      <w:r w:rsidRPr="00DA6FB8">
        <w:t>need a deeper understanding of this</w:t>
      </w:r>
      <w:r>
        <w:t xml:space="preserve"> pathway</w:t>
      </w:r>
      <w:r w:rsidRPr="00DA6FB8">
        <w:t xml:space="preserve"> from a legal advice perspective. This is important for the strategic development of advice service networks that address the legal dimension of </w:t>
      </w:r>
      <w:proofErr w:type="spellStart"/>
      <w:r w:rsidRPr="00DA6FB8">
        <w:t>SDoH</w:t>
      </w:r>
      <w:proofErr w:type="spellEnd"/>
      <w:r w:rsidRPr="00DA6FB8">
        <w:t>.</w:t>
      </w:r>
    </w:p>
    <w:p w14:paraId="5935A323" w14:textId="0526ED1E" w:rsidR="008122FC" w:rsidRPr="00DA6FB8" w:rsidRDefault="008122FC" w:rsidP="008122FC">
      <w:r w:rsidRPr="00DA6FB8">
        <w:t>Research shows that integrating advice services in primary, secondary and tertiary health settings reduces demand on the NHS, leads to fewer repeat appointments</w:t>
      </w:r>
      <w:r>
        <w:t>,</w:t>
      </w:r>
      <w:r w:rsidRPr="00DA6FB8">
        <w:t xml:space="preserve"> fewer prescriptions, and promotes better physical and mental health.</w:t>
      </w:r>
      <w:r w:rsidRPr="00DA6FB8">
        <w:rPr>
          <w:vertAlign w:val="superscript"/>
        </w:rPr>
        <w:footnoteReference w:id="54"/>
      </w:r>
      <w:r w:rsidRPr="00DA6FB8">
        <w:t xml:space="preserve"> </w:t>
      </w:r>
      <w:r w:rsidR="00D25EA5">
        <w:t xml:space="preserve">This allows medical staff </w:t>
      </w:r>
      <w:r w:rsidR="00F30C1E">
        <w:t xml:space="preserve">more time </w:t>
      </w:r>
      <w:r w:rsidR="00D25EA5">
        <w:t>to focus on the patient’s health care needs, with a consequential positive impact on the workload of healthcare staff</w:t>
      </w:r>
      <w:r>
        <w:t xml:space="preserve">. It also benefits clients as </w:t>
      </w:r>
      <w:proofErr w:type="gramStart"/>
      <w:r>
        <w:t xml:space="preserve">their </w:t>
      </w:r>
      <w:r w:rsidRPr="00DA6FB8">
        <w:t xml:space="preserve">legal issues </w:t>
      </w:r>
      <w:r>
        <w:t xml:space="preserve">are </w:t>
      </w:r>
      <w:r w:rsidRPr="00DA6FB8">
        <w:t xml:space="preserve">dealt with by persons specifically trained to address and support them, and to recognise </w:t>
      </w:r>
      <w:r w:rsidR="000C04A3">
        <w:t xml:space="preserve">additional </w:t>
      </w:r>
      <w:r w:rsidR="000C04A3" w:rsidRPr="00DA6FB8">
        <w:t>issues</w:t>
      </w:r>
      <w:r w:rsidRPr="00DA6FB8">
        <w:t xml:space="preserve"> with a legal dimension</w:t>
      </w:r>
      <w:proofErr w:type="gramEnd"/>
      <w:r w:rsidRPr="00DA6FB8">
        <w:t>. Participant organisations that were co-located within health service settings acknowledged the importance of this visibility – both to health professionals and to the people that may need this support:</w:t>
      </w:r>
    </w:p>
    <w:p w14:paraId="79C04C1B" w14:textId="0D9601EC" w:rsidR="008122FC" w:rsidRPr="00DA6FB8" w:rsidRDefault="00900E91" w:rsidP="00900E91">
      <w:pPr>
        <w:ind w:left="720"/>
      </w:pPr>
      <w:r>
        <w:t>“</w:t>
      </w:r>
      <w:r w:rsidR="008122FC">
        <w:t>One of the reasons we [the advice organisation] were called in by the CCG [Clinical Commissioning Group] was to reduce the number of nonclinical presentations. … a widely spread view is that up to 20% of presentations to GPs ofte</w:t>
      </w:r>
      <w:r>
        <w:t>n are for non-medical purposes.”</w:t>
      </w:r>
      <w:r w:rsidR="008122FC">
        <w:t xml:space="preserve"> (Interview 03)</w:t>
      </w:r>
    </w:p>
    <w:p w14:paraId="61349234" w14:textId="40925AB7" w:rsidR="008122FC" w:rsidRPr="00DA6FB8" w:rsidRDefault="00900E91" w:rsidP="00900E91">
      <w:pPr>
        <w:ind w:left="720"/>
      </w:pPr>
      <w:r>
        <w:lastRenderedPageBreak/>
        <w:t>“</w:t>
      </w:r>
      <w:r w:rsidR="008122FC" w:rsidRPr="00DA6FB8">
        <w:t>Because we are in [a health setting]</w:t>
      </w:r>
      <w:r w:rsidR="005A5CB0">
        <w:t xml:space="preserve"> </w:t>
      </w:r>
      <w:r w:rsidR="008122FC" w:rsidRPr="00DA6FB8">
        <w:t>… which we’ve been for 20 odd years… we are able to meet people in the [health setting] as they are coming out of clinics. So we’r</w:t>
      </w:r>
      <w:r>
        <w:t>e there at their point of need.”</w:t>
      </w:r>
      <w:r w:rsidR="008122FC" w:rsidRPr="00DA6FB8">
        <w:t> (Interview C1)</w:t>
      </w:r>
    </w:p>
    <w:p w14:paraId="38D9D265" w14:textId="77777777" w:rsidR="008122FC" w:rsidRPr="00DA6FB8" w:rsidRDefault="008122FC" w:rsidP="008122FC">
      <w:proofErr w:type="gramStart"/>
      <w:r>
        <w:t>As a result</w:t>
      </w:r>
      <w:proofErr w:type="gramEnd"/>
      <w:r>
        <w:t xml:space="preserve"> of lockdown and moving services online, for a short period GP surgeries were no longer referring to welfare support services. Some organisations addressed this gap for potential clients by approaching GP surgeries for lists of particularly vulnerable individuals (e.g. shielding groups) for them to contact. This allowed them to overcome some of the immediate drop-in client support and enable issues to be </w:t>
      </w:r>
      <w:proofErr w:type="gramStart"/>
      <w:r>
        <w:t>identified</w:t>
      </w:r>
      <w:proofErr w:type="gramEnd"/>
      <w:r>
        <w:t xml:space="preserve"> and progressed. Numerous other non-health organisations also saw Covid-19 </w:t>
      </w:r>
      <w:proofErr w:type="gramStart"/>
      <w:r>
        <w:t>impact</w:t>
      </w:r>
      <w:proofErr w:type="gramEnd"/>
      <w:r>
        <w:t xml:space="preserve"> the gateway to advice to address the </w:t>
      </w:r>
      <w:proofErr w:type="spellStart"/>
      <w:r>
        <w:t>SDoH</w:t>
      </w:r>
      <w:proofErr w:type="spellEnd"/>
      <w:r>
        <w:t>.</w:t>
      </w:r>
    </w:p>
    <w:p w14:paraId="1769500D" w14:textId="77777777" w:rsidR="008122FC" w:rsidRPr="00DA6FB8" w:rsidRDefault="008122FC" w:rsidP="008122FC">
      <w:r w:rsidRPr="00DA6FB8">
        <w:t>Participant organisations that served asylum seekers talked about the difficulties for them to access immigration or asylum advice, particularly when English is a person’s second language:</w:t>
      </w:r>
    </w:p>
    <w:p w14:paraId="3E30B0A7" w14:textId="5F7A2FC7" w:rsidR="008122FC" w:rsidRPr="00DA6FB8" w:rsidRDefault="00900E91" w:rsidP="00900E91">
      <w:pPr>
        <w:ind w:left="720"/>
      </w:pPr>
      <w:r>
        <w:t>“</w:t>
      </w:r>
      <w:r w:rsidR="008122FC" w:rsidRPr="00DA6FB8">
        <w:t>The biggest thing now, at the moment is the asylum seekers that have just disappeared, and they are not making [those] calls … because of the circu</w:t>
      </w:r>
      <w:r>
        <w:t xml:space="preserve">mstances with the Coronavirus.” </w:t>
      </w:r>
      <w:r w:rsidR="008122FC" w:rsidRPr="00DA6FB8">
        <w:t xml:space="preserve">(Interview S1) </w:t>
      </w:r>
    </w:p>
    <w:p w14:paraId="6CF5DDC4" w14:textId="77777777" w:rsidR="008122FC" w:rsidRPr="00DA6FB8" w:rsidRDefault="008122FC" w:rsidP="008122FC">
      <w:r w:rsidRPr="00DA6FB8">
        <w:t xml:space="preserve">Previously asylum seekers would have commonly accessed services through going to a </w:t>
      </w:r>
      <w:r>
        <w:t xml:space="preserve">physical </w:t>
      </w:r>
      <w:r w:rsidRPr="00DA6FB8">
        <w:t xml:space="preserve">drop-in support session, perhaps at a community or faith centre. Participants reported providing these services as an outlet for </w:t>
      </w:r>
      <w:r>
        <w:t>general</w:t>
      </w:r>
      <w:r w:rsidRPr="00DA6FB8">
        <w:t xml:space="preserve"> social interaction if people wanted, but that language support is available and staff or volunteers have information about how to get legal advice when they become aware that it </w:t>
      </w:r>
      <w:proofErr w:type="gramStart"/>
      <w:r w:rsidRPr="00DA6FB8">
        <w:t>is needed</w:t>
      </w:r>
      <w:proofErr w:type="gramEnd"/>
      <w:r w:rsidRPr="00DA6FB8">
        <w:t xml:space="preserve">. Closure of these physical centres due to Covid-19 reduces the likelihood of incidental identification of </w:t>
      </w:r>
      <w:proofErr w:type="spellStart"/>
      <w:r w:rsidRPr="00DA6FB8">
        <w:t>SDoH</w:t>
      </w:r>
      <w:proofErr w:type="spellEnd"/>
      <w:r w:rsidRPr="00DA6FB8">
        <w:t xml:space="preserve"> with a legal dimension. Even if someone has identified that they need legal advice, using a telephone to explain </w:t>
      </w:r>
      <w:proofErr w:type="gramStart"/>
      <w:r w:rsidRPr="00DA6FB8">
        <w:t>often complex</w:t>
      </w:r>
      <w:proofErr w:type="gramEnd"/>
      <w:r w:rsidRPr="00DA6FB8">
        <w:t xml:space="preserve"> issues is far more challenging when English is your second language, and can act as a barrier to accessing advice.</w:t>
      </w:r>
    </w:p>
    <w:p w14:paraId="2F49A602" w14:textId="77777777" w:rsidR="008122FC" w:rsidRPr="00DA6FB8" w:rsidRDefault="008122FC" w:rsidP="008122FC">
      <w:r w:rsidRPr="00DA6FB8">
        <w:t xml:space="preserve">Foodbanks also recognise the role of legal advice in helping reduce food poverty and </w:t>
      </w:r>
      <w:r>
        <w:t xml:space="preserve">ill </w:t>
      </w:r>
      <w:r w:rsidRPr="00DA6FB8">
        <w:t xml:space="preserve">health. They have remained open but Covid-19 has driven up demand and conditioned the ability to engage with people using the foodbank. </w:t>
      </w:r>
      <w:r w:rsidRPr="73AAC10A">
        <w:t>One participant explained that they train volunteers to open conversation with service users with the aim of identifying where other services, including advice services, could be beneficial to resolving the life issues that had brought them to the foodbank. They reported that regrettably the steady rise in demand pre-Covid-19 had already meant a reduction in the time available to train volunteers and to carry out this role.</w:t>
      </w:r>
      <w:r w:rsidRPr="73AAC10A">
        <w:rPr>
          <w:vertAlign w:val="superscript"/>
        </w:rPr>
        <w:footnoteReference w:id="55"/>
      </w:r>
      <w:r w:rsidRPr="73AAC10A">
        <w:t xml:space="preserve"> Covid-19 further increased demand for the foodbank, reducing even more the time available to identify and support wider issues, and the contact restrictions made it harder to engage with service users. One response of this organisation has been to find funding, albeit short term and linked to the Covid-19 crisis, to deliver welfare rights advice, but this does not replace the role of helping people identify when a </w:t>
      </w:r>
      <w:proofErr w:type="spellStart"/>
      <w:r w:rsidRPr="73AAC10A">
        <w:t>SDoH</w:t>
      </w:r>
      <w:proofErr w:type="spellEnd"/>
      <w:r w:rsidRPr="73AAC10A">
        <w:t xml:space="preserve"> could be improved through legal advice. The Covid-19 crisis is likely to have left more people unable to find support to address the underlying issues that have led to the </w:t>
      </w:r>
      <w:r>
        <w:t xml:space="preserve">use of </w:t>
      </w:r>
      <w:r w:rsidRPr="73AAC10A">
        <w:t>foodbank</w:t>
      </w:r>
      <w:r>
        <w:t>s</w:t>
      </w:r>
      <w:r w:rsidRPr="73AAC10A">
        <w:t>.</w:t>
      </w:r>
    </w:p>
    <w:p w14:paraId="377273AB" w14:textId="14C3FAC7" w:rsidR="008122FC" w:rsidRPr="00DA6FB8" w:rsidRDefault="008122FC" w:rsidP="008122FC">
      <w:r w:rsidRPr="00DA6FB8">
        <w:t xml:space="preserve">One reason </w:t>
      </w:r>
      <w:r>
        <w:t xml:space="preserve">why </w:t>
      </w:r>
      <w:r w:rsidRPr="00DA6FB8">
        <w:t>these points of access to the advice sector are important is that people often do not identify life issues or events as being legal in nature, or that legal advice could help their situation.</w:t>
      </w:r>
      <w:r w:rsidRPr="00DA6FB8">
        <w:rPr>
          <w:vertAlign w:val="superscript"/>
        </w:rPr>
        <w:footnoteReference w:id="56"/>
      </w:r>
      <w:r w:rsidRPr="00DA6FB8">
        <w:t xml:space="preserve"> They also often access these services at a crisis point when they most need advice. Commonly in the process of someone trying to resolve an immediate concern, such as a health issue or a lack of food, </w:t>
      </w:r>
      <w:r w:rsidRPr="00DA6FB8">
        <w:lastRenderedPageBreak/>
        <w:t>the service provider contacted is able to identify the need for legal advice and initiate the referral. It is often only through conversation with, for example, a support worker, GP or foodbank volunteer, that someone becomes aware that legal advice could help them, or is available to them. The worker recognises that advice can help wider life issues through reducing poverty and improving health outcomes, and refer the person to the relevant service. This wide range of organisations acting as gateways increases access to advice services because of the trust people have in those centres, and because they reduce the stigma attached to seeking free legal advice.</w:t>
      </w:r>
      <w:r w:rsidRPr="00DA6FB8">
        <w:rPr>
          <w:vertAlign w:val="superscript"/>
        </w:rPr>
        <w:footnoteReference w:id="57"/>
      </w:r>
      <w:r w:rsidRPr="00DA6FB8">
        <w:t xml:space="preserve"> </w:t>
      </w:r>
      <w:r w:rsidRPr="73AAC10A">
        <w:t xml:space="preserve">The </w:t>
      </w:r>
      <w:r w:rsidR="00D25EA5">
        <w:t xml:space="preserve">work of these organisations thus helps to develop and support clients’ legal capability, which is vital to </w:t>
      </w:r>
      <w:r w:rsidRPr="73AAC10A">
        <w:t>manag</w:t>
      </w:r>
      <w:r w:rsidR="00D25EA5">
        <w:t>ing</w:t>
      </w:r>
      <w:r w:rsidRPr="73AAC10A">
        <w:t xml:space="preserve"> socio-economic risks. The number of clients starting their route to resolving an issue in this way is likely to reflect the substantial deficit of legal knowledge in England and Wales.</w:t>
      </w:r>
      <w:r w:rsidRPr="73AAC10A">
        <w:rPr>
          <w:vertAlign w:val="superscript"/>
        </w:rPr>
        <w:footnoteReference w:id="58"/>
      </w:r>
    </w:p>
    <w:p w14:paraId="3CCC31E6" w14:textId="77777777" w:rsidR="008122FC" w:rsidRPr="00DA6FB8" w:rsidRDefault="008122FC" w:rsidP="008122FC">
      <w:r>
        <w:t>The advice sector in Liverpool has adapted swiftly to the Covid-19 crisis and extended remote opportunities for people to access advice services to cope with the surge in demand. Our participants, though, have highlighted the importance of understanding how different groups access and use advice services when designing them, and the importance of collaboration with a diverse range of organisations, in health and other sectors, to maximise access to legal advice in Liverpool.</w:t>
      </w:r>
    </w:p>
    <w:p w14:paraId="00A3290A" w14:textId="77777777" w:rsidR="008122FC" w:rsidRPr="00DA6FB8" w:rsidRDefault="008122FC" w:rsidP="008122FC">
      <w:pPr>
        <w:rPr>
          <w:bCs/>
        </w:rPr>
      </w:pPr>
      <w:r w:rsidRPr="00DA6FB8">
        <w:t xml:space="preserve">The distinction between different roles of organisations can be fluid and does not always hold true over time, primarily due to funding and demand. One participant organisation, for example, works out of hospitals to support people with a brain injury in all aspects of their life. The degree to which they can provide advice internally varies. Their funding for giving employment advice ended in March 2021, just as the demand started to increase. This is indicative of the challenge of collaboration in the sector and the highly fragmented funding for legal advice. </w:t>
      </w:r>
    </w:p>
    <w:p w14:paraId="0E6A0801" w14:textId="77777777" w:rsidR="008122FC" w:rsidRPr="00DA6FB8" w:rsidRDefault="008122FC" w:rsidP="008122FC">
      <w:r>
        <w:t>Integrated health and legal advice services are an important part of Liverpool’s advice network. The value of these services in reducing health inequalities is increasingly recognised. For example, the report into the role of advice service in health outcomes following the Low Commission stated:</w:t>
      </w:r>
    </w:p>
    <w:p w14:paraId="14C1B7A7" w14:textId="3A593DE6" w:rsidR="008122FC" w:rsidRPr="00DA6FB8" w:rsidRDefault="00885319" w:rsidP="00885319">
      <w:pPr>
        <w:ind w:left="720"/>
        <w:rPr>
          <w:bCs/>
        </w:rPr>
      </w:pPr>
      <w:r>
        <w:t>“</w:t>
      </w:r>
      <w:r w:rsidR="008122FC" w:rsidRPr="73AAC10A">
        <w:t>There is demonstrable evidence that when advice and health sectors work more closely and strategically to meet advice needs this contributes to reducing health inequalities. Direct commissioning … targets the most vulnerable within settings which they trust and where their specif</w:t>
      </w:r>
      <w:r>
        <w:t>ic health needs are understood.”</w:t>
      </w:r>
      <w:r w:rsidR="008122FC" w:rsidRPr="73AAC10A">
        <w:rPr>
          <w:vertAlign w:val="superscript"/>
        </w:rPr>
        <w:footnoteReference w:id="59"/>
      </w:r>
    </w:p>
    <w:p w14:paraId="66AF43DD" w14:textId="3488BFDF" w:rsidR="008122FC" w:rsidRPr="00DA6FB8" w:rsidRDefault="008122FC" w:rsidP="008122FC">
      <w:pPr>
        <w:rPr>
          <w:bCs/>
        </w:rPr>
      </w:pPr>
      <w:r w:rsidRPr="73AAC10A">
        <w:t>This evidence comes from a number of projects that have delivered advice in health settings, often focussed on welfare rights advice,</w:t>
      </w:r>
      <w:r w:rsidRPr="73AAC10A">
        <w:rPr>
          <w:vertAlign w:val="superscript"/>
        </w:rPr>
        <w:footnoteReference w:id="60"/>
      </w:r>
      <w:r w:rsidRPr="73AAC10A">
        <w:t xml:space="preserve"> but </w:t>
      </w:r>
      <w:r>
        <w:t>there are</w:t>
      </w:r>
      <w:r w:rsidRPr="73AAC10A">
        <w:t xml:space="preserve"> numerous gaps</w:t>
      </w:r>
      <w:r>
        <w:t xml:space="preserve"> with </w:t>
      </w:r>
      <w:r w:rsidRPr="73AAC10A">
        <w:t>no strategic approach to commissioning, delivering and evaluating health justice services.</w:t>
      </w:r>
      <w:r w:rsidRPr="73AAC10A">
        <w:rPr>
          <w:vertAlign w:val="superscript"/>
        </w:rPr>
        <w:footnoteReference w:id="61"/>
      </w:r>
      <w:r w:rsidRPr="73AAC10A">
        <w:t xml:space="preserve"> It is important to emphasise </w:t>
      </w:r>
      <w:proofErr w:type="gramStart"/>
      <w:r w:rsidRPr="73AAC10A">
        <w:t xml:space="preserve">that it is not only health justice projects that have a positive impact on </w:t>
      </w:r>
      <w:proofErr w:type="spellStart"/>
      <w:r w:rsidRPr="73AAC10A">
        <w:t>SDoH</w:t>
      </w:r>
      <w:proofErr w:type="spellEnd"/>
      <w:r w:rsidRPr="73AAC10A">
        <w:t xml:space="preserve"> through contributing to </w:t>
      </w:r>
      <w:r w:rsidR="000B295C">
        <w:lastRenderedPageBreak/>
        <w:t xml:space="preserve">collaboration between the legal </w:t>
      </w:r>
      <w:r w:rsidRPr="73AAC10A">
        <w:t>advice network</w:t>
      </w:r>
      <w:r w:rsidR="000B295C">
        <w:t xml:space="preserve"> and other non-legal services</w:t>
      </w:r>
      <w:proofErr w:type="gramEnd"/>
      <w:r w:rsidRPr="73AAC10A">
        <w:t xml:space="preserve">. </w:t>
      </w:r>
      <w:r w:rsidR="000B295C">
        <w:t xml:space="preserve">To understand how the advice network and cross sector collaboration might </w:t>
      </w:r>
      <w:proofErr w:type="gramStart"/>
      <w:r w:rsidR="000B295C">
        <w:t>develop,</w:t>
      </w:r>
      <w:proofErr w:type="gramEnd"/>
      <w:r w:rsidR="000B295C">
        <w:t xml:space="preserve"> m</w:t>
      </w:r>
      <w:r w:rsidRPr="73AAC10A">
        <w:t xml:space="preserve">ore research is required </w:t>
      </w:r>
      <w:r w:rsidR="00A04822">
        <w:t>in to</w:t>
      </w:r>
      <w:r>
        <w:t xml:space="preserve"> </w:t>
      </w:r>
      <w:r w:rsidRPr="73AAC10A">
        <w:t>the different roles organisations play with</w:t>
      </w:r>
      <w:r>
        <w:t>in</w:t>
      </w:r>
      <w:r w:rsidRPr="73AAC10A">
        <w:t xml:space="preserve"> the advice network, </w:t>
      </w:r>
      <w:r w:rsidR="000B295C">
        <w:t>especially</w:t>
      </w:r>
      <w:r w:rsidRPr="73AAC10A">
        <w:t xml:space="preserve"> </w:t>
      </w:r>
      <w:r w:rsidR="00A04822">
        <w:t xml:space="preserve">in relation to barriers for particularly </w:t>
      </w:r>
      <w:r w:rsidRPr="73AAC10A">
        <w:t>vulnerable</w:t>
      </w:r>
      <w:r w:rsidR="00A04822">
        <w:t xml:space="preserve"> people</w:t>
      </w:r>
      <w:r w:rsidRPr="73AAC10A">
        <w:t>.</w:t>
      </w:r>
      <w:r w:rsidRPr="73AAC10A">
        <w:rPr>
          <w:vertAlign w:val="superscript"/>
        </w:rPr>
        <w:footnoteReference w:id="62"/>
      </w:r>
    </w:p>
    <w:p w14:paraId="0DF068A8" w14:textId="57F32B75" w:rsidR="572B3941" w:rsidRDefault="572B3941" w:rsidP="572B3941"/>
    <w:p w14:paraId="531AACE0" w14:textId="2F2B706C" w:rsidR="00F66A71" w:rsidRPr="00F66A71" w:rsidRDefault="00885319" w:rsidP="00F66A71">
      <w:pPr>
        <w:pStyle w:val="Heading2"/>
      </w:pPr>
      <w:r>
        <w:t xml:space="preserve">5. </w:t>
      </w:r>
      <w:r>
        <w:tab/>
        <w:t>Conclusion</w:t>
      </w:r>
    </w:p>
    <w:p w14:paraId="4166F394" w14:textId="77777777" w:rsidR="00F66A71" w:rsidRPr="00F66A71" w:rsidRDefault="00F66A71" w:rsidP="00F66A71"/>
    <w:p w14:paraId="008F7F10" w14:textId="77777777" w:rsidR="00A04822" w:rsidRPr="00A04822" w:rsidRDefault="00A04822" w:rsidP="00A04822">
      <w:r w:rsidRPr="00A04822">
        <w:t xml:space="preserve">The </w:t>
      </w:r>
      <w:proofErr w:type="spellStart"/>
      <w:r w:rsidRPr="00A04822">
        <w:t>SDoH</w:t>
      </w:r>
      <w:proofErr w:type="spellEnd"/>
      <w:r w:rsidRPr="00A04822">
        <w:t xml:space="preserve"> </w:t>
      </w:r>
      <w:proofErr w:type="gramStart"/>
      <w:r w:rsidRPr="00A04822">
        <w:t>are strongly linked</w:t>
      </w:r>
      <w:proofErr w:type="gramEnd"/>
      <w:r w:rsidRPr="00A04822">
        <w:t xml:space="preserve"> to civil legal problems, and many people require free legal advice to help them resolve these issues and prevent the compounding of negative consequences that unresolved legal issues cause. The experiences of study participants reinforce the need for joined-up legal and non-legal services to ameliorate the negative effects of the </w:t>
      </w:r>
      <w:proofErr w:type="spellStart"/>
      <w:r w:rsidRPr="00A04822">
        <w:t>SDoH</w:t>
      </w:r>
      <w:proofErr w:type="spellEnd"/>
      <w:r w:rsidRPr="00A04822">
        <w:t xml:space="preserve"> on health and wellbeing. They have also emphasised the unmet need for free legal advice, leading to concerns that these important drivers of population ill health </w:t>
      </w:r>
      <w:proofErr w:type="gramStart"/>
      <w:r w:rsidRPr="00A04822">
        <w:t>will not be adequately addressed</w:t>
      </w:r>
      <w:proofErr w:type="gramEnd"/>
      <w:r w:rsidRPr="00A04822">
        <w:t xml:space="preserve">. This is of even greater concern </w:t>
      </w:r>
      <w:proofErr w:type="gramStart"/>
      <w:r w:rsidRPr="00A04822">
        <w:t>as a result</w:t>
      </w:r>
      <w:proofErr w:type="gramEnd"/>
      <w:r w:rsidRPr="00A04822">
        <w:t xml:space="preserve"> of the Covid-19 pandemic’s worsening of the already difficult, austerity-driven situation for many people. </w:t>
      </w:r>
    </w:p>
    <w:p w14:paraId="1C0A443C" w14:textId="4EF7A7EA" w:rsidR="00A04822" w:rsidRPr="00A04822" w:rsidRDefault="00A04822" w:rsidP="00A04822">
      <w:r w:rsidRPr="00A04822">
        <w:t xml:space="preserve">Although the characteristics of Liverpool made it a particularly apt location for our study, the lessons of our findings extend across the UK. Public services and civil society </w:t>
      </w:r>
      <w:proofErr w:type="gramStart"/>
      <w:r w:rsidRPr="00A04822">
        <w:t>were already cut</w:t>
      </w:r>
      <w:proofErr w:type="gramEnd"/>
      <w:r w:rsidRPr="00A04822">
        <w:t xml:space="preserve"> to the bone prior to Covid-19, </w:t>
      </w:r>
      <w:r w:rsidR="002316F6">
        <w:t>and this</w:t>
      </w:r>
      <w:r w:rsidRPr="00A04822">
        <w:t xml:space="preserve"> has hampered their ability to respond effectively to the pandemic. The UK has some of the largest health inequality in Europe, and areas with greater health needs will feel the impact of Covid-19 unequally. The UK is also characterised by high levels of material inequality, not restricted to Liverpool, and the negative effects this has on the </w:t>
      </w:r>
      <w:proofErr w:type="spellStart"/>
      <w:r w:rsidRPr="00A04822">
        <w:t>SDoH</w:t>
      </w:r>
      <w:proofErr w:type="spellEnd"/>
      <w:r w:rsidRPr="00A04822">
        <w:t xml:space="preserve"> </w:t>
      </w:r>
      <w:proofErr w:type="gramStart"/>
      <w:r w:rsidRPr="00A04822">
        <w:t>will be felt</w:t>
      </w:r>
      <w:proofErr w:type="gramEnd"/>
      <w:r w:rsidRPr="00A04822">
        <w:t xml:space="preserve"> elsewhere as well. </w:t>
      </w:r>
    </w:p>
    <w:p w14:paraId="43B7867C" w14:textId="007A728C" w:rsidR="00F66A71" w:rsidRPr="00F66A71" w:rsidRDefault="00A04822" w:rsidP="00A04822">
      <w:r w:rsidRPr="00A04822">
        <w:t xml:space="preserve">Advice services have adapted rapidly in response to Covid-19, but concerns </w:t>
      </w:r>
      <w:proofErr w:type="gramStart"/>
      <w:r w:rsidRPr="00A04822">
        <w:t>are raised</w:t>
      </w:r>
      <w:proofErr w:type="gramEnd"/>
      <w:r w:rsidRPr="00A04822">
        <w:t xml:space="preserve"> about how these changes might affect the hardest to serve populations. Further understanding </w:t>
      </w:r>
      <w:proofErr w:type="gramStart"/>
      <w:r w:rsidRPr="00A04822">
        <w:t>is needed</w:t>
      </w:r>
      <w:proofErr w:type="gramEnd"/>
      <w:r w:rsidRPr="00A04822">
        <w:t xml:space="preserve"> of the social, health and economic impacts of these changes, and of an insufficient supply of free advice. The diverse organisations in the advice networks in the UK will benefit from strong collaboration, through effective referrals or co-location of services, to overcome problems of legal capability and ensure that there is a person-focussed approach to legal advice. Without this</w:t>
      </w:r>
      <w:r w:rsidR="002316F6">
        <w:t>,</w:t>
      </w:r>
      <w:r w:rsidRPr="00A04822">
        <w:t xml:space="preserve"> the short-term negative impacts of Covid-19 on </w:t>
      </w:r>
      <w:proofErr w:type="spellStart"/>
      <w:r w:rsidRPr="00A04822">
        <w:t>SDoH</w:t>
      </w:r>
      <w:proofErr w:type="spellEnd"/>
      <w:r w:rsidRPr="00A04822">
        <w:t xml:space="preserve"> will </w:t>
      </w:r>
      <w:r w:rsidR="002316F6">
        <w:t>beco</w:t>
      </w:r>
      <w:r w:rsidRPr="00A04822">
        <w:t>me long term, synergistic impact</w:t>
      </w:r>
      <w:r w:rsidR="002316F6">
        <w:t>s</w:t>
      </w:r>
      <w:r w:rsidRPr="00A04822">
        <w:t xml:space="preserve"> </w:t>
      </w:r>
      <w:r w:rsidR="002316F6">
        <w:t>o</w:t>
      </w:r>
      <w:r w:rsidRPr="00A04822">
        <w:t>n people’s lives, and worsen health inequalities.</w:t>
      </w:r>
    </w:p>
    <w:p w14:paraId="72AF2619" w14:textId="77777777" w:rsidR="00F66A71" w:rsidRPr="00F66A71" w:rsidRDefault="00F66A71" w:rsidP="00F66A71"/>
    <w:p w14:paraId="550F4F6A" w14:textId="77777777" w:rsidR="00D41A4A" w:rsidRDefault="00D41A4A"/>
    <w:sectPr w:rsidR="00D41A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9762" w14:textId="77777777" w:rsidR="00F24208" w:rsidRDefault="00F24208" w:rsidP="00F943AF">
      <w:pPr>
        <w:spacing w:after="0" w:line="240" w:lineRule="auto"/>
      </w:pPr>
      <w:r>
        <w:separator/>
      </w:r>
    </w:p>
  </w:endnote>
  <w:endnote w:type="continuationSeparator" w:id="0">
    <w:p w14:paraId="1CC14CC3" w14:textId="77777777" w:rsidR="00F24208" w:rsidRDefault="00F24208" w:rsidP="00F9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5303"/>
      <w:docPartObj>
        <w:docPartGallery w:val="Page Numbers (Bottom of Page)"/>
        <w:docPartUnique/>
      </w:docPartObj>
    </w:sdtPr>
    <w:sdtEndPr>
      <w:rPr>
        <w:noProof/>
      </w:rPr>
    </w:sdtEndPr>
    <w:sdtContent>
      <w:p w14:paraId="4CFE436B" w14:textId="5EFAAD55" w:rsidR="00DC2065" w:rsidRDefault="00DC2065">
        <w:pPr>
          <w:pStyle w:val="Footer"/>
          <w:jc w:val="center"/>
        </w:pPr>
        <w:r>
          <w:fldChar w:fldCharType="begin"/>
        </w:r>
        <w:r>
          <w:instrText xml:space="preserve"> PAGE   \* MERGEFORMAT </w:instrText>
        </w:r>
        <w:r>
          <w:fldChar w:fldCharType="separate"/>
        </w:r>
        <w:r w:rsidR="001C7EA4">
          <w:rPr>
            <w:noProof/>
          </w:rPr>
          <w:t>16</w:t>
        </w:r>
        <w:r>
          <w:rPr>
            <w:noProof/>
          </w:rPr>
          <w:fldChar w:fldCharType="end"/>
        </w:r>
      </w:p>
    </w:sdtContent>
  </w:sdt>
  <w:p w14:paraId="2553A423" w14:textId="77777777" w:rsidR="00DC2065" w:rsidRDefault="00DC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D70C" w14:textId="77777777" w:rsidR="00F24208" w:rsidRDefault="00F24208" w:rsidP="00F943AF">
      <w:pPr>
        <w:spacing w:after="0" w:line="240" w:lineRule="auto"/>
      </w:pPr>
      <w:r>
        <w:separator/>
      </w:r>
    </w:p>
  </w:footnote>
  <w:footnote w:type="continuationSeparator" w:id="0">
    <w:p w14:paraId="3F9835C0" w14:textId="77777777" w:rsidR="00F24208" w:rsidRDefault="00F24208" w:rsidP="00F943AF">
      <w:pPr>
        <w:spacing w:after="0" w:line="240" w:lineRule="auto"/>
      </w:pPr>
      <w:r>
        <w:continuationSeparator/>
      </w:r>
    </w:p>
  </w:footnote>
  <w:footnote w:id="1">
    <w:p w14:paraId="02E3ACD8" w14:textId="59AC57BF" w:rsidR="004C04FE" w:rsidRDefault="004C04FE">
      <w:pPr>
        <w:pStyle w:val="FootnoteText"/>
      </w:pPr>
      <w:r>
        <w:rPr>
          <w:rStyle w:val="FootnoteReference"/>
        </w:rPr>
        <w:footnoteRef/>
      </w:r>
      <w:r>
        <w:t xml:space="preserve"> The authors would like to thank the anonymous reviewers for their valuable contribution to this article</w:t>
      </w:r>
      <w:r w:rsidR="00865A2D">
        <w:t xml:space="preserve"> and</w:t>
      </w:r>
      <w:r w:rsidR="00865A2D" w:rsidRPr="00865A2D">
        <w:t xml:space="preserve"> for t</w:t>
      </w:r>
      <w:r w:rsidR="00865A2D">
        <w:t xml:space="preserve">he invitation from Jed Meers to </w:t>
      </w:r>
      <w:r w:rsidR="00865A2D" w:rsidRPr="00865A2D">
        <w:t>participate in this special issue</w:t>
      </w:r>
      <w:r w:rsidR="00865A2D">
        <w:t>. Contact james.o</w:t>
      </w:r>
      <w:r w:rsidR="001E4C8C">
        <w:t>r</w:t>
      </w:r>
      <w:r w:rsidR="00865A2D">
        <w:t>gan@liverpool.ac.uk.</w:t>
      </w:r>
    </w:p>
  </w:footnote>
  <w:footnote w:id="2">
    <w:p w14:paraId="2601592F" w14:textId="6C1BC065" w:rsidR="00DC2065" w:rsidRPr="00DC2065" w:rsidRDefault="00DC2065" w:rsidP="00DC2065">
      <w:pPr>
        <w:spacing w:after="0"/>
        <w:rPr>
          <w:rFonts w:cstheme="minorHAnsi"/>
          <w:color w:val="000000"/>
          <w:sz w:val="20"/>
          <w:szCs w:val="20"/>
        </w:rPr>
      </w:pPr>
      <w:r w:rsidRPr="00DC2065">
        <w:rPr>
          <w:rStyle w:val="FootnoteReference"/>
          <w:rFonts w:cstheme="minorHAnsi"/>
          <w:sz w:val="20"/>
          <w:szCs w:val="20"/>
        </w:rPr>
        <w:footnoteRef/>
      </w:r>
      <w:r w:rsidR="002316F6">
        <w:rPr>
          <w:rFonts w:cstheme="minorHAnsi"/>
          <w:sz w:val="20"/>
          <w:szCs w:val="20"/>
        </w:rPr>
        <w:t xml:space="preserve"> </w:t>
      </w:r>
      <w:r w:rsidRPr="00DC2065">
        <w:rPr>
          <w:rFonts w:cstheme="minorHAnsi"/>
          <w:sz w:val="20"/>
          <w:szCs w:val="20"/>
        </w:rPr>
        <w:t xml:space="preserve">G </w:t>
      </w:r>
      <w:r w:rsidRPr="00DC2065">
        <w:rPr>
          <w:rFonts w:cstheme="minorHAnsi"/>
          <w:color w:val="000000"/>
          <w:sz w:val="20"/>
          <w:szCs w:val="20"/>
        </w:rPr>
        <w:t xml:space="preserve">Dahlgren and M Whitehead, </w:t>
      </w:r>
      <w:r w:rsidR="00F22FE2">
        <w:rPr>
          <w:rFonts w:cstheme="minorHAnsi"/>
          <w:color w:val="000000"/>
          <w:sz w:val="20"/>
          <w:szCs w:val="20"/>
        </w:rPr>
        <w:t>“</w:t>
      </w:r>
      <w:r w:rsidRPr="00DC2065">
        <w:rPr>
          <w:rFonts w:cstheme="minorHAnsi"/>
          <w:color w:val="000000"/>
          <w:sz w:val="20"/>
          <w:szCs w:val="20"/>
        </w:rPr>
        <w:t>Policies and Strategies to Promote Social Equity in Health: Background document to WHO Strategy paper for Europe</w:t>
      </w:r>
      <w:r w:rsidR="00F22FE2">
        <w:rPr>
          <w:rFonts w:cstheme="minorHAnsi"/>
          <w:color w:val="000000"/>
          <w:sz w:val="20"/>
          <w:szCs w:val="20"/>
        </w:rPr>
        <w:t>” (</w:t>
      </w:r>
      <w:r w:rsidRPr="00B42B8F">
        <w:rPr>
          <w:rFonts w:cstheme="minorHAnsi"/>
          <w:color w:val="000000"/>
          <w:sz w:val="20"/>
          <w:szCs w:val="20"/>
        </w:rPr>
        <w:t>Stockholm: Institute for Futures Studies</w:t>
      </w:r>
      <w:r w:rsidR="00F22FE2">
        <w:rPr>
          <w:rFonts w:cstheme="minorHAnsi"/>
          <w:color w:val="000000"/>
          <w:sz w:val="20"/>
          <w:szCs w:val="20"/>
        </w:rPr>
        <w:t>, 1991)</w:t>
      </w:r>
      <w:r w:rsidRPr="00DC2065">
        <w:rPr>
          <w:rFonts w:cstheme="minorHAnsi"/>
          <w:color w:val="000000"/>
          <w:sz w:val="20"/>
          <w:szCs w:val="20"/>
        </w:rPr>
        <w:t>.</w:t>
      </w:r>
    </w:p>
  </w:footnote>
  <w:footnote w:id="3">
    <w:p w14:paraId="1CC732DF" w14:textId="7EAD05E8" w:rsidR="00DC2065" w:rsidRPr="00DC2065" w:rsidRDefault="00DC2065" w:rsidP="00DC2065">
      <w:pPr>
        <w:spacing w:after="0"/>
        <w:rPr>
          <w:sz w:val="20"/>
          <w:szCs w:val="20"/>
        </w:rPr>
      </w:pPr>
      <w:r w:rsidRPr="00DC2065">
        <w:rPr>
          <w:rStyle w:val="FootnoteReference"/>
          <w:sz w:val="20"/>
          <w:szCs w:val="20"/>
        </w:rPr>
        <w:footnoteRef/>
      </w:r>
      <w:r w:rsidRPr="00DC2065">
        <w:rPr>
          <w:sz w:val="20"/>
          <w:szCs w:val="20"/>
        </w:rPr>
        <w:t xml:space="preserve"> </w:t>
      </w:r>
      <w:r w:rsidR="00E510A9" w:rsidRPr="00E510A9">
        <w:rPr>
          <w:sz w:val="20"/>
          <w:szCs w:val="20"/>
        </w:rPr>
        <w:t xml:space="preserve">B Barr, D Taylor-Robinson, D </w:t>
      </w:r>
      <w:proofErr w:type="spellStart"/>
      <w:r w:rsidR="00E510A9" w:rsidRPr="00E510A9">
        <w:rPr>
          <w:sz w:val="20"/>
          <w:szCs w:val="20"/>
        </w:rPr>
        <w:t>Stuckler</w:t>
      </w:r>
      <w:proofErr w:type="spellEnd"/>
      <w:r w:rsidR="00E510A9" w:rsidRPr="00E510A9">
        <w:rPr>
          <w:sz w:val="20"/>
          <w:szCs w:val="20"/>
        </w:rPr>
        <w:t xml:space="preserve">, R </w:t>
      </w:r>
      <w:proofErr w:type="spellStart"/>
      <w:r w:rsidR="00E510A9" w:rsidRPr="00E510A9">
        <w:rPr>
          <w:sz w:val="20"/>
          <w:szCs w:val="20"/>
        </w:rPr>
        <w:t>Loopstra</w:t>
      </w:r>
      <w:proofErr w:type="spellEnd"/>
      <w:r w:rsidR="00E510A9" w:rsidRPr="00E510A9">
        <w:rPr>
          <w:sz w:val="20"/>
          <w:szCs w:val="20"/>
        </w:rPr>
        <w:t xml:space="preserve">, A Reeves, M Whitehead, </w:t>
      </w:r>
      <w:r w:rsidR="00F22FE2">
        <w:rPr>
          <w:sz w:val="20"/>
          <w:szCs w:val="20"/>
        </w:rPr>
        <w:t>“</w:t>
      </w:r>
      <w:r w:rsidR="00E510A9" w:rsidRPr="00E510A9">
        <w:rPr>
          <w:sz w:val="20"/>
          <w:szCs w:val="20"/>
        </w:rPr>
        <w:t>First, Do No Harm: Are Disability Assessments Associated with Adverse Trends in Mental Health? A longitudinal ecological study</w:t>
      </w:r>
      <w:r w:rsidR="00F22FE2">
        <w:rPr>
          <w:sz w:val="20"/>
          <w:szCs w:val="20"/>
        </w:rPr>
        <w:t>”</w:t>
      </w:r>
      <w:r w:rsidR="00E510A9" w:rsidRPr="00E510A9">
        <w:rPr>
          <w:sz w:val="20"/>
          <w:szCs w:val="20"/>
        </w:rPr>
        <w:t xml:space="preserve"> (2015) </w:t>
      </w:r>
      <w:r w:rsidR="00771FFF">
        <w:rPr>
          <w:sz w:val="20"/>
          <w:szCs w:val="20"/>
        </w:rPr>
        <w:t>70 (4)</w:t>
      </w:r>
      <w:r w:rsidR="00F1274F">
        <w:rPr>
          <w:sz w:val="20"/>
          <w:szCs w:val="20"/>
        </w:rPr>
        <w:t xml:space="preserve"> </w:t>
      </w:r>
      <w:r w:rsidR="006776CC">
        <w:rPr>
          <w:i/>
          <w:iCs/>
          <w:sz w:val="20"/>
          <w:szCs w:val="20"/>
        </w:rPr>
        <w:t>Journal of Epidemiology and Community Health</w:t>
      </w:r>
      <w:r w:rsidR="00771FFF">
        <w:rPr>
          <w:sz w:val="20"/>
          <w:szCs w:val="20"/>
        </w:rPr>
        <w:t xml:space="preserve"> </w:t>
      </w:r>
      <w:r w:rsidR="00E510A9" w:rsidRPr="00E510A9">
        <w:rPr>
          <w:sz w:val="20"/>
          <w:szCs w:val="20"/>
        </w:rPr>
        <w:t xml:space="preserve">206; A Jitendra, E Thorogood, M Hadfield-Spoor, G Samaras, </w:t>
      </w:r>
      <w:r w:rsidR="00E510A9" w:rsidRPr="00E510A9">
        <w:rPr>
          <w:i/>
          <w:iCs/>
          <w:sz w:val="20"/>
          <w:szCs w:val="20"/>
        </w:rPr>
        <w:t>Left behind. Is universal credit truly universal?</w:t>
      </w:r>
      <w:r w:rsidR="00E510A9" w:rsidRPr="00E510A9">
        <w:rPr>
          <w:sz w:val="20"/>
          <w:szCs w:val="20"/>
        </w:rPr>
        <w:t xml:space="preserve"> </w:t>
      </w:r>
      <w:proofErr w:type="gramStart"/>
      <w:r w:rsidR="00E510A9" w:rsidRPr="00E510A9">
        <w:rPr>
          <w:sz w:val="20"/>
          <w:szCs w:val="20"/>
        </w:rPr>
        <w:t>(Trussell Trust,</w:t>
      </w:r>
      <w:r w:rsidR="00F22FE2">
        <w:rPr>
          <w:sz w:val="20"/>
          <w:szCs w:val="20"/>
        </w:rPr>
        <w:t xml:space="preserve"> 2018), </w:t>
      </w:r>
      <w:r w:rsidR="00E510A9" w:rsidRPr="00E510A9">
        <w:rPr>
          <w:sz w:val="20"/>
          <w:szCs w:val="20"/>
        </w:rPr>
        <w:t xml:space="preserve">1–21; M Cheetham, S Moffatt, M Addison, </w:t>
      </w:r>
      <w:r w:rsidR="00D25EA5">
        <w:rPr>
          <w:sz w:val="20"/>
          <w:szCs w:val="20"/>
        </w:rPr>
        <w:t>A</w:t>
      </w:r>
      <w:r w:rsidR="00E510A9" w:rsidRPr="00E510A9">
        <w:rPr>
          <w:sz w:val="20"/>
          <w:szCs w:val="20"/>
        </w:rPr>
        <w:t xml:space="preserve">, </w:t>
      </w:r>
      <w:r w:rsidR="00771FFF">
        <w:rPr>
          <w:sz w:val="20"/>
          <w:szCs w:val="20"/>
        </w:rPr>
        <w:t>”</w:t>
      </w:r>
      <w:r w:rsidR="00E510A9" w:rsidRPr="00E510A9">
        <w:rPr>
          <w:sz w:val="20"/>
          <w:szCs w:val="20"/>
        </w:rPr>
        <w:t>Impact of Universal Credit in North East England: a qualitative study of claimants and support staff</w:t>
      </w:r>
      <w:r w:rsidR="00771FFF">
        <w:rPr>
          <w:sz w:val="20"/>
          <w:szCs w:val="20"/>
        </w:rPr>
        <w:t>” (2019) 9 (7)</w:t>
      </w:r>
      <w:r w:rsidR="00E510A9" w:rsidRPr="00E510A9">
        <w:rPr>
          <w:sz w:val="20"/>
          <w:szCs w:val="20"/>
        </w:rPr>
        <w:t xml:space="preserve"> </w:t>
      </w:r>
      <w:r w:rsidR="00E510A9" w:rsidRPr="00E510A9">
        <w:rPr>
          <w:i/>
          <w:iCs/>
          <w:sz w:val="20"/>
          <w:szCs w:val="20"/>
        </w:rPr>
        <w:t>BMJ Open</w:t>
      </w:r>
      <w:r w:rsidR="00E510A9" w:rsidRPr="00E510A9">
        <w:rPr>
          <w:sz w:val="20"/>
          <w:szCs w:val="20"/>
        </w:rPr>
        <w:t xml:space="preserve">; S Wickham, L Bentley, T Rose, M Whitehead, D Taylor-Robinson, B Barr, </w:t>
      </w:r>
      <w:r w:rsidR="00771FFF">
        <w:rPr>
          <w:sz w:val="20"/>
          <w:szCs w:val="20"/>
        </w:rPr>
        <w:t>“</w:t>
      </w:r>
      <w:r w:rsidR="00E510A9" w:rsidRPr="00E510A9">
        <w:rPr>
          <w:sz w:val="20"/>
          <w:szCs w:val="20"/>
        </w:rPr>
        <w:t>Effects on mental health of a UK welfare reform, Universal Credit: a longitudinal controlled study</w:t>
      </w:r>
      <w:r w:rsidR="00771FFF">
        <w:rPr>
          <w:sz w:val="20"/>
          <w:szCs w:val="20"/>
        </w:rPr>
        <w:t>”</w:t>
      </w:r>
      <w:r w:rsidR="00E510A9" w:rsidRPr="00E510A9">
        <w:rPr>
          <w:sz w:val="20"/>
          <w:szCs w:val="20"/>
        </w:rPr>
        <w:t xml:space="preserve"> </w:t>
      </w:r>
      <w:r w:rsidR="00771FFF">
        <w:rPr>
          <w:sz w:val="20"/>
          <w:szCs w:val="20"/>
        </w:rPr>
        <w:t xml:space="preserve">(2020) 5 (3) </w:t>
      </w:r>
      <w:r w:rsidR="00E510A9" w:rsidRPr="00E510A9">
        <w:rPr>
          <w:i/>
          <w:iCs/>
          <w:sz w:val="20"/>
          <w:szCs w:val="20"/>
        </w:rPr>
        <w:t>Lancet Public Health</w:t>
      </w:r>
      <w:r w:rsidR="00771FFF">
        <w:rPr>
          <w:iCs/>
          <w:sz w:val="20"/>
          <w:szCs w:val="20"/>
        </w:rPr>
        <w:t xml:space="preserve"> 157</w:t>
      </w:r>
      <w:r w:rsidR="00771FFF">
        <w:rPr>
          <w:i/>
          <w:iCs/>
          <w:sz w:val="20"/>
          <w:szCs w:val="20"/>
        </w:rPr>
        <w:t>;</w:t>
      </w:r>
      <w:r w:rsidR="00E510A9" w:rsidRPr="00E510A9">
        <w:rPr>
          <w:sz w:val="20"/>
          <w:szCs w:val="20"/>
        </w:rPr>
        <w:t xml:space="preserve"> S Fitzpatrick, G Bramley, F </w:t>
      </w:r>
      <w:proofErr w:type="spellStart"/>
      <w:r w:rsidR="00E510A9" w:rsidRPr="00E510A9">
        <w:rPr>
          <w:sz w:val="20"/>
          <w:szCs w:val="20"/>
        </w:rPr>
        <w:t>Sosenko</w:t>
      </w:r>
      <w:proofErr w:type="spellEnd"/>
      <w:r w:rsidR="00E510A9" w:rsidRPr="00E510A9">
        <w:rPr>
          <w:sz w:val="20"/>
          <w:szCs w:val="20"/>
        </w:rPr>
        <w:t xml:space="preserve">, J Blenkinsopp, J Wood, S Johnsen, M Littlewood, B Watts, </w:t>
      </w:r>
      <w:r w:rsidR="00E510A9" w:rsidRPr="00E510A9">
        <w:rPr>
          <w:i/>
          <w:iCs/>
          <w:sz w:val="20"/>
          <w:szCs w:val="20"/>
        </w:rPr>
        <w:t>Destitution in the UK 2018</w:t>
      </w:r>
      <w:r w:rsidR="00E510A9" w:rsidRPr="00E510A9">
        <w:rPr>
          <w:sz w:val="20"/>
          <w:szCs w:val="20"/>
        </w:rPr>
        <w:t xml:space="preserve">, </w:t>
      </w:r>
      <w:r w:rsidR="00866BA8">
        <w:rPr>
          <w:sz w:val="20"/>
          <w:szCs w:val="20"/>
        </w:rPr>
        <w:t>(</w:t>
      </w:r>
      <w:r w:rsidR="00E510A9" w:rsidRPr="00E510A9">
        <w:rPr>
          <w:sz w:val="20"/>
          <w:szCs w:val="20"/>
        </w:rPr>
        <w:t>The Joseph Rowntree Foundation</w:t>
      </w:r>
      <w:r w:rsidR="00866BA8">
        <w:rPr>
          <w:sz w:val="20"/>
          <w:szCs w:val="20"/>
        </w:rPr>
        <w:t>, 2018)</w:t>
      </w:r>
      <w:r w:rsidR="00F3687E">
        <w:rPr>
          <w:sz w:val="20"/>
          <w:szCs w:val="20"/>
        </w:rPr>
        <w:t xml:space="preserve">, at </w:t>
      </w:r>
      <w:hyperlink r:id="rId1" w:history="1">
        <w:r w:rsidR="00F3687E" w:rsidRPr="00E97F88">
          <w:rPr>
            <w:rStyle w:val="Hyperlink"/>
            <w:sz w:val="20"/>
            <w:szCs w:val="20"/>
          </w:rPr>
          <w:t>https://www.jrf.org.uk/report/destitution-uk-2018</w:t>
        </w:r>
      </w:hyperlink>
      <w:r w:rsidR="00F3687E">
        <w:rPr>
          <w:sz w:val="20"/>
          <w:szCs w:val="20"/>
          <w:u w:val="single"/>
        </w:rPr>
        <w:t xml:space="preserve"> </w:t>
      </w:r>
      <w:r w:rsidR="00F3687E">
        <w:rPr>
          <w:sz w:val="20"/>
          <w:szCs w:val="20"/>
        </w:rPr>
        <w:t>[accessed 11 January 2021]</w:t>
      </w:r>
      <w:r w:rsidR="00E510A9" w:rsidRPr="00E510A9">
        <w:rPr>
          <w:sz w:val="20"/>
          <w:szCs w:val="20"/>
        </w:rPr>
        <w:t>; C Bambra,</w:t>
      </w:r>
      <w:r w:rsidR="00343FA3">
        <w:rPr>
          <w:sz w:val="20"/>
          <w:szCs w:val="20"/>
        </w:rPr>
        <w:t xml:space="preserve"> </w:t>
      </w:r>
      <w:r w:rsidR="00E510A9" w:rsidRPr="00E510A9">
        <w:rPr>
          <w:sz w:val="20"/>
          <w:szCs w:val="20"/>
        </w:rPr>
        <w:t>L Munford, H Brown et al.</w:t>
      </w:r>
      <w:r w:rsidR="00771FFF">
        <w:rPr>
          <w:sz w:val="20"/>
          <w:szCs w:val="20"/>
        </w:rPr>
        <w:t>,</w:t>
      </w:r>
      <w:r w:rsidR="00E510A9" w:rsidRPr="00E510A9">
        <w:rPr>
          <w:sz w:val="20"/>
          <w:szCs w:val="20"/>
        </w:rPr>
        <w:t xml:space="preserve"> </w:t>
      </w:r>
      <w:r w:rsidR="00E510A9" w:rsidRPr="00B42B8F">
        <w:rPr>
          <w:i/>
          <w:sz w:val="20"/>
          <w:szCs w:val="20"/>
        </w:rPr>
        <w:t>Health for Wealth: Building a Healthier Northern Powerhouse for UK Productivity</w:t>
      </w:r>
      <w:r w:rsidR="00E510A9" w:rsidRPr="00E510A9">
        <w:rPr>
          <w:sz w:val="20"/>
          <w:szCs w:val="20"/>
        </w:rPr>
        <w:t xml:space="preserve">, (Northern Health Sciences Alliance, </w:t>
      </w:r>
      <w:r w:rsidR="00866BA8">
        <w:rPr>
          <w:sz w:val="20"/>
          <w:szCs w:val="20"/>
        </w:rPr>
        <w:t>2018)</w:t>
      </w:r>
      <w:r w:rsidR="00E510A9" w:rsidRPr="00E510A9">
        <w:rPr>
          <w:sz w:val="20"/>
          <w:szCs w:val="20"/>
        </w:rPr>
        <w:t>; E Williams.</w:t>
      </w:r>
      <w:proofErr w:type="gramEnd"/>
      <w:r w:rsidR="00E510A9" w:rsidRPr="00E510A9">
        <w:rPr>
          <w:sz w:val="20"/>
          <w:szCs w:val="20"/>
        </w:rPr>
        <w:t xml:space="preserve"> </w:t>
      </w:r>
      <w:r w:rsidR="00771FFF">
        <w:rPr>
          <w:sz w:val="20"/>
          <w:szCs w:val="20"/>
        </w:rPr>
        <w:t>”</w:t>
      </w:r>
      <w:r w:rsidR="00E510A9" w:rsidRPr="00E510A9">
        <w:rPr>
          <w:sz w:val="20"/>
          <w:szCs w:val="20"/>
        </w:rPr>
        <w:t>Punitive welfare reform and claimant mental health: the impact of benefit sanctions on anxiety and depression</w:t>
      </w:r>
      <w:r w:rsidR="00771FFF">
        <w:rPr>
          <w:sz w:val="20"/>
          <w:szCs w:val="20"/>
        </w:rPr>
        <w:t>”</w:t>
      </w:r>
      <w:r w:rsidR="00E510A9" w:rsidRPr="00E510A9">
        <w:rPr>
          <w:sz w:val="20"/>
          <w:szCs w:val="20"/>
        </w:rPr>
        <w:t xml:space="preserve"> (2021)</w:t>
      </w:r>
      <w:r w:rsidR="00771FFF">
        <w:rPr>
          <w:sz w:val="20"/>
          <w:szCs w:val="20"/>
        </w:rPr>
        <w:t xml:space="preserve"> 55 (1)</w:t>
      </w:r>
      <w:r w:rsidR="00E510A9" w:rsidRPr="00E510A9">
        <w:rPr>
          <w:sz w:val="20"/>
          <w:szCs w:val="20"/>
        </w:rPr>
        <w:t xml:space="preserve"> </w:t>
      </w:r>
      <w:r w:rsidR="00E510A9" w:rsidRPr="00E510A9">
        <w:rPr>
          <w:i/>
          <w:sz w:val="20"/>
          <w:szCs w:val="20"/>
        </w:rPr>
        <w:t>Journal of Social Policy and Administration</w:t>
      </w:r>
      <w:r w:rsidR="00771FFF">
        <w:rPr>
          <w:sz w:val="20"/>
          <w:szCs w:val="20"/>
        </w:rPr>
        <w:t xml:space="preserve"> </w:t>
      </w:r>
      <w:r w:rsidR="00E510A9" w:rsidRPr="00E510A9">
        <w:rPr>
          <w:sz w:val="20"/>
          <w:szCs w:val="20"/>
        </w:rPr>
        <w:t>157.</w:t>
      </w:r>
    </w:p>
  </w:footnote>
  <w:footnote w:id="4">
    <w:p w14:paraId="193F5C87" w14:textId="4F59015E" w:rsidR="00DC2065" w:rsidRPr="00DC2065" w:rsidRDefault="00DC2065" w:rsidP="00DC2065">
      <w:pPr>
        <w:spacing w:after="0"/>
        <w:rPr>
          <w:sz w:val="20"/>
          <w:szCs w:val="20"/>
        </w:rPr>
      </w:pPr>
      <w:r w:rsidRPr="00DC2065">
        <w:rPr>
          <w:rStyle w:val="FootnoteReference"/>
          <w:sz w:val="20"/>
          <w:szCs w:val="20"/>
        </w:rPr>
        <w:footnoteRef/>
      </w:r>
      <w:r w:rsidRPr="00DC2065">
        <w:rPr>
          <w:sz w:val="20"/>
          <w:szCs w:val="20"/>
        </w:rPr>
        <w:t xml:space="preserve"> C Bambra</w:t>
      </w:r>
      <w:r>
        <w:rPr>
          <w:sz w:val="20"/>
          <w:szCs w:val="20"/>
        </w:rPr>
        <w:t>, B Barr and E Milne,</w:t>
      </w:r>
      <w:r w:rsidRPr="00DC2065">
        <w:rPr>
          <w:sz w:val="20"/>
          <w:szCs w:val="20"/>
        </w:rPr>
        <w:t xml:space="preserve"> </w:t>
      </w:r>
      <w:r w:rsidR="00771FFF">
        <w:rPr>
          <w:sz w:val="20"/>
          <w:szCs w:val="20"/>
        </w:rPr>
        <w:t>“</w:t>
      </w:r>
      <w:r w:rsidRPr="00DC2065">
        <w:rPr>
          <w:sz w:val="20"/>
          <w:szCs w:val="20"/>
        </w:rPr>
        <w:t>North and South: addressing the English health divide</w:t>
      </w:r>
      <w:r w:rsidR="00771FFF">
        <w:rPr>
          <w:sz w:val="20"/>
          <w:szCs w:val="20"/>
        </w:rPr>
        <w:t>”</w:t>
      </w:r>
      <w:r>
        <w:rPr>
          <w:sz w:val="20"/>
          <w:szCs w:val="20"/>
        </w:rPr>
        <w:t xml:space="preserve"> (2014)</w:t>
      </w:r>
      <w:r w:rsidR="00771FFF">
        <w:rPr>
          <w:sz w:val="20"/>
          <w:szCs w:val="20"/>
        </w:rPr>
        <w:t xml:space="preserve"> 36</w:t>
      </w:r>
      <w:r w:rsidRPr="00DC2065">
        <w:rPr>
          <w:sz w:val="20"/>
          <w:szCs w:val="20"/>
        </w:rPr>
        <w:t xml:space="preserve"> </w:t>
      </w:r>
      <w:r w:rsidRPr="00DC2065">
        <w:rPr>
          <w:i/>
          <w:sz w:val="20"/>
          <w:szCs w:val="20"/>
        </w:rPr>
        <w:t>Journal of Public Health</w:t>
      </w:r>
      <w:r w:rsidR="00771FFF">
        <w:rPr>
          <w:sz w:val="20"/>
          <w:szCs w:val="20"/>
        </w:rPr>
        <w:t xml:space="preserve"> </w:t>
      </w:r>
      <w:r w:rsidRPr="00DC2065">
        <w:rPr>
          <w:sz w:val="20"/>
          <w:szCs w:val="20"/>
        </w:rPr>
        <w:t>183</w:t>
      </w:r>
      <w:r>
        <w:rPr>
          <w:sz w:val="20"/>
          <w:szCs w:val="20"/>
        </w:rPr>
        <w:t>.</w:t>
      </w:r>
    </w:p>
  </w:footnote>
  <w:footnote w:id="5">
    <w:p w14:paraId="56BE4169" w14:textId="3260E55E" w:rsidR="00DC2065" w:rsidRPr="00826D50" w:rsidRDefault="00DC2065">
      <w:pPr>
        <w:pStyle w:val="FootnoteText"/>
        <w:rPr>
          <w:rFonts w:cstheme="minorHAnsi"/>
        </w:rPr>
      </w:pPr>
      <w:r w:rsidRPr="003C4312">
        <w:rPr>
          <w:rStyle w:val="FootnoteReference"/>
          <w:rFonts w:cstheme="minorHAnsi"/>
        </w:rPr>
        <w:footnoteRef/>
      </w:r>
      <w:r w:rsidRPr="003C4312">
        <w:rPr>
          <w:rFonts w:cstheme="minorHAnsi"/>
        </w:rPr>
        <w:t xml:space="preserve"> M Marmot, J Allen, P </w:t>
      </w:r>
      <w:proofErr w:type="spellStart"/>
      <w:r w:rsidRPr="003C4312">
        <w:rPr>
          <w:rFonts w:cstheme="minorHAnsi"/>
        </w:rPr>
        <w:t>Goldblatt</w:t>
      </w:r>
      <w:proofErr w:type="spellEnd"/>
      <w:r w:rsidRPr="003C4312">
        <w:rPr>
          <w:rFonts w:cstheme="minorHAnsi"/>
        </w:rPr>
        <w:t xml:space="preserve">, E Herd and J Morrison, </w:t>
      </w:r>
      <w:r w:rsidRPr="003C4312">
        <w:rPr>
          <w:rFonts w:cstheme="minorHAnsi"/>
          <w:i/>
        </w:rPr>
        <w:t>Build Back Fairer: The COVID-19 Marmot Review</w:t>
      </w:r>
      <w:r w:rsidRPr="003C4312">
        <w:rPr>
          <w:rFonts w:cstheme="minorHAnsi"/>
        </w:rPr>
        <w:t xml:space="preserve"> (Institute of Health E</w:t>
      </w:r>
      <w:r w:rsidRPr="00826D50">
        <w:rPr>
          <w:rFonts w:cstheme="minorHAnsi"/>
        </w:rPr>
        <w:t>quity 2</w:t>
      </w:r>
      <w:r>
        <w:rPr>
          <w:rFonts w:cstheme="minorHAnsi"/>
        </w:rPr>
        <w:t xml:space="preserve">020) </w:t>
      </w:r>
      <w:r w:rsidR="00F3687E">
        <w:rPr>
          <w:rFonts w:cstheme="minorHAnsi"/>
        </w:rPr>
        <w:t xml:space="preserve">at </w:t>
      </w:r>
      <w:hyperlink r:id="rId2" w:history="1">
        <w:r w:rsidR="00F3687E" w:rsidRPr="00E97F88">
          <w:rPr>
            <w:rStyle w:val="Hyperlink"/>
            <w:rFonts w:cstheme="minorHAnsi"/>
          </w:rPr>
          <w:t>http://www.instituteofhealthequity.org/resources-reports/build-back-fairer-the-covid-19-marmot-review</w:t>
        </w:r>
      </w:hyperlink>
      <w:r w:rsidR="00F3687E">
        <w:rPr>
          <w:rFonts w:cstheme="minorHAnsi"/>
        </w:rPr>
        <w:t xml:space="preserve"> </w:t>
      </w:r>
      <w:r w:rsidR="00F3687E">
        <w:t>[accessed 11 January 2021]</w:t>
      </w:r>
      <w:r>
        <w:rPr>
          <w:rFonts w:cstheme="minorHAnsi"/>
        </w:rPr>
        <w:t xml:space="preserve">; </w:t>
      </w:r>
      <w:r w:rsidRPr="003C4312">
        <w:rPr>
          <w:rFonts w:cstheme="minorHAnsi"/>
        </w:rPr>
        <w:t xml:space="preserve">M Whitehead, B Barr and D Taylor-Robinson, </w:t>
      </w:r>
      <w:r w:rsidR="00771FFF">
        <w:rPr>
          <w:rFonts w:cstheme="minorHAnsi"/>
        </w:rPr>
        <w:t>”</w:t>
      </w:r>
      <w:r w:rsidRPr="003C4312">
        <w:rPr>
          <w:rFonts w:cstheme="minorHAnsi"/>
        </w:rPr>
        <w:t>Covid-19: We are not “all in it together”—less privileged in society are suffering the brunt of the damage</w:t>
      </w:r>
      <w:r w:rsidR="00771FFF">
        <w:rPr>
          <w:rFonts w:cstheme="minorHAnsi"/>
        </w:rPr>
        <w:t>”</w:t>
      </w:r>
      <w:r w:rsidRPr="003C4312">
        <w:rPr>
          <w:rFonts w:cstheme="minorHAnsi"/>
        </w:rPr>
        <w:t xml:space="preserve"> (2020)</w:t>
      </w:r>
      <w:r w:rsidR="00771FFF">
        <w:rPr>
          <w:rFonts w:cstheme="minorHAnsi"/>
        </w:rPr>
        <w:t xml:space="preserve"> </w:t>
      </w:r>
      <w:r w:rsidRPr="003C4312">
        <w:rPr>
          <w:rFonts w:cstheme="minorHAnsi"/>
          <w:i/>
          <w:iCs/>
        </w:rPr>
        <w:t>BMJ Opinion</w:t>
      </w:r>
      <w:r w:rsidR="00F3687E">
        <w:rPr>
          <w:rFonts w:cstheme="minorHAnsi"/>
          <w:i/>
          <w:iCs/>
        </w:rPr>
        <w:t xml:space="preserve">, </w:t>
      </w:r>
      <w:r w:rsidR="00F3687E">
        <w:rPr>
          <w:rFonts w:cstheme="minorHAnsi"/>
        </w:rPr>
        <w:t>at</w:t>
      </w:r>
      <w:r w:rsidRPr="003C4312">
        <w:rPr>
          <w:rFonts w:cstheme="minorHAnsi"/>
          <w:i/>
          <w:iCs/>
        </w:rPr>
        <w:t xml:space="preserve"> </w:t>
      </w:r>
      <w:hyperlink r:id="rId3" w:history="1">
        <w:r w:rsidR="00F3687E" w:rsidRPr="00E97F88">
          <w:rPr>
            <w:rStyle w:val="Hyperlink"/>
            <w:rFonts w:cstheme="minorHAnsi"/>
            <w:iCs/>
          </w:rPr>
          <w:t>https://blogs.bmj.com/bmj/2020/05/22/Covid-19-we-are-not-all-in-it-together-less-privileged-in-society-are-suffering-the-brunt-of-the-damage/</w:t>
        </w:r>
      </w:hyperlink>
      <w:r w:rsidR="00F3687E">
        <w:rPr>
          <w:rFonts w:cstheme="minorHAnsi"/>
          <w:i/>
          <w:iCs/>
        </w:rPr>
        <w:t xml:space="preserve"> </w:t>
      </w:r>
      <w:r w:rsidR="00F3687E">
        <w:rPr>
          <w:rFonts w:cstheme="minorHAnsi"/>
        </w:rPr>
        <w:t>[</w:t>
      </w:r>
      <w:r w:rsidR="00F3687E">
        <w:t>accessed 11 January 2021]</w:t>
      </w:r>
    </w:p>
  </w:footnote>
  <w:footnote w:id="6">
    <w:p w14:paraId="529E622B" w14:textId="66181000" w:rsidR="00DC2065" w:rsidRPr="003C4312" w:rsidRDefault="00DC2065" w:rsidP="1D3A95D2">
      <w:pPr>
        <w:pStyle w:val="FootnoteText"/>
      </w:pPr>
      <w:r w:rsidRPr="1D3A95D2">
        <w:rPr>
          <w:rStyle w:val="FootnoteReference"/>
        </w:rPr>
        <w:footnoteRef/>
      </w:r>
      <w:r w:rsidRPr="1D3A95D2">
        <w:t xml:space="preserve"> </w:t>
      </w:r>
      <w:proofErr w:type="gramStart"/>
      <w:r w:rsidR="00E510A9" w:rsidRPr="00E510A9">
        <w:t xml:space="preserve">C Fitzpatrick, G McKeever, M Simpson, </w:t>
      </w:r>
      <w:r w:rsidR="00771FFF">
        <w:t>”</w:t>
      </w:r>
      <w:r w:rsidR="00E510A9" w:rsidRPr="00E510A9">
        <w:t>Conditionality, discretion and TH Marshall’s ‘right to welfare</w:t>
      </w:r>
      <w:r w:rsidR="00771FFF">
        <w:t>”</w:t>
      </w:r>
      <w:r w:rsidR="00E510A9" w:rsidRPr="00E510A9">
        <w:t xml:space="preserve"> (2019)</w:t>
      </w:r>
      <w:r w:rsidR="00771FFF">
        <w:t xml:space="preserve"> 41(4)</w:t>
      </w:r>
      <w:r w:rsidR="00E510A9" w:rsidRPr="00E510A9">
        <w:t xml:space="preserve"> </w:t>
      </w:r>
      <w:r w:rsidR="00E510A9" w:rsidRPr="00E510A9">
        <w:rPr>
          <w:i/>
          <w:iCs/>
        </w:rPr>
        <w:t xml:space="preserve">Journal of Social Welfare and Family </w:t>
      </w:r>
      <w:r w:rsidR="00E510A9" w:rsidRPr="00E510A9">
        <w:t>Law</w:t>
      </w:r>
      <w:r w:rsidR="00771FFF">
        <w:t xml:space="preserve"> </w:t>
      </w:r>
      <w:r w:rsidR="00E510A9" w:rsidRPr="00E510A9">
        <w:t>445</w:t>
      </w:r>
      <w:r w:rsidR="00343FA3">
        <w:t>;</w:t>
      </w:r>
      <w:r w:rsidR="00E510A9" w:rsidRPr="00E510A9">
        <w:t xml:space="preserve"> D Edmiston, </w:t>
      </w:r>
      <w:r w:rsidR="00771FFF">
        <w:t>“</w:t>
      </w:r>
      <w:r w:rsidR="00E510A9" w:rsidRPr="00771FFF">
        <w:rPr>
          <w:i/>
          <w:iCs/>
        </w:rPr>
        <w:t>The depth and profile of UK poverty has changed considerably – official statistics must start capturing this reality amidst COVID-19</w:t>
      </w:r>
      <w:r w:rsidR="00771FFF">
        <w:t>"</w:t>
      </w:r>
      <w:r w:rsidR="00771FFF">
        <w:rPr>
          <w:i/>
        </w:rPr>
        <w:t>LSE B</w:t>
      </w:r>
      <w:r w:rsidR="00771FFF" w:rsidRPr="00B42B8F">
        <w:rPr>
          <w:i/>
        </w:rPr>
        <w:t xml:space="preserve">ritish Politics and Policy </w:t>
      </w:r>
      <w:r w:rsidR="00E510A9" w:rsidRPr="00E510A9">
        <w:t>18 Aug 2020)</w:t>
      </w:r>
      <w:r w:rsidR="00771FFF" w:rsidRPr="00771FFF">
        <w:t xml:space="preserve"> </w:t>
      </w:r>
      <w:r w:rsidR="00574E91">
        <w:t xml:space="preserve">at </w:t>
      </w:r>
      <w:hyperlink r:id="rId4" w:history="1">
        <w:r w:rsidR="00574E91" w:rsidRPr="00E97F88">
          <w:rPr>
            <w:rStyle w:val="Hyperlink"/>
          </w:rPr>
          <w:t>https://blogs.lse.ac.uk/politicsandpolicy/depth-and-profile-of-uk-poverty/</w:t>
        </w:r>
      </w:hyperlink>
      <w:r w:rsidR="00574E91">
        <w:t xml:space="preserve"> [accessed 11 January 2021]</w:t>
      </w:r>
      <w:r w:rsidR="00E510A9" w:rsidRPr="00E510A9">
        <w:t xml:space="preserve">; E Lai, S Wickham, C Law, M Whitehead, B Barr, D Taylor-Robinson, </w:t>
      </w:r>
      <w:r w:rsidR="00771FFF">
        <w:t>”</w:t>
      </w:r>
      <w:r w:rsidR="00E510A9" w:rsidRPr="00E510A9">
        <w:t>Poverty dynamics and health in late childhood in the UK: evidence from the Millennium Cohort Study</w:t>
      </w:r>
      <w:r w:rsidR="00771FFF">
        <w:t>”</w:t>
      </w:r>
      <w:r w:rsidR="00E510A9" w:rsidRPr="00E510A9">
        <w:t xml:space="preserve"> (2019)</w:t>
      </w:r>
      <w:r w:rsidR="00771FFF">
        <w:t xml:space="preserve"> 104 (11)</w:t>
      </w:r>
      <w:r w:rsidR="00E510A9" w:rsidRPr="00E510A9">
        <w:t xml:space="preserve"> </w:t>
      </w:r>
      <w:r w:rsidR="00E510A9" w:rsidRPr="00E510A9">
        <w:rPr>
          <w:i/>
        </w:rPr>
        <w:t>Archives of Disease in Childhood</w:t>
      </w:r>
      <w:r w:rsidR="00771FFF">
        <w:t xml:space="preserve"> 1049</w:t>
      </w:r>
      <w:r w:rsidR="00E510A9" w:rsidRPr="00E510A9">
        <w:t xml:space="preserve">; S Wickham, M Whitehead, D Taylor-Robinson, B Barr, </w:t>
      </w:r>
      <w:r w:rsidR="00771FFF">
        <w:t>”</w:t>
      </w:r>
      <w:r w:rsidR="00E510A9" w:rsidRPr="00E510A9">
        <w:t>The effect of a transition into poverty on child and maternal mental health: a longitudinal analysis of the UK Millennium Cohort Study</w:t>
      </w:r>
      <w:r w:rsidR="00771FFF">
        <w:t>”</w:t>
      </w:r>
      <w:r w:rsidR="00E510A9" w:rsidRPr="00E510A9">
        <w:t xml:space="preserve"> (2017) 2</w:t>
      </w:r>
      <w:r w:rsidR="00771FFF">
        <w:t xml:space="preserve"> (3)</w:t>
      </w:r>
      <w:r w:rsidR="00E510A9" w:rsidRPr="00E510A9">
        <w:t xml:space="preserve"> Lancet Public Health </w:t>
      </w:r>
      <w:r w:rsidR="00771FFF">
        <w:t>141</w:t>
      </w:r>
      <w:r w:rsidR="00E510A9" w:rsidRPr="00E510A9">
        <w:t>.</w:t>
      </w:r>
      <w:proofErr w:type="gramEnd"/>
    </w:p>
  </w:footnote>
  <w:footnote w:id="7">
    <w:p w14:paraId="34B909DB" w14:textId="77777777" w:rsidR="008E094B" w:rsidRPr="003C4312" w:rsidRDefault="008E094B" w:rsidP="008E094B">
      <w:pPr>
        <w:pStyle w:val="FootnoteText"/>
        <w:rPr>
          <w:rFonts w:cstheme="minorHAnsi"/>
        </w:rPr>
      </w:pPr>
      <w:r w:rsidRPr="003C4312">
        <w:rPr>
          <w:rStyle w:val="FootnoteReference"/>
          <w:rFonts w:cstheme="minorHAnsi"/>
        </w:rPr>
        <w:footnoteRef/>
      </w:r>
      <w:r w:rsidRPr="003C4312">
        <w:rPr>
          <w:rFonts w:cstheme="minorHAnsi"/>
        </w:rPr>
        <w:t xml:space="preserve"> We use the term ‘legal advice’ in this article to refer to all advice, delivered by a person with training, that relates to claiming or understanding a person’s rights, or challenging a decision made, in all areas of social welfare law, whether delivered by a legal professional or not.</w:t>
      </w:r>
    </w:p>
  </w:footnote>
  <w:footnote w:id="8">
    <w:p w14:paraId="340F56DB" w14:textId="3BFD1CA3" w:rsidR="00DC2065" w:rsidRPr="00F147A0" w:rsidRDefault="00DC2065" w:rsidP="00E131A7">
      <w:pPr>
        <w:pStyle w:val="FootnoteText"/>
        <w:rPr>
          <w:rFonts w:cstheme="minorHAnsi"/>
        </w:rPr>
      </w:pPr>
      <w:r w:rsidRPr="003C4312">
        <w:rPr>
          <w:rStyle w:val="FootnoteReference"/>
          <w:rFonts w:cstheme="minorHAnsi"/>
        </w:rPr>
        <w:footnoteRef/>
      </w:r>
      <w:r w:rsidRPr="003C4312">
        <w:rPr>
          <w:rFonts w:cstheme="minorHAnsi"/>
        </w:rPr>
        <w:t xml:space="preserve"> Social welfare law</w:t>
      </w:r>
      <w:r>
        <w:rPr>
          <w:rFonts w:cstheme="minorHAnsi"/>
        </w:rPr>
        <w:t xml:space="preserve"> is a subset of civil law that</w:t>
      </w:r>
      <w:r w:rsidRPr="003C4312">
        <w:rPr>
          <w:rFonts w:cstheme="minorHAnsi"/>
        </w:rPr>
        <w:t xml:space="preserve"> includes employment, family, housing, immigration, welfare rights, education and community care.</w:t>
      </w:r>
    </w:p>
  </w:footnote>
  <w:footnote w:id="9">
    <w:p w14:paraId="4B83DD55" w14:textId="1C8D9ED9" w:rsidR="00DC2065" w:rsidRPr="007B328B" w:rsidRDefault="00DC2065" w:rsidP="00E131A7">
      <w:pPr>
        <w:pStyle w:val="FootnoteText"/>
        <w:rPr>
          <w:rFonts w:cstheme="minorHAnsi"/>
        </w:rPr>
      </w:pPr>
      <w:r w:rsidRPr="003C4312">
        <w:rPr>
          <w:rStyle w:val="FootnoteReference"/>
          <w:rFonts w:cstheme="minorHAnsi"/>
        </w:rPr>
        <w:footnoteRef/>
      </w:r>
      <w:r w:rsidRPr="003C4312">
        <w:rPr>
          <w:rFonts w:cstheme="minorHAnsi"/>
        </w:rPr>
        <w:t xml:space="preserve"> </w:t>
      </w:r>
      <w:r w:rsidR="00E510A9" w:rsidRPr="00E510A9">
        <w:rPr>
          <w:rFonts w:cstheme="minorHAnsi"/>
        </w:rPr>
        <w:t xml:space="preserve">P Pleasance and N Balmer, </w:t>
      </w:r>
      <w:r w:rsidR="00D36980">
        <w:rPr>
          <w:rFonts w:cstheme="minorHAnsi"/>
        </w:rPr>
        <w:t>“</w:t>
      </w:r>
      <w:r w:rsidR="00E510A9" w:rsidRPr="00E510A9">
        <w:rPr>
          <w:rFonts w:cstheme="minorHAnsi"/>
        </w:rPr>
        <w:t>The Audacity of Justice: Recession, Redundancy, Rights and Legal Aid</w:t>
      </w:r>
      <w:r w:rsidR="00771FFF">
        <w:rPr>
          <w:rFonts w:cstheme="minorHAnsi"/>
        </w:rPr>
        <w:t>”</w:t>
      </w:r>
      <w:r w:rsidR="00E510A9" w:rsidRPr="00E510A9">
        <w:rPr>
          <w:rFonts w:cstheme="minorHAnsi"/>
        </w:rPr>
        <w:t xml:space="preserve"> (2010) </w:t>
      </w:r>
      <w:proofErr w:type="gramStart"/>
      <w:r w:rsidR="00E510A9" w:rsidRPr="00E510A9">
        <w:rPr>
          <w:rFonts w:cstheme="minorHAnsi"/>
        </w:rPr>
        <w:t>9</w:t>
      </w:r>
      <w:proofErr w:type="gramEnd"/>
      <w:r w:rsidR="00771FFF">
        <w:rPr>
          <w:rFonts w:cstheme="minorHAnsi"/>
        </w:rPr>
        <w:t xml:space="preserve"> (4)</w:t>
      </w:r>
      <w:r w:rsidR="00E510A9" w:rsidRPr="00E510A9">
        <w:rPr>
          <w:rFonts w:cstheme="minorHAnsi"/>
        </w:rPr>
        <w:t xml:space="preserve"> </w:t>
      </w:r>
      <w:r w:rsidR="00E510A9" w:rsidRPr="00E510A9">
        <w:rPr>
          <w:rFonts w:cstheme="minorHAnsi"/>
          <w:i/>
        </w:rPr>
        <w:t>Social Policy &amp; Society</w:t>
      </w:r>
      <w:r w:rsidR="00F1274F">
        <w:rPr>
          <w:rFonts w:cstheme="minorHAnsi"/>
        </w:rPr>
        <w:t xml:space="preserve"> 475.</w:t>
      </w:r>
    </w:p>
  </w:footnote>
  <w:footnote w:id="10">
    <w:p w14:paraId="0D3952D0" w14:textId="1822EEE7" w:rsidR="00DC2065" w:rsidRPr="00F3687E" w:rsidRDefault="00DC2065" w:rsidP="00DC2065">
      <w:pPr>
        <w:spacing w:after="0"/>
        <w:jc w:val="both"/>
        <w:rPr>
          <w:rFonts w:cstheme="minorHAnsi"/>
          <w:sz w:val="20"/>
          <w:szCs w:val="20"/>
        </w:rPr>
      </w:pPr>
      <w:r w:rsidRPr="003C4312">
        <w:rPr>
          <w:rStyle w:val="FootnoteReference"/>
          <w:rFonts w:cstheme="minorHAnsi"/>
          <w:sz w:val="20"/>
          <w:szCs w:val="20"/>
        </w:rPr>
        <w:footnoteRef/>
      </w:r>
      <w:r w:rsidRPr="003C4312">
        <w:rPr>
          <w:rFonts w:cstheme="minorHAnsi"/>
          <w:sz w:val="20"/>
          <w:szCs w:val="20"/>
        </w:rPr>
        <w:t xml:space="preserve"> </w:t>
      </w:r>
      <w:r w:rsidR="001B36A2">
        <w:rPr>
          <w:rFonts w:cstheme="minorHAnsi"/>
          <w:sz w:val="20"/>
          <w:szCs w:val="20"/>
        </w:rPr>
        <w:t>The Legal Aid, Sentencing, and Punishment of Offenders Act 2012 (</w:t>
      </w:r>
      <w:r w:rsidRPr="003C4312">
        <w:rPr>
          <w:rFonts w:cstheme="minorHAnsi"/>
          <w:sz w:val="20"/>
          <w:szCs w:val="20"/>
        </w:rPr>
        <w:t>LASPO</w:t>
      </w:r>
      <w:r w:rsidR="001B36A2">
        <w:rPr>
          <w:rFonts w:cstheme="minorHAnsi"/>
          <w:sz w:val="20"/>
          <w:szCs w:val="20"/>
        </w:rPr>
        <w:t>)</w:t>
      </w:r>
      <w:r w:rsidR="00F22FE2">
        <w:rPr>
          <w:rFonts w:cstheme="minorHAnsi"/>
          <w:sz w:val="20"/>
          <w:szCs w:val="20"/>
        </w:rPr>
        <w:t xml:space="preserve"> </w:t>
      </w:r>
      <w:r w:rsidRPr="003C4312">
        <w:rPr>
          <w:rFonts w:cstheme="minorHAnsi"/>
          <w:sz w:val="20"/>
          <w:szCs w:val="20"/>
        </w:rPr>
        <w:t xml:space="preserve">cut £751 million from the £2.2 billion legal aid budget. Statistics from the Legal Aid Agency show that the workload (legal help matter starts added to civil representation certificates granted) for welfare benefits </w:t>
      </w:r>
      <w:r w:rsidRPr="007B328B">
        <w:rPr>
          <w:rFonts w:cstheme="minorHAnsi"/>
          <w:sz w:val="20"/>
          <w:szCs w:val="20"/>
        </w:rPr>
        <w:t xml:space="preserve">was 88,378 in 2012-13, the </w:t>
      </w:r>
      <w:r w:rsidR="001B36A2">
        <w:rPr>
          <w:rFonts w:cstheme="minorHAnsi"/>
          <w:sz w:val="20"/>
          <w:szCs w:val="20"/>
        </w:rPr>
        <w:t>fiscal year</w:t>
      </w:r>
      <w:r w:rsidR="00F22FE2">
        <w:rPr>
          <w:rFonts w:cstheme="minorHAnsi"/>
          <w:sz w:val="20"/>
          <w:szCs w:val="20"/>
        </w:rPr>
        <w:t xml:space="preserve"> </w:t>
      </w:r>
      <w:r w:rsidRPr="007B328B">
        <w:rPr>
          <w:rFonts w:cstheme="minorHAnsi"/>
          <w:sz w:val="20"/>
          <w:szCs w:val="20"/>
        </w:rPr>
        <w:t xml:space="preserve">preceding LASPO, and fell to 145 in 2013-14. Ministry of Justice, </w:t>
      </w:r>
      <w:r w:rsidRPr="007B328B">
        <w:rPr>
          <w:rFonts w:cstheme="minorHAnsi"/>
          <w:i/>
          <w:sz w:val="20"/>
          <w:szCs w:val="20"/>
        </w:rPr>
        <w:t>Legal Aid Statistics in England and Wales, 2013-14</w:t>
      </w:r>
      <w:r w:rsidRPr="007B328B">
        <w:rPr>
          <w:rFonts w:cstheme="minorHAnsi"/>
          <w:sz w:val="20"/>
          <w:szCs w:val="20"/>
        </w:rPr>
        <w:t xml:space="preserve"> (2014)</w:t>
      </w:r>
      <w:r w:rsidR="001E4C8C">
        <w:rPr>
          <w:rFonts w:cstheme="minorHAnsi"/>
          <w:sz w:val="20"/>
          <w:szCs w:val="20"/>
        </w:rPr>
        <w:t xml:space="preserve"> </w:t>
      </w:r>
      <w:r w:rsidR="00F3687E">
        <w:rPr>
          <w:rFonts w:cstheme="minorHAnsi"/>
          <w:sz w:val="20"/>
          <w:szCs w:val="20"/>
        </w:rPr>
        <w:t xml:space="preserve">at  </w:t>
      </w:r>
      <w:r w:rsidRPr="007B328B">
        <w:rPr>
          <w:rFonts w:cstheme="minorHAnsi"/>
          <w:sz w:val="20"/>
          <w:szCs w:val="20"/>
        </w:rPr>
        <w:t xml:space="preserve"> https://assets.publishing.service.gov.uk/government/uploads/system/uploads/attachment_data/file/366575/legal-aid-statistics-2013-14.pdf </w:t>
      </w:r>
      <w:r w:rsidR="00F3687E">
        <w:rPr>
          <w:rFonts w:cstheme="minorHAnsi"/>
          <w:sz w:val="20"/>
          <w:szCs w:val="20"/>
        </w:rPr>
        <w:t>[a</w:t>
      </w:r>
      <w:r w:rsidRPr="007B328B">
        <w:rPr>
          <w:rFonts w:cstheme="minorHAnsi"/>
          <w:sz w:val="20"/>
          <w:szCs w:val="20"/>
        </w:rPr>
        <w:t>ccessed 16 October 2020</w:t>
      </w:r>
      <w:r w:rsidR="00F3687E">
        <w:rPr>
          <w:rFonts w:cstheme="minorHAnsi"/>
          <w:sz w:val="20"/>
          <w:szCs w:val="20"/>
        </w:rPr>
        <w:t>]</w:t>
      </w:r>
      <w:r w:rsidRPr="007B328B">
        <w:rPr>
          <w:rFonts w:cstheme="minorHAnsi"/>
          <w:sz w:val="20"/>
          <w:szCs w:val="20"/>
        </w:rPr>
        <w:t xml:space="preserve">; </w:t>
      </w:r>
      <w:r w:rsidRPr="00B42B8F">
        <w:rPr>
          <w:rFonts w:cstheme="minorHAnsi"/>
          <w:i/>
          <w:sz w:val="20"/>
          <w:szCs w:val="20"/>
        </w:rPr>
        <w:t>Legal Needs of Individuals in England and Wales Summary Report 2019/20</w:t>
      </w:r>
      <w:r w:rsidRPr="007B328B">
        <w:rPr>
          <w:rFonts w:cstheme="minorHAnsi"/>
          <w:sz w:val="20"/>
          <w:szCs w:val="20"/>
        </w:rPr>
        <w:t xml:space="preserve">. </w:t>
      </w:r>
      <w:r w:rsidR="00771FFF">
        <w:rPr>
          <w:rFonts w:cstheme="minorHAnsi"/>
          <w:sz w:val="20"/>
          <w:szCs w:val="20"/>
        </w:rPr>
        <w:t>(</w:t>
      </w:r>
      <w:r w:rsidRPr="007B328B">
        <w:rPr>
          <w:rFonts w:cstheme="minorHAnsi"/>
          <w:sz w:val="20"/>
          <w:szCs w:val="20"/>
        </w:rPr>
        <w:t>LSB/Law Society</w:t>
      </w:r>
      <w:r w:rsidR="00771FFF">
        <w:rPr>
          <w:rFonts w:cstheme="minorHAnsi"/>
          <w:sz w:val="20"/>
          <w:szCs w:val="20"/>
        </w:rPr>
        <w:t xml:space="preserve"> 2020)</w:t>
      </w:r>
      <w:r w:rsidR="00F3687E">
        <w:rPr>
          <w:rFonts w:cstheme="minorHAnsi"/>
          <w:sz w:val="20"/>
          <w:szCs w:val="20"/>
        </w:rPr>
        <w:t xml:space="preserve"> at</w:t>
      </w:r>
      <w:r w:rsidR="00771FFF">
        <w:rPr>
          <w:rFonts w:cstheme="minorHAnsi"/>
          <w:sz w:val="20"/>
          <w:szCs w:val="20"/>
        </w:rPr>
        <w:t xml:space="preserve"> </w:t>
      </w:r>
      <w:hyperlink r:id="rId5" w:history="1">
        <w:r w:rsidR="001E4C8C" w:rsidRPr="001A26CE">
          <w:rPr>
            <w:rStyle w:val="Hyperlink"/>
            <w:rFonts w:cstheme="minorHAnsi"/>
            <w:sz w:val="20"/>
            <w:szCs w:val="20"/>
          </w:rPr>
          <w:t>https://www.legalservicesboard.org.uk/wp-content/uploads/2020/01/Legal-Needs-of-Individuals-Summary-Report-Final-January-2020.pdf</w:t>
        </w:r>
      </w:hyperlink>
      <w:r w:rsidR="00F3687E" w:rsidRPr="00F3687E">
        <w:rPr>
          <w:rStyle w:val="Hyperlink"/>
          <w:rFonts w:cstheme="minorHAnsi"/>
          <w:sz w:val="20"/>
          <w:szCs w:val="20"/>
        </w:rPr>
        <w:t xml:space="preserve"> </w:t>
      </w:r>
      <w:r w:rsidR="00F3687E" w:rsidRPr="001E4C8C">
        <w:rPr>
          <w:sz w:val="20"/>
          <w:szCs w:val="20"/>
        </w:rPr>
        <w:t>[accessed 11 January 2021]</w:t>
      </w:r>
    </w:p>
  </w:footnote>
  <w:footnote w:id="11">
    <w:p w14:paraId="6B2A9C26" w14:textId="3FEA499A" w:rsidR="00DC2065" w:rsidRPr="007B328B" w:rsidRDefault="00DC2065" w:rsidP="003015EF">
      <w:pPr>
        <w:pStyle w:val="FootnoteText"/>
        <w:rPr>
          <w:rFonts w:cstheme="minorHAnsi"/>
        </w:rPr>
      </w:pPr>
      <w:r w:rsidRPr="007B328B">
        <w:rPr>
          <w:rStyle w:val="FootnoteReference"/>
          <w:rFonts w:cstheme="minorHAnsi"/>
        </w:rPr>
        <w:footnoteRef/>
      </w:r>
      <w:r w:rsidRPr="007B328B">
        <w:rPr>
          <w:rFonts w:cstheme="minorHAnsi"/>
        </w:rPr>
        <w:t xml:space="preserve"> J Organ and J Sigafoos, </w:t>
      </w:r>
      <w:r w:rsidR="00771FFF">
        <w:rPr>
          <w:rFonts w:cstheme="minorHAnsi"/>
        </w:rPr>
        <w:t>“</w:t>
      </w:r>
      <w:r w:rsidRPr="007B328B">
        <w:rPr>
          <w:rFonts w:cstheme="minorHAnsi"/>
          <w:iCs/>
        </w:rPr>
        <w:t>What if There Is Nowhere to Get Advice?</w:t>
      </w:r>
      <w:r w:rsidR="00771FFF">
        <w:rPr>
          <w:rFonts w:cstheme="minorHAnsi"/>
        </w:rPr>
        <w:t>”</w:t>
      </w:r>
      <w:r w:rsidRPr="007B328B">
        <w:rPr>
          <w:rFonts w:cstheme="minorHAnsi"/>
        </w:rPr>
        <w:t xml:space="preserve"> in A Flynn and J Hodgson (</w:t>
      </w:r>
      <w:proofErr w:type="gramStart"/>
      <w:r w:rsidRPr="007B328B">
        <w:rPr>
          <w:rFonts w:cstheme="minorHAnsi"/>
        </w:rPr>
        <w:t>eds</w:t>
      </w:r>
      <w:proofErr w:type="gramEnd"/>
      <w:r w:rsidRPr="007B328B">
        <w:rPr>
          <w:rFonts w:cstheme="minorHAnsi"/>
        </w:rPr>
        <w:t xml:space="preserve">) </w:t>
      </w:r>
      <w:r w:rsidRPr="007B328B">
        <w:rPr>
          <w:rFonts w:cstheme="minorHAnsi"/>
          <w:i/>
        </w:rPr>
        <w:t>Access to Justice and Legal Aid: Comparative Perspectives on Unmet Legal Need</w:t>
      </w:r>
      <w:r w:rsidRPr="007B328B">
        <w:rPr>
          <w:rFonts w:cstheme="minorHAnsi"/>
        </w:rPr>
        <w:t xml:space="preserve"> (Hart Publishing 2017).</w:t>
      </w:r>
    </w:p>
  </w:footnote>
  <w:footnote w:id="12">
    <w:p w14:paraId="7C0F66CF" w14:textId="69CF3702" w:rsidR="00DC2065" w:rsidRPr="007B328B" w:rsidRDefault="00DC2065" w:rsidP="005B023C">
      <w:pPr>
        <w:pStyle w:val="FootnoteText"/>
        <w:rPr>
          <w:rFonts w:cstheme="minorHAnsi"/>
        </w:rPr>
      </w:pPr>
      <w:r w:rsidRPr="007B328B">
        <w:rPr>
          <w:rStyle w:val="FootnoteReference"/>
          <w:rFonts w:cstheme="minorHAnsi"/>
        </w:rPr>
        <w:footnoteRef/>
      </w:r>
      <w:r w:rsidRPr="007B328B">
        <w:rPr>
          <w:rFonts w:cstheme="minorHAnsi"/>
        </w:rPr>
        <w:t xml:space="preserve"> For example the Community Justice Fund</w:t>
      </w:r>
      <w:r w:rsidR="00574E91">
        <w:rPr>
          <w:rFonts w:cstheme="minorHAnsi"/>
        </w:rPr>
        <w:t>, at</w:t>
      </w:r>
      <w:r w:rsidRPr="007B328B">
        <w:rPr>
          <w:rFonts w:cstheme="minorHAnsi"/>
        </w:rPr>
        <w:t xml:space="preserve"> </w:t>
      </w:r>
      <w:hyperlink r:id="rId6" w:history="1">
        <w:r w:rsidR="00574E91" w:rsidRPr="00E97F88">
          <w:rPr>
            <w:rStyle w:val="Hyperlink"/>
            <w:rFonts w:cstheme="minorHAnsi"/>
          </w:rPr>
          <w:t>https://www.communityjusticefund.org.uk/</w:t>
        </w:r>
      </w:hyperlink>
      <w:r w:rsidR="00574E91">
        <w:rPr>
          <w:rFonts w:cstheme="minorHAnsi"/>
        </w:rPr>
        <w:t xml:space="preserve"> </w:t>
      </w:r>
      <w:r w:rsidR="00574E91">
        <w:t xml:space="preserve">[accessed 11 January 2021] </w:t>
      </w:r>
      <w:r w:rsidRPr="007B328B">
        <w:rPr>
          <w:rFonts w:cstheme="minorHAnsi"/>
        </w:rPr>
        <w:t>and the Steve Morgan Foundation Emergency Fund and</w:t>
      </w:r>
      <w:r w:rsidR="00F1274F">
        <w:rPr>
          <w:rFonts w:cstheme="minorHAnsi"/>
        </w:rPr>
        <w:t xml:space="preserve"> then Community Match Challenge.</w:t>
      </w:r>
      <w:r w:rsidR="00574E91">
        <w:rPr>
          <w:rFonts w:cstheme="minorHAnsi"/>
        </w:rPr>
        <w:t xml:space="preserve">, available at </w:t>
      </w:r>
      <w:hyperlink r:id="rId7" w:history="1">
        <w:r w:rsidR="00574E91" w:rsidRPr="00574E91">
          <w:rPr>
            <w:rStyle w:val="Hyperlink"/>
            <w:rFonts w:cstheme="minorHAnsi"/>
          </w:rPr>
          <w:t>https://stevemorganfoundation.org.uk/covid-19-emergency-fund-replaced-by-new-20m-match-fund/</w:t>
        </w:r>
      </w:hyperlink>
      <w:r w:rsidR="00F3687E">
        <w:rPr>
          <w:rFonts w:cstheme="minorHAnsi"/>
        </w:rPr>
        <w:t xml:space="preserve"> </w:t>
      </w:r>
      <w:r w:rsidR="00F3687E">
        <w:t>[accessed 11 January 2021</w:t>
      </w:r>
      <w:r w:rsidR="00574E91">
        <w:t>]</w:t>
      </w:r>
    </w:p>
  </w:footnote>
  <w:footnote w:id="13">
    <w:p w14:paraId="422211D6" w14:textId="45491B56" w:rsidR="00DC2065" w:rsidRPr="00E510A9" w:rsidRDefault="00DC2065">
      <w:pPr>
        <w:pStyle w:val="FootnoteText"/>
        <w:rPr>
          <w:rFonts w:cstheme="minorHAnsi"/>
          <w:highlight w:val="yellow"/>
        </w:rPr>
      </w:pPr>
      <w:r w:rsidRPr="002316F6">
        <w:rPr>
          <w:rStyle w:val="FootnoteReference"/>
          <w:rFonts w:cstheme="minorHAnsi"/>
        </w:rPr>
        <w:footnoteRef/>
      </w:r>
      <w:r w:rsidR="00771FFF">
        <w:rPr>
          <w:rFonts w:cstheme="minorHAnsi"/>
        </w:rPr>
        <w:t xml:space="preserve"> </w:t>
      </w:r>
      <w:proofErr w:type="spellStart"/>
      <w:r w:rsidR="00771FFF">
        <w:rPr>
          <w:rFonts w:cstheme="minorHAnsi"/>
        </w:rPr>
        <w:t>Bambra</w:t>
      </w:r>
      <w:proofErr w:type="spellEnd"/>
      <w:r w:rsidR="00771FFF">
        <w:rPr>
          <w:rFonts w:cstheme="minorHAnsi"/>
        </w:rPr>
        <w:t xml:space="preserve"> et al.,</w:t>
      </w:r>
      <w:r w:rsidR="00574E91">
        <w:rPr>
          <w:rFonts w:cstheme="minorHAnsi"/>
        </w:rPr>
        <w:t xml:space="preserve"> </w:t>
      </w:r>
      <w:r w:rsidR="00574E91" w:rsidRPr="00B42B8F">
        <w:rPr>
          <w:i/>
        </w:rPr>
        <w:t>Health for Wealth: Building a Healthier Northern Powerhouse for UK Productivity</w:t>
      </w:r>
      <w:r w:rsidR="00574E91" w:rsidRPr="00E510A9">
        <w:t xml:space="preserve">, (Northern Health Sciences Alliance, </w:t>
      </w:r>
      <w:r w:rsidR="00574E91">
        <w:t>2018)</w:t>
      </w:r>
      <w:r w:rsidR="00771FFF">
        <w:rPr>
          <w:rFonts w:cstheme="minorHAnsi"/>
        </w:rPr>
        <w:t xml:space="preserve"> </w:t>
      </w:r>
    </w:p>
  </w:footnote>
  <w:footnote w:id="14">
    <w:p w14:paraId="1A01742E" w14:textId="0CC82AAD" w:rsidR="00DC2065" w:rsidRPr="007B328B" w:rsidRDefault="00DC2065">
      <w:pPr>
        <w:pStyle w:val="FootnoteText"/>
        <w:rPr>
          <w:rFonts w:cstheme="minorHAnsi"/>
        </w:rPr>
      </w:pPr>
      <w:r w:rsidRPr="007B328B">
        <w:rPr>
          <w:rStyle w:val="FootnoteReference"/>
          <w:rFonts w:cstheme="minorHAnsi"/>
        </w:rPr>
        <w:footnoteRef/>
      </w:r>
      <w:r w:rsidRPr="007B328B">
        <w:rPr>
          <w:rFonts w:cstheme="minorHAnsi"/>
        </w:rPr>
        <w:t xml:space="preserve"> </w:t>
      </w:r>
      <w:r w:rsidRPr="00DC2065">
        <w:rPr>
          <w:rStyle w:val="CommentReference"/>
          <w:rFonts w:cstheme="minorHAnsi"/>
          <w:sz w:val="20"/>
          <w:szCs w:val="20"/>
        </w:rPr>
        <w:t>S Wickham and B Barr (2020)</w:t>
      </w:r>
      <w:r w:rsidR="00771FFF">
        <w:rPr>
          <w:rStyle w:val="CommentReference"/>
          <w:rFonts w:cstheme="minorHAnsi"/>
          <w:sz w:val="20"/>
          <w:szCs w:val="20"/>
        </w:rPr>
        <w:t xml:space="preserve"> ”</w:t>
      </w:r>
      <w:proofErr w:type="spellStart"/>
      <w:r w:rsidRPr="00DC2065">
        <w:rPr>
          <w:rStyle w:val="CommentReference"/>
          <w:rFonts w:cstheme="minorHAnsi"/>
          <w:sz w:val="20"/>
          <w:szCs w:val="20"/>
        </w:rPr>
        <w:t>Covid</w:t>
      </w:r>
      <w:proofErr w:type="spellEnd"/>
      <w:r w:rsidRPr="00DC2065">
        <w:rPr>
          <w:rStyle w:val="CommentReference"/>
          <w:rFonts w:cstheme="minorHAnsi"/>
          <w:sz w:val="20"/>
          <w:szCs w:val="20"/>
        </w:rPr>
        <w:t xml:space="preserve"> 19: Amplifying Inequalities</w:t>
      </w:r>
      <w:r w:rsidR="00771FFF">
        <w:rPr>
          <w:rStyle w:val="CommentReference"/>
          <w:rFonts w:cstheme="minorHAnsi"/>
          <w:sz w:val="20"/>
          <w:szCs w:val="20"/>
        </w:rPr>
        <w:t>”</w:t>
      </w:r>
      <w:r w:rsidRPr="00DC2065">
        <w:rPr>
          <w:rStyle w:val="CommentReference"/>
          <w:rFonts w:cstheme="minorHAnsi"/>
          <w:sz w:val="20"/>
          <w:szCs w:val="20"/>
        </w:rPr>
        <w:t xml:space="preserve"> </w:t>
      </w:r>
      <w:r w:rsidRPr="00DC2065">
        <w:rPr>
          <w:rStyle w:val="CommentReference"/>
          <w:rFonts w:cstheme="minorHAnsi"/>
          <w:i/>
          <w:sz w:val="20"/>
          <w:szCs w:val="20"/>
        </w:rPr>
        <w:t>Liverpool Responds: Health Inequalities</w:t>
      </w:r>
      <w:r w:rsidRPr="00DC2065">
        <w:rPr>
          <w:rStyle w:val="CommentReference"/>
          <w:rFonts w:cstheme="minorHAnsi"/>
          <w:sz w:val="20"/>
          <w:szCs w:val="20"/>
        </w:rPr>
        <w:t xml:space="preserve"> </w:t>
      </w:r>
      <w:proofErr w:type="spellStart"/>
      <w:r w:rsidRPr="00B42B8F">
        <w:rPr>
          <w:rStyle w:val="CommentReference"/>
          <w:rFonts w:cstheme="minorHAnsi"/>
          <w:i/>
          <w:sz w:val="20"/>
          <w:szCs w:val="20"/>
        </w:rPr>
        <w:t>talk</w:t>
      </w:r>
      <w:r w:rsidR="00574E91">
        <w:rPr>
          <w:rStyle w:val="CommentReference"/>
          <w:rFonts w:cstheme="minorHAnsi"/>
          <w:sz w:val="20"/>
          <w:szCs w:val="20"/>
        </w:rPr>
        <w:t>,at</w:t>
      </w:r>
      <w:proofErr w:type="spellEnd"/>
      <w:r w:rsidRPr="00DC2065">
        <w:rPr>
          <w:rStyle w:val="CommentReference"/>
          <w:rFonts w:cstheme="minorHAnsi"/>
          <w:sz w:val="20"/>
          <w:szCs w:val="20"/>
        </w:rPr>
        <w:t xml:space="preserve"> </w:t>
      </w:r>
      <w:hyperlink r:id="rId8" w:history="1">
        <w:r w:rsidR="00574E91" w:rsidRPr="00E97F88">
          <w:rPr>
            <w:rStyle w:val="Hyperlink"/>
            <w:rFonts w:cstheme="minorHAnsi"/>
          </w:rPr>
          <w:t>https://www.liverpool.ac.uk/coronavirus/events/liverpool-responds-health-inequalities/</w:t>
        </w:r>
      </w:hyperlink>
      <w:r w:rsidR="00574E91">
        <w:rPr>
          <w:rStyle w:val="CommentReference"/>
          <w:rFonts w:cstheme="minorHAnsi"/>
          <w:sz w:val="20"/>
          <w:szCs w:val="20"/>
        </w:rPr>
        <w:t xml:space="preserve"> </w:t>
      </w:r>
      <w:r w:rsidR="00574E91">
        <w:t>[accessed 11 January 2021]</w:t>
      </w:r>
    </w:p>
  </w:footnote>
  <w:footnote w:id="15">
    <w:p w14:paraId="2BC7CC3D" w14:textId="55D54010" w:rsidR="00DC2065" w:rsidRPr="009839E7" w:rsidRDefault="00DC2065" w:rsidP="009839E7">
      <w:pPr>
        <w:spacing w:after="0"/>
        <w:rPr>
          <w:rFonts w:cstheme="minorHAnsi"/>
          <w:sz w:val="20"/>
          <w:szCs w:val="20"/>
        </w:rPr>
      </w:pPr>
      <w:r w:rsidRPr="009839E7">
        <w:rPr>
          <w:rStyle w:val="FootnoteReference"/>
          <w:rFonts w:cstheme="minorHAnsi"/>
          <w:sz w:val="20"/>
          <w:szCs w:val="20"/>
        </w:rPr>
        <w:footnoteRef/>
      </w:r>
      <w:r w:rsidR="00E510A9">
        <w:rPr>
          <w:rFonts w:cstheme="minorHAnsi"/>
          <w:sz w:val="20"/>
          <w:szCs w:val="20"/>
        </w:rPr>
        <w:t xml:space="preserve"> </w:t>
      </w:r>
      <w:r w:rsidR="00E510A9" w:rsidRPr="00E510A9">
        <w:rPr>
          <w:rFonts w:cstheme="minorHAnsi"/>
          <w:sz w:val="20"/>
          <w:szCs w:val="20"/>
        </w:rPr>
        <w:t>F Darlington-Pollock and P Norman</w:t>
      </w:r>
      <w:r w:rsidR="00771FFF">
        <w:rPr>
          <w:rFonts w:cstheme="minorHAnsi"/>
          <w:sz w:val="20"/>
          <w:szCs w:val="20"/>
        </w:rPr>
        <w:t>,</w:t>
      </w:r>
      <w:r w:rsidR="00E510A9" w:rsidRPr="00E510A9">
        <w:rPr>
          <w:rFonts w:cstheme="minorHAnsi"/>
          <w:sz w:val="20"/>
          <w:szCs w:val="20"/>
        </w:rPr>
        <w:t xml:space="preserve"> </w:t>
      </w:r>
      <w:r w:rsidR="00771FFF">
        <w:rPr>
          <w:rFonts w:cstheme="minorHAnsi"/>
          <w:sz w:val="20"/>
          <w:szCs w:val="20"/>
        </w:rPr>
        <w:t>“</w:t>
      </w:r>
      <w:r w:rsidR="00E510A9" w:rsidRPr="00E510A9">
        <w:rPr>
          <w:rFonts w:cstheme="minorHAnsi"/>
          <w:sz w:val="20"/>
          <w:szCs w:val="20"/>
        </w:rPr>
        <w:t>Stalling life expectancy and increased mortality in working ages deserve urgent attention</w:t>
      </w:r>
      <w:r w:rsidR="00771FFF">
        <w:rPr>
          <w:rFonts w:cstheme="minorHAnsi"/>
          <w:sz w:val="20"/>
          <w:szCs w:val="20"/>
        </w:rPr>
        <w:t xml:space="preserve">” (2019) </w:t>
      </w:r>
      <w:proofErr w:type="gramStart"/>
      <w:r w:rsidR="00771FFF">
        <w:rPr>
          <w:rFonts w:cstheme="minorHAnsi"/>
          <w:sz w:val="20"/>
          <w:szCs w:val="20"/>
        </w:rPr>
        <w:t>4</w:t>
      </w:r>
      <w:proofErr w:type="gramEnd"/>
      <w:r w:rsidR="00771FFF">
        <w:rPr>
          <w:rFonts w:cstheme="minorHAnsi"/>
          <w:sz w:val="20"/>
          <w:szCs w:val="20"/>
        </w:rPr>
        <w:t xml:space="preserve"> (11)</w:t>
      </w:r>
      <w:r w:rsidR="00E510A9" w:rsidRPr="00E510A9">
        <w:rPr>
          <w:rFonts w:cstheme="minorHAnsi"/>
          <w:sz w:val="20"/>
          <w:szCs w:val="20"/>
        </w:rPr>
        <w:t xml:space="preserve"> </w:t>
      </w:r>
      <w:r w:rsidR="00E510A9" w:rsidRPr="00E510A9">
        <w:rPr>
          <w:rFonts w:cstheme="minorHAnsi"/>
          <w:i/>
          <w:sz w:val="20"/>
          <w:szCs w:val="20"/>
        </w:rPr>
        <w:t>The Lancet</w:t>
      </w:r>
      <w:r w:rsidR="00E510A9" w:rsidRPr="00E510A9">
        <w:rPr>
          <w:rFonts w:cstheme="minorHAnsi"/>
          <w:sz w:val="20"/>
          <w:szCs w:val="20"/>
        </w:rPr>
        <w:t xml:space="preserve"> </w:t>
      </w:r>
      <w:r w:rsidR="00771FFF">
        <w:rPr>
          <w:rFonts w:cstheme="minorHAnsi"/>
          <w:sz w:val="20"/>
          <w:szCs w:val="20"/>
        </w:rPr>
        <w:t>543</w:t>
      </w:r>
      <w:r w:rsidR="00E510A9" w:rsidRPr="00E510A9">
        <w:rPr>
          <w:rFonts w:cstheme="minorHAnsi"/>
          <w:sz w:val="20"/>
          <w:szCs w:val="20"/>
        </w:rPr>
        <w:t xml:space="preserve">. </w:t>
      </w:r>
    </w:p>
  </w:footnote>
  <w:footnote w:id="16">
    <w:p w14:paraId="7863A9BE" w14:textId="51B5D327" w:rsidR="00DC2065" w:rsidRPr="003C4312" w:rsidRDefault="00DC2065" w:rsidP="0018702B">
      <w:pPr>
        <w:pStyle w:val="FootnoteText"/>
        <w:rPr>
          <w:rFonts w:cstheme="minorHAnsi"/>
        </w:rPr>
      </w:pPr>
      <w:r w:rsidRPr="003C4312">
        <w:rPr>
          <w:rStyle w:val="FootnoteReference"/>
          <w:rFonts w:cstheme="minorHAnsi"/>
        </w:rPr>
        <w:footnoteRef/>
      </w:r>
      <w:r w:rsidRPr="003C4312">
        <w:rPr>
          <w:rFonts w:cstheme="minorHAnsi"/>
        </w:rPr>
        <w:t xml:space="preserve"> </w:t>
      </w:r>
      <w:r w:rsidR="00E510A9" w:rsidRPr="00E510A9">
        <w:rPr>
          <w:rFonts w:cstheme="minorHAnsi"/>
        </w:rPr>
        <w:t xml:space="preserve">A Currie, </w:t>
      </w:r>
      <w:r w:rsidR="00771FFF">
        <w:rPr>
          <w:rFonts w:cstheme="minorHAnsi"/>
        </w:rPr>
        <w:t>“</w:t>
      </w:r>
      <w:r w:rsidR="00E510A9" w:rsidRPr="00E510A9">
        <w:rPr>
          <w:rFonts w:cstheme="minorHAnsi"/>
        </w:rPr>
        <w:t>The Legal Problems of Everyday Life</w:t>
      </w:r>
      <w:r w:rsidR="00771FFF">
        <w:rPr>
          <w:rFonts w:cstheme="minorHAnsi"/>
        </w:rPr>
        <w:t>”</w:t>
      </w:r>
      <w:r w:rsidR="00E510A9" w:rsidRPr="00E510A9">
        <w:rPr>
          <w:rFonts w:cstheme="minorHAnsi"/>
        </w:rPr>
        <w:t xml:space="preserve">, in R </w:t>
      </w:r>
      <w:proofErr w:type="spellStart"/>
      <w:r w:rsidR="00E510A9" w:rsidRPr="00E510A9">
        <w:rPr>
          <w:rFonts w:cstheme="minorHAnsi"/>
        </w:rPr>
        <w:t>Sandefur</w:t>
      </w:r>
      <w:proofErr w:type="spellEnd"/>
      <w:r w:rsidR="00E510A9" w:rsidRPr="00E510A9">
        <w:rPr>
          <w:rFonts w:cstheme="minorHAnsi"/>
        </w:rPr>
        <w:t xml:space="preserve"> (ed.) </w:t>
      </w:r>
      <w:r w:rsidR="00E510A9" w:rsidRPr="00E510A9">
        <w:rPr>
          <w:rFonts w:cstheme="minorHAnsi"/>
          <w:i/>
        </w:rPr>
        <w:t>Access to Justice</w:t>
      </w:r>
      <w:r w:rsidR="00E510A9" w:rsidRPr="00E510A9">
        <w:rPr>
          <w:rFonts w:cstheme="minorHAnsi"/>
        </w:rPr>
        <w:t>, (Emerald 2008)</w:t>
      </w:r>
      <w:r w:rsidR="00724640">
        <w:rPr>
          <w:rFonts w:cstheme="minorHAnsi"/>
        </w:rPr>
        <w:t xml:space="preserve"> </w:t>
      </w:r>
      <w:r w:rsidR="00E510A9" w:rsidRPr="00E510A9">
        <w:rPr>
          <w:rFonts w:cstheme="minorHAnsi"/>
        </w:rPr>
        <w:t>35. Als</w:t>
      </w:r>
      <w:r w:rsidR="00E510A9">
        <w:rPr>
          <w:rFonts w:cstheme="minorHAnsi"/>
        </w:rPr>
        <w:t>o called ‘justiciable problems’</w:t>
      </w:r>
      <w:r>
        <w:rPr>
          <w:rFonts w:cstheme="minorHAnsi"/>
        </w:rPr>
        <w:t>.</w:t>
      </w:r>
    </w:p>
  </w:footnote>
  <w:footnote w:id="17">
    <w:p w14:paraId="03C8FBE3" w14:textId="6C9A193C" w:rsidR="00DC2065" w:rsidRPr="003C4312" w:rsidRDefault="00DC2065" w:rsidP="0018702B">
      <w:pPr>
        <w:pStyle w:val="FootnoteText"/>
        <w:rPr>
          <w:rFonts w:cstheme="minorHAnsi"/>
        </w:rPr>
      </w:pPr>
      <w:r w:rsidRPr="003C4312">
        <w:rPr>
          <w:rStyle w:val="FootnoteReference"/>
          <w:rFonts w:cstheme="minorHAnsi"/>
        </w:rPr>
        <w:footnoteRef/>
      </w:r>
      <w:r w:rsidR="002316F6">
        <w:rPr>
          <w:rFonts w:cstheme="minorHAnsi"/>
        </w:rPr>
        <w:t xml:space="preserve"> </w:t>
      </w:r>
      <w:r w:rsidR="00574E91" w:rsidRPr="00E510A9">
        <w:rPr>
          <w:rFonts w:cstheme="minorHAnsi"/>
        </w:rPr>
        <w:t xml:space="preserve">A Currie, </w:t>
      </w:r>
      <w:r w:rsidR="00574E91">
        <w:rPr>
          <w:rFonts w:cstheme="minorHAnsi"/>
        </w:rPr>
        <w:t>“</w:t>
      </w:r>
      <w:r w:rsidR="00574E91" w:rsidRPr="00E510A9">
        <w:rPr>
          <w:rFonts w:cstheme="minorHAnsi"/>
        </w:rPr>
        <w:t>The Legal Problems of Everyday Life</w:t>
      </w:r>
      <w:r w:rsidR="00574E91">
        <w:rPr>
          <w:rFonts w:cstheme="minorHAnsi"/>
        </w:rPr>
        <w:t>”</w:t>
      </w:r>
      <w:r w:rsidR="00574E91" w:rsidRPr="00E510A9">
        <w:rPr>
          <w:rFonts w:cstheme="minorHAnsi"/>
        </w:rPr>
        <w:t xml:space="preserve">, in R </w:t>
      </w:r>
      <w:proofErr w:type="spellStart"/>
      <w:r w:rsidR="00574E91" w:rsidRPr="00E510A9">
        <w:rPr>
          <w:rFonts w:cstheme="minorHAnsi"/>
        </w:rPr>
        <w:t>Sandefur</w:t>
      </w:r>
      <w:proofErr w:type="spellEnd"/>
      <w:r w:rsidR="00574E91" w:rsidRPr="00E510A9">
        <w:rPr>
          <w:rFonts w:cstheme="minorHAnsi"/>
        </w:rPr>
        <w:t xml:space="preserve"> (ed.) </w:t>
      </w:r>
      <w:r w:rsidR="00574E91" w:rsidRPr="00E510A9">
        <w:rPr>
          <w:rFonts w:cstheme="minorHAnsi"/>
          <w:i/>
        </w:rPr>
        <w:t>Access to Justice</w:t>
      </w:r>
      <w:r w:rsidR="00574E91" w:rsidRPr="00E510A9">
        <w:rPr>
          <w:rFonts w:cstheme="minorHAnsi"/>
        </w:rPr>
        <w:t>, (Emerald 2008)</w:t>
      </w:r>
      <w:r w:rsidR="00574E91">
        <w:rPr>
          <w:rFonts w:cstheme="minorHAnsi"/>
        </w:rPr>
        <w:t xml:space="preserve"> </w:t>
      </w:r>
      <w:r w:rsidRPr="003C4312">
        <w:rPr>
          <w:rFonts w:cstheme="minorHAnsi"/>
        </w:rPr>
        <w:t>36</w:t>
      </w:r>
      <w:r w:rsidR="002316F6">
        <w:rPr>
          <w:rFonts w:cstheme="minorHAnsi"/>
        </w:rPr>
        <w:t>.</w:t>
      </w:r>
    </w:p>
  </w:footnote>
  <w:footnote w:id="18">
    <w:p w14:paraId="35DFF041" w14:textId="1D8C8BE3" w:rsidR="00DC2065" w:rsidRPr="0078531C" w:rsidRDefault="00DC2065" w:rsidP="73AAC10A">
      <w:pPr>
        <w:pStyle w:val="FootnoteText"/>
        <w:rPr>
          <w:rFonts w:cstheme="minorHAnsi"/>
        </w:rPr>
      </w:pPr>
      <w:r w:rsidRPr="003C4312">
        <w:rPr>
          <w:rStyle w:val="FootnoteReference"/>
          <w:rFonts w:cstheme="minorHAnsi"/>
        </w:rPr>
        <w:footnoteRef/>
      </w:r>
      <w:r w:rsidRPr="003C4312">
        <w:rPr>
          <w:rFonts w:cstheme="minorHAnsi"/>
        </w:rPr>
        <w:t xml:space="preserve"> Whitehead</w:t>
      </w:r>
      <w:r w:rsidR="00771FFF">
        <w:rPr>
          <w:rFonts w:cstheme="minorHAnsi"/>
        </w:rPr>
        <w:t xml:space="preserve"> et al., </w:t>
      </w:r>
      <w:r w:rsidR="00574E91">
        <w:rPr>
          <w:rFonts w:cstheme="minorHAnsi"/>
        </w:rPr>
        <w:t>”</w:t>
      </w:r>
      <w:r w:rsidR="00574E91" w:rsidRPr="003C4312">
        <w:rPr>
          <w:rFonts w:cstheme="minorHAnsi"/>
        </w:rPr>
        <w:t>Covid-19: We are not “all in it together</w:t>
      </w:r>
      <w:r w:rsidR="00574E91">
        <w:rPr>
          <w:rFonts w:cstheme="minorHAnsi"/>
        </w:rPr>
        <w:t>”</w:t>
      </w:r>
      <w:r w:rsidR="00574E91" w:rsidRPr="003C4312">
        <w:rPr>
          <w:rFonts w:cstheme="minorHAnsi"/>
        </w:rPr>
        <w:t xml:space="preserve"> (2020)</w:t>
      </w:r>
      <w:r w:rsidR="00574E91">
        <w:rPr>
          <w:rFonts w:cstheme="minorHAnsi"/>
        </w:rPr>
        <w:t xml:space="preserve"> </w:t>
      </w:r>
      <w:r w:rsidR="00574E91" w:rsidRPr="003C4312">
        <w:rPr>
          <w:rFonts w:cstheme="minorHAnsi"/>
          <w:i/>
          <w:iCs/>
        </w:rPr>
        <w:t>BMJ Opinion</w:t>
      </w:r>
      <w:r w:rsidR="00574E91">
        <w:rPr>
          <w:rFonts w:cstheme="minorHAnsi"/>
          <w:i/>
          <w:iCs/>
        </w:rPr>
        <w:t xml:space="preserve"> </w:t>
      </w:r>
      <w:r w:rsidR="00574E91">
        <w:rPr>
          <w:rFonts w:cstheme="minorHAnsi"/>
        </w:rPr>
        <w:t>at</w:t>
      </w:r>
      <w:r w:rsidR="00574E91" w:rsidRPr="003C4312">
        <w:rPr>
          <w:rFonts w:cstheme="minorHAnsi"/>
          <w:i/>
          <w:iCs/>
        </w:rPr>
        <w:t xml:space="preserve"> </w:t>
      </w:r>
      <w:hyperlink r:id="rId9" w:history="1">
        <w:r w:rsidR="00574E91" w:rsidRPr="00E97F88">
          <w:rPr>
            <w:rStyle w:val="Hyperlink"/>
            <w:rFonts w:cstheme="minorHAnsi"/>
            <w:iCs/>
          </w:rPr>
          <w:t>https://blogs.bmj.com/bmj/2020/05/22/Covid-19-we-are-not-all-in-it-together-less-privileged-in-society-are-suffering-the-brunt-of-the-damage/</w:t>
        </w:r>
      </w:hyperlink>
      <w:r w:rsidR="00574E91">
        <w:rPr>
          <w:rFonts w:cstheme="minorHAnsi"/>
          <w:i/>
          <w:iCs/>
        </w:rPr>
        <w:t xml:space="preserve"> </w:t>
      </w:r>
      <w:r w:rsidR="00574E91">
        <w:rPr>
          <w:rFonts w:cstheme="minorHAnsi"/>
        </w:rPr>
        <w:t>[</w:t>
      </w:r>
      <w:r w:rsidR="00574E91">
        <w:t>accessed 11 January 2021]</w:t>
      </w:r>
    </w:p>
  </w:footnote>
  <w:footnote w:id="19">
    <w:p w14:paraId="125E6C65" w14:textId="6CA38061" w:rsidR="00A8510D" w:rsidRDefault="00A8510D">
      <w:pPr>
        <w:pStyle w:val="FootnoteText"/>
      </w:pPr>
      <w:r>
        <w:rPr>
          <w:rStyle w:val="FootnoteReference"/>
        </w:rPr>
        <w:footnoteRef/>
      </w:r>
      <w:r>
        <w:t xml:space="preserve"> C Bambra, R Riordan, J Ford and F</w:t>
      </w:r>
      <w:r w:rsidRPr="00A8510D">
        <w:t xml:space="preserve"> Matthew</w:t>
      </w:r>
      <w:r>
        <w:t>s,</w:t>
      </w:r>
      <w:r w:rsidRPr="00A8510D">
        <w:t xml:space="preserve"> </w:t>
      </w:r>
      <w:r w:rsidR="00771FFF">
        <w:t>“</w:t>
      </w:r>
      <w:r w:rsidRPr="00A8510D">
        <w:t>The COVID-19 pandemic and health inequalities</w:t>
      </w:r>
      <w:r w:rsidR="00771FFF">
        <w:t>”</w:t>
      </w:r>
      <w:r>
        <w:t xml:space="preserve"> (2020)</w:t>
      </w:r>
      <w:r w:rsidRPr="00A8510D">
        <w:t xml:space="preserve"> </w:t>
      </w:r>
      <w:r w:rsidR="006A7C2D">
        <w:t xml:space="preserve">74 </w:t>
      </w:r>
      <w:r w:rsidR="00771FFF">
        <w:t xml:space="preserve">(11) </w:t>
      </w:r>
      <w:hyperlink r:id="rId10" w:history="1">
        <w:r w:rsidRPr="00A8510D">
          <w:rPr>
            <w:rStyle w:val="Hyperlink"/>
          </w:rPr>
          <w:t>Journal of Epidemiology Community Health</w:t>
        </w:r>
      </w:hyperlink>
      <w:r w:rsidR="006A7C2D">
        <w:t xml:space="preserve"> </w:t>
      </w:r>
      <w:r w:rsidRPr="00A8510D">
        <w:t>964</w:t>
      </w:r>
      <w:r>
        <w:t>.</w:t>
      </w:r>
    </w:p>
  </w:footnote>
  <w:footnote w:id="20">
    <w:p w14:paraId="4EBDF8AD" w14:textId="4F068D6E" w:rsidR="00A74E94" w:rsidRDefault="00A74E94">
      <w:pPr>
        <w:pStyle w:val="FootnoteText"/>
      </w:pPr>
      <w:r>
        <w:rPr>
          <w:rStyle w:val="FootnoteReference"/>
        </w:rPr>
        <w:footnoteRef/>
      </w:r>
      <w:r>
        <w:t xml:space="preserve"> </w:t>
      </w:r>
      <w:r w:rsidR="00AA2C58">
        <w:t>C Bambra, R Riordan, J Ford and F</w:t>
      </w:r>
      <w:r w:rsidR="00AA2C58" w:rsidRPr="00A8510D">
        <w:t xml:space="preserve"> Matthew</w:t>
      </w:r>
      <w:r w:rsidR="00AA2C58">
        <w:t>s,</w:t>
      </w:r>
      <w:r w:rsidR="00AA2C58" w:rsidRPr="00A8510D">
        <w:t xml:space="preserve"> </w:t>
      </w:r>
      <w:r w:rsidR="00AA2C58">
        <w:t>“</w:t>
      </w:r>
      <w:r w:rsidR="00AA2C58" w:rsidRPr="00A8510D">
        <w:t>The COVID-19 pandemic and health inequalities</w:t>
      </w:r>
      <w:r w:rsidR="00AA2C58">
        <w:t>” (2020)</w:t>
      </w:r>
      <w:r w:rsidR="00AA2C58" w:rsidRPr="00A8510D">
        <w:t xml:space="preserve"> </w:t>
      </w:r>
      <w:r w:rsidR="00AA2C58">
        <w:t xml:space="preserve">74 (11) </w:t>
      </w:r>
      <w:hyperlink r:id="rId11" w:history="1">
        <w:r w:rsidR="00AA2C58" w:rsidRPr="00A8510D">
          <w:rPr>
            <w:rStyle w:val="Hyperlink"/>
          </w:rPr>
          <w:t>Journal of Epidemiology Community Health</w:t>
        </w:r>
      </w:hyperlink>
      <w:r w:rsidR="00AA2C58">
        <w:t xml:space="preserve"> </w:t>
      </w:r>
      <w:r w:rsidR="00AA2C58" w:rsidRPr="00A8510D">
        <w:t>964</w:t>
      </w:r>
    </w:p>
  </w:footnote>
  <w:footnote w:id="21">
    <w:p w14:paraId="76BE6475" w14:textId="77777777" w:rsidR="00DC2065" w:rsidRPr="003C4312" w:rsidRDefault="00DC2065" w:rsidP="00CD31F2">
      <w:pPr>
        <w:pStyle w:val="FootnoteText"/>
        <w:rPr>
          <w:rFonts w:cstheme="minorHAnsi"/>
        </w:rPr>
      </w:pPr>
      <w:r w:rsidRPr="003C4312">
        <w:rPr>
          <w:rStyle w:val="FootnoteReference"/>
          <w:rFonts w:cstheme="minorHAnsi"/>
        </w:rPr>
        <w:footnoteRef/>
      </w:r>
      <w:r w:rsidRPr="003C4312">
        <w:rPr>
          <w:rFonts w:cstheme="minorHAnsi"/>
        </w:rPr>
        <w:t xml:space="preserve"> H Genn, </w:t>
      </w:r>
      <w:r w:rsidRPr="003C4312">
        <w:rPr>
          <w:rFonts w:cstheme="minorHAnsi"/>
          <w:i/>
        </w:rPr>
        <w:t xml:space="preserve">Paths to Justice: What People Think and Do </w:t>
      </w:r>
      <w:proofErr w:type="gramStart"/>
      <w:r w:rsidRPr="003C4312">
        <w:rPr>
          <w:rFonts w:cstheme="minorHAnsi"/>
          <w:i/>
        </w:rPr>
        <w:t>About</w:t>
      </w:r>
      <w:proofErr w:type="gramEnd"/>
      <w:r w:rsidRPr="003C4312">
        <w:rPr>
          <w:rFonts w:cstheme="minorHAnsi"/>
          <w:i/>
        </w:rPr>
        <w:t xml:space="preserve"> Going to Law</w:t>
      </w:r>
      <w:r w:rsidRPr="003C4312">
        <w:rPr>
          <w:rFonts w:cstheme="minorHAnsi"/>
        </w:rPr>
        <w:t xml:space="preserve"> (Hart 1999).</w:t>
      </w:r>
    </w:p>
  </w:footnote>
  <w:footnote w:id="22">
    <w:p w14:paraId="5E055EF4" w14:textId="5F972A37"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w:t>
      </w:r>
      <w:r w:rsidR="00E510A9" w:rsidRPr="00E510A9">
        <w:rPr>
          <w:rFonts w:cstheme="minorHAnsi"/>
        </w:rPr>
        <w:t>OECD Policy Roundtable on Equal Access to Justice: Session notes (</w:t>
      </w:r>
      <w:r w:rsidR="00771FFF">
        <w:rPr>
          <w:rFonts w:cstheme="minorHAnsi"/>
        </w:rPr>
        <w:t xml:space="preserve">OECD </w:t>
      </w:r>
      <w:r w:rsidR="00E510A9" w:rsidRPr="00E510A9">
        <w:rPr>
          <w:rFonts w:cstheme="minorHAnsi"/>
        </w:rPr>
        <w:t>May 2017) at 18</w:t>
      </w:r>
      <w:r w:rsidR="00092994">
        <w:rPr>
          <w:rFonts w:cstheme="minorHAnsi"/>
        </w:rPr>
        <w:t>, at</w:t>
      </w:r>
      <w:r w:rsidR="00E510A9" w:rsidRPr="00E510A9">
        <w:rPr>
          <w:rFonts w:cstheme="minorHAnsi"/>
        </w:rPr>
        <w:t xml:space="preserve"> </w:t>
      </w:r>
      <w:hyperlink r:id="rId12" w:history="1">
        <w:r w:rsidR="00092994" w:rsidRPr="00E97F88">
          <w:rPr>
            <w:rStyle w:val="Hyperlink"/>
            <w:rFonts w:cstheme="minorHAnsi"/>
          </w:rPr>
          <w:t>https://www.oecd.org/gov/A2J-RT-Session-notes-May-2017.pdf</w:t>
        </w:r>
      </w:hyperlink>
      <w:r w:rsidR="00092994">
        <w:rPr>
          <w:rFonts w:cstheme="minorHAnsi"/>
        </w:rPr>
        <w:t xml:space="preserve"> [accessed 11 January 2021]</w:t>
      </w:r>
    </w:p>
  </w:footnote>
  <w:footnote w:id="23">
    <w:p w14:paraId="0120CC73" w14:textId="1C760030" w:rsidR="00DC2065" w:rsidRPr="003C4312" w:rsidRDefault="00DC2065" w:rsidP="00CD31F2">
      <w:pPr>
        <w:pStyle w:val="FootnoteText"/>
        <w:rPr>
          <w:rFonts w:cstheme="minorHAnsi"/>
        </w:rPr>
      </w:pPr>
      <w:r w:rsidRPr="003C4312">
        <w:rPr>
          <w:rStyle w:val="FootnoteReference"/>
          <w:rFonts w:cstheme="minorHAnsi"/>
        </w:rPr>
        <w:footnoteRef/>
      </w:r>
      <w:r w:rsidRPr="003C4312">
        <w:rPr>
          <w:rFonts w:cstheme="minorHAnsi"/>
        </w:rPr>
        <w:t xml:space="preserve"> </w:t>
      </w:r>
      <w:r w:rsidR="00E510A9" w:rsidRPr="00E510A9">
        <w:rPr>
          <w:rFonts w:cstheme="minorHAnsi"/>
        </w:rPr>
        <w:t>P Pleasence, NJ Balmer and P Chapman, ‘</w:t>
      </w:r>
      <w:r w:rsidR="00E510A9" w:rsidRPr="00E510A9">
        <w:rPr>
          <w:rFonts w:cstheme="minorHAnsi"/>
          <w:i/>
          <w:iCs/>
        </w:rPr>
        <w:t>Legal Needs Surveys and Access to Justice’</w:t>
      </w:r>
      <w:r w:rsidR="00E510A9" w:rsidRPr="00E510A9">
        <w:rPr>
          <w:rFonts w:cstheme="minorHAnsi"/>
        </w:rPr>
        <w:t xml:space="preserve"> (OECD and Open Society Justice Initiative 2018); P Pleasance, NJ </w:t>
      </w:r>
      <w:proofErr w:type="spellStart"/>
      <w:r w:rsidR="00E510A9" w:rsidRPr="00E510A9">
        <w:rPr>
          <w:rFonts w:cstheme="minorHAnsi"/>
        </w:rPr>
        <w:t>Balmer</w:t>
      </w:r>
      <w:proofErr w:type="spellEnd"/>
      <w:r w:rsidR="00E510A9" w:rsidRPr="00E510A9">
        <w:rPr>
          <w:rFonts w:cstheme="minorHAnsi"/>
        </w:rPr>
        <w:t xml:space="preserve">, R </w:t>
      </w:r>
      <w:proofErr w:type="spellStart"/>
      <w:r w:rsidR="00E510A9" w:rsidRPr="00E510A9">
        <w:rPr>
          <w:rFonts w:cstheme="minorHAnsi"/>
        </w:rPr>
        <w:t>Sandefur</w:t>
      </w:r>
      <w:proofErr w:type="spellEnd"/>
      <w:r w:rsidR="00E510A9" w:rsidRPr="00E510A9">
        <w:rPr>
          <w:rFonts w:cstheme="minorHAnsi"/>
        </w:rPr>
        <w:t>, ‘</w:t>
      </w:r>
      <w:r w:rsidR="00E510A9" w:rsidRPr="00E510A9">
        <w:rPr>
          <w:rFonts w:cstheme="minorHAnsi"/>
          <w:i/>
        </w:rPr>
        <w:t>Paths to Justice: A Past, Present and Future Roadmap’</w:t>
      </w:r>
      <w:r w:rsidR="00E510A9" w:rsidRPr="00E510A9">
        <w:rPr>
          <w:rFonts w:cstheme="minorHAnsi"/>
        </w:rPr>
        <w:t xml:space="preserve"> (UCL Centre for</w:t>
      </w:r>
      <w:r w:rsidR="002316F6">
        <w:rPr>
          <w:rFonts w:cstheme="minorHAnsi"/>
        </w:rPr>
        <w:t xml:space="preserve"> Empirical Legal Studies, 2013); </w:t>
      </w:r>
      <w:r w:rsidR="00092994" w:rsidRPr="00E510A9">
        <w:rPr>
          <w:rFonts w:cstheme="minorHAnsi"/>
        </w:rPr>
        <w:t xml:space="preserve">A Currie, </w:t>
      </w:r>
      <w:r w:rsidR="00092994">
        <w:rPr>
          <w:rFonts w:cstheme="minorHAnsi"/>
        </w:rPr>
        <w:t>“</w:t>
      </w:r>
      <w:r w:rsidR="00092994" w:rsidRPr="00E510A9">
        <w:rPr>
          <w:rFonts w:cstheme="minorHAnsi"/>
        </w:rPr>
        <w:t>The Legal Problems of Everyday Life</w:t>
      </w:r>
      <w:r w:rsidR="00092994">
        <w:rPr>
          <w:rFonts w:cstheme="minorHAnsi"/>
        </w:rPr>
        <w:t>”</w:t>
      </w:r>
      <w:r w:rsidR="00092994" w:rsidRPr="00E510A9">
        <w:rPr>
          <w:rFonts w:cstheme="minorHAnsi"/>
        </w:rPr>
        <w:t xml:space="preserve">, in R </w:t>
      </w:r>
      <w:proofErr w:type="spellStart"/>
      <w:r w:rsidR="00092994" w:rsidRPr="00E510A9">
        <w:rPr>
          <w:rFonts w:cstheme="minorHAnsi"/>
        </w:rPr>
        <w:t>Sandefur</w:t>
      </w:r>
      <w:proofErr w:type="spellEnd"/>
      <w:r w:rsidR="00092994" w:rsidRPr="00E510A9">
        <w:rPr>
          <w:rFonts w:cstheme="minorHAnsi"/>
        </w:rPr>
        <w:t xml:space="preserve"> (ed.) </w:t>
      </w:r>
      <w:r w:rsidR="00092994" w:rsidRPr="00E510A9">
        <w:rPr>
          <w:rFonts w:cstheme="minorHAnsi"/>
          <w:i/>
        </w:rPr>
        <w:t>Access to Justice</w:t>
      </w:r>
      <w:r w:rsidR="00092994" w:rsidRPr="00E510A9">
        <w:rPr>
          <w:rFonts w:cstheme="minorHAnsi"/>
        </w:rPr>
        <w:t>, (Emerald 2008)</w:t>
      </w:r>
    </w:p>
  </w:footnote>
  <w:footnote w:id="24">
    <w:p w14:paraId="625019A3" w14:textId="46F4524D" w:rsidR="00DC2065" w:rsidRPr="003C4312" w:rsidRDefault="00DC2065" w:rsidP="00CD31F2">
      <w:pPr>
        <w:pStyle w:val="FootnoteText"/>
        <w:rPr>
          <w:rFonts w:cstheme="minorHAnsi"/>
        </w:rPr>
      </w:pPr>
      <w:r w:rsidRPr="003C4312">
        <w:rPr>
          <w:rStyle w:val="FootnoteReference"/>
          <w:rFonts w:cstheme="minorHAnsi"/>
        </w:rPr>
        <w:footnoteRef/>
      </w:r>
      <w:r w:rsidRPr="003C4312">
        <w:rPr>
          <w:rFonts w:cstheme="minorHAnsi"/>
        </w:rPr>
        <w:t xml:space="preserve"> </w:t>
      </w:r>
      <w:r w:rsidR="00BE16B6" w:rsidRPr="00BE16B6">
        <w:rPr>
          <w:rFonts w:cstheme="minorHAnsi"/>
        </w:rPr>
        <w:t xml:space="preserve">P </w:t>
      </w:r>
      <w:proofErr w:type="spellStart"/>
      <w:r w:rsidR="00BE16B6" w:rsidRPr="00BE16B6">
        <w:rPr>
          <w:rFonts w:cstheme="minorHAnsi"/>
        </w:rPr>
        <w:t>Pleasence</w:t>
      </w:r>
      <w:proofErr w:type="spellEnd"/>
      <w:r w:rsidR="00BE16B6" w:rsidRPr="00BE16B6">
        <w:rPr>
          <w:rFonts w:cstheme="minorHAnsi"/>
        </w:rPr>
        <w:t xml:space="preserve">, NJ </w:t>
      </w:r>
      <w:proofErr w:type="spellStart"/>
      <w:r w:rsidR="00BE16B6" w:rsidRPr="00BE16B6">
        <w:rPr>
          <w:rFonts w:cstheme="minorHAnsi"/>
        </w:rPr>
        <w:t>Balmer</w:t>
      </w:r>
      <w:proofErr w:type="spellEnd"/>
      <w:r w:rsidR="00BE16B6" w:rsidRPr="00BE16B6">
        <w:rPr>
          <w:rFonts w:cstheme="minorHAnsi"/>
        </w:rPr>
        <w:t xml:space="preserve"> and P Chapman, ‘</w:t>
      </w:r>
      <w:r w:rsidR="00BE16B6" w:rsidRPr="00BE16B6">
        <w:rPr>
          <w:rFonts w:cstheme="minorHAnsi"/>
          <w:i/>
          <w:iCs/>
        </w:rPr>
        <w:t>Legal Needs Surveys and Access to Justice’</w:t>
      </w:r>
      <w:r w:rsidR="00BE16B6" w:rsidRPr="00BE16B6">
        <w:rPr>
          <w:rFonts w:cstheme="minorHAnsi"/>
        </w:rPr>
        <w:t xml:space="preserve"> (OECD and Open Society Justice Initiative 2018)</w:t>
      </w:r>
    </w:p>
  </w:footnote>
  <w:footnote w:id="25">
    <w:p w14:paraId="35F47575" w14:textId="392DB48E" w:rsidR="00DC2065" w:rsidRPr="003C4312" w:rsidRDefault="00DC2065" w:rsidP="00CD31F2">
      <w:pPr>
        <w:pStyle w:val="FootnoteText"/>
        <w:rPr>
          <w:rFonts w:cstheme="minorHAnsi"/>
        </w:rPr>
      </w:pPr>
      <w:r w:rsidRPr="003C4312">
        <w:rPr>
          <w:rStyle w:val="FootnoteReference"/>
          <w:rFonts w:cstheme="minorHAnsi"/>
        </w:rPr>
        <w:footnoteRef/>
      </w:r>
      <w:r w:rsidRPr="003C4312">
        <w:rPr>
          <w:rFonts w:cstheme="minorHAnsi"/>
        </w:rPr>
        <w:t xml:space="preserve"> R </w:t>
      </w:r>
      <w:proofErr w:type="spellStart"/>
      <w:r w:rsidRPr="003C4312">
        <w:rPr>
          <w:rFonts w:cstheme="minorHAnsi"/>
        </w:rPr>
        <w:t>Sandefur</w:t>
      </w:r>
      <w:proofErr w:type="spellEnd"/>
      <w:r w:rsidRPr="003C4312">
        <w:rPr>
          <w:rFonts w:cstheme="minorHAnsi"/>
        </w:rPr>
        <w:t xml:space="preserve">, </w:t>
      </w:r>
      <w:r w:rsidR="00771FFF">
        <w:rPr>
          <w:rFonts w:cstheme="minorHAnsi"/>
        </w:rPr>
        <w:t>“</w:t>
      </w:r>
      <w:r w:rsidRPr="003C4312">
        <w:rPr>
          <w:rFonts w:cstheme="minorHAnsi"/>
        </w:rPr>
        <w:t>What We Know and Need to Know About the Legal Needs of The Public</w:t>
      </w:r>
      <w:r w:rsidR="00771FFF">
        <w:rPr>
          <w:rFonts w:cstheme="minorHAnsi"/>
        </w:rPr>
        <w:t>”</w:t>
      </w:r>
      <w:r w:rsidRPr="003C4312">
        <w:rPr>
          <w:rFonts w:cstheme="minorHAnsi"/>
        </w:rPr>
        <w:t xml:space="preserve"> (2016) 67 South Carolina Law Review 443.</w:t>
      </w:r>
    </w:p>
  </w:footnote>
  <w:footnote w:id="26">
    <w:p w14:paraId="7E4AD660" w14:textId="773DAC1C" w:rsidR="00DC2065" w:rsidRPr="003C4312" w:rsidRDefault="00DC2065" w:rsidP="00CD31F2">
      <w:pPr>
        <w:pStyle w:val="FootnoteText"/>
        <w:rPr>
          <w:rFonts w:cstheme="minorHAnsi"/>
        </w:rPr>
      </w:pPr>
      <w:r w:rsidRPr="003C4312">
        <w:rPr>
          <w:rStyle w:val="FootnoteReference"/>
          <w:rFonts w:cstheme="minorHAnsi"/>
        </w:rPr>
        <w:footnoteRef/>
      </w:r>
      <w:r w:rsidRPr="003C4312">
        <w:rPr>
          <w:rFonts w:cstheme="minorHAnsi"/>
        </w:rPr>
        <w:t xml:space="preserve"> R </w:t>
      </w:r>
      <w:proofErr w:type="spellStart"/>
      <w:r w:rsidRPr="003C4312">
        <w:rPr>
          <w:rFonts w:cstheme="minorHAnsi"/>
        </w:rPr>
        <w:t>Sandefur</w:t>
      </w:r>
      <w:proofErr w:type="spellEnd"/>
      <w:r w:rsidRPr="003C4312">
        <w:rPr>
          <w:rFonts w:cstheme="minorHAnsi"/>
        </w:rPr>
        <w:t xml:space="preserve">, </w:t>
      </w:r>
      <w:r w:rsidRPr="00B42B8F">
        <w:rPr>
          <w:rFonts w:cstheme="minorHAnsi"/>
          <w:i/>
        </w:rPr>
        <w:t xml:space="preserve">Accessing Justice </w:t>
      </w:r>
      <w:proofErr w:type="gramStart"/>
      <w:r w:rsidRPr="00B42B8F">
        <w:rPr>
          <w:rFonts w:cstheme="minorHAnsi"/>
          <w:i/>
        </w:rPr>
        <w:t>In</w:t>
      </w:r>
      <w:proofErr w:type="gramEnd"/>
      <w:r w:rsidRPr="00B42B8F">
        <w:rPr>
          <w:rFonts w:cstheme="minorHAnsi"/>
          <w:i/>
        </w:rPr>
        <w:t xml:space="preserve"> The Contemporary USA: Findings From The Community Needs And Services Study</w:t>
      </w:r>
      <w:r w:rsidRPr="003C4312">
        <w:rPr>
          <w:rFonts w:cstheme="minorHAnsi"/>
        </w:rPr>
        <w:t xml:space="preserve"> (American Bar Foundation, 2014).</w:t>
      </w:r>
    </w:p>
  </w:footnote>
  <w:footnote w:id="27">
    <w:p w14:paraId="4057F17E" w14:textId="5FC75CC8" w:rsidR="00AF5993" w:rsidRDefault="00AF5993" w:rsidP="00AF5993">
      <w:pPr>
        <w:pStyle w:val="FootnoteText"/>
      </w:pPr>
      <w:r>
        <w:rPr>
          <w:rStyle w:val="FootnoteReference"/>
        </w:rPr>
        <w:footnoteRef/>
      </w:r>
      <w:r>
        <w:t xml:space="preserve"> Liverpool City Council, </w:t>
      </w:r>
      <w:r w:rsidRPr="00AF5993">
        <w:rPr>
          <w:i/>
        </w:rPr>
        <w:t xml:space="preserve">The index of multiple deprivation 2019: a </w:t>
      </w:r>
      <w:r>
        <w:rPr>
          <w:i/>
        </w:rPr>
        <w:t>L</w:t>
      </w:r>
      <w:r w:rsidRPr="00AF5993">
        <w:rPr>
          <w:i/>
        </w:rPr>
        <w:t>iverpool analysis</w:t>
      </w:r>
      <w:r>
        <w:t xml:space="preserve"> (2020),</w:t>
      </w:r>
      <w:r w:rsidR="00092994">
        <w:t xml:space="preserve"> at</w:t>
      </w:r>
      <w:r>
        <w:t xml:space="preserve">  </w:t>
      </w:r>
      <w:hyperlink r:id="rId13" w:history="1">
        <w:r w:rsidR="00092994" w:rsidRPr="00E97F88">
          <w:rPr>
            <w:rStyle w:val="Hyperlink"/>
          </w:rPr>
          <w:t>https://liverpool.gov.uk/media/1359213/imd-2019-liverpool-analysis-main-report.pdf</w:t>
        </w:r>
      </w:hyperlink>
      <w:r w:rsidR="00092994">
        <w:t xml:space="preserve"> [accessed 11 January 2021]</w:t>
      </w:r>
    </w:p>
  </w:footnote>
  <w:footnote w:id="28">
    <w:p w14:paraId="2F2FEB1D" w14:textId="65560C3E" w:rsidR="00DC2065" w:rsidRPr="003C4312" w:rsidRDefault="00DC2065" w:rsidP="572B3941">
      <w:pPr>
        <w:pStyle w:val="FootnoteText"/>
        <w:rPr>
          <w:rFonts w:cstheme="minorHAnsi"/>
        </w:rPr>
      </w:pPr>
      <w:r w:rsidRPr="003C4312">
        <w:rPr>
          <w:rStyle w:val="FootnoteReference"/>
          <w:rFonts w:cstheme="minorHAnsi"/>
        </w:rPr>
        <w:footnoteRef/>
      </w:r>
      <w:r w:rsidRPr="003C4312">
        <w:rPr>
          <w:rFonts w:cstheme="minorHAnsi"/>
        </w:rPr>
        <w:t xml:space="preserve"> V Braun and V Clarke, </w:t>
      </w:r>
      <w:r w:rsidR="00771FFF">
        <w:rPr>
          <w:rFonts w:cstheme="minorHAnsi"/>
        </w:rPr>
        <w:t>“</w:t>
      </w:r>
      <w:r w:rsidRPr="003C4312">
        <w:rPr>
          <w:rFonts w:cstheme="minorHAnsi"/>
        </w:rPr>
        <w:t>Using thematic analysis in psychology</w:t>
      </w:r>
      <w:r w:rsidR="00771FFF">
        <w:rPr>
          <w:rFonts w:cstheme="minorHAnsi"/>
        </w:rPr>
        <w:t>”</w:t>
      </w:r>
      <w:r w:rsidRPr="003C4312">
        <w:rPr>
          <w:rFonts w:cstheme="minorHAnsi"/>
        </w:rPr>
        <w:t xml:space="preserve"> (2006) </w:t>
      </w:r>
      <w:proofErr w:type="gramStart"/>
      <w:r w:rsidR="00771FFF">
        <w:rPr>
          <w:rFonts w:cstheme="minorHAnsi"/>
        </w:rPr>
        <w:t>3</w:t>
      </w:r>
      <w:proofErr w:type="gramEnd"/>
      <w:r w:rsidR="00771FFF">
        <w:rPr>
          <w:rFonts w:cstheme="minorHAnsi"/>
        </w:rPr>
        <w:t xml:space="preserve"> (2) </w:t>
      </w:r>
      <w:r w:rsidRPr="003C4312">
        <w:rPr>
          <w:rFonts w:cstheme="minorHAnsi"/>
          <w:i/>
          <w:iCs/>
        </w:rPr>
        <w:t>Qualitative Research in Psychology</w:t>
      </w:r>
      <w:r w:rsidRPr="003C4312">
        <w:rPr>
          <w:rFonts w:cstheme="minorHAnsi"/>
        </w:rPr>
        <w:t xml:space="preserve"> 77.</w:t>
      </w:r>
    </w:p>
  </w:footnote>
  <w:footnote w:id="29">
    <w:p w14:paraId="294D1B3D" w14:textId="21B402B6" w:rsidR="00E24D23" w:rsidRPr="003C4312" w:rsidRDefault="00E24D23" w:rsidP="00E24D23">
      <w:pPr>
        <w:pStyle w:val="FootnoteText"/>
        <w:rPr>
          <w:rFonts w:cstheme="minorHAnsi"/>
        </w:rPr>
      </w:pPr>
      <w:r w:rsidRPr="003C4312">
        <w:rPr>
          <w:rStyle w:val="FootnoteReference"/>
          <w:rFonts w:cstheme="minorHAnsi"/>
        </w:rPr>
        <w:footnoteRef/>
      </w:r>
      <w:r w:rsidRPr="003C4312">
        <w:rPr>
          <w:rFonts w:cstheme="minorHAnsi"/>
          <w:lang w:val="en-US"/>
        </w:rPr>
        <w:t xml:space="preserve"> J Sigafoos and J Organ, ‘Funding Cuts and Advice Services in the Liverpool City Region’ (2016)</w:t>
      </w:r>
      <w:r w:rsidR="00092994">
        <w:rPr>
          <w:rFonts w:cstheme="minorHAnsi"/>
          <w:lang w:val="en-US"/>
        </w:rPr>
        <w:t xml:space="preserve"> at</w:t>
      </w:r>
      <w:r w:rsidRPr="003C4312">
        <w:rPr>
          <w:rFonts w:cstheme="minorHAnsi"/>
        </w:rPr>
        <w:t xml:space="preserve"> </w:t>
      </w:r>
      <w:hyperlink r:id="rId14" w:history="1">
        <w:r w:rsidR="00092994" w:rsidRPr="00E97F88">
          <w:rPr>
            <w:rStyle w:val="Hyperlink"/>
            <w:rFonts w:cstheme="minorHAnsi"/>
          </w:rPr>
          <w:t>http://livrepository.liverpool.ac.uk/id/eprint/3001750</w:t>
        </w:r>
      </w:hyperlink>
      <w:r w:rsidR="00092994">
        <w:rPr>
          <w:rFonts w:cstheme="minorHAnsi"/>
        </w:rPr>
        <w:t xml:space="preserve"> </w:t>
      </w:r>
      <w:r w:rsidR="00092994">
        <w:t>[accessed 11 January 2021]</w:t>
      </w:r>
    </w:p>
  </w:footnote>
  <w:footnote w:id="30">
    <w:p w14:paraId="0B880BFD" w14:textId="11C5B909" w:rsidR="00DC2065" w:rsidRPr="003C4312" w:rsidRDefault="00DC2065" w:rsidP="00DA6FB8">
      <w:pPr>
        <w:pStyle w:val="FootnoteText"/>
        <w:rPr>
          <w:rFonts w:cstheme="minorHAnsi"/>
        </w:rPr>
      </w:pPr>
      <w:r w:rsidRPr="003C4312">
        <w:rPr>
          <w:rStyle w:val="FootnoteReference"/>
          <w:rFonts w:cstheme="minorHAnsi"/>
        </w:rPr>
        <w:footnoteRef/>
      </w:r>
      <w:r w:rsidR="002316F6">
        <w:rPr>
          <w:rFonts w:cstheme="minorHAnsi"/>
        </w:rPr>
        <w:t xml:space="preserve"> Organ and Sigafoos</w:t>
      </w:r>
      <w:r w:rsidR="00092994">
        <w:rPr>
          <w:rFonts w:cstheme="minorHAnsi"/>
        </w:rPr>
        <w:t>,</w:t>
      </w:r>
      <w:r w:rsidR="002316F6">
        <w:rPr>
          <w:rFonts w:cstheme="minorHAnsi"/>
        </w:rPr>
        <w:t xml:space="preserve"> </w:t>
      </w:r>
      <w:r w:rsidR="00092994">
        <w:rPr>
          <w:rFonts w:cstheme="minorHAnsi"/>
        </w:rPr>
        <w:t>“</w:t>
      </w:r>
      <w:r w:rsidR="00092994" w:rsidRPr="007B328B">
        <w:rPr>
          <w:rFonts w:cstheme="minorHAnsi"/>
          <w:iCs/>
        </w:rPr>
        <w:t>What if There Is Nowhere to Get Advice?</w:t>
      </w:r>
      <w:r w:rsidR="00092994">
        <w:rPr>
          <w:rFonts w:cstheme="minorHAnsi"/>
        </w:rPr>
        <w:t>”</w:t>
      </w:r>
      <w:r w:rsidR="00092994" w:rsidRPr="007B328B">
        <w:rPr>
          <w:rFonts w:cstheme="minorHAnsi"/>
        </w:rPr>
        <w:t xml:space="preserve"> in A Flynn and J Hodgson (eds) </w:t>
      </w:r>
      <w:r w:rsidR="00092994" w:rsidRPr="007B328B">
        <w:rPr>
          <w:rFonts w:cstheme="minorHAnsi"/>
          <w:i/>
        </w:rPr>
        <w:t>Access to Justice and Legal Aid: Comparative Perspectives on Unmet Legal Need</w:t>
      </w:r>
      <w:r w:rsidR="00092994" w:rsidRPr="007B328B">
        <w:rPr>
          <w:rFonts w:cstheme="minorHAnsi"/>
        </w:rPr>
        <w:t xml:space="preserve"> (Hart Publishing 2017)</w:t>
      </w:r>
    </w:p>
  </w:footnote>
  <w:footnote w:id="31">
    <w:p w14:paraId="30AE4B4E" w14:textId="2E73D7AE"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H </w:t>
      </w:r>
      <w:proofErr w:type="spellStart"/>
      <w:r w:rsidRPr="003C4312">
        <w:rPr>
          <w:rFonts w:cstheme="minorHAnsi"/>
        </w:rPr>
        <w:t>Sommerlad</w:t>
      </w:r>
      <w:proofErr w:type="spellEnd"/>
      <w:r w:rsidRPr="003C4312">
        <w:rPr>
          <w:rFonts w:cstheme="minorHAnsi"/>
        </w:rPr>
        <w:t xml:space="preserve"> and P Sanderson, </w:t>
      </w:r>
      <w:r w:rsidR="00771FFF">
        <w:rPr>
          <w:rFonts w:cstheme="minorHAnsi"/>
        </w:rPr>
        <w:t>“</w:t>
      </w:r>
      <w:r w:rsidRPr="003C4312">
        <w:rPr>
          <w:rFonts w:cstheme="minorHAnsi"/>
        </w:rPr>
        <w:t>Social justice on the margins: the future of the not for proﬁt sector as providers of legal advice in England and Wales</w:t>
      </w:r>
      <w:r w:rsidR="00771FFF">
        <w:rPr>
          <w:rFonts w:cstheme="minorHAnsi"/>
        </w:rPr>
        <w:t>”</w:t>
      </w:r>
      <w:r w:rsidRPr="003C4312">
        <w:rPr>
          <w:rFonts w:cstheme="minorHAnsi"/>
        </w:rPr>
        <w:t xml:space="preserve"> (2013) 35</w:t>
      </w:r>
      <w:r w:rsidR="00771FFF">
        <w:rPr>
          <w:rFonts w:cstheme="minorHAnsi"/>
        </w:rPr>
        <w:t xml:space="preserve"> (3)</w:t>
      </w:r>
      <w:r w:rsidRPr="003C4312">
        <w:rPr>
          <w:rFonts w:cstheme="minorHAnsi"/>
        </w:rPr>
        <w:t xml:space="preserve"> </w:t>
      </w:r>
      <w:r w:rsidRPr="003C4312">
        <w:rPr>
          <w:rFonts w:cstheme="minorHAnsi"/>
          <w:i/>
        </w:rPr>
        <w:t>Journal</w:t>
      </w:r>
      <w:r w:rsidR="00EF119F">
        <w:rPr>
          <w:rFonts w:cstheme="minorHAnsi"/>
          <w:i/>
        </w:rPr>
        <w:t xml:space="preserve"> of Social Welfare &amp; Family Law</w:t>
      </w:r>
      <w:r w:rsidRPr="003C4312">
        <w:rPr>
          <w:rFonts w:cstheme="minorHAnsi"/>
        </w:rPr>
        <w:t xml:space="preserve"> 305.</w:t>
      </w:r>
    </w:p>
  </w:footnote>
  <w:footnote w:id="32">
    <w:p w14:paraId="182C45E4" w14:textId="74DDB854"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The Law Society, ‘Legal needs of individuals in England and Wales report’ (2020) </w:t>
      </w:r>
      <w:r w:rsidR="00092994">
        <w:rPr>
          <w:rFonts w:cstheme="minorHAnsi"/>
        </w:rPr>
        <w:t xml:space="preserve">at </w:t>
      </w:r>
      <w:hyperlink r:id="rId15" w:history="1">
        <w:r w:rsidR="00092994" w:rsidRPr="00A91B55">
          <w:rPr>
            <w:rStyle w:val="Hyperlink"/>
            <w:rFonts w:cstheme="minorHAnsi"/>
          </w:rPr>
          <w:t>https://www.lawsociety.org.uk/en/topics/research/legal-needs-of-individuals-in-england-and-wales-report</w:t>
        </w:r>
      </w:hyperlink>
      <w:r w:rsidRPr="003C4312">
        <w:rPr>
          <w:rFonts w:cstheme="minorHAnsi"/>
        </w:rPr>
        <w:t xml:space="preserve"> </w:t>
      </w:r>
      <w:r w:rsidR="00092994">
        <w:rPr>
          <w:rFonts w:cstheme="minorHAnsi"/>
        </w:rPr>
        <w:t>[</w:t>
      </w:r>
      <w:r w:rsidRPr="003C4312">
        <w:rPr>
          <w:rFonts w:cstheme="minorHAnsi"/>
        </w:rPr>
        <w:t>accessed 16 October 2020</w:t>
      </w:r>
      <w:r w:rsidR="00092994">
        <w:rPr>
          <w:rFonts w:cstheme="minorHAnsi"/>
        </w:rPr>
        <w:t>]</w:t>
      </w:r>
    </w:p>
  </w:footnote>
  <w:footnote w:id="33">
    <w:p w14:paraId="7581ED0E" w14:textId="77777777"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It </w:t>
      </w:r>
      <w:proofErr w:type="gramStart"/>
      <w:r w:rsidRPr="003C4312">
        <w:rPr>
          <w:rFonts w:cstheme="minorHAnsi"/>
        </w:rPr>
        <w:t>should be noted</w:t>
      </w:r>
      <w:proofErr w:type="gramEnd"/>
      <w:r w:rsidRPr="003C4312">
        <w:rPr>
          <w:rFonts w:cstheme="minorHAnsi"/>
        </w:rPr>
        <w:t xml:space="preserve"> that the majority of the interviews took place between March and May 2020, which is relatively early in the Covid-19 pandemic.</w:t>
      </w:r>
    </w:p>
  </w:footnote>
  <w:footnote w:id="34">
    <w:p w14:paraId="147018E4" w14:textId="77777777"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Citizens Advice Liverpool service delivery data. Accessed 15/09/20.</w:t>
      </w:r>
    </w:p>
  </w:footnote>
  <w:footnote w:id="35">
    <w:p w14:paraId="2B779E66" w14:textId="1AE772D6"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L Poole, </w:t>
      </w:r>
      <w:r w:rsidR="00036209">
        <w:rPr>
          <w:rFonts w:cstheme="minorHAnsi"/>
        </w:rPr>
        <w:t>”</w:t>
      </w:r>
      <w:r w:rsidRPr="00B42B8F">
        <w:rPr>
          <w:rFonts w:cstheme="minorHAnsi"/>
          <w:i/>
        </w:rPr>
        <w:t>A Quick Appraisal of the Impact of Covid-19 on the Advice Sector</w:t>
      </w:r>
      <w:r w:rsidR="00036209">
        <w:rPr>
          <w:rFonts w:cstheme="minorHAnsi"/>
        </w:rPr>
        <w:t>”</w:t>
      </w:r>
      <w:r w:rsidRPr="003C4312">
        <w:rPr>
          <w:rFonts w:cstheme="minorHAnsi"/>
        </w:rPr>
        <w:t xml:space="preserve"> (Administrative Justice Council Webinar, 29 April 2020)</w:t>
      </w:r>
      <w:r w:rsidR="00A91B55">
        <w:rPr>
          <w:rFonts w:cstheme="minorHAnsi"/>
        </w:rPr>
        <w:t xml:space="preserve"> at</w:t>
      </w:r>
      <w:r w:rsidRPr="003C4312">
        <w:rPr>
          <w:rFonts w:cstheme="minorHAnsi"/>
        </w:rPr>
        <w:t xml:space="preserve"> https://ajc-justice.co.uk/wp-content/uploads/2020/04/ASA-Report-COVID-19-.pdf </w:t>
      </w:r>
      <w:r w:rsidR="00A91B55">
        <w:rPr>
          <w:rFonts w:cstheme="minorHAnsi"/>
        </w:rPr>
        <w:t>[</w:t>
      </w:r>
      <w:r w:rsidRPr="003C4312">
        <w:rPr>
          <w:rFonts w:cstheme="minorHAnsi"/>
        </w:rPr>
        <w:t>accessed 11 June 2020</w:t>
      </w:r>
      <w:r w:rsidR="00A91B55">
        <w:rPr>
          <w:rFonts w:cstheme="minorHAnsi"/>
        </w:rPr>
        <w:t>]</w:t>
      </w:r>
      <w:r w:rsidRPr="003C4312">
        <w:rPr>
          <w:rFonts w:cstheme="minorHAnsi"/>
        </w:rPr>
        <w:t xml:space="preserve">; C </w:t>
      </w:r>
      <w:proofErr w:type="spellStart"/>
      <w:r w:rsidRPr="003C4312">
        <w:rPr>
          <w:rFonts w:cstheme="minorHAnsi"/>
        </w:rPr>
        <w:t>Ferstman</w:t>
      </w:r>
      <w:proofErr w:type="spellEnd"/>
      <w:r w:rsidRPr="003C4312">
        <w:rPr>
          <w:rFonts w:cstheme="minorHAnsi"/>
        </w:rPr>
        <w:t xml:space="preserve"> and A Fagan, </w:t>
      </w:r>
      <w:r w:rsidR="00036209">
        <w:rPr>
          <w:rFonts w:cstheme="minorHAnsi"/>
        </w:rPr>
        <w:t>“</w:t>
      </w:r>
      <w:r w:rsidRPr="003C4312">
        <w:rPr>
          <w:rFonts w:cstheme="minorHAnsi"/>
          <w:i/>
          <w:iCs/>
        </w:rPr>
        <w:t>Covid-19, Law and Human Rights: Essex Dialogues: A project of the School of Law and Human Rights Centre</w:t>
      </w:r>
      <w:r w:rsidR="00036209">
        <w:rPr>
          <w:rFonts w:cstheme="minorHAnsi"/>
          <w:i/>
          <w:iCs/>
        </w:rPr>
        <w:t>”</w:t>
      </w:r>
      <w:r w:rsidRPr="003C4312">
        <w:rPr>
          <w:rFonts w:cstheme="minorHAnsi"/>
        </w:rPr>
        <w:t xml:space="preserve"> (University of Essex, 1 July 2020) </w:t>
      </w:r>
      <w:r w:rsidR="00A91B55">
        <w:rPr>
          <w:rFonts w:cstheme="minorHAnsi"/>
        </w:rPr>
        <w:t>at</w:t>
      </w:r>
      <w:r w:rsidRPr="003C4312">
        <w:rPr>
          <w:rFonts w:cstheme="minorHAnsi"/>
        </w:rPr>
        <w:t xml:space="preserve"> </w:t>
      </w:r>
      <w:hyperlink r:id="rId16" w:history="1">
        <w:r w:rsidRPr="003C4312">
          <w:rPr>
            <w:rStyle w:val="Hyperlink"/>
            <w:rFonts w:cstheme="minorHAnsi"/>
          </w:rPr>
          <w:t>http://repository.essex.ac.uk/28002/1/COVID-19%5ELJ%20LAW%20%5EL0%20HUMAN%20RIGHTS%20-%20ESSEX%20DIALOGUES%20%201%20July%202020.pdf</w:t>
        </w:r>
      </w:hyperlink>
      <w:r w:rsidRPr="003C4312">
        <w:rPr>
          <w:rFonts w:cstheme="minorHAnsi"/>
        </w:rPr>
        <w:t xml:space="preserve"> </w:t>
      </w:r>
      <w:r w:rsidR="00A91B55">
        <w:rPr>
          <w:rFonts w:cstheme="minorHAnsi"/>
        </w:rPr>
        <w:t>[</w:t>
      </w:r>
      <w:r w:rsidRPr="003C4312">
        <w:rPr>
          <w:rFonts w:cstheme="minorHAnsi"/>
        </w:rPr>
        <w:t>accessed 15 October 2020</w:t>
      </w:r>
      <w:r w:rsidR="00A91B55">
        <w:rPr>
          <w:rFonts w:cstheme="minorHAnsi"/>
        </w:rPr>
        <w:t>]</w:t>
      </w:r>
      <w:r w:rsidRPr="003C4312">
        <w:rPr>
          <w:rFonts w:cstheme="minorHAnsi"/>
        </w:rPr>
        <w:t xml:space="preserve"> </w:t>
      </w:r>
    </w:p>
  </w:footnote>
  <w:footnote w:id="36">
    <w:p w14:paraId="2704720B" w14:textId="08F5D416" w:rsidR="00DC2065" w:rsidRPr="00343FA3" w:rsidRDefault="00DC2065" w:rsidP="00DA6FB8">
      <w:pPr>
        <w:pStyle w:val="FootnoteText"/>
        <w:rPr>
          <w:rFonts w:cstheme="minorHAnsi"/>
        </w:rPr>
      </w:pPr>
      <w:r w:rsidRPr="00343FA3">
        <w:rPr>
          <w:rStyle w:val="FootnoteReference"/>
          <w:rFonts w:cstheme="minorHAnsi"/>
        </w:rPr>
        <w:footnoteRef/>
      </w:r>
      <w:r w:rsidRPr="00343FA3">
        <w:rPr>
          <w:rFonts w:cstheme="minorHAnsi"/>
        </w:rPr>
        <w:t xml:space="preserve">Legal Services Board, </w:t>
      </w:r>
      <w:r w:rsidRPr="00B42B8F">
        <w:rPr>
          <w:rFonts w:cstheme="minorHAnsi"/>
          <w:i/>
        </w:rPr>
        <w:t>Coronavirus impact dashboard development</w:t>
      </w:r>
      <w:r w:rsidRPr="00343FA3">
        <w:rPr>
          <w:rFonts w:cstheme="minorHAnsi"/>
        </w:rPr>
        <w:t xml:space="preserve"> (2020)</w:t>
      </w:r>
      <w:r w:rsidR="00A91B55">
        <w:rPr>
          <w:rFonts w:cstheme="minorHAnsi"/>
        </w:rPr>
        <w:t xml:space="preserve"> at</w:t>
      </w:r>
      <w:r w:rsidRPr="00343FA3">
        <w:rPr>
          <w:rFonts w:cstheme="minorHAnsi"/>
        </w:rPr>
        <w:t xml:space="preserve">  </w:t>
      </w:r>
      <w:hyperlink r:id="rId17" w:history="1">
        <w:r w:rsidRPr="00343FA3">
          <w:rPr>
            <w:rStyle w:val="Hyperlink"/>
            <w:rFonts w:cstheme="minorHAnsi"/>
          </w:rPr>
          <w:t>https://www.legalservicesboard.org.uk/coronavirus_impact</w:t>
        </w:r>
      </w:hyperlink>
      <w:r w:rsidRPr="00343FA3">
        <w:rPr>
          <w:rFonts w:cstheme="minorHAnsi"/>
        </w:rPr>
        <w:t xml:space="preserve"> </w:t>
      </w:r>
      <w:r w:rsidR="00A91B55">
        <w:rPr>
          <w:rFonts w:cstheme="minorHAnsi"/>
        </w:rPr>
        <w:t>[</w:t>
      </w:r>
      <w:r w:rsidRPr="00343FA3">
        <w:rPr>
          <w:rFonts w:cstheme="minorHAnsi"/>
        </w:rPr>
        <w:t>accessed 16 October 2020</w:t>
      </w:r>
      <w:r w:rsidR="00A91B55">
        <w:rPr>
          <w:rFonts w:cstheme="minorHAnsi"/>
        </w:rPr>
        <w:t>]</w:t>
      </w:r>
      <w:r w:rsidRPr="00343FA3">
        <w:rPr>
          <w:rFonts w:cstheme="minorHAnsi"/>
        </w:rPr>
        <w:t xml:space="preserve"> </w:t>
      </w:r>
    </w:p>
  </w:footnote>
  <w:footnote w:id="37">
    <w:p w14:paraId="7097D24E" w14:textId="66E1F8E3" w:rsidR="00DC2065" w:rsidRPr="00343FA3" w:rsidRDefault="00DC2065" w:rsidP="00DA6FB8">
      <w:pPr>
        <w:pStyle w:val="FootnoteText"/>
        <w:rPr>
          <w:rFonts w:cstheme="minorHAnsi"/>
        </w:rPr>
      </w:pPr>
      <w:r w:rsidRPr="00343FA3">
        <w:rPr>
          <w:rStyle w:val="FootnoteReference"/>
          <w:rFonts w:cstheme="minorHAnsi"/>
        </w:rPr>
        <w:footnoteRef/>
      </w:r>
      <w:r w:rsidRPr="00343FA3">
        <w:rPr>
          <w:rFonts w:cstheme="minorHAnsi"/>
        </w:rPr>
        <w:t xml:space="preserve"> </w:t>
      </w:r>
      <w:r w:rsidR="00BE16B6">
        <w:rPr>
          <w:rFonts w:cstheme="minorHAnsi"/>
        </w:rPr>
        <w:t>Office for National Statistics,</w:t>
      </w:r>
      <w:r w:rsidR="00BE16B6" w:rsidRPr="00BE16B6">
        <w:rPr>
          <w:sz w:val="22"/>
          <w:szCs w:val="22"/>
          <w:lang w:val="en"/>
        </w:rPr>
        <w:t xml:space="preserve"> </w:t>
      </w:r>
      <w:proofErr w:type="spellStart"/>
      <w:r w:rsidR="00BE16B6" w:rsidRPr="00BE16B6">
        <w:rPr>
          <w:rFonts w:cstheme="minorHAnsi"/>
          <w:lang w:val="en"/>
        </w:rPr>
        <w:t>Labour</w:t>
      </w:r>
      <w:proofErr w:type="spellEnd"/>
      <w:r w:rsidR="00BE16B6" w:rsidRPr="00BE16B6">
        <w:rPr>
          <w:rFonts w:cstheme="minorHAnsi"/>
          <w:lang w:val="en"/>
        </w:rPr>
        <w:t xml:space="preserve"> market overview, UK: December 2020</w:t>
      </w:r>
      <w:r w:rsidR="001E4C8C">
        <w:rPr>
          <w:rFonts w:cstheme="minorHAnsi"/>
          <w:lang w:val="en"/>
        </w:rPr>
        <w:t>, (2020) ONS,</w:t>
      </w:r>
      <w:r w:rsidR="00BE16B6">
        <w:rPr>
          <w:rFonts w:cstheme="minorHAnsi"/>
        </w:rPr>
        <w:t xml:space="preserve"> </w:t>
      </w:r>
      <w:r w:rsidR="00A91B55">
        <w:rPr>
          <w:rFonts w:cstheme="minorHAnsi"/>
        </w:rPr>
        <w:t>at</w:t>
      </w:r>
      <w:r w:rsidR="00BE16B6" w:rsidRPr="00BE16B6">
        <w:t xml:space="preserve"> </w:t>
      </w:r>
      <w:hyperlink r:id="rId18" w:history="1">
        <w:r w:rsidR="00BE16B6" w:rsidRPr="001A26CE">
          <w:rPr>
            <w:rStyle w:val="Hyperlink"/>
            <w:rFonts w:cstheme="minorHAnsi"/>
          </w:rPr>
          <w:t>https://www.ons.gov.uk/employmentandlabourmarket/peopleinwork/employmentandemployeetypes/bulletins/uklabourmarket/december2020</w:t>
        </w:r>
      </w:hyperlink>
      <w:r w:rsidR="00BE16B6">
        <w:rPr>
          <w:rFonts w:cstheme="minorHAnsi"/>
        </w:rPr>
        <w:t xml:space="preserve"> </w:t>
      </w:r>
      <w:r w:rsidR="00A91B55">
        <w:rPr>
          <w:rFonts w:cstheme="minorHAnsi"/>
        </w:rPr>
        <w:t>[accessed 11 January 2021]</w:t>
      </w:r>
    </w:p>
  </w:footnote>
  <w:footnote w:id="38">
    <w:p w14:paraId="4F239E97" w14:textId="5BAC2D85" w:rsidR="00AD16B2" w:rsidRPr="00B42B8F" w:rsidRDefault="00AD16B2" w:rsidP="00AD16B2">
      <w:pPr>
        <w:pStyle w:val="FootnoteText"/>
        <w:rPr>
          <w:rFonts w:cstheme="minorHAnsi"/>
        </w:rPr>
      </w:pPr>
      <w:r w:rsidRPr="00B42B8F">
        <w:rPr>
          <w:rStyle w:val="FootnoteReference"/>
          <w:rFonts w:cstheme="minorHAnsi"/>
        </w:rPr>
        <w:footnoteRef/>
      </w:r>
      <w:r w:rsidRPr="00B42B8F">
        <w:rPr>
          <w:rFonts w:cstheme="minorHAnsi"/>
        </w:rPr>
        <w:t xml:space="preserve"> The ‘Claimant Count’ has increased 120.8% since March. This number will include some low-income people </w:t>
      </w:r>
      <w:proofErr w:type="gramStart"/>
      <w:r w:rsidRPr="00B42B8F">
        <w:rPr>
          <w:rFonts w:cstheme="minorHAnsi"/>
        </w:rPr>
        <w:t>who are in work but became eligible for Universal Credit after COVID-19 enhancements to the programme</w:t>
      </w:r>
      <w:proofErr w:type="gramEnd"/>
      <w:r w:rsidRPr="00B42B8F">
        <w:rPr>
          <w:rFonts w:cstheme="minorHAnsi"/>
        </w:rPr>
        <w:t xml:space="preserve">. Office for National Statistics, Labour market overview, UK: September 2020, (2020) ONS, </w:t>
      </w:r>
      <w:r w:rsidR="00A91B55">
        <w:rPr>
          <w:rFonts w:cstheme="minorHAnsi"/>
        </w:rPr>
        <w:t xml:space="preserve">at </w:t>
      </w:r>
      <w:r w:rsidRPr="00B42B8F">
        <w:rPr>
          <w:rFonts w:cstheme="minorHAnsi"/>
        </w:rPr>
        <w:t>https://www.ons.gov.uk/employmentandlabourmarket/peopleinwork/employmentandemployeetypes/bullet</w:t>
      </w:r>
      <w:r w:rsidR="00BE16B6">
        <w:rPr>
          <w:rFonts w:cstheme="minorHAnsi"/>
        </w:rPr>
        <w:t>ins/uklabourmarket/september2020</w:t>
      </w:r>
      <w:r w:rsidRPr="00B42B8F">
        <w:rPr>
          <w:rFonts w:cstheme="minorHAnsi"/>
        </w:rPr>
        <w:t xml:space="preserve"> </w:t>
      </w:r>
      <w:r w:rsidR="00A91B55">
        <w:rPr>
          <w:rFonts w:cstheme="minorHAnsi"/>
        </w:rPr>
        <w:t>[accessed 11 January 2021]</w:t>
      </w:r>
    </w:p>
  </w:footnote>
  <w:footnote w:id="39">
    <w:p w14:paraId="39BCEF9E" w14:textId="56DA4427" w:rsidR="00A91B55" w:rsidRPr="003C4312" w:rsidRDefault="00A91B55" w:rsidP="00A91B55">
      <w:pPr>
        <w:pStyle w:val="FootnoteText"/>
        <w:rPr>
          <w:rFonts w:cstheme="minorHAnsi"/>
        </w:rPr>
      </w:pPr>
      <w:r w:rsidRPr="003C4312">
        <w:rPr>
          <w:rStyle w:val="FootnoteReference"/>
          <w:rFonts w:cstheme="minorHAnsi"/>
        </w:rPr>
        <w:footnoteRef/>
      </w:r>
      <w:r w:rsidRPr="003C4312">
        <w:rPr>
          <w:rFonts w:cstheme="minorHAnsi"/>
        </w:rPr>
        <w:t xml:space="preserve"> C </w:t>
      </w:r>
      <w:proofErr w:type="spellStart"/>
      <w:r w:rsidRPr="003C4312">
        <w:rPr>
          <w:rFonts w:cstheme="minorHAnsi"/>
        </w:rPr>
        <w:t>Storer</w:t>
      </w:r>
      <w:proofErr w:type="spellEnd"/>
      <w:r w:rsidRPr="003C4312">
        <w:rPr>
          <w:rFonts w:cstheme="minorHAnsi"/>
        </w:rPr>
        <w:t xml:space="preserve">, </w:t>
      </w:r>
      <w:r>
        <w:rPr>
          <w:rFonts w:cstheme="minorHAnsi"/>
        </w:rPr>
        <w:t>“</w:t>
      </w:r>
      <w:r w:rsidRPr="00B42B8F">
        <w:rPr>
          <w:rFonts w:cstheme="minorHAnsi"/>
          <w:i/>
        </w:rPr>
        <w:t>Editorial: We are working to ensure access to justice during the COVID-19 crisis and beyond</w:t>
      </w:r>
      <w:r>
        <w:rPr>
          <w:rFonts w:cstheme="minorHAnsi"/>
        </w:rPr>
        <w:t>”</w:t>
      </w:r>
      <w:r w:rsidRPr="003C4312">
        <w:rPr>
          <w:rFonts w:cstheme="minorHAnsi"/>
        </w:rPr>
        <w:t xml:space="preserve"> (Legal Action Group, May 2020) </w:t>
      </w:r>
      <w:r>
        <w:rPr>
          <w:rFonts w:cstheme="minorHAnsi"/>
        </w:rPr>
        <w:t xml:space="preserve">at </w:t>
      </w:r>
      <w:hyperlink r:id="rId19" w:history="1">
        <w:r w:rsidRPr="00A91B55">
          <w:rPr>
            <w:rStyle w:val="Hyperlink"/>
            <w:rFonts w:cstheme="minorHAnsi"/>
          </w:rPr>
          <w:t>https://www.lag.org.uk/article/208258/editorial--we-are-working-to-ensure-access-to-justice-during-the-Covid-19-crisis-and-beyond</w:t>
        </w:r>
      </w:hyperlink>
      <w:r w:rsidRPr="003C4312">
        <w:rPr>
          <w:rFonts w:cstheme="minorHAnsi"/>
        </w:rPr>
        <w:t xml:space="preserve"> </w:t>
      </w:r>
      <w:r>
        <w:rPr>
          <w:rFonts w:cstheme="minorHAnsi"/>
        </w:rPr>
        <w:t>[</w:t>
      </w:r>
      <w:r w:rsidRPr="003C4312">
        <w:rPr>
          <w:rFonts w:cstheme="minorHAnsi"/>
        </w:rPr>
        <w:t>accessed 16 October 2020</w:t>
      </w:r>
      <w:r>
        <w:rPr>
          <w:rFonts w:cstheme="minorHAnsi"/>
        </w:rPr>
        <w:t>]</w:t>
      </w:r>
      <w:r w:rsidRPr="003C4312">
        <w:rPr>
          <w:rFonts w:cstheme="minorHAnsi"/>
        </w:rPr>
        <w:t xml:space="preserve"> </w:t>
      </w:r>
    </w:p>
  </w:footnote>
  <w:footnote w:id="40">
    <w:p w14:paraId="6F9B9D1C" w14:textId="177EC800" w:rsidR="00DC2065" w:rsidRPr="003C4312" w:rsidRDefault="00DC2065" w:rsidP="00DA6FB8">
      <w:pPr>
        <w:pStyle w:val="FootnoteText"/>
        <w:rPr>
          <w:rFonts w:cstheme="minorHAnsi"/>
        </w:rPr>
      </w:pPr>
      <w:r w:rsidRPr="003C4312">
        <w:rPr>
          <w:rStyle w:val="FootnoteReference"/>
          <w:rFonts w:cstheme="minorHAnsi"/>
        </w:rPr>
        <w:footnoteRef/>
      </w:r>
      <w:r w:rsidRPr="003C4312">
        <w:rPr>
          <w:rFonts w:cstheme="minorHAnsi"/>
        </w:rPr>
        <w:t xml:space="preserve"> </w:t>
      </w:r>
      <w:r w:rsidR="00AD16B2" w:rsidRPr="00AD16B2">
        <w:rPr>
          <w:rFonts w:cstheme="minorHAnsi"/>
        </w:rPr>
        <w:t xml:space="preserve">For comment from a client rather than organisational </w:t>
      </w:r>
      <w:proofErr w:type="gramStart"/>
      <w:r w:rsidR="00AD16B2" w:rsidRPr="00AD16B2">
        <w:rPr>
          <w:rFonts w:cstheme="minorHAnsi"/>
        </w:rPr>
        <w:t>perspective</w:t>
      </w:r>
      <w:proofErr w:type="gramEnd"/>
      <w:r w:rsidR="00AD16B2" w:rsidRPr="00AD16B2">
        <w:rPr>
          <w:rFonts w:cstheme="minorHAnsi"/>
        </w:rPr>
        <w:t xml:space="preserve"> see P Pleasence, N Balmer, and S Reimers, </w:t>
      </w:r>
      <w:r w:rsidR="00036209">
        <w:rPr>
          <w:rFonts w:cstheme="minorHAnsi"/>
        </w:rPr>
        <w:t>“</w:t>
      </w:r>
      <w:r w:rsidR="00AD16B2" w:rsidRPr="00AD16B2">
        <w:rPr>
          <w:rFonts w:cstheme="minorHAnsi"/>
        </w:rPr>
        <w:t>What Really Drives Advice Seeking Behaviour? Looking Beyond the Subject of Legal Disputes</w:t>
      </w:r>
      <w:r w:rsidR="00036209">
        <w:rPr>
          <w:rFonts w:cstheme="minorHAnsi"/>
        </w:rPr>
        <w:t>”</w:t>
      </w:r>
      <w:r w:rsidR="00AD16B2" w:rsidRPr="00AD16B2">
        <w:rPr>
          <w:rFonts w:cstheme="minorHAnsi"/>
        </w:rPr>
        <w:t xml:space="preserve"> (2011) </w:t>
      </w:r>
      <w:proofErr w:type="gramStart"/>
      <w:r w:rsidR="00AD16B2" w:rsidRPr="00AD16B2">
        <w:rPr>
          <w:rFonts w:cstheme="minorHAnsi"/>
        </w:rPr>
        <w:t>1</w:t>
      </w:r>
      <w:proofErr w:type="gramEnd"/>
      <w:r w:rsidR="00036209">
        <w:rPr>
          <w:rFonts w:cstheme="minorHAnsi"/>
        </w:rPr>
        <w:t xml:space="preserve"> (6) </w:t>
      </w:r>
      <w:proofErr w:type="spellStart"/>
      <w:r w:rsidR="00AD16B2" w:rsidRPr="00AD16B2">
        <w:rPr>
          <w:rFonts w:cstheme="minorHAnsi"/>
          <w:i/>
        </w:rPr>
        <w:t>Oñati</w:t>
      </w:r>
      <w:proofErr w:type="spellEnd"/>
      <w:r w:rsidR="00AD16B2" w:rsidRPr="00AD16B2">
        <w:rPr>
          <w:rFonts w:cstheme="minorHAnsi"/>
          <w:i/>
        </w:rPr>
        <w:t xml:space="preserve"> Socio-Legal Series</w:t>
      </w:r>
      <w:r w:rsidR="00AD16B2" w:rsidRPr="00AD16B2">
        <w:rPr>
          <w:rFonts w:cstheme="minorHAnsi"/>
        </w:rPr>
        <w:t>.</w:t>
      </w:r>
    </w:p>
  </w:footnote>
  <w:footnote w:id="41">
    <w:p w14:paraId="38AB938C" w14:textId="2C401E20" w:rsidR="00675E19" w:rsidRPr="003C4312" w:rsidRDefault="00675E19" w:rsidP="00675E19">
      <w:pPr>
        <w:pStyle w:val="FootnoteText"/>
        <w:rPr>
          <w:rFonts w:cstheme="minorHAnsi"/>
        </w:rPr>
      </w:pPr>
      <w:r w:rsidRPr="003C4312">
        <w:rPr>
          <w:rStyle w:val="FootnoteReference"/>
          <w:rFonts w:cstheme="minorHAnsi"/>
        </w:rPr>
        <w:footnoteRef/>
      </w:r>
      <w:r w:rsidRPr="003C4312">
        <w:rPr>
          <w:rFonts w:cstheme="minorHAnsi"/>
        </w:rPr>
        <w:t xml:space="preserve"> </w:t>
      </w:r>
      <w:r w:rsidR="006D26B1" w:rsidRPr="006D26B1">
        <w:rPr>
          <w:rFonts w:cstheme="minorHAnsi"/>
        </w:rPr>
        <w:t xml:space="preserve">OECD </w:t>
      </w:r>
      <w:r w:rsidR="00A91B55" w:rsidRPr="00E510A9">
        <w:rPr>
          <w:rFonts w:cstheme="minorHAnsi"/>
        </w:rPr>
        <w:t>Policy Roundtable on Equal Access to Justice</w:t>
      </w:r>
      <w:r w:rsidR="00A91B55">
        <w:rPr>
          <w:rFonts w:cstheme="minorHAnsi"/>
        </w:rPr>
        <w:t xml:space="preserve"> (</w:t>
      </w:r>
      <w:r w:rsidR="00A91B55" w:rsidRPr="00E510A9">
        <w:rPr>
          <w:rFonts w:cstheme="minorHAnsi"/>
        </w:rPr>
        <w:t>2017)</w:t>
      </w:r>
      <w:r w:rsidR="00A91B55">
        <w:rPr>
          <w:rFonts w:cstheme="minorHAnsi"/>
        </w:rPr>
        <w:t>, at</w:t>
      </w:r>
      <w:r w:rsidR="00A91B55" w:rsidRPr="00E510A9">
        <w:rPr>
          <w:rFonts w:cstheme="minorHAnsi"/>
        </w:rPr>
        <w:t xml:space="preserve"> </w:t>
      </w:r>
      <w:hyperlink r:id="rId20" w:history="1">
        <w:r w:rsidR="00A91B55" w:rsidRPr="00E97F88">
          <w:rPr>
            <w:rStyle w:val="Hyperlink"/>
            <w:rFonts w:cstheme="minorHAnsi"/>
          </w:rPr>
          <w:t>https://www.oecd.org/gov/A2J-RT-Session-notes-May-2017.pdf</w:t>
        </w:r>
      </w:hyperlink>
      <w:r w:rsidR="00A91B55">
        <w:rPr>
          <w:rFonts w:cstheme="minorHAnsi"/>
        </w:rPr>
        <w:t xml:space="preserve"> [accessed 11 January 2021]</w:t>
      </w:r>
    </w:p>
  </w:footnote>
  <w:footnote w:id="42">
    <w:p w14:paraId="2D5DCE63" w14:textId="4B3C7E9D" w:rsidR="007A038F" w:rsidRPr="003C4312" w:rsidRDefault="007A038F" w:rsidP="006D26B1">
      <w:pPr>
        <w:pStyle w:val="FootnoteText"/>
      </w:pPr>
      <w:r w:rsidRPr="4B426190">
        <w:rPr>
          <w:rStyle w:val="FootnoteReference"/>
        </w:rPr>
        <w:footnoteRef/>
      </w:r>
      <w:r w:rsidRPr="4B426190">
        <w:rPr>
          <w:rStyle w:val="FootnoteReference"/>
        </w:rPr>
        <w:t xml:space="preserve"> </w:t>
      </w:r>
      <w:r w:rsidR="006D26B1" w:rsidRPr="006D26B1">
        <w:t>On attempts to resolve</w:t>
      </w:r>
      <w:r w:rsidR="006D26B1">
        <w:t xml:space="preserve"> </w:t>
      </w:r>
      <w:r w:rsidR="006D26B1" w:rsidRPr="006D26B1">
        <w:t>justiciable issues see also</w:t>
      </w:r>
      <w:r w:rsidR="002316F6">
        <w:t xml:space="preserve"> </w:t>
      </w:r>
      <w:r w:rsidR="00D36980" w:rsidRPr="00D36980">
        <w:t xml:space="preserve">H Genn, </w:t>
      </w:r>
      <w:r w:rsidR="00D36980" w:rsidRPr="00D36980">
        <w:rPr>
          <w:i/>
        </w:rPr>
        <w:t>Paths to Justice: What People Think and Do About Going to Law</w:t>
      </w:r>
      <w:r w:rsidR="00D36980" w:rsidRPr="00D36980">
        <w:t xml:space="preserve"> (Hart 1999)</w:t>
      </w:r>
      <w:r w:rsidR="00D36980">
        <w:t xml:space="preserve"> </w:t>
      </w:r>
      <w:r w:rsidR="006D26B1" w:rsidRPr="006D26B1">
        <w:t xml:space="preserve">and </w:t>
      </w:r>
      <w:r w:rsidR="002316F6">
        <w:t xml:space="preserve">J </w:t>
      </w:r>
      <w:r w:rsidR="006D26B1" w:rsidRPr="006D26B1">
        <w:t xml:space="preserve">Organ and </w:t>
      </w:r>
      <w:r w:rsidR="002316F6">
        <w:t xml:space="preserve">J </w:t>
      </w:r>
      <w:r w:rsidR="006D26B1" w:rsidRPr="006D26B1">
        <w:t xml:space="preserve">Sigafoos, </w:t>
      </w:r>
      <w:r w:rsidR="006D26B1" w:rsidRPr="00B42B8F">
        <w:rPr>
          <w:i/>
        </w:rPr>
        <w:t>The Impacts of LASPO on Routes to Justice</w:t>
      </w:r>
      <w:r w:rsidR="006D26B1" w:rsidRPr="006D26B1">
        <w:t xml:space="preserve"> (E</w:t>
      </w:r>
      <w:r w:rsidR="00036209">
        <w:t>quality and Human Rights Commission</w:t>
      </w:r>
      <w:r w:rsidR="006D26B1" w:rsidRPr="006D26B1">
        <w:t xml:space="preserve"> 2018)</w:t>
      </w:r>
      <w:r w:rsidR="00036209" w:rsidRPr="00036209">
        <w:t xml:space="preserve"> </w:t>
      </w:r>
      <w:r w:rsidR="00A91B55">
        <w:t xml:space="preserve">at </w:t>
      </w:r>
      <w:r w:rsidR="00036209" w:rsidRPr="00036209">
        <w:t>https://www.equalityhumanrights.com/sites/default/files/the-impact-of-laspo-on-routes-to-justice-september-2018.pdf</w:t>
      </w:r>
      <w:r w:rsidR="00A91B55">
        <w:t xml:space="preserve"> [accessed 11 January 2021]</w:t>
      </w:r>
    </w:p>
  </w:footnote>
  <w:footnote w:id="43">
    <w:p w14:paraId="75A6EBD3" w14:textId="414B993C" w:rsidR="005F0FF5" w:rsidRPr="003C4312" w:rsidRDefault="005F0FF5" w:rsidP="005F0FF5">
      <w:pPr>
        <w:pStyle w:val="FootnoteText"/>
        <w:rPr>
          <w:rFonts w:cstheme="minorHAnsi"/>
        </w:rPr>
      </w:pPr>
      <w:r w:rsidRPr="4B426190">
        <w:rPr>
          <w:rStyle w:val="FootnoteReference"/>
        </w:rPr>
        <w:footnoteRef/>
      </w:r>
      <w:r w:rsidR="00D36980">
        <w:rPr>
          <w:rFonts w:cstheme="minorHAnsi"/>
        </w:rPr>
        <w:t xml:space="preserve"> </w:t>
      </w:r>
      <w:r w:rsidR="00A91B55" w:rsidRPr="00E510A9">
        <w:rPr>
          <w:rFonts w:cstheme="minorHAnsi"/>
        </w:rPr>
        <w:t xml:space="preserve">A Currie, </w:t>
      </w:r>
      <w:r w:rsidR="00A91B55">
        <w:rPr>
          <w:rFonts w:cstheme="minorHAnsi"/>
        </w:rPr>
        <w:t>“</w:t>
      </w:r>
      <w:r w:rsidR="00A91B55" w:rsidRPr="00E510A9">
        <w:rPr>
          <w:rFonts w:cstheme="minorHAnsi"/>
        </w:rPr>
        <w:t>The Legal Problems of Everyday Life</w:t>
      </w:r>
      <w:r w:rsidR="00A91B55">
        <w:rPr>
          <w:rFonts w:cstheme="minorHAnsi"/>
        </w:rPr>
        <w:t>”</w:t>
      </w:r>
      <w:r w:rsidR="00A91B55" w:rsidRPr="00E510A9">
        <w:rPr>
          <w:rFonts w:cstheme="minorHAnsi"/>
        </w:rPr>
        <w:t xml:space="preserve">, in R </w:t>
      </w:r>
      <w:proofErr w:type="spellStart"/>
      <w:r w:rsidR="00A91B55" w:rsidRPr="00E510A9">
        <w:rPr>
          <w:rFonts w:cstheme="minorHAnsi"/>
        </w:rPr>
        <w:t>Sandefur</w:t>
      </w:r>
      <w:proofErr w:type="spellEnd"/>
      <w:r w:rsidR="00A91B55" w:rsidRPr="00E510A9">
        <w:rPr>
          <w:rFonts w:cstheme="minorHAnsi"/>
        </w:rPr>
        <w:t xml:space="preserve"> (ed.) </w:t>
      </w:r>
      <w:r w:rsidR="00A91B55" w:rsidRPr="00E510A9">
        <w:rPr>
          <w:rFonts w:cstheme="minorHAnsi"/>
          <w:i/>
        </w:rPr>
        <w:t>Access to Justice</w:t>
      </w:r>
      <w:r w:rsidR="00A91B55" w:rsidRPr="00E510A9">
        <w:rPr>
          <w:rFonts w:cstheme="minorHAnsi"/>
        </w:rPr>
        <w:t>, (Emerald 2008)</w:t>
      </w:r>
    </w:p>
  </w:footnote>
  <w:footnote w:id="44">
    <w:p w14:paraId="7AEEEB45" w14:textId="1FD237ED" w:rsidR="005F0FF5" w:rsidRPr="003C4312" w:rsidRDefault="005F0FF5" w:rsidP="005F0FF5">
      <w:pPr>
        <w:pStyle w:val="FootnoteText"/>
        <w:rPr>
          <w:rFonts w:cstheme="minorHAnsi"/>
        </w:rPr>
      </w:pPr>
      <w:r w:rsidRPr="003C4312">
        <w:rPr>
          <w:rStyle w:val="FootnoteReference"/>
          <w:rFonts w:cstheme="minorHAnsi"/>
        </w:rPr>
        <w:footnoteRef/>
      </w:r>
      <w:r w:rsidRPr="003C4312">
        <w:rPr>
          <w:rFonts w:cstheme="minorHAnsi"/>
        </w:rPr>
        <w:t xml:space="preserve"> </w:t>
      </w:r>
      <w:r w:rsidR="006D26B1" w:rsidRPr="006D26B1">
        <w:rPr>
          <w:rFonts w:cstheme="minorHAnsi"/>
        </w:rPr>
        <w:t xml:space="preserve">OECD </w:t>
      </w:r>
      <w:r w:rsidR="00A91B55" w:rsidRPr="00E510A9">
        <w:rPr>
          <w:rFonts w:cstheme="minorHAnsi"/>
        </w:rPr>
        <w:t>Policy Roundtable on Equal Access to Justice</w:t>
      </w:r>
      <w:r w:rsidR="00A91B55">
        <w:rPr>
          <w:rFonts w:cstheme="minorHAnsi"/>
        </w:rPr>
        <w:t xml:space="preserve"> (</w:t>
      </w:r>
      <w:r w:rsidR="00A91B55" w:rsidRPr="00E510A9">
        <w:rPr>
          <w:rFonts w:cstheme="minorHAnsi"/>
        </w:rPr>
        <w:t>2017)</w:t>
      </w:r>
      <w:r w:rsidR="00A91B55">
        <w:rPr>
          <w:rFonts w:cstheme="minorHAnsi"/>
        </w:rPr>
        <w:t>, at</w:t>
      </w:r>
      <w:r w:rsidR="00A91B55" w:rsidRPr="00E510A9">
        <w:rPr>
          <w:rFonts w:cstheme="minorHAnsi"/>
        </w:rPr>
        <w:t xml:space="preserve"> </w:t>
      </w:r>
      <w:hyperlink r:id="rId21" w:history="1">
        <w:r w:rsidR="00A91B55" w:rsidRPr="00E97F88">
          <w:rPr>
            <w:rStyle w:val="Hyperlink"/>
            <w:rFonts w:cstheme="minorHAnsi"/>
          </w:rPr>
          <w:t>https://www.oecd.org/gov/A2J-RT-Session-notes-May-2017.pdf</w:t>
        </w:r>
      </w:hyperlink>
      <w:r w:rsidR="00A91B55">
        <w:rPr>
          <w:rFonts w:cstheme="minorHAnsi"/>
        </w:rPr>
        <w:t xml:space="preserve"> [accessed 11 January 2021]</w:t>
      </w:r>
    </w:p>
  </w:footnote>
  <w:footnote w:id="45">
    <w:p w14:paraId="4D6EAB42" w14:textId="3E0805C9" w:rsidR="008122FC" w:rsidRPr="003C4312" w:rsidRDefault="008122FC" w:rsidP="008122FC">
      <w:pPr>
        <w:pStyle w:val="FootnoteText"/>
      </w:pPr>
      <w:r w:rsidRPr="4B426190">
        <w:rPr>
          <w:rStyle w:val="FootnoteReference"/>
        </w:rPr>
        <w:footnoteRef/>
      </w:r>
      <w:r w:rsidR="006D26B1">
        <w:t xml:space="preserve"> </w:t>
      </w:r>
      <w:r w:rsidR="006D26B1" w:rsidRPr="006D26B1">
        <w:t xml:space="preserve">One exception is research in to the operation of the mandatory advice gateways introduced after LASPO: B Hickman and D Oldfield, </w:t>
      </w:r>
      <w:r w:rsidR="006D26B1" w:rsidRPr="006D26B1">
        <w:rPr>
          <w:i/>
        </w:rPr>
        <w:t>Keys to the Gateway: An Independent Review of the Mandatory Civil Legal Advice Gateway</w:t>
      </w:r>
      <w:r w:rsidR="006D26B1" w:rsidRPr="006D26B1">
        <w:t xml:space="preserve"> (Public Law Project 2015)</w:t>
      </w:r>
      <w:r w:rsidR="00A91B55">
        <w:t>, at</w:t>
      </w:r>
      <w:r w:rsidR="006D26B1" w:rsidRPr="006D26B1">
        <w:t xml:space="preserve"> </w:t>
      </w:r>
      <w:hyperlink r:id="rId22" w:history="1">
        <w:r w:rsidR="006D26B1" w:rsidRPr="006D26B1">
          <w:rPr>
            <w:rStyle w:val="Hyperlink"/>
          </w:rPr>
          <w:t>https://publiclawproject.org.uk/wp-content/uploads/2018/05/Keys-to-the-Gateway-An-Independent-Review-of-the-Mandatory-CLA-Gateway.pdf</w:t>
        </w:r>
      </w:hyperlink>
      <w:r w:rsidR="00A91B55">
        <w:t xml:space="preserve"> [accessed 11 January 2021];</w:t>
      </w:r>
      <w:r w:rsidR="006D26B1" w:rsidRPr="006D26B1">
        <w:t xml:space="preserve"> A Patel, C Mottram, M Samra, D Ryan-Mills and K Moreton</w:t>
      </w:r>
      <w:r w:rsidR="00036209">
        <w:t>,</w:t>
      </w:r>
      <w:r w:rsidR="006D26B1" w:rsidRPr="006D26B1">
        <w:t xml:space="preserve"> </w:t>
      </w:r>
      <w:r w:rsidR="00036209">
        <w:t>”</w:t>
      </w:r>
      <w:r w:rsidR="006D26B1" w:rsidRPr="006D26B1">
        <w:t>Civil Legal Advice mandatory Gateway Findings from interviews with service providers</w:t>
      </w:r>
      <w:r w:rsidR="00036209">
        <w:t>”</w:t>
      </w:r>
      <w:r w:rsidR="006D26B1" w:rsidRPr="006D26B1">
        <w:t xml:space="preserve"> </w:t>
      </w:r>
      <w:r w:rsidR="00036209">
        <w:t>(</w:t>
      </w:r>
      <w:proofErr w:type="spellStart"/>
      <w:r w:rsidR="006D26B1" w:rsidRPr="006D26B1">
        <w:t>MoJ</w:t>
      </w:r>
      <w:proofErr w:type="spellEnd"/>
      <w:r w:rsidR="006D26B1" w:rsidRPr="006D26B1">
        <w:t xml:space="preserve"> 2014</w:t>
      </w:r>
      <w:r w:rsidR="00036209">
        <w:t>)</w:t>
      </w:r>
      <w:r w:rsidR="00A91B55">
        <w:t>, at</w:t>
      </w:r>
      <w:r w:rsidR="006D26B1" w:rsidRPr="006D26B1">
        <w:t xml:space="preserve"> </w:t>
      </w:r>
      <w:hyperlink r:id="rId23" w:history="1">
        <w:r w:rsidR="00A91B55" w:rsidRPr="00E97F88">
          <w:rPr>
            <w:rStyle w:val="Hyperlink"/>
          </w:rPr>
          <w:t>https://assets.publishing.service.gov.uk/government/uploads/system/uploads/attachment_data/file/384310/cla-provider-research.pdf</w:t>
        </w:r>
      </w:hyperlink>
      <w:r w:rsidR="00A91B55">
        <w:t xml:space="preserve"> accessed 11 January 2021]</w:t>
      </w:r>
    </w:p>
  </w:footnote>
  <w:footnote w:id="46">
    <w:p w14:paraId="29ACD360" w14:textId="03EA1B92" w:rsidR="008122FC" w:rsidRPr="003C4312" w:rsidRDefault="008122FC" w:rsidP="008122FC">
      <w:pPr>
        <w:pStyle w:val="FootnoteText"/>
      </w:pPr>
      <w:r w:rsidRPr="1D3A95D2">
        <w:rPr>
          <w:rStyle w:val="FootnoteReference"/>
        </w:rPr>
        <w:footnoteRef/>
      </w:r>
      <w:r w:rsidRPr="1D3A95D2">
        <w:t xml:space="preserve"> M Burton, </w:t>
      </w:r>
      <w:r w:rsidR="00036209">
        <w:t>“</w:t>
      </w:r>
      <w:r w:rsidRPr="1D3A95D2">
        <w:t>Justice on the line? A comparison of telephone and face-to-face advice in social welfare legal aid</w:t>
      </w:r>
      <w:r w:rsidR="00036209">
        <w:t>”</w:t>
      </w:r>
      <w:r w:rsidRPr="1D3A95D2">
        <w:t xml:space="preserve"> (2018)</w:t>
      </w:r>
      <w:r w:rsidR="00036209">
        <w:t xml:space="preserve"> 40 (2)</w:t>
      </w:r>
      <w:r w:rsidRPr="1D3A95D2">
        <w:t xml:space="preserve"> </w:t>
      </w:r>
      <w:r w:rsidRPr="1D3A95D2">
        <w:rPr>
          <w:i/>
          <w:iCs/>
        </w:rPr>
        <w:t>Journal of Social Welfare and Family Law</w:t>
      </w:r>
      <w:r w:rsidR="00036209">
        <w:t xml:space="preserve"> 195; </w:t>
      </w:r>
      <w:r w:rsidR="001E4C8C">
        <w:t xml:space="preserve">A </w:t>
      </w:r>
      <w:r w:rsidR="001E4C8C" w:rsidRPr="001E4C8C">
        <w:t xml:space="preserve">Patel, C Mottram, M </w:t>
      </w:r>
      <w:proofErr w:type="spellStart"/>
      <w:r w:rsidR="001E4C8C" w:rsidRPr="001E4C8C">
        <w:t>Samra</w:t>
      </w:r>
      <w:proofErr w:type="spellEnd"/>
      <w:r w:rsidR="001E4C8C" w:rsidRPr="001E4C8C">
        <w:t>, D Ryan-Mills and K Moreton, ”Civil Legal Advice mandatory Gateway Findings from interviews with service providers” (</w:t>
      </w:r>
      <w:proofErr w:type="spellStart"/>
      <w:r w:rsidR="001E4C8C" w:rsidRPr="001E4C8C">
        <w:t>MoJ</w:t>
      </w:r>
      <w:proofErr w:type="spellEnd"/>
      <w:r w:rsidR="001E4C8C" w:rsidRPr="001E4C8C">
        <w:t xml:space="preserve"> 2014)</w:t>
      </w:r>
      <w:r w:rsidR="001E4C8C" w:rsidRPr="001E4C8C">
        <w:t>, at</w:t>
      </w:r>
      <w:r w:rsidR="001E4C8C" w:rsidRPr="001E4C8C">
        <w:t xml:space="preserve"> </w:t>
      </w:r>
      <w:hyperlink r:id="rId24" w:history="1">
        <w:r w:rsidR="001E4C8C" w:rsidRPr="001E4C8C">
          <w:rPr>
            <w:rStyle w:val="Hyperlink"/>
          </w:rPr>
          <w:t>https://assets.publishing.service.gov.uk/government/uploads/system/uploads/attachment_data/file/384310/cla-provider-research.pdf</w:t>
        </w:r>
      </w:hyperlink>
      <w:r w:rsidR="001E4C8C" w:rsidRPr="001E4C8C">
        <w:t xml:space="preserve"> accessed 11 January 2021]</w:t>
      </w:r>
    </w:p>
    <w:p w14:paraId="6635DFE4" w14:textId="38D9168F" w:rsidR="008122FC" w:rsidRDefault="006D26B1" w:rsidP="008122FC">
      <w:pPr>
        <w:pStyle w:val="FootnoteText"/>
      </w:pPr>
      <w:r w:rsidRPr="006D26B1">
        <w:t xml:space="preserve">The concept of vulnerability </w:t>
      </w:r>
      <w:proofErr w:type="gramStart"/>
      <w:r w:rsidRPr="006D26B1">
        <w:t>is contested</w:t>
      </w:r>
      <w:proofErr w:type="gramEnd"/>
      <w:r w:rsidRPr="006D26B1">
        <w:t xml:space="preserve">. Vulnerability is a universal condition of humans but also particular, as how vulnerability as experienced by an individual is conditioned by that individual’s access to resources. M A Fineman, </w:t>
      </w:r>
      <w:r w:rsidR="00C12084">
        <w:t>“</w:t>
      </w:r>
      <w:r w:rsidRPr="006D26B1">
        <w:t>The Vulnerable Subject: Anchoring Equality in the Human Condition</w:t>
      </w:r>
      <w:r w:rsidR="00C12084">
        <w:t>”</w:t>
      </w:r>
      <w:r w:rsidRPr="006D26B1">
        <w:t>, (2008-9) 20 Yale J</w:t>
      </w:r>
      <w:r w:rsidR="00A91B55">
        <w:t xml:space="preserve">ournal of </w:t>
      </w:r>
      <w:r w:rsidRPr="006D26B1">
        <w:t>L</w:t>
      </w:r>
      <w:r w:rsidR="00A91B55">
        <w:t>aw and</w:t>
      </w:r>
      <w:r w:rsidRPr="006D26B1">
        <w:t xml:space="preserve"> Feminism 1. </w:t>
      </w:r>
      <w:proofErr w:type="gramStart"/>
      <w:r w:rsidRPr="006D26B1">
        <w:t>‘Vulnerable people’ was frequently used by our participants to mean their clients with individual situations that leave them particularly exposed to their societal and institutional arrangements</w:t>
      </w:r>
      <w:proofErr w:type="gramEnd"/>
      <w:r w:rsidRPr="006D26B1">
        <w:t xml:space="preserve">. Some examples used were those people at risk of homelessness, people with mental health issues, and asylum seekers. We will use the term ‘particularly vulnerable people’ to account for this paradoxical nature of vulnerability, that it is both universal and very particular to an individual. L Peroni, A Timmer, </w:t>
      </w:r>
      <w:r w:rsidR="00C12084">
        <w:t>”</w:t>
      </w:r>
      <w:r w:rsidRPr="006D26B1">
        <w:t>Vulnerable groups: The promise of an emerging concept in European Human Rights Convention law</w:t>
      </w:r>
      <w:r w:rsidR="00C12084">
        <w:t>”</w:t>
      </w:r>
      <w:r w:rsidRPr="006D26B1">
        <w:t xml:space="preserve"> (2013) </w:t>
      </w:r>
      <w:r w:rsidR="00C12084">
        <w:t xml:space="preserve">11 (4) </w:t>
      </w:r>
      <w:r w:rsidRPr="006D26B1">
        <w:t>International Journal of Constitutional Law 1056,</w:t>
      </w:r>
      <w:r w:rsidR="00A91B55">
        <w:t xml:space="preserve"> at</w:t>
      </w:r>
      <w:r w:rsidRPr="006D26B1">
        <w:t xml:space="preserve"> </w:t>
      </w:r>
      <w:hyperlink r:id="rId25">
        <w:r w:rsidRPr="006D26B1">
          <w:rPr>
            <w:rStyle w:val="Hyperlink"/>
          </w:rPr>
          <w:t>https://doi.org/10.1093/icon/mot042</w:t>
        </w:r>
      </w:hyperlink>
      <w:r w:rsidR="00A91B55" w:rsidRPr="00A91B55">
        <w:t xml:space="preserve"> </w:t>
      </w:r>
      <w:r w:rsidR="00A91B55">
        <w:t>[accessed 11 January 2021]</w:t>
      </w:r>
    </w:p>
  </w:footnote>
  <w:footnote w:id="47">
    <w:p w14:paraId="3B252DF7" w14:textId="739FA3E4" w:rsidR="006D26B1" w:rsidRDefault="006D26B1">
      <w:pPr>
        <w:pStyle w:val="FootnoteText"/>
      </w:pPr>
      <w:r>
        <w:rPr>
          <w:rStyle w:val="FootnoteReference"/>
        </w:rPr>
        <w:footnoteRef/>
      </w:r>
      <w:r>
        <w:t xml:space="preserve"> </w:t>
      </w:r>
      <w:r w:rsidRPr="006D26B1">
        <w:t xml:space="preserve">Scope, </w:t>
      </w:r>
      <w:r w:rsidRPr="006D26B1">
        <w:rPr>
          <w:i/>
          <w:iCs/>
        </w:rPr>
        <w:t>Written evidence to Work and Pensions Committee: ESA and PIP assessments</w:t>
      </w:r>
      <w:r w:rsidRPr="006D26B1">
        <w:t xml:space="preserve"> (2017) </w:t>
      </w:r>
      <w:r w:rsidR="005A5CB0">
        <w:t xml:space="preserve">at </w:t>
      </w:r>
      <w:hyperlink r:id="rId26" w:history="1">
        <w:r w:rsidR="005A5CB0" w:rsidRPr="005A5CB0">
          <w:rPr>
            <w:rStyle w:val="Hyperlink"/>
          </w:rPr>
          <w:t>http://data.parliament.uk/writtenevidence/committeeevidence.svc/evidencedocument/work-and-pensions-committee/pip-and-esa-assessments/written/73297.pdf</w:t>
        </w:r>
      </w:hyperlink>
      <w:r w:rsidR="005A5CB0">
        <w:rPr>
          <w:rStyle w:val="Hyperlink"/>
        </w:rPr>
        <w:t xml:space="preserve"> [</w:t>
      </w:r>
      <w:r w:rsidR="005A5CB0">
        <w:t>accessed 11 January 2021];</w:t>
      </w:r>
    </w:p>
  </w:footnote>
  <w:footnote w:id="48">
    <w:p w14:paraId="4E28D3C5" w14:textId="009C8D3A" w:rsidR="006D26B1" w:rsidRDefault="006D26B1">
      <w:pPr>
        <w:pStyle w:val="FootnoteText"/>
      </w:pPr>
      <w:r>
        <w:rPr>
          <w:rStyle w:val="FootnoteReference"/>
        </w:rPr>
        <w:footnoteRef/>
      </w:r>
      <w:r>
        <w:t xml:space="preserve"> </w:t>
      </w:r>
      <w:r w:rsidRPr="006D26B1">
        <w:t xml:space="preserve">Department for Work and Pensions, (2020) </w:t>
      </w:r>
      <w:r w:rsidRPr="006D26B1">
        <w:rPr>
          <w:i/>
          <w:iCs/>
        </w:rPr>
        <w:t xml:space="preserve">DWP benefits statistical summary, August 2019 </w:t>
      </w:r>
      <w:r w:rsidRPr="006D26B1">
        <w:t>(2020)</w:t>
      </w:r>
      <w:r w:rsidR="005A5CB0">
        <w:t xml:space="preserve"> at</w:t>
      </w:r>
      <w:r w:rsidRPr="006D26B1">
        <w:t xml:space="preserve">  </w:t>
      </w:r>
      <w:hyperlink r:id="rId27" w:history="1">
        <w:r w:rsidRPr="006D26B1">
          <w:rPr>
            <w:rStyle w:val="Hyperlink"/>
          </w:rPr>
          <w:t>https://www.gov.uk/government/publications/dwp-benefits-statistics-august-2019/dwp-benefits-statistical-summary-august-2019</w:t>
        </w:r>
      </w:hyperlink>
      <w:r w:rsidR="005A5CB0">
        <w:t xml:space="preserve"> [accessed 11 January 2021]</w:t>
      </w:r>
    </w:p>
  </w:footnote>
  <w:footnote w:id="49">
    <w:p w14:paraId="3BDB1BC0" w14:textId="761A5BC2"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H Homes and G Burgess, </w:t>
      </w:r>
      <w:r w:rsidR="00C12084">
        <w:rPr>
          <w:rFonts w:cstheme="minorHAnsi"/>
          <w:i/>
        </w:rPr>
        <w:t>“</w:t>
      </w:r>
      <w:r w:rsidRPr="00B42B8F">
        <w:rPr>
          <w:rFonts w:cstheme="minorHAnsi"/>
          <w:i/>
        </w:rPr>
        <w:t>Coronavirus has highlighted the UK’s Digital Divide</w:t>
      </w:r>
      <w:r w:rsidR="00C12084">
        <w:rPr>
          <w:rFonts w:cstheme="minorHAnsi"/>
          <w:i/>
        </w:rPr>
        <w:t>”</w:t>
      </w:r>
      <w:r w:rsidRPr="003C4312">
        <w:rPr>
          <w:rFonts w:cstheme="minorHAnsi"/>
        </w:rPr>
        <w:t xml:space="preserve">  </w:t>
      </w:r>
      <w:r w:rsidR="00C12084">
        <w:rPr>
          <w:rFonts w:cstheme="minorHAnsi"/>
        </w:rPr>
        <w:t>(</w:t>
      </w:r>
      <w:r w:rsidRPr="00B42B8F">
        <w:rPr>
          <w:rFonts w:cstheme="minorHAnsi"/>
        </w:rPr>
        <w:t>Cambridge Centre for Housing and Planning</w:t>
      </w:r>
      <w:r w:rsidRPr="00C12084">
        <w:rPr>
          <w:rFonts w:cstheme="minorHAnsi"/>
        </w:rPr>
        <w:t xml:space="preserve"> </w:t>
      </w:r>
      <w:r w:rsidRPr="00B42B8F">
        <w:rPr>
          <w:rFonts w:cstheme="minorHAnsi"/>
        </w:rPr>
        <w:t>Research, University of Cambridge</w:t>
      </w:r>
      <w:r w:rsidR="00C12084">
        <w:rPr>
          <w:rFonts w:cstheme="minorHAnsi"/>
        </w:rPr>
        <w:t xml:space="preserve"> 2020)</w:t>
      </w:r>
      <w:r w:rsidR="005A5CB0">
        <w:rPr>
          <w:rFonts w:cstheme="minorHAnsi"/>
          <w:i/>
        </w:rPr>
        <w:t xml:space="preserve"> </w:t>
      </w:r>
      <w:r w:rsidR="005A5CB0">
        <w:rPr>
          <w:rFonts w:cstheme="minorHAnsi"/>
          <w:iCs/>
        </w:rPr>
        <w:t>at</w:t>
      </w:r>
      <w:r w:rsidRPr="003C4312">
        <w:rPr>
          <w:rFonts w:cstheme="minorHAnsi"/>
        </w:rPr>
        <w:t xml:space="preserve"> </w:t>
      </w:r>
      <w:hyperlink r:id="rId28" w:history="1">
        <w:r w:rsidRPr="003C4312">
          <w:rPr>
            <w:rStyle w:val="Hyperlink"/>
            <w:rFonts w:cstheme="minorHAnsi"/>
          </w:rPr>
          <w:t>https://www.cchpr.landecon.cam.ac.uk/Research/Start-Year/2017/building_better_opportunities_new_horizons/digital_divide</w:t>
        </w:r>
      </w:hyperlink>
      <w:r w:rsidRPr="003C4312">
        <w:rPr>
          <w:rFonts w:cstheme="minorHAnsi"/>
        </w:rPr>
        <w:t xml:space="preserve"> </w:t>
      </w:r>
      <w:r w:rsidR="005A5CB0">
        <w:rPr>
          <w:rFonts w:cstheme="minorHAnsi"/>
        </w:rPr>
        <w:t>[</w:t>
      </w:r>
      <w:r w:rsidRPr="003C4312">
        <w:rPr>
          <w:rFonts w:cstheme="minorHAnsi"/>
        </w:rPr>
        <w:t>accessed 16 October 2020</w:t>
      </w:r>
      <w:r w:rsidR="005A5CB0">
        <w:rPr>
          <w:rFonts w:cstheme="minorHAnsi"/>
        </w:rPr>
        <w:t>]</w:t>
      </w:r>
      <w:r w:rsidRPr="003C4312">
        <w:rPr>
          <w:rFonts w:cstheme="minorHAnsi"/>
        </w:rPr>
        <w:t xml:space="preserve"> </w:t>
      </w:r>
    </w:p>
  </w:footnote>
  <w:footnote w:id="50">
    <w:p w14:paraId="5FC45A22" w14:textId="6FE7ACBB"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Office for National Statistics, ‘Exploring the UK’s digital divide’ (March 2019) </w:t>
      </w:r>
      <w:r w:rsidR="005A5CB0">
        <w:rPr>
          <w:rFonts w:cstheme="minorHAnsi"/>
        </w:rPr>
        <w:t xml:space="preserve">at </w:t>
      </w:r>
      <w:hyperlink r:id="rId29" w:history="1">
        <w:r w:rsidR="005A5CB0" w:rsidRPr="005A5CB0">
          <w:rPr>
            <w:rStyle w:val="Hyperlink"/>
            <w:rFonts w:cstheme="minorHAnsi"/>
          </w:rPr>
          <w:t>https://www.ons.gov.uk/peoplepopulationandcommunity/householdcharacteristics/homeinternetandsocialmediausage/articles/exploringtheuksdigitaldivide/2019-03-04#the-scale-of-digital-exclusion-in-the-uk</w:t>
        </w:r>
      </w:hyperlink>
      <w:r w:rsidRPr="003C4312">
        <w:rPr>
          <w:rFonts w:cstheme="minorHAnsi"/>
        </w:rPr>
        <w:t xml:space="preserve"> </w:t>
      </w:r>
      <w:r w:rsidR="005A5CB0">
        <w:rPr>
          <w:rFonts w:cstheme="minorHAnsi"/>
        </w:rPr>
        <w:t>[</w:t>
      </w:r>
      <w:r w:rsidRPr="003C4312">
        <w:rPr>
          <w:rFonts w:cstheme="minorHAnsi"/>
        </w:rPr>
        <w:t>accessed 16</w:t>
      </w:r>
      <w:r w:rsidRPr="003C4312">
        <w:rPr>
          <w:rFonts w:cstheme="minorHAnsi"/>
          <w:vertAlign w:val="superscript"/>
        </w:rPr>
        <w:t xml:space="preserve"> </w:t>
      </w:r>
      <w:r w:rsidRPr="003C4312">
        <w:rPr>
          <w:rFonts w:cstheme="minorHAnsi"/>
        </w:rPr>
        <w:t>October 2020</w:t>
      </w:r>
      <w:r w:rsidR="005A5CB0">
        <w:rPr>
          <w:rFonts w:cstheme="minorHAnsi"/>
        </w:rPr>
        <w:t>]</w:t>
      </w:r>
      <w:r w:rsidRPr="003C4312">
        <w:rPr>
          <w:rFonts w:cstheme="minorHAnsi"/>
        </w:rPr>
        <w:t xml:space="preserve"> </w:t>
      </w:r>
    </w:p>
  </w:footnote>
  <w:footnote w:id="51">
    <w:p w14:paraId="0AC2ABD6" w14:textId="03D99885" w:rsidR="008122FC" w:rsidRPr="001E4C8C" w:rsidRDefault="008122FC" w:rsidP="00D36980">
      <w:pPr>
        <w:pStyle w:val="FootnoteText"/>
        <w:rPr>
          <w:rFonts w:cstheme="minorHAnsi"/>
        </w:rPr>
      </w:pPr>
      <w:r w:rsidRPr="003C4312">
        <w:rPr>
          <w:rStyle w:val="FootnoteReference"/>
          <w:rFonts w:cstheme="minorHAnsi"/>
        </w:rPr>
        <w:footnoteRef/>
      </w:r>
      <w:r w:rsidRPr="003C4312">
        <w:rPr>
          <w:rFonts w:cstheme="minorHAnsi"/>
        </w:rPr>
        <w:t xml:space="preserve"> </w:t>
      </w:r>
      <w:r w:rsidR="000C04A3" w:rsidRPr="000C04A3">
        <w:rPr>
          <w:rFonts w:cstheme="minorHAnsi"/>
        </w:rPr>
        <w:t xml:space="preserve">C Budd, </w:t>
      </w:r>
      <w:r w:rsidR="000C04A3" w:rsidRPr="000C04A3">
        <w:rPr>
          <w:rFonts w:cstheme="minorHAnsi"/>
          <w:i/>
        </w:rPr>
        <w:t>Advice in practice Understanding the effects of integrating advice in primary care settings</w:t>
      </w:r>
      <w:r w:rsidR="000C04A3" w:rsidRPr="000C04A3">
        <w:rPr>
          <w:rFonts w:cstheme="minorHAnsi"/>
        </w:rPr>
        <w:t xml:space="preserve"> (Citizens Advice and Royal College of General Practitioners</w:t>
      </w:r>
      <w:r w:rsidR="00C12084">
        <w:rPr>
          <w:rFonts w:cstheme="minorHAnsi"/>
        </w:rPr>
        <w:t xml:space="preserve"> 2018) </w:t>
      </w:r>
      <w:r w:rsidR="000C04A3" w:rsidRPr="000C04A3">
        <w:rPr>
          <w:rFonts w:cstheme="minorHAnsi"/>
        </w:rPr>
        <w:t>10</w:t>
      </w:r>
      <w:r w:rsidR="000C04A3" w:rsidRPr="003461DF">
        <w:rPr>
          <w:rFonts w:cstheme="minorHAnsi"/>
        </w:rPr>
        <w:t xml:space="preserve"> </w:t>
      </w:r>
      <w:r w:rsidR="005A5CB0">
        <w:rPr>
          <w:rFonts w:cstheme="minorHAnsi"/>
        </w:rPr>
        <w:t>at</w:t>
      </w:r>
      <w:r w:rsidR="001E4C8C">
        <w:rPr>
          <w:rFonts w:cstheme="minorHAnsi"/>
        </w:rPr>
        <w:t xml:space="preserve"> </w:t>
      </w:r>
      <w:r w:rsidR="000C04A3" w:rsidRPr="003461DF">
        <w:rPr>
          <w:rFonts w:cstheme="minorHAnsi"/>
        </w:rPr>
        <w:t>https://www.citizensadvice.org.uk/global/public/impact/understanding%20the%20effects%20of%20advice%20in%20primary%20care%20settings_research%20report%20%28final%29.pdf</w:t>
      </w:r>
      <w:r w:rsidR="005A5CB0">
        <w:rPr>
          <w:rFonts w:cstheme="minorHAnsi"/>
        </w:rPr>
        <w:t xml:space="preserve"> [</w:t>
      </w:r>
      <w:r w:rsidR="005A5CB0">
        <w:t>accessed 11 January 2021]</w:t>
      </w:r>
    </w:p>
  </w:footnote>
  <w:footnote w:id="52">
    <w:p w14:paraId="05DE05FA" w14:textId="075BECC5" w:rsidR="000C04A3" w:rsidRPr="000C04A3" w:rsidRDefault="000C04A3" w:rsidP="00B42B8F">
      <w:pPr>
        <w:spacing w:after="0"/>
        <w:rPr>
          <w:rFonts w:cstheme="minorHAnsi"/>
        </w:rPr>
      </w:pPr>
      <w:r w:rsidRPr="000C04A3">
        <w:rPr>
          <w:rStyle w:val="FootnoteReference"/>
          <w:sz w:val="20"/>
          <w:szCs w:val="20"/>
        </w:rPr>
        <w:footnoteRef/>
      </w:r>
      <w:r w:rsidRPr="000C04A3">
        <w:rPr>
          <w:sz w:val="20"/>
          <w:szCs w:val="20"/>
        </w:rPr>
        <w:t xml:space="preserve"> </w:t>
      </w:r>
      <w:r w:rsidRPr="000C04A3">
        <w:rPr>
          <w:rFonts w:cstheme="minorHAnsi"/>
          <w:sz w:val="20"/>
          <w:szCs w:val="20"/>
        </w:rPr>
        <w:t xml:space="preserve">The issue of referral fatigue is a well-recognised phenomenon: P Pleasence, A Buck, N Balmer, A O’Grady, H Genn and M Smith, </w:t>
      </w:r>
      <w:r w:rsidRPr="000C04A3">
        <w:rPr>
          <w:rFonts w:cstheme="minorHAnsi"/>
          <w:i/>
          <w:sz w:val="20"/>
          <w:szCs w:val="20"/>
        </w:rPr>
        <w:t>Causes of Action: Civil Law and Social Justice</w:t>
      </w:r>
      <w:r w:rsidRPr="000C04A3">
        <w:rPr>
          <w:rFonts w:cstheme="minorHAnsi"/>
          <w:sz w:val="20"/>
          <w:szCs w:val="20"/>
        </w:rPr>
        <w:t xml:space="preserve"> (The Stationery Office 2004) 77</w:t>
      </w:r>
    </w:p>
  </w:footnote>
  <w:footnote w:id="53">
    <w:p w14:paraId="6946F047" w14:textId="1D62476D" w:rsidR="008122FC" w:rsidRPr="003461DF" w:rsidRDefault="008122FC" w:rsidP="008122FC">
      <w:pPr>
        <w:pStyle w:val="FootnoteText"/>
        <w:rPr>
          <w:rFonts w:cstheme="minorHAnsi"/>
        </w:rPr>
      </w:pPr>
      <w:r w:rsidRPr="000C04A3">
        <w:rPr>
          <w:rStyle w:val="FootnoteReference"/>
          <w:rFonts w:cstheme="minorHAnsi"/>
        </w:rPr>
        <w:footnoteRef/>
      </w:r>
      <w:r w:rsidR="000C04A3" w:rsidRPr="000C04A3">
        <w:rPr>
          <w:rFonts w:cstheme="minorHAnsi"/>
        </w:rPr>
        <w:t xml:space="preserve"> </w:t>
      </w:r>
      <w:r w:rsidR="000C04A3" w:rsidRPr="000C04A3">
        <w:t xml:space="preserve">G McKeever, M Simpson, C Fitzpatrick, </w:t>
      </w:r>
      <w:r w:rsidR="000C04A3" w:rsidRPr="000C04A3">
        <w:rPr>
          <w:i/>
        </w:rPr>
        <w:t>Destitution and paths to justice</w:t>
      </w:r>
      <w:r w:rsidR="000C04A3" w:rsidRPr="000C04A3">
        <w:t xml:space="preserve">: </w:t>
      </w:r>
      <w:r w:rsidR="000C04A3" w:rsidRPr="00B42B8F">
        <w:rPr>
          <w:i/>
        </w:rPr>
        <w:t>Final report</w:t>
      </w:r>
      <w:r w:rsidR="000C04A3" w:rsidRPr="000C04A3">
        <w:t>, (</w:t>
      </w:r>
      <w:r w:rsidR="000C04A3">
        <w:t>The Legal Education Foundation and the Joseph Rowntree Foundation</w:t>
      </w:r>
      <w:r w:rsidR="000C04A3" w:rsidRPr="000C04A3">
        <w:t xml:space="preserve">, 2018) </w:t>
      </w:r>
      <w:r w:rsidRPr="000C04A3">
        <w:rPr>
          <w:rFonts w:cstheme="minorHAnsi"/>
        </w:rPr>
        <w:t xml:space="preserve"> </w:t>
      </w:r>
    </w:p>
  </w:footnote>
  <w:footnote w:id="54">
    <w:p w14:paraId="617CD531" w14:textId="077F83A5" w:rsidR="008122FC" w:rsidRPr="003C4312" w:rsidRDefault="008122FC" w:rsidP="008122FC">
      <w:pPr>
        <w:pStyle w:val="FootnoteText"/>
        <w:rPr>
          <w:rFonts w:cstheme="minorHAnsi"/>
        </w:rPr>
      </w:pPr>
      <w:r w:rsidRPr="000C04A3">
        <w:rPr>
          <w:rStyle w:val="FootnoteReference"/>
          <w:rFonts w:cstheme="minorHAnsi"/>
        </w:rPr>
        <w:footnoteRef/>
      </w:r>
      <w:r w:rsidRPr="000C04A3">
        <w:rPr>
          <w:rFonts w:cstheme="minorHAnsi"/>
        </w:rPr>
        <w:t xml:space="preserve"> Advice Services Alliance and The Low Commission, </w:t>
      </w:r>
      <w:r w:rsidRPr="000C04A3">
        <w:rPr>
          <w:rFonts w:cstheme="minorHAnsi"/>
          <w:i/>
        </w:rPr>
        <w:t>The Role of Advice Services in</w:t>
      </w:r>
      <w:r w:rsidRPr="003C4312">
        <w:rPr>
          <w:rFonts w:cstheme="minorHAnsi"/>
          <w:i/>
        </w:rPr>
        <w:t xml:space="preserve"> Health Outcomes: Evidence Review and Mapping Study</w:t>
      </w:r>
      <w:r w:rsidRPr="003C4312">
        <w:rPr>
          <w:rFonts w:cstheme="minorHAnsi"/>
        </w:rPr>
        <w:t xml:space="preserve"> (June 2015)</w:t>
      </w:r>
      <w:r w:rsidR="005A5CB0">
        <w:rPr>
          <w:rFonts w:cstheme="minorHAnsi"/>
        </w:rPr>
        <w:t xml:space="preserve"> at</w:t>
      </w:r>
      <w:r w:rsidRPr="003C4312">
        <w:rPr>
          <w:rFonts w:cstheme="minorHAnsi"/>
        </w:rPr>
        <w:t xml:space="preserve"> </w:t>
      </w:r>
      <w:hyperlink r:id="rId30" w:history="1">
        <w:r w:rsidR="005A5CB0" w:rsidRPr="005A5CB0">
          <w:rPr>
            <w:rStyle w:val="Hyperlink"/>
            <w:rFonts w:cstheme="minorHAnsi"/>
          </w:rPr>
          <w:t>https://www.thelegaleducationfoundation.org/wp-content/uploads/2015/06/Role-of-Advice-Services-in-Health-Outcomes.pdf</w:t>
        </w:r>
      </w:hyperlink>
      <w:r w:rsidRPr="003C4312">
        <w:rPr>
          <w:rFonts w:cstheme="minorHAnsi"/>
        </w:rPr>
        <w:t xml:space="preserve"> </w:t>
      </w:r>
      <w:r w:rsidR="005A5CB0">
        <w:rPr>
          <w:rFonts w:cstheme="minorHAnsi"/>
        </w:rPr>
        <w:t>[</w:t>
      </w:r>
      <w:r w:rsidRPr="003C4312">
        <w:rPr>
          <w:rFonts w:cstheme="minorHAnsi"/>
        </w:rPr>
        <w:t>accessed 14 October 2020</w:t>
      </w:r>
      <w:r w:rsidR="005A5CB0">
        <w:rPr>
          <w:rFonts w:cstheme="minorHAnsi"/>
        </w:rPr>
        <w:t>]</w:t>
      </w:r>
    </w:p>
  </w:footnote>
  <w:footnote w:id="55">
    <w:p w14:paraId="0D0BAD3E" w14:textId="220F40A1"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A04822" w:rsidRPr="00A04822">
        <w:rPr>
          <w:rFonts w:cstheme="minorHAnsi"/>
        </w:rPr>
        <w:t xml:space="preserve">R </w:t>
      </w:r>
      <w:proofErr w:type="spellStart"/>
      <w:r w:rsidR="00A04822" w:rsidRPr="00A04822">
        <w:rPr>
          <w:rFonts w:cstheme="minorHAnsi"/>
        </w:rPr>
        <w:t>Loopstra</w:t>
      </w:r>
      <w:proofErr w:type="spellEnd"/>
      <w:r w:rsidR="00A04822" w:rsidRPr="00A04822">
        <w:rPr>
          <w:rFonts w:cstheme="minorHAnsi"/>
        </w:rPr>
        <w:t xml:space="preserve">, </w:t>
      </w:r>
      <w:r w:rsidR="00C12084">
        <w:rPr>
          <w:rFonts w:cstheme="minorHAnsi"/>
        </w:rPr>
        <w:t>“</w:t>
      </w:r>
      <w:r w:rsidR="00A04822" w:rsidRPr="00A04822">
        <w:rPr>
          <w:rFonts w:cstheme="minorHAnsi"/>
        </w:rPr>
        <w:t>Rising foodbank use in the UK: Sign of a New Public Health Emergency?</w:t>
      </w:r>
      <w:r w:rsidR="00C12084">
        <w:rPr>
          <w:rFonts w:cstheme="minorHAnsi"/>
        </w:rPr>
        <w:t>”</w:t>
      </w:r>
      <w:r w:rsidR="00A04822" w:rsidRPr="00A04822">
        <w:rPr>
          <w:rFonts w:cstheme="minorHAnsi"/>
        </w:rPr>
        <w:t xml:space="preserve"> (2018) 43</w:t>
      </w:r>
      <w:r w:rsidR="00C12084">
        <w:rPr>
          <w:rFonts w:cstheme="minorHAnsi"/>
        </w:rPr>
        <w:t xml:space="preserve"> (1)</w:t>
      </w:r>
      <w:r w:rsidR="00A04822" w:rsidRPr="00A04822">
        <w:rPr>
          <w:rFonts w:cstheme="minorHAnsi"/>
        </w:rPr>
        <w:t xml:space="preserve"> </w:t>
      </w:r>
      <w:r w:rsidR="00A04822" w:rsidRPr="00A04822">
        <w:rPr>
          <w:rFonts w:cstheme="minorHAnsi"/>
          <w:i/>
        </w:rPr>
        <w:t xml:space="preserve">Nutrition Bulletin </w:t>
      </w:r>
      <w:r w:rsidR="00C12084">
        <w:rPr>
          <w:rFonts w:cstheme="minorHAnsi"/>
        </w:rPr>
        <w:t>53</w:t>
      </w:r>
      <w:r w:rsidR="00A04822" w:rsidRPr="00A04822">
        <w:rPr>
          <w:rFonts w:cstheme="minorHAnsi"/>
        </w:rPr>
        <w:t>.</w:t>
      </w:r>
    </w:p>
  </w:footnote>
  <w:footnote w:id="56">
    <w:p w14:paraId="1401E158" w14:textId="57E1AA22"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Legal Services Board, </w:t>
      </w:r>
      <w:r w:rsidRPr="003C4312">
        <w:rPr>
          <w:rFonts w:cstheme="minorHAnsi"/>
          <w:i/>
        </w:rPr>
        <w:t>Reshaping Legal Services to Meet People’s Needs: An Analysis of Legal Capability</w:t>
      </w:r>
      <w:r w:rsidRPr="003C4312">
        <w:rPr>
          <w:rFonts w:cstheme="minorHAnsi"/>
        </w:rPr>
        <w:t xml:space="preserve"> (2020)</w:t>
      </w:r>
      <w:r w:rsidR="005A5CB0">
        <w:rPr>
          <w:rFonts w:cstheme="minorHAnsi"/>
        </w:rPr>
        <w:t xml:space="preserve"> at</w:t>
      </w:r>
      <w:r w:rsidRPr="003C4312">
        <w:rPr>
          <w:rFonts w:cstheme="minorHAnsi"/>
        </w:rPr>
        <w:t xml:space="preserve"> </w:t>
      </w:r>
      <w:hyperlink r:id="rId31" w:history="1">
        <w:r w:rsidR="005A5CB0" w:rsidRPr="005A5CB0">
          <w:rPr>
            <w:rStyle w:val="Hyperlink"/>
            <w:rFonts w:cstheme="minorHAnsi"/>
          </w:rPr>
          <w:t>https://www.legalservicesboard.org.uk/wp-content/uploads/2020/02/PLE-Reshaping-Legal-Services.pdf</w:t>
        </w:r>
      </w:hyperlink>
      <w:r w:rsidRPr="003C4312">
        <w:rPr>
          <w:rFonts w:cstheme="minorHAnsi"/>
        </w:rPr>
        <w:t xml:space="preserve"> </w:t>
      </w:r>
      <w:r w:rsidR="005A5CB0">
        <w:rPr>
          <w:rFonts w:cstheme="minorHAnsi"/>
        </w:rPr>
        <w:t>[</w:t>
      </w:r>
      <w:r w:rsidRPr="003C4312">
        <w:rPr>
          <w:rFonts w:cstheme="minorHAnsi"/>
        </w:rPr>
        <w:t>accessed 16 October 2020</w:t>
      </w:r>
      <w:r w:rsidR="005A5CB0">
        <w:rPr>
          <w:rFonts w:cstheme="minorHAnsi"/>
        </w:rPr>
        <w:t>]</w:t>
      </w:r>
    </w:p>
  </w:footnote>
  <w:footnote w:id="57">
    <w:p w14:paraId="272E9AD4" w14:textId="30AD4A6D"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H Genn, </w:t>
      </w:r>
      <w:r w:rsidR="006B1805">
        <w:rPr>
          <w:rFonts w:cstheme="minorHAnsi"/>
        </w:rPr>
        <w:t>“</w:t>
      </w:r>
      <w:r w:rsidRPr="003C4312">
        <w:rPr>
          <w:rFonts w:cstheme="minorHAnsi"/>
        </w:rPr>
        <w:t>When Law Is Good for Your Health: Mitigating the Social Determinants of Health Through Access to Justice</w:t>
      </w:r>
      <w:r w:rsidR="006B1805">
        <w:rPr>
          <w:rFonts w:cstheme="minorHAnsi"/>
        </w:rPr>
        <w:t>”</w:t>
      </w:r>
      <w:r w:rsidRPr="003C4312">
        <w:rPr>
          <w:rFonts w:cstheme="minorHAnsi"/>
        </w:rPr>
        <w:t xml:space="preserve"> 72 </w:t>
      </w:r>
      <w:r w:rsidRPr="003C4312">
        <w:rPr>
          <w:rFonts w:cstheme="minorHAnsi"/>
          <w:i/>
          <w:iCs/>
        </w:rPr>
        <w:t>Current Legal Problems</w:t>
      </w:r>
      <w:r w:rsidRPr="003C4312">
        <w:rPr>
          <w:rFonts w:cstheme="minorHAnsi"/>
        </w:rPr>
        <w:t xml:space="preserve"> 159, 185-6.</w:t>
      </w:r>
    </w:p>
  </w:footnote>
  <w:footnote w:id="58">
    <w:p w14:paraId="41F670C9" w14:textId="5DEBAA87"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A04822" w:rsidRPr="00A04822">
        <w:rPr>
          <w:rFonts w:cstheme="minorHAnsi"/>
        </w:rPr>
        <w:t xml:space="preserve">P Pleasence, N Balmer, and C Denvir, </w:t>
      </w:r>
      <w:r w:rsidR="006B1805">
        <w:rPr>
          <w:rFonts w:cstheme="minorHAnsi"/>
        </w:rPr>
        <w:t>“</w:t>
      </w:r>
      <w:r w:rsidR="00A04822" w:rsidRPr="00A04822">
        <w:rPr>
          <w:rFonts w:cstheme="minorHAnsi"/>
        </w:rPr>
        <w:t>Wrong about Rights: Public Knowledge of Key Areas of Consumer, Housing and Employment Law in England and Wales</w:t>
      </w:r>
      <w:r w:rsidR="006B1805">
        <w:rPr>
          <w:rFonts w:cstheme="minorHAnsi"/>
        </w:rPr>
        <w:t>”</w:t>
      </w:r>
      <w:r w:rsidR="006B1805" w:rsidRPr="006B1805">
        <w:rPr>
          <w:rFonts w:cstheme="minorHAnsi"/>
          <w:bCs/>
          <w:sz w:val="22"/>
          <w:szCs w:val="22"/>
        </w:rPr>
        <w:t xml:space="preserve"> </w:t>
      </w:r>
      <w:r w:rsidR="006B1805" w:rsidRPr="006B1805">
        <w:rPr>
          <w:rFonts w:cstheme="minorHAnsi"/>
          <w:bCs/>
        </w:rPr>
        <w:t>(2017) 80</w:t>
      </w:r>
      <w:r w:rsidR="00EF119F">
        <w:rPr>
          <w:rFonts w:cstheme="minorHAnsi"/>
          <w:bCs/>
        </w:rPr>
        <w:t xml:space="preserve"> </w:t>
      </w:r>
      <w:r w:rsidR="006B1805" w:rsidRPr="006B1805">
        <w:rPr>
          <w:rFonts w:cstheme="minorHAnsi"/>
          <w:bCs/>
        </w:rPr>
        <w:t>(5)</w:t>
      </w:r>
      <w:r w:rsidR="00A04822" w:rsidRPr="00A04822">
        <w:rPr>
          <w:rFonts w:cstheme="minorHAnsi"/>
        </w:rPr>
        <w:t xml:space="preserve"> Modern Law Review </w:t>
      </w:r>
      <w:r w:rsidR="006B1805">
        <w:rPr>
          <w:rFonts w:cstheme="minorHAnsi"/>
        </w:rPr>
        <w:t>836.</w:t>
      </w:r>
    </w:p>
  </w:footnote>
  <w:footnote w:id="59">
    <w:p w14:paraId="2651AA95" w14:textId="13CBED0F"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A04822" w:rsidRPr="00A04822">
        <w:rPr>
          <w:rFonts w:cstheme="minorHAnsi"/>
        </w:rPr>
        <w:t xml:space="preserve">Advice Services Alliance and The Low Commission, </w:t>
      </w:r>
      <w:r w:rsidR="00A04822" w:rsidRPr="00A04822">
        <w:rPr>
          <w:rFonts w:cstheme="minorHAnsi"/>
          <w:i/>
        </w:rPr>
        <w:t>The Role of Advice Services in Health Outcomes: Evidence Review and Mapping Study</w:t>
      </w:r>
      <w:r w:rsidR="00A04822" w:rsidRPr="00A04822">
        <w:rPr>
          <w:rFonts w:cstheme="minorHAnsi"/>
        </w:rPr>
        <w:t xml:space="preserve"> (June 2015), at 9</w:t>
      </w:r>
      <w:r w:rsidR="005A5CB0">
        <w:rPr>
          <w:rFonts w:cstheme="minorHAnsi"/>
        </w:rPr>
        <w:t>, a</w:t>
      </w:r>
      <w:r w:rsidR="001E4C8C">
        <w:rPr>
          <w:rFonts w:cstheme="minorHAnsi"/>
        </w:rPr>
        <w:t xml:space="preserve">t </w:t>
      </w:r>
      <w:hyperlink r:id="rId32" w:history="1">
        <w:r w:rsidR="005A5CB0" w:rsidRPr="005A5CB0">
          <w:rPr>
            <w:rStyle w:val="Hyperlink"/>
            <w:rFonts w:cstheme="minorHAnsi"/>
          </w:rPr>
          <w:t>https://www.thelegaleducationfoundation.org/wp-content/uploads/2015/06/Role-of-Advice-Services-in-Health-Outcomes.pdf</w:t>
        </w:r>
      </w:hyperlink>
      <w:r w:rsidR="005A5CB0">
        <w:rPr>
          <w:rFonts w:cstheme="minorHAnsi"/>
        </w:rPr>
        <w:t xml:space="preserve"> [</w:t>
      </w:r>
      <w:r w:rsidR="00A04822" w:rsidRPr="00A04822">
        <w:rPr>
          <w:rFonts w:cstheme="minorHAnsi"/>
        </w:rPr>
        <w:t>accessed 14 October 2020</w:t>
      </w:r>
      <w:r w:rsidR="005A5CB0">
        <w:rPr>
          <w:rFonts w:cstheme="minorHAnsi"/>
        </w:rPr>
        <w:t>]</w:t>
      </w:r>
    </w:p>
  </w:footnote>
  <w:footnote w:id="60">
    <w:p w14:paraId="2609EE9F" w14:textId="1845286F"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A04822" w:rsidRPr="00A04822">
        <w:rPr>
          <w:rFonts w:cstheme="minorHAnsi"/>
        </w:rPr>
        <w:t xml:space="preserve">S Moffatt, M White, R Stacy, D Downey, E Hudson, </w:t>
      </w:r>
      <w:r w:rsidR="006B1805">
        <w:rPr>
          <w:rFonts w:cstheme="minorHAnsi"/>
        </w:rPr>
        <w:t>“</w:t>
      </w:r>
      <w:r w:rsidR="00A04822" w:rsidRPr="00A04822">
        <w:rPr>
          <w:rFonts w:cstheme="minorHAnsi"/>
          <w:bCs/>
        </w:rPr>
        <w:t>The impact of welfare advice in primary care: a qualitative study</w:t>
      </w:r>
      <w:r w:rsidR="006B1805">
        <w:rPr>
          <w:rFonts w:cstheme="minorHAnsi"/>
          <w:bCs/>
        </w:rPr>
        <w:t>”</w:t>
      </w:r>
      <w:r w:rsidR="00A04822" w:rsidRPr="00A04822">
        <w:rPr>
          <w:rFonts w:cstheme="minorHAnsi"/>
          <w:bCs/>
          <w:i/>
        </w:rPr>
        <w:t xml:space="preserve"> </w:t>
      </w:r>
      <w:r w:rsidR="00A04822" w:rsidRPr="00A04822">
        <w:rPr>
          <w:rFonts w:cstheme="minorHAnsi"/>
        </w:rPr>
        <w:t>(2004) 14</w:t>
      </w:r>
      <w:r w:rsidR="006B1805">
        <w:rPr>
          <w:rFonts w:cstheme="minorHAnsi"/>
        </w:rPr>
        <w:t xml:space="preserve"> (3)</w:t>
      </w:r>
      <w:r w:rsidR="00A04822" w:rsidRPr="00A04822">
        <w:rPr>
          <w:rFonts w:cstheme="minorHAnsi"/>
        </w:rPr>
        <w:t xml:space="preserve"> </w:t>
      </w:r>
      <w:r w:rsidR="00A04822" w:rsidRPr="00A04822">
        <w:rPr>
          <w:rFonts w:cstheme="minorHAnsi"/>
          <w:i/>
        </w:rPr>
        <w:t>Critical Public Health</w:t>
      </w:r>
      <w:r w:rsidR="00A04822" w:rsidRPr="00A04822">
        <w:rPr>
          <w:rFonts w:cstheme="minorHAnsi"/>
        </w:rPr>
        <w:t xml:space="preserve"> </w:t>
      </w:r>
      <w:r w:rsidR="006B1805">
        <w:rPr>
          <w:rFonts w:cstheme="minorHAnsi"/>
        </w:rPr>
        <w:t>295</w:t>
      </w:r>
      <w:r w:rsidR="00A04822" w:rsidRPr="00A04822">
        <w:rPr>
          <w:rFonts w:cstheme="minorHAnsi"/>
        </w:rPr>
        <w:t xml:space="preserve">; S Abbot, L Hobby, S Cotter, </w:t>
      </w:r>
      <w:r w:rsidR="006B1805">
        <w:rPr>
          <w:rFonts w:cstheme="minorHAnsi"/>
        </w:rPr>
        <w:t>”</w:t>
      </w:r>
      <w:r w:rsidR="00A04822" w:rsidRPr="00A04822">
        <w:rPr>
          <w:rFonts w:cstheme="minorHAnsi"/>
        </w:rPr>
        <w:t>What is the impact on individual health of services in general practice settings which offer welfare benefits advice?</w:t>
      </w:r>
      <w:r w:rsidR="006B1805">
        <w:rPr>
          <w:rFonts w:cstheme="minorHAnsi"/>
        </w:rPr>
        <w:t>”</w:t>
      </w:r>
      <w:r w:rsidR="00A04822" w:rsidRPr="00A04822">
        <w:rPr>
          <w:rFonts w:cstheme="minorHAnsi"/>
        </w:rPr>
        <w:t xml:space="preserve"> (2006) 14</w:t>
      </w:r>
      <w:r w:rsidR="006B1805">
        <w:rPr>
          <w:rFonts w:cstheme="minorHAnsi"/>
        </w:rPr>
        <w:t xml:space="preserve"> (1)</w:t>
      </w:r>
      <w:r w:rsidR="00A04822" w:rsidRPr="00A04822">
        <w:rPr>
          <w:rFonts w:cstheme="minorHAnsi"/>
        </w:rPr>
        <w:t xml:space="preserve"> </w:t>
      </w:r>
      <w:r w:rsidR="00A04822" w:rsidRPr="00A04822">
        <w:rPr>
          <w:rFonts w:cstheme="minorHAnsi"/>
          <w:i/>
        </w:rPr>
        <w:t xml:space="preserve">Health Soc Care Community </w:t>
      </w:r>
      <w:r w:rsidR="006B1805">
        <w:rPr>
          <w:rFonts w:cstheme="minorHAnsi"/>
        </w:rPr>
        <w:t>1</w:t>
      </w:r>
      <w:bookmarkStart w:id="0" w:name="_GoBack"/>
      <w:bookmarkEnd w:id="0"/>
      <w:proofErr w:type="gramStart"/>
      <w:r w:rsidR="00A04822" w:rsidRPr="00A04822">
        <w:rPr>
          <w:rFonts w:cstheme="minorHAnsi"/>
        </w:rPr>
        <w:t>;</w:t>
      </w:r>
      <w:proofErr w:type="gramEnd"/>
      <w:r w:rsidR="00A04822" w:rsidRPr="00A04822">
        <w:rPr>
          <w:rFonts w:cstheme="minorHAnsi"/>
        </w:rPr>
        <w:t xml:space="preserve"> C </w:t>
      </w:r>
      <w:proofErr w:type="spellStart"/>
      <w:r w:rsidR="00A04822" w:rsidRPr="00A04822">
        <w:rPr>
          <w:rFonts w:cstheme="minorHAnsi"/>
        </w:rPr>
        <w:t>Woodhead</w:t>
      </w:r>
      <w:proofErr w:type="spellEnd"/>
      <w:r w:rsidR="00A04822" w:rsidRPr="00A04822">
        <w:rPr>
          <w:rFonts w:cstheme="minorHAnsi"/>
        </w:rPr>
        <w:t xml:space="preserve">, H Collins, R Lomas, R Raine, </w:t>
      </w:r>
      <w:r w:rsidR="00626A8C">
        <w:rPr>
          <w:rFonts w:cstheme="minorHAnsi"/>
        </w:rPr>
        <w:t>“</w:t>
      </w:r>
      <w:r w:rsidR="00A04822" w:rsidRPr="00A04822">
        <w:rPr>
          <w:rFonts w:cstheme="minorHAnsi"/>
        </w:rPr>
        <w:t>Co-located welfare advice in general practice: A realist qualitative study</w:t>
      </w:r>
      <w:r w:rsidR="006B1805">
        <w:rPr>
          <w:rFonts w:cstheme="minorHAnsi"/>
        </w:rPr>
        <w:t>”</w:t>
      </w:r>
      <w:r w:rsidR="00A04822" w:rsidRPr="00A04822">
        <w:rPr>
          <w:rFonts w:cstheme="minorHAnsi"/>
        </w:rPr>
        <w:t xml:space="preserve"> (2017) 25</w:t>
      </w:r>
      <w:r w:rsidR="006B1805">
        <w:rPr>
          <w:rFonts w:cstheme="minorHAnsi"/>
        </w:rPr>
        <w:t xml:space="preserve"> (6)</w:t>
      </w:r>
      <w:r w:rsidR="00A04822" w:rsidRPr="00A04822">
        <w:rPr>
          <w:rFonts w:cstheme="minorHAnsi"/>
        </w:rPr>
        <w:t xml:space="preserve"> </w:t>
      </w:r>
      <w:r w:rsidR="00A04822" w:rsidRPr="00A04822">
        <w:rPr>
          <w:rFonts w:cstheme="minorHAnsi"/>
          <w:i/>
        </w:rPr>
        <w:t xml:space="preserve">Health and Social Care </w:t>
      </w:r>
      <w:r w:rsidR="006B1805">
        <w:rPr>
          <w:rFonts w:cstheme="minorHAnsi"/>
        </w:rPr>
        <w:t>1794</w:t>
      </w:r>
      <w:r w:rsidRPr="003C4312">
        <w:rPr>
          <w:rFonts w:cstheme="minorHAnsi"/>
        </w:rPr>
        <w:t>.</w:t>
      </w:r>
    </w:p>
  </w:footnote>
  <w:footnote w:id="61">
    <w:p w14:paraId="66141117" w14:textId="176877C3"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1E4C8C" w:rsidRPr="001E4C8C">
        <w:rPr>
          <w:rFonts w:cstheme="minorHAnsi"/>
        </w:rPr>
        <w:t xml:space="preserve">H Genn, “When Law Is Good for Your Health: Mitigating the Social Determinants of Health Through Access to Justice” 72 </w:t>
      </w:r>
      <w:r w:rsidR="001E4C8C" w:rsidRPr="001E4C8C">
        <w:rPr>
          <w:rFonts w:cstheme="minorHAnsi"/>
          <w:i/>
          <w:iCs/>
        </w:rPr>
        <w:t>Current Legal Problems</w:t>
      </w:r>
      <w:r w:rsidR="001E4C8C">
        <w:rPr>
          <w:rFonts w:cstheme="minorHAnsi"/>
        </w:rPr>
        <w:t xml:space="preserve"> 159.</w:t>
      </w:r>
    </w:p>
  </w:footnote>
  <w:footnote w:id="62">
    <w:p w14:paraId="2AE09C90" w14:textId="7FBD722A" w:rsidR="008122FC" w:rsidRPr="003C4312" w:rsidRDefault="008122FC" w:rsidP="008122FC">
      <w:pPr>
        <w:pStyle w:val="FootnoteText"/>
        <w:rPr>
          <w:rFonts w:cstheme="minorHAnsi"/>
        </w:rPr>
      </w:pPr>
      <w:r w:rsidRPr="003C4312">
        <w:rPr>
          <w:rStyle w:val="FootnoteReference"/>
          <w:rFonts w:cstheme="minorHAnsi"/>
        </w:rPr>
        <w:footnoteRef/>
      </w:r>
      <w:r w:rsidRPr="003C4312">
        <w:rPr>
          <w:rFonts w:cstheme="minorHAnsi"/>
        </w:rPr>
        <w:t xml:space="preserve">  </w:t>
      </w:r>
      <w:r w:rsidR="00A04822" w:rsidRPr="00A04822">
        <w:rPr>
          <w:rFonts w:cstheme="minorHAnsi"/>
        </w:rPr>
        <w:t xml:space="preserve">Legal Services Board, </w:t>
      </w:r>
      <w:r w:rsidR="00A04822" w:rsidRPr="00A04822">
        <w:rPr>
          <w:rFonts w:cstheme="minorHAnsi"/>
          <w:i/>
        </w:rPr>
        <w:t>Reshaping Legal Services to Meet People’s Needs: An Analysis of Legal Capability</w:t>
      </w:r>
      <w:r w:rsidR="00A04822" w:rsidRPr="00A04822">
        <w:rPr>
          <w:rFonts w:cstheme="minorHAnsi"/>
        </w:rPr>
        <w:t xml:space="preserve"> (2020) </w:t>
      </w:r>
      <w:r w:rsidR="005A5CB0">
        <w:rPr>
          <w:rFonts w:cstheme="minorHAnsi"/>
        </w:rPr>
        <w:t>at</w:t>
      </w:r>
      <w:r w:rsidR="00A04822" w:rsidRPr="00A04822">
        <w:rPr>
          <w:rFonts w:cstheme="minorHAnsi"/>
        </w:rPr>
        <w:t xml:space="preserve"> </w:t>
      </w:r>
      <w:hyperlink r:id="rId33" w:history="1">
        <w:r w:rsidR="005A5CB0" w:rsidRPr="005A5CB0">
          <w:rPr>
            <w:rStyle w:val="Hyperlink"/>
            <w:rFonts w:cstheme="minorHAnsi"/>
          </w:rPr>
          <w:t>https://www.legalservicesboard.org.uk/wp-content/uploads/2020/02/PLE-Reshaping-Legal-Services.pdf</w:t>
        </w:r>
      </w:hyperlink>
      <w:r w:rsidR="00A04822" w:rsidRPr="00A04822">
        <w:rPr>
          <w:rFonts w:cstheme="minorHAnsi"/>
        </w:rPr>
        <w:t xml:space="preserve"> </w:t>
      </w:r>
      <w:r w:rsidR="005A5CB0">
        <w:rPr>
          <w:rFonts w:cstheme="minorHAnsi"/>
        </w:rPr>
        <w:t>[</w:t>
      </w:r>
      <w:r w:rsidR="00A04822" w:rsidRPr="00A04822">
        <w:rPr>
          <w:rFonts w:cstheme="minorHAnsi"/>
        </w:rPr>
        <w:t>accessed 16 October 2020</w:t>
      </w:r>
      <w:r w:rsidR="005A5CB0">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8CE"/>
    <w:multiLevelType w:val="multilevel"/>
    <w:tmpl w:val="806E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E5669"/>
    <w:multiLevelType w:val="hybridMultilevel"/>
    <w:tmpl w:val="3CCCAFF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8DA5195"/>
    <w:multiLevelType w:val="multilevel"/>
    <w:tmpl w:val="F044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8"/>
    <w:rsid w:val="0000474A"/>
    <w:rsid w:val="000206BE"/>
    <w:rsid w:val="00021BB8"/>
    <w:rsid w:val="000273DD"/>
    <w:rsid w:val="00036209"/>
    <w:rsid w:val="00044451"/>
    <w:rsid w:val="000475DB"/>
    <w:rsid w:val="00050438"/>
    <w:rsid w:val="0006312D"/>
    <w:rsid w:val="0006559B"/>
    <w:rsid w:val="00092994"/>
    <w:rsid w:val="00093C9A"/>
    <w:rsid w:val="000B295C"/>
    <w:rsid w:val="000B52FD"/>
    <w:rsid w:val="000C04A3"/>
    <w:rsid w:val="000E5F33"/>
    <w:rsid w:val="000F11BF"/>
    <w:rsid w:val="000FAFFA"/>
    <w:rsid w:val="00111636"/>
    <w:rsid w:val="001140EF"/>
    <w:rsid w:val="00127735"/>
    <w:rsid w:val="00140175"/>
    <w:rsid w:val="00151498"/>
    <w:rsid w:val="00173ABB"/>
    <w:rsid w:val="0017432E"/>
    <w:rsid w:val="0018702B"/>
    <w:rsid w:val="001B36A2"/>
    <w:rsid w:val="001C6624"/>
    <w:rsid w:val="001C7EA4"/>
    <w:rsid w:val="001D67C2"/>
    <w:rsid w:val="001E4C8C"/>
    <w:rsid w:val="00223ED5"/>
    <w:rsid w:val="002316F6"/>
    <w:rsid w:val="002526E7"/>
    <w:rsid w:val="00253360"/>
    <w:rsid w:val="00264623"/>
    <w:rsid w:val="00271557"/>
    <w:rsid w:val="00274A12"/>
    <w:rsid w:val="0029716F"/>
    <w:rsid w:val="002C6C6A"/>
    <w:rsid w:val="002E08DD"/>
    <w:rsid w:val="002E5D87"/>
    <w:rsid w:val="002EF2AD"/>
    <w:rsid w:val="00300C61"/>
    <w:rsid w:val="003015EF"/>
    <w:rsid w:val="0032462D"/>
    <w:rsid w:val="00343FA3"/>
    <w:rsid w:val="003461DF"/>
    <w:rsid w:val="00346FF9"/>
    <w:rsid w:val="003508FB"/>
    <w:rsid w:val="00361642"/>
    <w:rsid w:val="00372241"/>
    <w:rsid w:val="00374580"/>
    <w:rsid w:val="00377603"/>
    <w:rsid w:val="00382161"/>
    <w:rsid w:val="00385E2B"/>
    <w:rsid w:val="003931DC"/>
    <w:rsid w:val="00394B08"/>
    <w:rsid w:val="003A7C95"/>
    <w:rsid w:val="003A7CCD"/>
    <w:rsid w:val="003B3C60"/>
    <w:rsid w:val="003C0892"/>
    <w:rsid w:val="003C4312"/>
    <w:rsid w:val="003D20E8"/>
    <w:rsid w:val="003D2B64"/>
    <w:rsid w:val="003D61C7"/>
    <w:rsid w:val="004012CD"/>
    <w:rsid w:val="004058DE"/>
    <w:rsid w:val="00406EC5"/>
    <w:rsid w:val="00421B8D"/>
    <w:rsid w:val="00434B96"/>
    <w:rsid w:val="00441D03"/>
    <w:rsid w:val="00442E95"/>
    <w:rsid w:val="00444DD9"/>
    <w:rsid w:val="00460EB4"/>
    <w:rsid w:val="00465AC7"/>
    <w:rsid w:val="00495B99"/>
    <w:rsid w:val="004C04FE"/>
    <w:rsid w:val="004D0BB7"/>
    <w:rsid w:val="004E04D9"/>
    <w:rsid w:val="0053643C"/>
    <w:rsid w:val="005404B0"/>
    <w:rsid w:val="00574E91"/>
    <w:rsid w:val="00583B86"/>
    <w:rsid w:val="00585134"/>
    <w:rsid w:val="00593978"/>
    <w:rsid w:val="00597EF5"/>
    <w:rsid w:val="005A5CB0"/>
    <w:rsid w:val="005AE380"/>
    <w:rsid w:val="005B023C"/>
    <w:rsid w:val="005E4690"/>
    <w:rsid w:val="005F0FF5"/>
    <w:rsid w:val="00626A8C"/>
    <w:rsid w:val="00627AB7"/>
    <w:rsid w:val="0062A02B"/>
    <w:rsid w:val="00647F1D"/>
    <w:rsid w:val="00657808"/>
    <w:rsid w:val="00661CD6"/>
    <w:rsid w:val="00670FED"/>
    <w:rsid w:val="00675E19"/>
    <w:rsid w:val="006776CC"/>
    <w:rsid w:val="00691373"/>
    <w:rsid w:val="006A3C52"/>
    <w:rsid w:val="006A7C2D"/>
    <w:rsid w:val="006B1805"/>
    <w:rsid w:val="006B18A0"/>
    <w:rsid w:val="006C1BAB"/>
    <w:rsid w:val="006D26B1"/>
    <w:rsid w:val="006D4A08"/>
    <w:rsid w:val="00703884"/>
    <w:rsid w:val="00705910"/>
    <w:rsid w:val="00724640"/>
    <w:rsid w:val="0072678B"/>
    <w:rsid w:val="00771FFF"/>
    <w:rsid w:val="0078531C"/>
    <w:rsid w:val="007973BD"/>
    <w:rsid w:val="007A038F"/>
    <w:rsid w:val="007B328B"/>
    <w:rsid w:val="007B4701"/>
    <w:rsid w:val="007E1ABC"/>
    <w:rsid w:val="007E6BEB"/>
    <w:rsid w:val="007F0882"/>
    <w:rsid w:val="007F455D"/>
    <w:rsid w:val="008122FC"/>
    <w:rsid w:val="00826D50"/>
    <w:rsid w:val="0084081B"/>
    <w:rsid w:val="00842564"/>
    <w:rsid w:val="008547FC"/>
    <w:rsid w:val="00862B58"/>
    <w:rsid w:val="00865A2D"/>
    <w:rsid w:val="00866BA8"/>
    <w:rsid w:val="00867E06"/>
    <w:rsid w:val="008703BA"/>
    <w:rsid w:val="00871CC0"/>
    <w:rsid w:val="008801B2"/>
    <w:rsid w:val="00885319"/>
    <w:rsid w:val="00890360"/>
    <w:rsid w:val="00892B65"/>
    <w:rsid w:val="008C59AA"/>
    <w:rsid w:val="008E094B"/>
    <w:rsid w:val="008F4A12"/>
    <w:rsid w:val="00900E91"/>
    <w:rsid w:val="009017A6"/>
    <w:rsid w:val="00901E4D"/>
    <w:rsid w:val="00910C66"/>
    <w:rsid w:val="00922156"/>
    <w:rsid w:val="009839E7"/>
    <w:rsid w:val="009F0468"/>
    <w:rsid w:val="00A04822"/>
    <w:rsid w:val="00A74E94"/>
    <w:rsid w:val="00A80F27"/>
    <w:rsid w:val="00A8510D"/>
    <w:rsid w:val="00A91B55"/>
    <w:rsid w:val="00AA2C58"/>
    <w:rsid w:val="00AB3215"/>
    <w:rsid w:val="00AC3526"/>
    <w:rsid w:val="00AD16B2"/>
    <w:rsid w:val="00AD64FB"/>
    <w:rsid w:val="00AF5993"/>
    <w:rsid w:val="00B155F4"/>
    <w:rsid w:val="00B179FE"/>
    <w:rsid w:val="00B24B6E"/>
    <w:rsid w:val="00B42B8F"/>
    <w:rsid w:val="00B43F1E"/>
    <w:rsid w:val="00B53CCA"/>
    <w:rsid w:val="00B545C7"/>
    <w:rsid w:val="00B64615"/>
    <w:rsid w:val="00B80625"/>
    <w:rsid w:val="00B82FDC"/>
    <w:rsid w:val="00B93A2E"/>
    <w:rsid w:val="00BA0E3F"/>
    <w:rsid w:val="00BA6BAC"/>
    <w:rsid w:val="00BB7E9E"/>
    <w:rsid w:val="00BC4D45"/>
    <w:rsid w:val="00BD3145"/>
    <w:rsid w:val="00BD438E"/>
    <w:rsid w:val="00BDD19F"/>
    <w:rsid w:val="00BE16B6"/>
    <w:rsid w:val="00C02BEA"/>
    <w:rsid w:val="00C12084"/>
    <w:rsid w:val="00C3084A"/>
    <w:rsid w:val="00C3AAF7"/>
    <w:rsid w:val="00C47EC2"/>
    <w:rsid w:val="00C507A6"/>
    <w:rsid w:val="00C5705C"/>
    <w:rsid w:val="00C84CE9"/>
    <w:rsid w:val="00C9AC20"/>
    <w:rsid w:val="00CA1260"/>
    <w:rsid w:val="00CB6280"/>
    <w:rsid w:val="00CD31F2"/>
    <w:rsid w:val="00D21EB9"/>
    <w:rsid w:val="00D25EA5"/>
    <w:rsid w:val="00D36980"/>
    <w:rsid w:val="00D41A4A"/>
    <w:rsid w:val="00D4739B"/>
    <w:rsid w:val="00D51F0F"/>
    <w:rsid w:val="00D55ABE"/>
    <w:rsid w:val="00D63135"/>
    <w:rsid w:val="00D6C6A5"/>
    <w:rsid w:val="00D72F12"/>
    <w:rsid w:val="00D8291C"/>
    <w:rsid w:val="00DA6FB8"/>
    <w:rsid w:val="00DB7186"/>
    <w:rsid w:val="00DC2065"/>
    <w:rsid w:val="00DC46B2"/>
    <w:rsid w:val="00E01E5D"/>
    <w:rsid w:val="00E131A7"/>
    <w:rsid w:val="00E24D23"/>
    <w:rsid w:val="00E44C67"/>
    <w:rsid w:val="00E510A9"/>
    <w:rsid w:val="00E51751"/>
    <w:rsid w:val="00E6929B"/>
    <w:rsid w:val="00E9494B"/>
    <w:rsid w:val="00EB4285"/>
    <w:rsid w:val="00ED3B45"/>
    <w:rsid w:val="00ED7680"/>
    <w:rsid w:val="00EE32EA"/>
    <w:rsid w:val="00EF119F"/>
    <w:rsid w:val="00EF442B"/>
    <w:rsid w:val="00EF66A6"/>
    <w:rsid w:val="00F1274F"/>
    <w:rsid w:val="00F147A0"/>
    <w:rsid w:val="00F22FE2"/>
    <w:rsid w:val="00F24208"/>
    <w:rsid w:val="00F30C1E"/>
    <w:rsid w:val="00F3687E"/>
    <w:rsid w:val="00F45CAE"/>
    <w:rsid w:val="00F65776"/>
    <w:rsid w:val="00F66A71"/>
    <w:rsid w:val="00F728B5"/>
    <w:rsid w:val="00F7403E"/>
    <w:rsid w:val="00F943AF"/>
    <w:rsid w:val="00FA4F2C"/>
    <w:rsid w:val="00FA7E32"/>
    <w:rsid w:val="00FF3C36"/>
    <w:rsid w:val="0117CE38"/>
    <w:rsid w:val="012428FC"/>
    <w:rsid w:val="0127673F"/>
    <w:rsid w:val="012C02F1"/>
    <w:rsid w:val="0140F6E9"/>
    <w:rsid w:val="014A6FD1"/>
    <w:rsid w:val="015BABAA"/>
    <w:rsid w:val="0177C979"/>
    <w:rsid w:val="017E3EDD"/>
    <w:rsid w:val="017EC47C"/>
    <w:rsid w:val="018036F4"/>
    <w:rsid w:val="01DA67D7"/>
    <w:rsid w:val="01F00FD0"/>
    <w:rsid w:val="01FF53BA"/>
    <w:rsid w:val="0200AE95"/>
    <w:rsid w:val="02185B16"/>
    <w:rsid w:val="02729706"/>
    <w:rsid w:val="0277D8DF"/>
    <w:rsid w:val="02CEF60E"/>
    <w:rsid w:val="02DE43C0"/>
    <w:rsid w:val="02E70B96"/>
    <w:rsid w:val="0309D05F"/>
    <w:rsid w:val="0338B199"/>
    <w:rsid w:val="038CF81D"/>
    <w:rsid w:val="03BC6E09"/>
    <w:rsid w:val="03D95D31"/>
    <w:rsid w:val="03FF1C4A"/>
    <w:rsid w:val="040E09CF"/>
    <w:rsid w:val="040E506F"/>
    <w:rsid w:val="043E2DD2"/>
    <w:rsid w:val="044405D3"/>
    <w:rsid w:val="048B5233"/>
    <w:rsid w:val="048B6D87"/>
    <w:rsid w:val="048F44CF"/>
    <w:rsid w:val="049D3CE1"/>
    <w:rsid w:val="049DE716"/>
    <w:rsid w:val="04BFC53C"/>
    <w:rsid w:val="04DAA9B1"/>
    <w:rsid w:val="04DFA596"/>
    <w:rsid w:val="04F9303D"/>
    <w:rsid w:val="04FA764A"/>
    <w:rsid w:val="050CD96C"/>
    <w:rsid w:val="051F6003"/>
    <w:rsid w:val="05446524"/>
    <w:rsid w:val="054738BB"/>
    <w:rsid w:val="0592724C"/>
    <w:rsid w:val="0593C3D7"/>
    <w:rsid w:val="05944299"/>
    <w:rsid w:val="05A269D8"/>
    <w:rsid w:val="05C7B16E"/>
    <w:rsid w:val="05DF867C"/>
    <w:rsid w:val="0608C4FA"/>
    <w:rsid w:val="0619B953"/>
    <w:rsid w:val="061A011C"/>
    <w:rsid w:val="062B1530"/>
    <w:rsid w:val="06314894"/>
    <w:rsid w:val="06474B0B"/>
    <w:rsid w:val="0665FBE0"/>
    <w:rsid w:val="067C0AAB"/>
    <w:rsid w:val="06B8411A"/>
    <w:rsid w:val="07099163"/>
    <w:rsid w:val="073FCDB7"/>
    <w:rsid w:val="0754AE75"/>
    <w:rsid w:val="076381CF"/>
    <w:rsid w:val="077B56DD"/>
    <w:rsid w:val="0793E53A"/>
    <w:rsid w:val="07AAAB1E"/>
    <w:rsid w:val="07B19E67"/>
    <w:rsid w:val="07C4711B"/>
    <w:rsid w:val="07DBE762"/>
    <w:rsid w:val="07DEFDDD"/>
    <w:rsid w:val="07EE5A0D"/>
    <w:rsid w:val="08044A0C"/>
    <w:rsid w:val="083FB472"/>
    <w:rsid w:val="0848AA2E"/>
    <w:rsid w:val="088B6049"/>
    <w:rsid w:val="08C42A54"/>
    <w:rsid w:val="08D6FBD0"/>
    <w:rsid w:val="08D87C23"/>
    <w:rsid w:val="08E33B6B"/>
    <w:rsid w:val="08EAE412"/>
    <w:rsid w:val="09092862"/>
    <w:rsid w:val="09233ECF"/>
    <w:rsid w:val="0943ED6C"/>
    <w:rsid w:val="0947D46E"/>
    <w:rsid w:val="095FC2F4"/>
    <w:rsid w:val="097BDE4F"/>
    <w:rsid w:val="097CE1CA"/>
    <w:rsid w:val="098D8FDF"/>
    <w:rsid w:val="09AA3CB0"/>
    <w:rsid w:val="09CBD01B"/>
    <w:rsid w:val="09DB3C75"/>
    <w:rsid w:val="09F2981D"/>
    <w:rsid w:val="0A0BA7EB"/>
    <w:rsid w:val="0A1F3A72"/>
    <w:rsid w:val="0A44CE6F"/>
    <w:rsid w:val="0A496B90"/>
    <w:rsid w:val="0A7D773A"/>
    <w:rsid w:val="0A9276A0"/>
    <w:rsid w:val="0A9F7E91"/>
    <w:rsid w:val="0AC30345"/>
    <w:rsid w:val="0AD6DEA1"/>
    <w:rsid w:val="0AD9DA1C"/>
    <w:rsid w:val="0AE3A4CF"/>
    <w:rsid w:val="0AF203EB"/>
    <w:rsid w:val="0AFD967A"/>
    <w:rsid w:val="0B2560F7"/>
    <w:rsid w:val="0B3AEA52"/>
    <w:rsid w:val="0B42FD09"/>
    <w:rsid w:val="0B489C41"/>
    <w:rsid w:val="0BB6605A"/>
    <w:rsid w:val="0BB94129"/>
    <w:rsid w:val="0BFE2C06"/>
    <w:rsid w:val="0C2284D4"/>
    <w:rsid w:val="0C294A80"/>
    <w:rsid w:val="0C51F213"/>
    <w:rsid w:val="0C7A0947"/>
    <w:rsid w:val="0C7F7530"/>
    <w:rsid w:val="0C8E74A4"/>
    <w:rsid w:val="0CC729F4"/>
    <w:rsid w:val="0CCAD721"/>
    <w:rsid w:val="0CE448F3"/>
    <w:rsid w:val="0CF72F12"/>
    <w:rsid w:val="0D0A7BD3"/>
    <w:rsid w:val="0D4D6EF1"/>
    <w:rsid w:val="0D5F4735"/>
    <w:rsid w:val="0D63F67D"/>
    <w:rsid w:val="0D85A62B"/>
    <w:rsid w:val="0D9CB187"/>
    <w:rsid w:val="0DEAF98C"/>
    <w:rsid w:val="0DF6ACB8"/>
    <w:rsid w:val="0E1DFBD2"/>
    <w:rsid w:val="0E678082"/>
    <w:rsid w:val="0E94847D"/>
    <w:rsid w:val="0EA94616"/>
    <w:rsid w:val="0EB21828"/>
    <w:rsid w:val="0EB96FDB"/>
    <w:rsid w:val="0F2BB524"/>
    <w:rsid w:val="0F495794"/>
    <w:rsid w:val="0F5CF930"/>
    <w:rsid w:val="0F6ED11D"/>
    <w:rsid w:val="0F78F944"/>
    <w:rsid w:val="0FF817AB"/>
    <w:rsid w:val="101A1526"/>
    <w:rsid w:val="1024C62B"/>
    <w:rsid w:val="102D8035"/>
    <w:rsid w:val="103D28F1"/>
    <w:rsid w:val="1042666E"/>
    <w:rsid w:val="1056EBBE"/>
    <w:rsid w:val="107F94D5"/>
    <w:rsid w:val="107FBB5B"/>
    <w:rsid w:val="10991C72"/>
    <w:rsid w:val="10B4389D"/>
    <w:rsid w:val="10D672FA"/>
    <w:rsid w:val="10EEEC47"/>
    <w:rsid w:val="111FA96D"/>
    <w:rsid w:val="112ADA56"/>
    <w:rsid w:val="112B5BFB"/>
    <w:rsid w:val="114520F0"/>
    <w:rsid w:val="11894745"/>
    <w:rsid w:val="11B04676"/>
    <w:rsid w:val="11C95096"/>
    <w:rsid w:val="122D5A1C"/>
    <w:rsid w:val="124DB43D"/>
    <w:rsid w:val="128C90C1"/>
    <w:rsid w:val="12BBD003"/>
    <w:rsid w:val="12D7CD1A"/>
    <w:rsid w:val="12E7FB4E"/>
    <w:rsid w:val="12F97F78"/>
    <w:rsid w:val="12F9EBB6"/>
    <w:rsid w:val="12FFFD53"/>
    <w:rsid w:val="1306ECEB"/>
    <w:rsid w:val="1319AFDF"/>
    <w:rsid w:val="133C045A"/>
    <w:rsid w:val="135E2A67"/>
    <w:rsid w:val="136520F7"/>
    <w:rsid w:val="13FE8ACE"/>
    <w:rsid w:val="140B193B"/>
    <w:rsid w:val="140EBCD3"/>
    <w:rsid w:val="14340687"/>
    <w:rsid w:val="145F5D97"/>
    <w:rsid w:val="14632831"/>
    <w:rsid w:val="1464BDE3"/>
    <w:rsid w:val="14782C8A"/>
    <w:rsid w:val="1497455B"/>
    <w:rsid w:val="14A3E402"/>
    <w:rsid w:val="14C62C7B"/>
    <w:rsid w:val="14F728AA"/>
    <w:rsid w:val="14F9FAC8"/>
    <w:rsid w:val="1518879A"/>
    <w:rsid w:val="15201C17"/>
    <w:rsid w:val="15269411"/>
    <w:rsid w:val="152F6841"/>
    <w:rsid w:val="1541FEF8"/>
    <w:rsid w:val="15525863"/>
    <w:rsid w:val="1561A7C5"/>
    <w:rsid w:val="159FFAC4"/>
    <w:rsid w:val="15C75ACD"/>
    <w:rsid w:val="15CFE57C"/>
    <w:rsid w:val="15E6755B"/>
    <w:rsid w:val="161B9CD1"/>
    <w:rsid w:val="162139AD"/>
    <w:rsid w:val="162139B7"/>
    <w:rsid w:val="16492680"/>
    <w:rsid w:val="165A31C6"/>
    <w:rsid w:val="1673A51C"/>
    <w:rsid w:val="1682336D"/>
    <w:rsid w:val="1692F90B"/>
    <w:rsid w:val="169AF628"/>
    <w:rsid w:val="16B77F99"/>
    <w:rsid w:val="16D242D5"/>
    <w:rsid w:val="16DDA74D"/>
    <w:rsid w:val="1734FBED"/>
    <w:rsid w:val="17446677"/>
    <w:rsid w:val="1745B802"/>
    <w:rsid w:val="175ABD12"/>
    <w:rsid w:val="175AF2B6"/>
    <w:rsid w:val="17694598"/>
    <w:rsid w:val="176AD160"/>
    <w:rsid w:val="179C2888"/>
    <w:rsid w:val="17CB3E37"/>
    <w:rsid w:val="17D019FF"/>
    <w:rsid w:val="17F904D5"/>
    <w:rsid w:val="18023096"/>
    <w:rsid w:val="1803F18A"/>
    <w:rsid w:val="181D36CF"/>
    <w:rsid w:val="181F1FE4"/>
    <w:rsid w:val="1838296A"/>
    <w:rsid w:val="18608BAE"/>
    <w:rsid w:val="18660152"/>
    <w:rsid w:val="186EF001"/>
    <w:rsid w:val="188BDC3A"/>
    <w:rsid w:val="188E715B"/>
    <w:rsid w:val="1890DC22"/>
    <w:rsid w:val="1893F080"/>
    <w:rsid w:val="18AA1CEA"/>
    <w:rsid w:val="18B4CAD3"/>
    <w:rsid w:val="18D5B87C"/>
    <w:rsid w:val="18EC4CED"/>
    <w:rsid w:val="18F20B15"/>
    <w:rsid w:val="18F5A08F"/>
    <w:rsid w:val="18F67748"/>
    <w:rsid w:val="18F694DF"/>
    <w:rsid w:val="1908DD1C"/>
    <w:rsid w:val="190E9026"/>
    <w:rsid w:val="193267EC"/>
    <w:rsid w:val="193DBD73"/>
    <w:rsid w:val="194FD8FC"/>
    <w:rsid w:val="1951DCC2"/>
    <w:rsid w:val="1954C477"/>
    <w:rsid w:val="19673B01"/>
    <w:rsid w:val="196A1223"/>
    <w:rsid w:val="19A7FE1F"/>
    <w:rsid w:val="19ADEC82"/>
    <w:rsid w:val="19D43B81"/>
    <w:rsid w:val="19DABDE6"/>
    <w:rsid w:val="19DB9B98"/>
    <w:rsid w:val="1A4099E4"/>
    <w:rsid w:val="1A925DD4"/>
    <w:rsid w:val="1AA07742"/>
    <w:rsid w:val="1AB150C0"/>
    <w:rsid w:val="1ABD7038"/>
    <w:rsid w:val="1AC2645D"/>
    <w:rsid w:val="1AC5AE55"/>
    <w:rsid w:val="1AEBA95D"/>
    <w:rsid w:val="1AF3A79D"/>
    <w:rsid w:val="1B0977CC"/>
    <w:rsid w:val="1B0A6C54"/>
    <w:rsid w:val="1B2D53B8"/>
    <w:rsid w:val="1B2F3359"/>
    <w:rsid w:val="1B30492B"/>
    <w:rsid w:val="1B45F8DD"/>
    <w:rsid w:val="1B46016A"/>
    <w:rsid w:val="1B48565B"/>
    <w:rsid w:val="1B7E3341"/>
    <w:rsid w:val="1B860655"/>
    <w:rsid w:val="1B94D54F"/>
    <w:rsid w:val="1BB4F88F"/>
    <w:rsid w:val="1C1098B2"/>
    <w:rsid w:val="1C1C2EED"/>
    <w:rsid w:val="1C2116AB"/>
    <w:rsid w:val="1C291917"/>
    <w:rsid w:val="1C37A553"/>
    <w:rsid w:val="1C52ECCE"/>
    <w:rsid w:val="1C78DC08"/>
    <w:rsid w:val="1C9C95D6"/>
    <w:rsid w:val="1CBE3EC0"/>
    <w:rsid w:val="1CEB8DE8"/>
    <w:rsid w:val="1CFB34CD"/>
    <w:rsid w:val="1D028220"/>
    <w:rsid w:val="1D23997F"/>
    <w:rsid w:val="1D345309"/>
    <w:rsid w:val="1D3A95D2"/>
    <w:rsid w:val="1D3BC93B"/>
    <w:rsid w:val="1DCC6613"/>
    <w:rsid w:val="1E0458BC"/>
    <w:rsid w:val="1E04F660"/>
    <w:rsid w:val="1E1AF73F"/>
    <w:rsid w:val="1E4E4C49"/>
    <w:rsid w:val="1E63808C"/>
    <w:rsid w:val="1E7E73C6"/>
    <w:rsid w:val="1EA0DD0E"/>
    <w:rsid w:val="1EA6080D"/>
    <w:rsid w:val="1EA64183"/>
    <w:rsid w:val="1EAC1D6B"/>
    <w:rsid w:val="1EAF1395"/>
    <w:rsid w:val="1EB234FA"/>
    <w:rsid w:val="1EBB9B1D"/>
    <w:rsid w:val="1EF02F12"/>
    <w:rsid w:val="1EFE9CDC"/>
    <w:rsid w:val="1F10B34E"/>
    <w:rsid w:val="1F1A71A9"/>
    <w:rsid w:val="1F25A952"/>
    <w:rsid w:val="1F2D9352"/>
    <w:rsid w:val="1F2F36BE"/>
    <w:rsid w:val="1F3C1FC2"/>
    <w:rsid w:val="1F4C82AA"/>
    <w:rsid w:val="1F61944F"/>
    <w:rsid w:val="1F644EA4"/>
    <w:rsid w:val="1F73014F"/>
    <w:rsid w:val="1F7D4ABF"/>
    <w:rsid w:val="1F8C9D75"/>
    <w:rsid w:val="1F91B214"/>
    <w:rsid w:val="1FA5C5D2"/>
    <w:rsid w:val="1FC3604E"/>
    <w:rsid w:val="1FCA7791"/>
    <w:rsid w:val="1FCE9A81"/>
    <w:rsid w:val="1FCEF656"/>
    <w:rsid w:val="1FFEA464"/>
    <w:rsid w:val="20359C8C"/>
    <w:rsid w:val="2059A433"/>
    <w:rsid w:val="207D5A35"/>
    <w:rsid w:val="20919B3F"/>
    <w:rsid w:val="20AFDB68"/>
    <w:rsid w:val="20B159F9"/>
    <w:rsid w:val="21079CEB"/>
    <w:rsid w:val="210ED1B0"/>
    <w:rsid w:val="211CAC7A"/>
    <w:rsid w:val="211EBC6A"/>
    <w:rsid w:val="214A6736"/>
    <w:rsid w:val="214D95E1"/>
    <w:rsid w:val="21663CFE"/>
    <w:rsid w:val="217C133D"/>
    <w:rsid w:val="21B94D54"/>
    <w:rsid w:val="21D72AF6"/>
    <w:rsid w:val="21DDE245"/>
    <w:rsid w:val="21E6BBCD"/>
    <w:rsid w:val="21F3EFE4"/>
    <w:rsid w:val="21F6C17E"/>
    <w:rsid w:val="21FFDCB4"/>
    <w:rsid w:val="22064E8B"/>
    <w:rsid w:val="224BABC9"/>
    <w:rsid w:val="225C8F20"/>
    <w:rsid w:val="22642617"/>
    <w:rsid w:val="2276EB55"/>
    <w:rsid w:val="22875FFF"/>
    <w:rsid w:val="2290582F"/>
    <w:rsid w:val="229BEF66"/>
    <w:rsid w:val="22A36D4C"/>
    <w:rsid w:val="22BD2BE8"/>
    <w:rsid w:val="22C96B6B"/>
    <w:rsid w:val="22CDD675"/>
    <w:rsid w:val="22D0FDEB"/>
    <w:rsid w:val="22D410F5"/>
    <w:rsid w:val="22E29D21"/>
    <w:rsid w:val="22FAAA9E"/>
    <w:rsid w:val="2300A68B"/>
    <w:rsid w:val="23291694"/>
    <w:rsid w:val="2339B756"/>
    <w:rsid w:val="23478E18"/>
    <w:rsid w:val="234FD22A"/>
    <w:rsid w:val="2355B968"/>
    <w:rsid w:val="2373E8B5"/>
    <w:rsid w:val="23744E31"/>
    <w:rsid w:val="239FFC5D"/>
    <w:rsid w:val="23A9C335"/>
    <w:rsid w:val="23ADEA55"/>
    <w:rsid w:val="23AEDAD2"/>
    <w:rsid w:val="240C18ED"/>
    <w:rsid w:val="242154C8"/>
    <w:rsid w:val="24349F8C"/>
    <w:rsid w:val="2437BFC7"/>
    <w:rsid w:val="2454C5FD"/>
    <w:rsid w:val="2469A6D6"/>
    <w:rsid w:val="248340ED"/>
    <w:rsid w:val="2497A24F"/>
    <w:rsid w:val="2498F5AF"/>
    <w:rsid w:val="249C76EC"/>
    <w:rsid w:val="24A961B3"/>
    <w:rsid w:val="2505C1EA"/>
    <w:rsid w:val="25170681"/>
    <w:rsid w:val="251D708D"/>
    <w:rsid w:val="2538DF9A"/>
    <w:rsid w:val="254FD76D"/>
    <w:rsid w:val="2580D8F2"/>
    <w:rsid w:val="25953720"/>
    <w:rsid w:val="25981432"/>
    <w:rsid w:val="25A94977"/>
    <w:rsid w:val="25AC1C28"/>
    <w:rsid w:val="25BA67CB"/>
    <w:rsid w:val="25BE9967"/>
    <w:rsid w:val="25BF37DD"/>
    <w:rsid w:val="25C9CBDC"/>
    <w:rsid w:val="25D5C765"/>
    <w:rsid w:val="25DD0D3C"/>
    <w:rsid w:val="25DF657E"/>
    <w:rsid w:val="25FA20CF"/>
    <w:rsid w:val="262E2829"/>
    <w:rsid w:val="26410004"/>
    <w:rsid w:val="26440F64"/>
    <w:rsid w:val="26639B26"/>
    <w:rsid w:val="269682B4"/>
    <w:rsid w:val="26A55ECE"/>
    <w:rsid w:val="26F3E77E"/>
    <w:rsid w:val="270BDB30"/>
    <w:rsid w:val="27158EAF"/>
    <w:rsid w:val="271E2741"/>
    <w:rsid w:val="271F00ED"/>
    <w:rsid w:val="27310781"/>
    <w:rsid w:val="27347114"/>
    <w:rsid w:val="27421A7B"/>
    <w:rsid w:val="274D2EDD"/>
    <w:rsid w:val="276346B3"/>
    <w:rsid w:val="2763E12C"/>
    <w:rsid w:val="276F6A92"/>
    <w:rsid w:val="279B7F02"/>
    <w:rsid w:val="27A2D658"/>
    <w:rsid w:val="27B8AECF"/>
    <w:rsid w:val="27D160FF"/>
    <w:rsid w:val="27D53B0B"/>
    <w:rsid w:val="27DBFEAC"/>
    <w:rsid w:val="27E13061"/>
    <w:rsid w:val="27E7A94B"/>
    <w:rsid w:val="27EFCAF2"/>
    <w:rsid w:val="2812B90E"/>
    <w:rsid w:val="2815E7A3"/>
    <w:rsid w:val="283D306D"/>
    <w:rsid w:val="2844FA03"/>
    <w:rsid w:val="284800DD"/>
    <w:rsid w:val="28517E60"/>
    <w:rsid w:val="28583D63"/>
    <w:rsid w:val="2858C123"/>
    <w:rsid w:val="288590AE"/>
    <w:rsid w:val="28B1D1D2"/>
    <w:rsid w:val="28BD4588"/>
    <w:rsid w:val="28E5C787"/>
    <w:rsid w:val="28E95BB5"/>
    <w:rsid w:val="2901A801"/>
    <w:rsid w:val="29277196"/>
    <w:rsid w:val="296F38F0"/>
    <w:rsid w:val="29896F8E"/>
    <w:rsid w:val="298C26BD"/>
    <w:rsid w:val="29A7A309"/>
    <w:rsid w:val="29B516E2"/>
    <w:rsid w:val="29EE4448"/>
    <w:rsid w:val="29F0BA20"/>
    <w:rsid w:val="29F0E1B0"/>
    <w:rsid w:val="2A0C414C"/>
    <w:rsid w:val="2A4D3168"/>
    <w:rsid w:val="2A4F35A4"/>
    <w:rsid w:val="2A5F82CA"/>
    <w:rsid w:val="2A8518BB"/>
    <w:rsid w:val="2AA7014B"/>
    <w:rsid w:val="2AB2D6A1"/>
    <w:rsid w:val="2AB61CE6"/>
    <w:rsid w:val="2AFCEED6"/>
    <w:rsid w:val="2B149D8B"/>
    <w:rsid w:val="2B1D47E2"/>
    <w:rsid w:val="2B627D17"/>
    <w:rsid w:val="2B807E76"/>
    <w:rsid w:val="2B9A9363"/>
    <w:rsid w:val="2BD10C0A"/>
    <w:rsid w:val="2BE3D47C"/>
    <w:rsid w:val="2BF08A70"/>
    <w:rsid w:val="2C05687D"/>
    <w:rsid w:val="2C172FD2"/>
    <w:rsid w:val="2C1A0755"/>
    <w:rsid w:val="2C3F1FE6"/>
    <w:rsid w:val="2C4C7F3B"/>
    <w:rsid w:val="2C8448DA"/>
    <w:rsid w:val="2C8819FE"/>
    <w:rsid w:val="2CA4B2CC"/>
    <w:rsid w:val="2CBAA726"/>
    <w:rsid w:val="2CD1294E"/>
    <w:rsid w:val="2CD266FF"/>
    <w:rsid w:val="2CDF3468"/>
    <w:rsid w:val="2CF4903A"/>
    <w:rsid w:val="2D05C438"/>
    <w:rsid w:val="2D1253CD"/>
    <w:rsid w:val="2D1EEC95"/>
    <w:rsid w:val="2D288272"/>
    <w:rsid w:val="2D39BD49"/>
    <w:rsid w:val="2D5E4E9E"/>
    <w:rsid w:val="2DAE4BC5"/>
    <w:rsid w:val="2DB890EE"/>
    <w:rsid w:val="2DE0A9C9"/>
    <w:rsid w:val="2E20193B"/>
    <w:rsid w:val="2E251DF2"/>
    <w:rsid w:val="2E291D7B"/>
    <w:rsid w:val="2E39EF22"/>
    <w:rsid w:val="2E7367D0"/>
    <w:rsid w:val="2EEB5F86"/>
    <w:rsid w:val="2EF3A480"/>
    <w:rsid w:val="2EF40637"/>
    <w:rsid w:val="2EF9A1A0"/>
    <w:rsid w:val="2F3FE2D5"/>
    <w:rsid w:val="2F836F08"/>
    <w:rsid w:val="2F90EFF6"/>
    <w:rsid w:val="2F9229D2"/>
    <w:rsid w:val="2F95578C"/>
    <w:rsid w:val="2F99A4BD"/>
    <w:rsid w:val="2FC30B17"/>
    <w:rsid w:val="2FC857FC"/>
    <w:rsid w:val="2FD6132B"/>
    <w:rsid w:val="2FDE7A74"/>
    <w:rsid w:val="2FE3136A"/>
    <w:rsid w:val="300B3AFD"/>
    <w:rsid w:val="3049176A"/>
    <w:rsid w:val="30622274"/>
    <w:rsid w:val="3063BFAF"/>
    <w:rsid w:val="3085B263"/>
    <w:rsid w:val="308AC2D6"/>
    <w:rsid w:val="3097917D"/>
    <w:rsid w:val="30B4C45B"/>
    <w:rsid w:val="30C55FD8"/>
    <w:rsid w:val="30D62E53"/>
    <w:rsid w:val="30DF5318"/>
    <w:rsid w:val="30E0C726"/>
    <w:rsid w:val="3104D87C"/>
    <w:rsid w:val="31066DD1"/>
    <w:rsid w:val="3122A5C6"/>
    <w:rsid w:val="31432807"/>
    <w:rsid w:val="314AC30C"/>
    <w:rsid w:val="31542FFA"/>
    <w:rsid w:val="3168F4D4"/>
    <w:rsid w:val="316921B2"/>
    <w:rsid w:val="316EBC5E"/>
    <w:rsid w:val="318E8E03"/>
    <w:rsid w:val="3196AA67"/>
    <w:rsid w:val="319F919B"/>
    <w:rsid w:val="31ABED07"/>
    <w:rsid w:val="31C3D142"/>
    <w:rsid w:val="31DB05EE"/>
    <w:rsid w:val="31F839C6"/>
    <w:rsid w:val="32153218"/>
    <w:rsid w:val="32174676"/>
    <w:rsid w:val="32255E28"/>
    <w:rsid w:val="3239EDA3"/>
    <w:rsid w:val="325563E0"/>
    <w:rsid w:val="32591893"/>
    <w:rsid w:val="325C7EBE"/>
    <w:rsid w:val="328B223A"/>
    <w:rsid w:val="32C17E9C"/>
    <w:rsid w:val="32DDCBE5"/>
    <w:rsid w:val="32E77FF5"/>
    <w:rsid w:val="3301E8B9"/>
    <w:rsid w:val="330A8CBF"/>
    <w:rsid w:val="331761CD"/>
    <w:rsid w:val="33327AC8"/>
    <w:rsid w:val="3333CFCF"/>
    <w:rsid w:val="333BFD05"/>
    <w:rsid w:val="3342DBBF"/>
    <w:rsid w:val="33861ADB"/>
    <w:rsid w:val="338E5119"/>
    <w:rsid w:val="33994675"/>
    <w:rsid w:val="33A3D43E"/>
    <w:rsid w:val="33C340A9"/>
    <w:rsid w:val="33C4A0F8"/>
    <w:rsid w:val="33D695F2"/>
    <w:rsid w:val="34039573"/>
    <w:rsid w:val="3404F22D"/>
    <w:rsid w:val="3429D55C"/>
    <w:rsid w:val="343C171E"/>
    <w:rsid w:val="3440908A"/>
    <w:rsid w:val="344C2F95"/>
    <w:rsid w:val="34725E8C"/>
    <w:rsid w:val="34839963"/>
    <w:rsid w:val="34CC01EA"/>
    <w:rsid w:val="34F42194"/>
    <w:rsid w:val="34F57EE4"/>
    <w:rsid w:val="34FB7204"/>
    <w:rsid w:val="35008170"/>
    <w:rsid w:val="350BDEB9"/>
    <w:rsid w:val="3526E9C6"/>
    <w:rsid w:val="352BA555"/>
    <w:rsid w:val="3532D01C"/>
    <w:rsid w:val="3579E6B9"/>
    <w:rsid w:val="35840ACE"/>
    <w:rsid w:val="35850FC8"/>
    <w:rsid w:val="35A061BC"/>
    <w:rsid w:val="35CFB8E8"/>
    <w:rsid w:val="35F5B51C"/>
    <w:rsid w:val="36064167"/>
    <w:rsid w:val="36076AD2"/>
    <w:rsid w:val="3615D3E7"/>
    <w:rsid w:val="361AB000"/>
    <w:rsid w:val="361B9B01"/>
    <w:rsid w:val="3623063F"/>
    <w:rsid w:val="362C7D8F"/>
    <w:rsid w:val="36504777"/>
    <w:rsid w:val="36541190"/>
    <w:rsid w:val="3655CA42"/>
    <w:rsid w:val="36597FB3"/>
    <w:rsid w:val="3663D22D"/>
    <w:rsid w:val="36732E5A"/>
    <w:rsid w:val="367E8E9D"/>
    <w:rsid w:val="3680D7E6"/>
    <w:rsid w:val="36BAEB3A"/>
    <w:rsid w:val="36C4107A"/>
    <w:rsid w:val="36CC8DD2"/>
    <w:rsid w:val="36CFF074"/>
    <w:rsid w:val="36EAB799"/>
    <w:rsid w:val="36FA9C49"/>
    <w:rsid w:val="36FBC9BC"/>
    <w:rsid w:val="3701EA40"/>
    <w:rsid w:val="371A563F"/>
    <w:rsid w:val="372CC9D6"/>
    <w:rsid w:val="373EACCD"/>
    <w:rsid w:val="37512891"/>
    <w:rsid w:val="3754D630"/>
    <w:rsid w:val="3765618C"/>
    <w:rsid w:val="376B8949"/>
    <w:rsid w:val="376D9501"/>
    <w:rsid w:val="377BAD5E"/>
    <w:rsid w:val="37921628"/>
    <w:rsid w:val="37ABB481"/>
    <w:rsid w:val="37AFC6A7"/>
    <w:rsid w:val="37BC8352"/>
    <w:rsid w:val="3811E8E9"/>
    <w:rsid w:val="38374CB4"/>
    <w:rsid w:val="386E137C"/>
    <w:rsid w:val="386F6E4C"/>
    <w:rsid w:val="3882C768"/>
    <w:rsid w:val="38A9911A"/>
    <w:rsid w:val="38BFD640"/>
    <w:rsid w:val="38C63CE2"/>
    <w:rsid w:val="390856E3"/>
    <w:rsid w:val="391797C3"/>
    <w:rsid w:val="391BE1C8"/>
    <w:rsid w:val="3923AE8B"/>
    <w:rsid w:val="3933B5BA"/>
    <w:rsid w:val="39405D1F"/>
    <w:rsid w:val="39687F1D"/>
    <w:rsid w:val="396D9DA8"/>
    <w:rsid w:val="39852E60"/>
    <w:rsid w:val="3997ECC1"/>
    <w:rsid w:val="39B5BACA"/>
    <w:rsid w:val="39C7D615"/>
    <w:rsid w:val="39DE4E41"/>
    <w:rsid w:val="39E5A68A"/>
    <w:rsid w:val="39FFA5C4"/>
    <w:rsid w:val="3A29D70D"/>
    <w:rsid w:val="3A2E5E9D"/>
    <w:rsid w:val="3A4373D4"/>
    <w:rsid w:val="3A521DF4"/>
    <w:rsid w:val="3A814F10"/>
    <w:rsid w:val="3AC0B659"/>
    <w:rsid w:val="3AD9BDA8"/>
    <w:rsid w:val="3AF64A43"/>
    <w:rsid w:val="3AFFBB16"/>
    <w:rsid w:val="3B1A80A7"/>
    <w:rsid w:val="3B356D51"/>
    <w:rsid w:val="3B4A3ABB"/>
    <w:rsid w:val="3B70B14D"/>
    <w:rsid w:val="3B70D38C"/>
    <w:rsid w:val="3B730017"/>
    <w:rsid w:val="3B8176EB"/>
    <w:rsid w:val="3BCD91B6"/>
    <w:rsid w:val="3BCE617F"/>
    <w:rsid w:val="3BDFD511"/>
    <w:rsid w:val="3BE345F0"/>
    <w:rsid w:val="3C2B6660"/>
    <w:rsid w:val="3C3AD1DD"/>
    <w:rsid w:val="3C3F3818"/>
    <w:rsid w:val="3C9CBFF9"/>
    <w:rsid w:val="3CA98CC4"/>
    <w:rsid w:val="3D0ED078"/>
    <w:rsid w:val="3D1D474C"/>
    <w:rsid w:val="3D1DC725"/>
    <w:rsid w:val="3D27F8D5"/>
    <w:rsid w:val="3D32C92C"/>
    <w:rsid w:val="3DA9378E"/>
    <w:rsid w:val="3DD72BB5"/>
    <w:rsid w:val="3DE418D1"/>
    <w:rsid w:val="3DE468B6"/>
    <w:rsid w:val="3E022254"/>
    <w:rsid w:val="3E7A0504"/>
    <w:rsid w:val="3E876C05"/>
    <w:rsid w:val="3E9112B2"/>
    <w:rsid w:val="3EA48647"/>
    <w:rsid w:val="3EAD77DD"/>
    <w:rsid w:val="3EC4EABB"/>
    <w:rsid w:val="3EC5A8D7"/>
    <w:rsid w:val="3ED43DF6"/>
    <w:rsid w:val="3EEFD8B4"/>
    <w:rsid w:val="3F01477C"/>
    <w:rsid w:val="3F36946B"/>
    <w:rsid w:val="3F5F0CB9"/>
    <w:rsid w:val="3F6D1EFB"/>
    <w:rsid w:val="3F81FCBE"/>
    <w:rsid w:val="3FA8C1E1"/>
    <w:rsid w:val="3FC70B30"/>
    <w:rsid w:val="3FD1D60B"/>
    <w:rsid w:val="3FD70BA2"/>
    <w:rsid w:val="3FFA1011"/>
    <w:rsid w:val="4008DE74"/>
    <w:rsid w:val="40165214"/>
    <w:rsid w:val="402B85C4"/>
    <w:rsid w:val="4049483E"/>
    <w:rsid w:val="40496BAA"/>
    <w:rsid w:val="405E7B75"/>
    <w:rsid w:val="407FF77A"/>
    <w:rsid w:val="40811E23"/>
    <w:rsid w:val="40A08117"/>
    <w:rsid w:val="40A5D949"/>
    <w:rsid w:val="40B539B7"/>
    <w:rsid w:val="40B7E3B8"/>
    <w:rsid w:val="40BEDE02"/>
    <w:rsid w:val="40CFBEF1"/>
    <w:rsid w:val="40DDC293"/>
    <w:rsid w:val="40E3AB47"/>
    <w:rsid w:val="40E4C977"/>
    <w:rsid w:val="40FABEB5"/>
    <w:rsid w:val="41087230"/>
    <w:rsid w:val="41126B8F"/>
    <w:rsid w:val="4131CC2C"/>
    <w:rsid w:val="413F9F1D"/>
    <w:rsid w:val="4161BABC"/>
    <w:rsid w:val="416F9438"/>
    <w:rsid w:val="41788CD9"/>
    <w:rsid w:val="4180E1C7"/>
    <w:rsid w:val="419E852F"/>
    <w:rsid w:val="41A1D9E5"/>
    <w:rsid w:val="41A5421F"/>
    <w:rsid w:val="41D372BD"/>
    <w:rsid w:val="41D91BAC"/>
    <w:rsid w:val="41E33180"/>
    <w:rsid w:val="41FD8DCB"/>
    <w:rsid w:val="4212B1CF"/>
    <w:rsid w:val="421DBD0B"/>
    <w:rsid w:val="423CB701"/>
    <w:rsid w:val="42458913"/>
    <w:rsid w:val="42459089"/>
    <w:rsid w:val="424DF1D8"/>
    <w:rsid w:val="42507481"/>
    <w:rsid w:val="426BB854"/>
    <w:rsid w:val="42801EE2"/>
    <w:rsid w:val="428E510A"/>
    <w:rsid w:val="42AF0DBF"/>
    <w:rsid w:val="42B15939"/>
    <w:rsid w:val="42B29796"/>
    <w:rsid w:val="42CEC75A"/>
    <w:rsid w:val="42E31C18"/>
    <w:rsid w:val="43075CD1"/>
    <w:rsid w:val="430B52CE"/>
    <w:rsid w:val="433122E3"/>
    <w:rsid w:val="433165F6"/>
    <w:rsid w:val="43345E99"/>
    <w:rsid w:val="4338B43E"/>
    <w:rsid w:val="433DC683"/>
    <w:rsid w:val="4341B4CB"/>
    <w:rsid w:val="43582539"/>
    <w:rsid w:val="436BBE60"/>
    <w:rsid w:val="436D9403"/>
    <w:rsid w:val="438E5090"/>
    <w:rsid w:val="43947656"/>
    <w:rsid w:val="4398AD0D"/>
    <w:rsid w:val="43A8568D"/>
    <w:rsid w:val="43AA2D7A"/>
    <w:rsid w:val="43ACEF1F"/>
    <w:rsid w:val="43C123A6"/>
    <w:rsid w:val="43C349D7"/>
    <w:rsid w:val="43CBD511"/>
    <w:rsid w:val="43F11DA0"/>
    <w:rsid w:val="44613C2E"/>
    <w:rsid w:val="447045FB"/>
    <w:rsid w:val="448094D0"/>
    <w:rsid w:val="4495F6E7"/>
    <w:rsid w:val="449B5159"/>
    <w:rsid w:val="44B0A91A"/>
    <w:rsid w:val="44BC03FD"/>
    <w:rsid w:val="450754DB"/>
    <w:rsid w:val="45257994"/>
    <w:rsid w:val="4525AAD9"/>
    <w:rsid w:val="453F0584"/>
    <w:rsid w:val="4550F593"/>
    <w:rsid w:val="4563F0EB"/>
    <w:rsid w:val="45696B3D"/>
    <w:rsid w:val="45740EB6"/>
    <w:rsid w:val="458D3DF1"/>
    <w:rsid w:val="45E0096B"/>
    <w:rsid w:val="45FAE17A"/>
    <w:rsid w:val="460B2A5A"/>
    <w:rsid w:val="461D4636"/>
    <w:rsid w:val="461EEE42"/>
    <w:rsid w:val="464F952D"/>
    <w:rsid w:val="466286FA"/>
    <w:rsid w:val="466520D4"/>
    <w:rsid w:val="469AD021"/>
    <w:rsid w:val="46A350A0"/>
    <w:rsid w:val="46AA0C30"/>
    <w:rsid w:val="46B07FC7"/>
    <w:rsid w:val="46C2D3CB"/>
    <w:rsid w:val="46E622F2"/>
    <w:rsid w:val="470511F4"/>
    <w:rsid w:val="470E7FCD"/>
    <w:rsid w:val="47230258"/>
    <w:rsid w:val="4724F60D"/>
    <w:rsid w:val="472F16E6"/>
    <w:rsid w:val="4730DCEF"/>
    <w:rsid w:val="474D4C4D"/>
    <w:rsid w:val="474E8BAE"/>
    <w:rsid w:val="477D8484"/>
    <w:rsid w:val="478040BB"/>
    <w:rsid w:val="47A5C5AC"/>
    <w:rsid w:val="47B68D3B"/>
    <w:rsid w:val="47D852D4"/>
    <w:rsid w:val="47DD1F4B"/>
    <w:rsid w:val="47DD565B"/>
    <w:rsid w:val="47F5559B"/>
    <w:rsid w:val="481C94B2"/>
    <w:rsid w:val="4821C6FB"/>
    <w:rsid w:val="484D56EE"/>
    <w:rsid w:val="487642B3"/>
    <w:rsid w:val="48864445"/>
    <w:rsid w:val="48920035"/>
    <w:rsid w:val="48C3384F"/>
    <w:rsid w:val="48D7BA05"/>
    <w:rsid w:val="48E7E49F"/>
    <w:rsid w:val="48E8D478"/>
    <w:rsid w:val="48EBF1C1"/>
    <w:rsid w:val="49045517"/>
    <w:rsid w:val="49135161"/>
    <w:rsid w:val="491916C4"/>
    <w:rsid w:val="491ACE36"/>
    <w:rsid w:val="492A0A82"/>
    <w:rsid w:val="4957ADF5"/>
    <w:rsid w:val="4963A7E4"/>
    <w:rsid w:val="496A604F"/>
    <w:rsid w:val="496FADE9"/>
    <w:rsid w:val="49721536"/>
    <w:rsid w:val="498B806E"/>
    <w:rsid w:val="49931428"/>
    <w:rsid w:val="49935C3D"/>
    <w:rsid w:val="49A6F0E2"/>
    <w:rsid w:val="49BCB7AB"/>
    <w:rsid w:val="49DFCF83"/>
    <w:rsid w:val="49ED8787"/>
    <w:rsid w:val="49F19538"/>
    <w:rsid w:val="4A085623"/>
    <w:rsid w:val="4A089981"/>
    <w:rsid w:val="4A2FEE06"/>
    <w:rsid w:val="4A347F5E"/>
    <w:rsid w:val="4A394A93"/>
    <w:rsid w:val="4A3C67A7"/>
    <w:rsid w:val="4A3C6FA7"/>
    <w:rsid w:val="4A4069AB"/>
    <w:rsid w:val="4A47C8E6"/>
    <w:rsid w:val="4A4FB66C"/>
    <w:rsid w:val="4A573E85"/>
    <w:rsid w:val="4A58D4B3"/>
    <w:rsid w:val="4A5B77C8"/>
    <w:rsid w:val="4A8431AA"/>
    <w:rsid w:val="4A86944A"/>
    <w:rsid w:val="4A87C222"/>
    <w:rsid w:val="4AA43DEE"/>
    <w:rsid w:val="4AA9064E"/>
    <w:rsid w:val="4AB5926A"/>
    <w:rsid w:val="4AD538A0"/>
    <w:rsid w:val="4AD79FB8"/>
    <w:rsid w:val="4ADB088E"/>
    <w:rsid w:val="4AEFD654"/>
    <w:rsid w:val="4AF200C0"/>
    <w:rsid w:val="4AF25F65"/>
    <w:rsid w:val="4B12A5A4"/>
    <w:rsid w:val="4B190C5A"/>
    <w:rsid w:val="4B2E24D8"/>
    <w:rsid w:val="4B426190"/>
    <w:rsid w:val="4B9E28F1"/>
    <w:rsid w:val="4BACB177"/>
    <w:rsid w:val="4BB71A9E"/>
    <w:rsid w:val="4BC88D19"/>
    <w:rsid w:val="4BDB6626"/>
    <w:rsid w:val="4BFFAA78"/>
    <w:rsid w:val="4C00957A"/>
    <w:rsid w:val="4C3A5A15"/>
    <w:rsid w:val="4C64F6CD"/>
    <w:rsid w:val="4C770FD7"/>
    <w:rsid w:val="4C7D3463"/>
    <w:rsid w:val="4CA45A4E"/>
    <w:rsid w:val="4CC42E18"/>
    <w:rsid w:val="4CF3AC35"/>
    <w:rsid w:val="4D2CE1C8"/>
    <w:rsid w:val="4D308B79"/>
    <w:rsid w:val="4D3CD853"/>
    <w:rsid w:val="4D536D41"/>
    <w:rsid w:val="4D7E082F"/>
    <w:rsid w:val="4D81893D"/>
    <w:rsid w:val="4D963B2C"/>
    <w:rsid w:val="4D96A972"/>
    <w:rsid w:val="4DA366B0"/>
    <w:rsid w:val="4DE22C10"/>
    <w:rsid w:val="4DFDA2EB"/>
    <w:rsid w:val="4E0AA442"/>
    <w:rsid w:val="4E449456"/>
    <w:rsid w:val="4E453AFF"/>
    <w:rsid w:val="4E4FE2C9"/>
    <w:rsid w:val="4E6C2F06"/>
    <w:rsid w:val="4E8A7759"/>
    <w:rsid w:val="4E8FEFC5"/>
    <w:rsid w:val="4F035456"/>
    <w:rsid w:val="4F055F23"/>
    <w:rsid w:val="4F0A49E7"/>
    <w:rsid w:val="4F0F682F"/>
    <w:rsid w:val="4F1D599E"/>
    <w:rsid w:val="4F3063E0"/>
    <w:rsid w:val="4F3A414D"/>
    <w:rsid w:val="4F4221EA"/>
    <w:rsid w:val="4F556AAF"/>
    <w:rsid w:val="4F8BC23A"/>
    <w:rsid w:val="4FA15481"/>
    <w:rsid w:val="4FA59823"/>
    <w:rsid w:val="4FB18F84"/>
    <w:rsid w:val="4FC5D088"/>
    <w:rsid w:val="4FDB29D8"/>
    <w:rsid w:val="4FDE92FB"/>
    <w:rsid w:val="4FF7E53F"/>
    <w:rsid w:val="50028A9D"/>
    <w:rsid w:val="50197D94"/>
    <w:rsid w:val="501ABE58"/>
    <w:rsid w:val="504467D2"/>
    <w:rsid w:val="50454DDD"/>
    <w:rsid w:val="50726805"/>
    <w:rsid w:val="508C632D"/>
    <w:rsid w:val="50AE25D5"/>
    <w:rsid w:val="50B093F3"/>
    <w:rsid w:val="50BAA6E5"/>
    <w:rsid w:val="50BF3142"/>
    <w:rsid w:val="50CAB94C"/>
    <w:rsid w:val="50D26AA8"/>
    <w:rsid w:val="50D904D9"/>
    <w:rsid w:val="50E8555C"/>
    <w:rsid w:val="50F94083"/>
    <w:rsid w:val="512FAD5A"/>
    <w:rsid w:val="5155BFB9"/>
    <w:rsid w:val="516FD770"/>
    <w:rsid w:val="518CE07F"/>
    <w:rsid w:val="51A57351"/>
    <w:rsid w:val="51A86D35"/>
    <w:rsid w:val="51B30838"/>
    <w:rsid w:val="51D64D73"/>
    <w:rsid w:val="51E7A950"/>
    <w:rsid w:val="51F2532D"/>
    <w:rsid w:val="51F870F8"/>
    <w:rsid w:val="51FF0160"/>
    <w:rsid w:val="5203FC9C"/>
    <w:rsid w:val="52064B17"/>
    <w:rsid w:val="520D6A75"/>
    <w:rsid w:val="52387CD9"/>
    <w:rsid w:val="5242C732"/>
    <w:rsid w:val="524B7B90"/>
    <w:rsid w:val="52597419"/>
    <w:rsid w:val="525AC851"/>
    <w:rsid w:val="525E9C27"/>
    <w:rsid w:val="526804A2"/>
    <w:rsid w:val="5271ECB9"/>
    <w:rsid w:val="528D0B71"/>
    <w:rsid w:val="52A994D6"/>
    <w:rsid w:val="52C362FC"/>
    <w:rsid w:val="52DBAA5F"/>
    <w:rsid w:val="52E41F24"/>
    <w:rsid w:val="52FE8C5D"/>
    <w:rsid w:val="52FF06FC"/>
    <w:rsid w:val="5300AACB"/>
    <w:rsid w:val="53081241"/>
    <w:rsid w:val="531A680E"/>
    <w:rsid w:val="532B2B31"/>
    <w:rsid w:val="532E6163"/>
    <w:rsid w:val="533936BD"/>
    <w:rsid w:val="533D01E1"/>
    <w:rsid w:val="5342CEFB"/>
    <w:rsid w:val="53593BA8"/>
    <w:rsid w:val="53639C00"/>
    <w:rsid w:val="53E5563B"/>
    <w:rsid w:val="53EE621F"/>
    <w:rsid w:val="544290B3"/>
    <w:rsid w:val="544FD296"/>
    <w:rsid w:val="54620BF6"/>
    <w:rsid w:val="5480194E"/>
    <w:rsid w:val="54A1C8FE"/>
    <w:rsid w:val="54B54365"/>
    <w:rsid w:val="54B6386F"/>
    <w:rsid w:val="54C64BE0"/>
    <w:rsid w:val="54DE9F5C"/>
    <w:rsid w:val="5516E95D"/>
    <w:rsid w:val="552CBE29"/>
    <w:rsid w:val="554B08CA"/>
    <w:rsid w:val="554F4E10"/>
    <w:rsid w:val="5566D0D0"/>
    <w:rsid w:val="5587E652"/>
    <w:rsid w:val="558E9A50"/>
    <w:rsid w:val="55AEA20F"/>
    <w:rsid w:val="55CA09AB"/>
    <w:rsid w:val="55D82BA1"/>
    <w:rsid w:val="55DDE0A4"/>
    <w:rsid w:val="55F1A733"/>
    <w:rsid w:val="55F84511"/>
    <w:rsid w:val="55FB03BE"/>
    <w:rsid w:val="560851F3"/>
    <w:rsid w:val="561326D0"/>
    <w:rsid w:val="5625497B"/>
    <w:rsid w:val="562A27AC"/>
    <w:rsid w:val="563E8E54"/>
    <w:rsid w:val="565E8BEC"/>
    <w:rsid w:val="5669A14A"/>
    <w:rsid w:val="5670D77F"/>
    <w:rsid w:val="56A9F3D3"/>
    <w:rsid w:val="56C125C7"/>
    <w:rsid w:val="56C62C33"/>
    <w:rsid w:val="56EACBF4"/>
    <w:rsid w:val="56F3F4C0"/>
    <w:rsid w:val="570DB1DC"/>
    <w:rsid w:val="5710769F"/>
    <w:rsid w:val="57232CE6"/>
    <w:rsid w:val="5723B6B3"/>
    <w:rsid w:val="572B3941"/>
    <w:rsid w:val="572B9842"/>
    <w:rsid w:val="572F1E00"/>
    <w:rsid w:val="57399E30"/>
    <w:rsid w:val="573F538C"/>
    <w:rsid w:val="575FD6E7"/>
    <w:rsid w:val="577B7E10"/>
    <w:rsid w:val="578CF9D5"/>
    <w:rsid w:val="579F786D"/>
    <w:rsid w:val="57AC883D"/>
    <w:rsid w:val="57BA856F"/>
    <w:rsid w:val="57BF997B"/>
    <w:rsid w:val="57C8F040"/>
    <w:rsid w:val="57E74243"/>
    <w:rsid w:val="57F080DD"/>
    <w:rsid w:val="580CA7E0"/>
    <w:rsid w:val="5816401E"/>
    <w:rsid w:val="581E0850"/>
    <w:rsid w:val="58417270"/>
    <w:rsid w:val="5841B1FE"/>
    <w:rsid w:val="5855FAFB"/>
    <w:rsid w:val="586A10B9"/>
    <w:rsid w:val="587AF415"/>
    <w:rsid w:val="58871362"/>
    <w:rsid w:val="58A74B9B"/>
    <w:rsid w:val="58AFAC69"/>
    <w:rsid w:val="58B0A802"/>
    <w:rsid w:val="58C5CEEF"/>
    <w:rsid w:val="58D5CB31"/>
    <w:rsid w:val="58DCD6C4"/>
    <w:rsid w:val="58E40B05"/>
    <w:rsid w:val="58FE73B4"/>
    <w:rsid w:val="590F74C9"/>
    <w:rsid w:val="5919AF93"/>
    <w:rsid w:val="5993222B"/>
    <w:rsid w:val="59D045D3"/>
    <w:rsid w:val="59E43176"/>
    <w:rsid w:val="59F55FA2"/>
    <w:rsid w:val="59F67D37"/>
    <w:rsid w:val="5A0B64D0"/>
    <w:rsid w:val="5A2CCC78"/>
    <w:rsid w:val="5A3A41F3"/>
    <w:rsid w:val="5A9353ED"/>
    <w:rsid w:val="5AA07F1A"/>
    <w:rsid w:val="5AC0ECF3"/>
    <w:rsid w:val="5AC3AF1E"/>
    <w:rsid w:val="5AD2900A"/>
    <w:rsid w:val="5ADFCC84"/>
    <w:rsid w:val="5B0DE7A4"/>
    <w:rsid w:val="5B5D70FF"/>
    <w:rsid w:val="5B7EB333"/>
    <w:rsid w:val="5BAA0C35"/>
    <w:rsid w:val="5BDB0601"/>
    <w:rsid w:val="5BF814BA"/>
    <w:rsid w:val="5C0A7CA9"/>
    <w:rsid w:val="5C238CC0"/>
    <w:rsid w:val="5C246E54"/>
    <w:rsid w:val="5C34301F"/>
    <w:rsid w:val="5C3B535C"/>
    <w:rsid w:val="5C4278B4"/>
    <w:rsid w:val="5C49466C"/>
    <w:rsid w:val="5C5287AA"/>
    <w:rsid w:val="5C94EA3F"/>
    <w:rsid w:val="5CAA5275"/>
    <w:rsid w:val="5CAEB648"/>
    <w:rsid w:val="5CB724D6"/>
    <w:rsid w:val="5CC92112"/>
    <w:rsid w:val="5CE5215C"/>
    <w:rsid w:val="5CEC4A6F"/>
    <w:rsid w:val="5D01AC14"/>
    <w:rsid w:val="5D100522"/>
    <w:rsid w:val="5D1B39F3"/>
    <w:rsid w:val="5D2A5BF7"/>
    <w:rsid w:val="5D3D260E"/>
    <w:rsid w:val="5D561AAF"/>
    <w:rsid w:val="5D5819DD"/>
    <w:rsid w:val="5D768894"/>
    <w:rsid w:val="5D7E5EC5"/>
    <w:rsid w:val="5DA93C54"/>
    <w:rsid w:val="5DAA5670"/>
    <w:rsid w:val="5DBF5D21"/>
    <w:rsid w:val="5DD7AB9E"/>
    <w:rsid w:val="5DD81FDC"/>
    <w:rsid w:val="5DDCDCA3"/>
    <w:rsid w:val="5E87D9E4"/>
    <w:rsid w:val="5E98ED7D"/>
    <w:rsid w:val="5EA9C387"/>
    <w:rsid w:val="5EE800A9"/>
    <w:rsid w:val="5EEA6D2A"/>
    <w:rsid w:val="5F07490A"/>
    <w:rsid w:val="5F6631E9"/>
    <w:rsid w:val="5F73F03D"/>
    <w:rsid w:val="5FAF0142"/>
    <w:rsid w:val="5FC0649B"/>
    <w:rsid w:val="601295A9"/>
    <w:rsid w:val="601BCBD5"/>
    <w:rsid w:val="601E5B8B"/>
    <w:rsid w:val="6040C38F"/>
    <w:rsid w:val="6061FCB9"/>
    <w:rsid w:val="606E06F1"/>
    <w:rsid w:val="606FD28C"/>
    <w:rsid w:val="60767C05"/>
    <w:rsid w:val="60B02EEB"/>
    <w:rsid w:val="60B2B133"/>
    <w:rsid w:val="60BABD3D"/>
    <w:rsid w:val="60C72A56"/>
    <w:rsid w:val="60EAF4B0"/>
    <w:rsid w:val="60F29BF0"/>
    <w:rsid w:val="6133BE5B"/>
    <w:rsid w:val="613E44AC"/>
    <w:rsid w:val="614CF45B"/>
    <w:rsid w:val="61760DE9"/>
    <w:rsid w:val="61938384"/>
    <w:rsid w:val="6196D3D1"/>
    <w:rsid w:val="61C310BC"/>
    <w:rsid w:val="61CCB283"/>
    <w:rsid w:val="61D62338"/>
    <w:rsid w:val="61FF2F8E"/>
    <w:rsid w:val="6215F416"/>
    <w:rsid w:val="6244E18E"/>
    <w:rsid w:val="624CF80C"/>
    <w:rsid w:val="624E0B46"/>
    <w:rsid w:val="625C9F2F"/>
    <w:rsid w:val="626B5C32"/>
    <w:rsid w:val="62702D0A"/>
    <w:rsid w:val="62810024"/>
    <w:rsid w:val="62822B88"/>
    <w:rsid w:val="62B7A950"/>
    <w:rsid w:val="62B8E083"/>
    <w:rsid w:val="62BA33E2"/>
    <w:rsid w:val="62C08468"/>
    <w:rsid w:val="62DC97B8"/>
    <w:rsid w:val="62E5BFC2"/>
    <w:rsid w:val="62F1900D"/>
    <w:rsid w:val="63647F35"/>
    <w:rsid w:val="6365939A"/>
    <w:rsid w:val="638256F8"/>
    <w:rsid w:val="638F48C8"/>
    <w:rsid w:val="63962276"/>
    <w:rsid w:val="63CDC5C7"/>
    <w:rsid w:val="63F43075"/>
    <w:rsid w:val="64045A32"/>
    <w:rsid w:val="64295BC8"/>
    <w:rsid w:val="644BEF78"/>
    <w:rsid w:val="644CCAC8"/>
    <w:rsid w:val="646EB10D"/>
    <w:rsid w:val="64958C10"/>
    <w:rsid w:val="64B63758"/>
    <w:rsid w:val="64CDA2FE"/>
    <w:rsid w:val="64DE33F7"/>
    <w:rsid w:val="64E6F77B"/>
    <w:rsid w:val="64EFA138"/>
    <w:rsid w:val="6517BF39"/>
    <w:rsid w:val="652F0A79"/>
    <w:rsid w:val="654FF1BD"/>
    <w:rsid w:val="65633A08"/>
    <w:rsid w:val="65691A1A"/>
    <w:rsid w:val="6573ECAB"/>
    <w:rsid w:val="65937C3D"/>
    <w:rsid w:val="65A7943C"/>
    <w:rsid w:val="65AD2EC9"/>
    <w:rsid w:val="65B8CF13"/>
    <w:rsid w:val="65F4F9EB"/>
    <w:rsid w:val="65F60AA1"/>
    <w:rsid w:val="65F93C38"/>
    <w:rsid w:val="660BED95"/>
    <w:rsid w:val="6616F8A4"/>
    <w:rsid w:val="6620657E"/>
    <w:rsid w:val="665AB255"/>
    <w:rsid w:val="669415BC"/>
    <w:rsid w:val="6697B9D2"/>
    <w:rsid w:val="66E96539"/>
    <w:rsid w:val="66FA24B8"/>
    <w:rsid w:val="670AAD49"/>
    <w:rsid w:val="6723678A"/>
    <w:rsid w:val="6727E8C2"/>
    <w:rsid w:val="675A3834"/>
    <w:rsid w:val="6764E39F"/>
    <w:rsid w:val="67679DA5"/>
    <w:rsid w:val="676FA4E4"/>
    <w:rsid w:val="67904BB3"/>
    <w:rsid w:val="67B3FDAE"/>
    <w:rsid w:val="67C4826E"/>
    <w:rsid w:val="67CE6B33"/>
    <w:rsid w:val="67DCA44D"/>
    <w:rsid w:val="67EC6AAC"/>
    <w:rsid w:val="67ED6B5E"/>
    <w:rsid w:val="67F637E9"/>
    <w:rsid w:val="681B2911"/>
    <w:rsid w:val="684EAF6E"/>
    <w:rsid w:val="6856F07C"/>
    <w:rsid w:val="687F82FD"/>
    <w:rsid w:val="687F8DDE"/>
    <w:rsid w:val="68A2E8EC"/>
    <w:rsid w:val="68B32609"/>
    <w:rsid w:val="68BFA607"/>
    <w:rsid w:val="69119132"/>
    <w:rsid w:val="6911B708"/>
    <w:rsid w:val="6912912C"/>
    <w:rsid w:val="695A44EA"/>
    <w:rsid w:val="6971AD0A"/>
    <w:rsid w:val="69AC4F75"/>
    <w:rsid w:val="69AD6134"/>
    <w:rsid w:val="69B4FA44"/>
    <w:rsid w:val="69CC6211"/>
    <w:rsid w:val="69D797E9"/>
    <w:rsid w:val="69E4C9BA"/>
    <w:rsid w:val="69F1F129"/>
    <w:rsid w:val="69FE9325"/>
    <w:rsid w:val="6A33855B"/>
    <w:rsid w:val="6A555FCF"/>
    <w:rsid w:val="6A9BD78F"/>
    <w:rsid w:val="6AB8D34E"/>
    <w:rsid w:val="6ABE23ED"/>
    <w:rsid w:val="6ACC9639"/>
    <w:rsid w:val="6AD5E5F1"/>
    <w:rsid w:val="6B07BA67"/>
    <w:rsid w:val="6B0F90E1"/>
    <w:rsid w:val="6B138830"/>
    <w:rsid w:val="6B8589FF"/>
    <w:rsid w:val="6B916C71"/>
    <w:rsid w:val="6BAE09F2"/>
    <w:rsid w:val="6BCFC3A8"/>
    <w:rsid w:val="6BF9418F"/>
    <w:rsid w:val="6C0FE8F4"/>
    <w:rsid w:val="6C21E66B"/>
    <w:rsid w:val="6C40032E"/>
    <w:rsid w:val="6C473408"/>
    <w:rsid w:val="6C56AED8"/>
    <w:rsid w:val="6C631458"/>
    <w:rsid w:val="6C6424DE"/>
    <w:rsid w:val="6C7F49F6"/>
    <w:rsid w:val="6C94D460"/>
    <w:rsid w:val="6C9DDBAF"/>
    <w:rsid w:val="6CA5F6BF"/>
    <w:rsid w:val="6CF60572"/>
    <w:rsid w:val="6D0D1CF9"/>
    <w:rsid w:val="6D2E70CA"/>
    <w:rsid w:val="6D3773C0"/>
    <w:rsid w:val="6D48B437"/>
    <w:rsid w:val="6D48D31E"/>
    <w:rsid w:val="6D72AFF5"/>
    <w:rsid w:val="6D742BFF"/>
    <w:rsid w:val="6D9A2D58"/>
    <w:rsid w:val="6DAFBDF1"/>
    <w:rsid w:val="6DB77298"/>
    <w:rsid w:val="6DCC32FB"/>
    <w:rsid w:val="6DCEF1A3"/>
    <w:rsid w:val="6DCF6BED"/>
    <w:rsid w:val="6DE2158A"/>
    <w:rsid w:val="6DED9300"/>
    <w:rsid w:val="6DFF246E"/>
    <w:rsid w:val="6E01FAA2"/>
    <w:rsid w:val="6E06FDF8"/>
    <w:rsid w:val="6E0BA5B3"/>
    <w:rsid w:val="6E1CA5E1"/>
    <w:rsid w:val="6E285439"/>
    <w:rsid w:val="6E658FCB"/>
    <w:rsid w:val="6E7C8A64"/>
    <w:rsid w:val="6E91D5D3"/>
    <w:rsid w:val="6EC48A39"/>
    <w:rsid w:val="6ED014F2"/>
    <w:rsid w:val="6EDB4EC1"/>
    <w:rsid w:val="6EE10A7A"/>
    <w:rsid w:val="6EE231BB"/>
    <w:rsid w:val="6EF9F8C4"/>
    <w:rsid w:val="6EFB2980"/>
    <w:rsid w:val="6F43573B"/>
    <w:rsid w:val="6F544714"/>
    <w:rsid w:val="6F5A32B3"/>
    <w:rsid w:val="6F764002"/>
    <w:rsid w:val="6F7F5BA2"/>
    <w:rsid w:val="6FB0E1BD"/>
    <w:rsid w:val="6FB2EC8A"/>
    <w:rsid w:val="6FD02C5D"/>
    <w:rsid w:val="6FE9DE35"/>
    <w:rsid w:val="6FEAA9D2"/>
    <w:rsid w:val="6FEFF7A5"/>
    <w:rsid w:val="701CA2B8"/>
    <w:rsid w:val="70287566"/>
    <w:rsid w:val="7032EE9E"/>
    <w:rsid w:val="704705EC"/>
    <w:rsid w:val="704E3C76"/>
    <w:rsid w:val="706E3570"/>
    <w:rsid w:val="70759B81"/>
    <w:rsid w:val="70771F22"/>
    <w:rsid w:val="70810A24"/>
    <w:rsid w:val="7081AE83"/>
    <w:rsid w:val="70C8C236"/>
    <w:rsid w:val="70E5BA34"/>
    <w:rsid w:val="70E8AA49"/>
    <w:rsid w:val="710534F5"/>
    <w:rsid w:val="713A367A"/>
    <w:rsid w:val="713A8FD6"/>
    <w:rsid w:val="71402B23"/>
    <w:rsid w:val="71415F3C"/>
    <w:rsid w:val="71552F7E"/>
    <w:rsid w:val="7173FD9F"/>
    <w:rsid w:val="71787C3E"/>
    <w:rsid w:val="71866757"/>
    <w:rsid w:val="71883199"/>
    <w:rsid w:val="718BC806"/>
    <w:rsid w:val="7195CC8B"/>
    <w:rsid w:val="71A43238"/>
    <w:rsid w:val="71ACB1BD"/>
    <w:rsid w:val="71BE04BC"/>
    <w:rsid w:val="71C62505"/>
    <w:rsid w:val="71E34638"/>
    <w:rsid w:val="71F4DB6D"/>
    <w:rsid w:val="72054024"/>
    <w:rsid w:val="7228F2F1"/>
    <w:rsid w:val="725F191B"/>
    <w:rsid w:val="72707099"/>
    <w:rsid w:val="727B8504"/>
    <w:rsid w:val="72870FE5"/>
    <w:rsid w:val="7289C980"/>
    <w:rsid w:val="728A4ADE"/>
    <w:rsid w:val="72AC360C"/>
    <w:rsid w:val="72B26BD5"/>
    <w:rsid w:val="72BAD21A"/>
    <w:rsid w:val="72D81273"/>
    <w:rsid w:val="72F91388"/>
    <w:rsid w:val="7340681D"/>
    <w:rsid w:val="7348821E"/>
    <w:rsid w:val="7352F9E2"/>
    <w:rsid w:val="73657E51"/>
    <w:rsid w:val="737C96C9"/>
    <w:rsid w:val="73846E38"/>
    <w:rsid w:val="738EAE0B"/>
    <w:rsid w:val="73AAC10A"/>
    <w:rsid w:val="73CB63E0"/>
    <w:rsid w:val="73ED19FD"/>
    <w:rsid w:val="73F0467F"/>
    <w:rsid w:val="7400220C"/>
    <w:rsid w:val="74320F4A"/>
    <w:rsid w:val="746EC16A"/>
    <w:rsid w:val="74704076"/>
    <w:rsid w:val="747269A1"/>
    <w:rsid w:val="748D63F4"/>
    <w:rsid w:val="74992DF6"/>
    <w:rsid w:val="74BADC48"/>
    <w:rsid w:val="74BD4F58"/>
    <w:rsid w:val="74D060DD"/>
    <w:rsid w:val="74D1E299"/>
    <w:rsid w:val="74DB0EC6"/>
    <w:rsid w:val="74DD8DC2"/>
    <w:rsid w:val="751F754B"/>
    <w:rsid w:val="7525E9AC"/>
    <w:rsid w:val="753AF6D9"/>
    <w:rsid w:val="754659E5"/>
    <w:rsid w:val="7561BFE4"/>
    <w:rsid w:val="75697537"/>
    <w:rsid w:val="757612B2"/>
    <w:rsid w:val="758AB796"/>
    <w:rsid w:val="75AC6E96"/>
    <w:rsid w:val="75BD371D"/>
    <w:rsid w:val="75C4986F"/>
    <w:rsid w:val="75C782B9"/>
    <w:rsid w:val="75DAA0AA"/>
    <w:rsid w:val="75DD34DF"/>
    <w:rsid w:val="75EA37CC"/>
    <w:rsid w:val="75FD2B7C"/>
    <w:rsid w:val="760B4AB8"/>
    <w:rsid w:val="7616FEA3"/>
    <w:rsid w:val="7624B56D"/>
    <w:rsid w:val="763C11D4"/>
    <w:rsid w:val="76447DFD"/>
    <w:rsid w:val="76AF7D5F"/>
    <w:rsid w:val="76B1D8AF"/>
    <w:rsid w:val="76BE6B03"/>
    <w:rsid w:val="76D4052E"/>
    <w:rsid w:val="770E1DCA"/>
    <w:rsid w:val="771123DE"/>
    <w:rsid w:val="77228C97"/>
    <w:rsid w:val="772EE8C5"/>
    <w:rsid w:val="77796AE1"/>
    <w:rsid w:val="779A4A81"/>
    <w:rsid w:val="77B62AE1"/>
    <w:rsid w:val="77C4D555"/>
    <w:rsid w:val="77D682EB"/>
    <w:rsid w:val="78108280"/>
    <w:rsid w:val="7840DCFA"/>
    <w:rsid w:val="784B8669"/>
    <w:rsid w:val="7860A742"/>
    <w:rsid w:val="78744FD3"/>
    <w:rsid w:val="7892ECEC"/>
    <w:rsid w:val="78B28874"/>
    <w:rsid w:val="78B4D130"/>
    <w:rsid w:val="78C8AFCF"/>
    <w:rsid w:val="78CBCAF3"/>
    <w:rsid w:val="790C2345"/>
    <w:rsid w:val="79269C1C"/>
    <w:rsid w:val="7937AE5D"/>
    <w:rsid w:val="797A9DFE"/>
    <w:rsid w:val="79820DD0"/>
    <w:rsid w:val="798DE326"/>
    <w:rsid w:val="79AE980A"/>
    <w:rsid w:val="79D0EAD0"/>
    <w:rsid w:val="79E82BC9"/>
    <w:rsid w:val="7A048777"/>
    <w:rsid w:val="7A0ADEE0"/>
    <w:rsid w:val="7A11C18A"/>
    <w:rsid w:val="7A3DB964"/>
    <w:rsid w:val="7A5E28B9"/>
    <w:rsid w:val="7A78F7F1"/>
    <w:rsid w:val="7A8349DC"/>
    <w:rsid w:val="7A8EC34E"/>
    <w:rsid w:val="7A9C98B5"/>
    <w:rsid w:val="7AADCEC8"/>
    <w:rsid w:val="7B04D581"/>
    <w:rsid w:val="7B08EC64"/>
    <w:rsid w:val="7B28BE27"/>
    <w:rsid w:val="7B3E5678"/>
    <w:rsid w:val="7B57EE9A"/>
    <w:rsid w:val="7B5D4051"/>
    <w:rsid w:val="7B7AB55E"/>
    <w:rsid w:val="7B850034"/>
    <w:rsid w:val="7BEB529C"/>
    <w:rsid w:val="7BF80A81"/>
    <w:rsid w:val="7C096797"/>
    <w:rsid w:val="7C13DFB9"/>
    <w:rsid w:val="7C1752DF"/>
    <w:rsid w:val="7C2053CF"/>
    <w:rsid w:val="7C21D722"/>
    <w:rsid w:val="7C2E6714"/>
    <w:rsid w:val="7C5AB162"/>
    <w:rsid w:val="7C81FC19"/>
    <w:rsid w:val="7C8DB4B9"/>
    <w:rsid w:val="7CA5DA07"/>
    <w:rsid w:val="7CACC5D0"/>
    <w:rsid w:val="7CAE175B"/>
    <w:rsid w:val="7CBF3FB4"/>
    <w:rsid w:val="7CCEDCCC"/>
    <w:rsid w:val="7CEF099E"/>
    <w:rsid w:val="7CFD9606"/>
    <w:rsid w:val="7D031346"/>
    <w:rsid w:val="7D29618E"/>
    <w:rsid w:val="7D33EF7D"/>
    <w:rsid w:val="7D3449D8"/>
    <w:rsid w:val="7D359051"/>
    <w:rsid w:val="7D5B160C"/>
    <w:rsid w:val="7D5DD248"/>
    <w:rsid w:val="7D72C6CC"/>
    <w:rsid w:val="7D9BEAEC"/>
    <w:rsid w:val="7D9DC15C"/>
    <w:rsid w:val="7DA73997"/>
    <w:rsid w:val="7DC92B0D"/>
    <w:rsid w:val="7DD9917A"/>
    <w:rsid w:val="7DF09F19"/>
    <w:rsid w:val="7E1912DE"/>
    <w:rsid w:val="7E5B9503"/>
    <w:rsid w:val="7E615449"/>
    <w:rsid w:val="7E89FF30"/>
    <w:rsid w:val="7EA45D22"/>
    <w:rsid w:val="7EB92C6E"/>
    <w:rsid w:val="7EDA031E"/>
    <w:rsid w:val="7F39ACC5"/>
    <w:rsid w:val="7F3DAAAF"/>
    <w:rsid w:val="7F40BF7F"/>
    <w:rsid w:val="7F7E2CC4"/>
    <w:rsid w:val="7FA53F3B"/>
    <w:rsid w:val="7FF11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BF25"/>
  <w15:chartTrackingRefBased/>
  <w15:docId w15:val="{D0AF567C-D097-4A32-9238-0EBC3E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0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3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943AF"/>
    <w:pPr>
      <w:spacing w:line="240" w:lineRule="auto"/>
    </w:pPr>
    <w:rPr>
      <w:sz w:val="20"/>
      <w:szCs w:val="20"/>
    </w:rPr>
  </w:style>
  <w:style w:type="character" w:customStyle="1" w:styleId="CommentTextChar">
    <w:name w:val="Comment Text Char"/>
    <w:basedOn w:val="DefaultParagraphFont"/>
    <w:link w:val="CommentText"/>
    <w:uiPriority w:val="99"/>
    <w:semiHidden/>
    <w:rsid w:val="00F943AF"/>
    <w:rPr>
      <w:sz w:val="20"/>
      <w:szCs w:val="20"/>
    </w:rPr>
  </w:style>
  <w:style w:type="paragraph" w:styleId="FootnoteText">
    <w:name w:val="footnote text"/>
    <w:basedOn w:val="Normal"/>
    <w:link w:val="FootnoteTextChar"/>
    <w:uiPriority w:val="99"/>
    <w:unhideWhenUsed/>
    <w:rsid w:val="00F943AF"/>
    <w:pPr>
      <w:spacing w:after="0" w:line="240" w:lineRule="auto"/>
    </w:pPr>
    <w:rPr>
      <w:sz w:val="20"/>
      <w:szCs w:val="20"/>
    </w:rPr>
  </w:style>
  <w:style w:type="character" w:customStyle="1" w:styleId="FootnoteTextChar">
    <w:name w:val="Footnote Text Char"/>
    <w:basedOn w:val="DefaultParagraphFont"/>
    <w:link w:val="FootnoteText"/>
    <w:uiPriority w:val="99"/>
    <w:rsid w:val="00F943AF"/>
    <w:rPr>
      <w:sz w:val="20"/>
      <w:szCs w:val="20"/>
    </w:rPr>
  </w:style>
  <w:style w:type="character" w:styleId="FootnoteReference">
    <w:name w:val="footnote reference"/>
    <w:basedOn w:val="DefaultParagraphFont"/>
    <w:uiPriority w:val="99"/>
    <w:unhideWhenUsed/>
    <w:rsid w:val="00F943AF"/>
    <w:rPr>
      <w:vertAlign w:val="superscript"/>
    </w:rPr>
  </w:style>
  <w:style w:type="character" w:styleId="CommentReference">
    <w:name w:val="annotation reference"/>
    <w:basedOn w:val="DefaultParagraphFont"/>
    <w:uiPriority w:val="99"/>
    <w:semiHidden/>
    <w:unhideWhenUsed/>
    <w:rsid w:val="00F943AF"/>
    <w:rPr>
      <w:sz w:val="16"/>
      <w:szCs w:val="16"/>
    </w:rPr>
  </w:style>
  <w:style w:type="paragraph" w:styleId="BalloonText">
    <w:name w:val="Balloon Text"/>
    <w:basedOn w:val="Normal"/>
    <w:link w:val="BalloonTextChar"/>
    <w:uiPriority w:val="99"/>
    <w:semiHidden/>
    <w:unhideWhenUsed/>
    <w:rsid w:val="00F94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AF"/>
    <w:rPr>
      <w:rFonts w:ascii="Segoe UI" w:hAnsi="Segoe UI" w:cs="Segoe UI"/>
      <w:sz w:val="18"/>
      <w:szCs w:val="18"/>
    </w:rPr>
  </w:style>
  <w:style w:type="character" w:styleId="Hyperlink">
    <w:name w:val="Hyperlink"/>
    <w:basedOn w:val="DefaultParagraphFont"/>
    <w:uiPriority w:val="99"/>
    <w:unhideWhenUsed/>
    <w:rsid w:val="000206BE"/>
    <w:rPr>
      <w:color w:val="0563C1" w:themeColor="hyperlink"/>
      <w:u w:val="single"/>
    </w:rPr>
  </w:style>
  <w:style w:type="character" w:customStyle="1" w:styleId="Heading2Char">
    <w:name w:val="Heading 2 Char"/>
    <w:basedOn w:val="DefaultParagraphFont"/>
    <w:link w:val="Heading2"/>
    <w:uiPriority w:val="9"/>
    <w:rsid w:val="00BA0E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0E3F"/>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A0E3F"/>
    <w:rPr>
      <w:b/>
      <w:bCs/>
    </w:rPr>
  </w:style>
  <w:style w:type="character" w:customStyle="1" w:styleId="CommentSubjectChar">
    <w:name w:val="Comment Subject Char"/>
    <w:basedOn w:val="CommentTextChar"/>
    <w:link w:val="CommentSubject"/>
    <w:uiPriority w:val="99"/>
    <w:semiHidden/>
    <w:rsid w:val="00BA0E3F"/>
    <w:rPr>
      <w:b/>
      <w:bCs/>
      <w:sz w:val="20"/>
      <w:szCs w:val="20"/>
    </w:rPr>
  </w:style>
  <w:style w:type="character" w:styleId="Emphasis">
    <w:name w:val="Emphasis"/>
    <w:basedOn w:val="DefaultParagraphFont"/>
    <w:uiPriority w:val="20"/>
    <w:qFormat/>
    <w:rsid w:val="00CD31F2"/>
    <w:rPr>
      <w:i/>
      <w:iCs/>
    </w:rPr>
  </w:style>
  <w:style w:type="character" w:styleId="FollowedHyperlink">
    <w:name w:val="FollowedHyperlink"/>
    <w:basedOn w:val="DefaultParagraphFont"/>
    <w:uiPriority w:val="99"/>
    <w:semiHidden/>
    <w:unhideWhenUsed/>
    <w:rsid w:val="00627AB7"/>
    <w:rPr>
      <w:color w:val="954F72" w:themeColor="followedHyperlink"/>
      <w:u w:val="single"/>
    </w:rPr>
  </w:style>
  <w:style w:type="table" w:styleId="TableGrid">
    <w:name w:val="Table Grid"/>
    <w:basedOn w:val="TableNormal"/>
    <w:uiPriority w:val="39"/>
    <w:rsid w:val="0004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36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41D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58DE"/>
    <w:pPr>
      <w:ind w:left="720"/>
      <w:contextualSpacing/>
    </w:pPr>
  </w:style>
  <w:style w:type="paragraph" w:styleId="Header">
    <w:name w:val="header"/>
    <w:basedOn w:val="Normal"/>
    <w:link w:val="HeaderChar"/>
    <w:uiPriority w:val="99"/>
    <w:unhideWhenUsed/>
    <w:rsid w:val="00DC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65"/>
  </w:style>
  <w:style w:type="paragraph" w:styleId="Footer">
    <w:name w:val="footer"/>
    <w:basedOn w:val="Normal"/>
    <w:link w:val="FooterChar"/>
    <w:uiPriority w:val="99"/>
    <w:unhideWhenUsed/>
    <w:rsid w:val="00DC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65"/>
  </w:style>
  <w:style w:type="character" w:customStyle="1" w:styleId="cit">
    <w:name w:val="cit"/>
    <w:basedOn w:val="DefaultParagraphFont"/>
    <w:rsid w:val="00AB3215"/>
  </w:style>
  <w:style w:type="character" w:customStyle="1" w:styleId="apple-converted-space">
    <w:name w:val="apple-converted-space"/>
    <w:basedOn w:val="DefaultParagraphFont"/>
    <w:rsid w:val="00AB3215"/>
  </w:style>
  <w:style w:type="character" w:customStyle="1" w:styleId="fm-vol-iss-date">
    <w:name w:val="fm-vol-iss-date"/>
    <w:basedOn w:val="DefaultParagraphFont"/>
    <w:rsid w:val="00AB3215"/>
  </w:style>
  <w:style w:type="character" w:customStyle="1" w:styleId="doi">
    <w:name w:val="doi"/>
    <w:basedOn w:val="DefaultParagraphFont"/>
    <w:rsid w:val="00AB3215"/>
  </w:style>
  <w:style w:type="character" w:customStyle="1" w:styleId="UnresolvedMention">
    <w:name w:val="Unresolved Mention"/>
    <w:basedOn w:val="DefaultParagraphFont"/>
    <w:uiPriority w:val="99"/>
    <w:semiHidden/>
    <w:unhideWhenUsed/>
    <w:rsid w:val="00F3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058">
      <w:bodyDiv w:val="1"/>
      <w:marLeft w:val="0"/>
      <w:marRight w:val="0"/>
      <w:marTop w:val="0"/>
      <w:marBottom w:val="0"/>
      <w:divBdr>
        <w:top w:val="none" w:sz="0" w:space="0" w:color="auto"/>
        <w:left w:val="none" w:sz="0" w:space="0" w:color="auto"/>
        <w:bottom w:val="none" w:sz="0" w:space="0" w:color="auto"/>
        <w:right w:val="none" w:sz="0" w:space="0" w:color="auto"/>
      </w:divBdr>
    </w:div>
    <w:div w:id="83193274">
      <w:bodyDiv w:val="1"/>
      <w:marLeft w:val="0"/>
      <w:marRight w:val="0"/>
      <w:marTop w:val="0"/>
      <w:marBottom w:val="0"/>
      <w:divBdr>
        <w:top w:val="none" w:sz="0" w:space="0" w:color="auto"/>
        <w:left w:val="none" w:sz="0" w:space="0" w:color="auto"/>
        <w:bottom w:val="none" w:sz="0" w:space="0" w:color="auto"/>
        <w:right w:val="none" w:sz="0" w:space="0" w:color="auto"/>
      </w:divBdr>
    </w:div>
    <w:div w:id="129174402">
      <w:bodyDiv w:val="1"/>
      <w:marLeft w:val="0"/>
      <w:marRight w:val="0"/>
      <w:marTop w:val="0"/>
      <w:marBottom w:val="0"/>
      <w:divBdr>
        <w:top w:val="none" w:sz="0" w:space="0" w:color="auto"/>
        <w:left w:val="none" w:sz="0" w:space="0" w:color="auto"/>
        <w:bottom w:val="none" w:sz="0" w:space="0" w:color="auto"/>
        <w:right w:val="none" w:sz="0" w:space="0" w:color="auto"/>
      </w:divBdr>
      <w:divsChild>
        <w:div w:id="1559588091">
          <w:marLeft w:val="0"/>
          <w:marRight w:val="0"/>
          <w:marTop w:val="0"/>
          <w:marBottom w:val="0"/>
          <w:divBdr>
            <w:top w:val="none" w:sz="0" w:space="0" w:color="auto"/>
            <w:left w:val="none" w:sz="0" w:space="0" w:color="auto"/>
            <w:bottom w:val="none" w:sz="0" w:space="0" w:color="auto"/>
            <w:right w:val="none" w:sz="0" w:space="0" w:color="auto"/>
          </w:divBdr>
          <w:divsChild>
            <w:div w:id="1856571805">
              <w:marLeft w:val="0"/>
              <w:marRight w:val="0"/>
              <w:marTop w:val="0"/>
              <w:marBottom w:val="0"/>
              <w:divBdr>
                <w:top w:val="none" w:sz="0" w:space="0" w:color="auto"/>
                <w:left w:val="none" w:sz="0" w:space="0" w:color="auto"/>
                <w:bottom w:val="none" w:sz="0" w:space="0" w:color="auto"/>
                <w:right w:val="none" w:sz="0" w:space="0" w:color="auto"/>
              </w:divBdr>
              <w:divsChild>
                <w:div w:id="481122637">
                  <w:marLeft w:val="0"/>
                  <w:marRight w:val="0"/>
                  <w:marTop w:val="0"/>
                  <w:marBottom w:val="0"/>
                  <w:divBdr>
                    <w:top w:val="none" w:sz="0" w:space="0" w:color="auto"/>
                    <w:left w:val="none" w:sz="0" w:space="0" w:color="auto"/>
                    <w:bottom w:val="none" w:sz="0" w:space="0" w:color="auto"/>
                    <w:right w:val="none" w:sz="0" w:space="0" w:color="auto"/>
                  </w:divBdr>
                  <w:divsChild>
                    <w:div w:id="14777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8865">
      <w:bodyDiv w:val="1"/>
      <w:marLeft w:val="0"/>
      <w:marRight w:val="0"/>
      <w:marTop w:val="0"/>
      <w:marBottom w:val="0"/>
      <w:divBdr>
        <w:top w:val="none" w:sz="0" w:space="0" w:color="auto"/>
        <w:left w:val="none" w:sz="0" w:space="0" w:color="auto"/>
        <w:bottom w:val="none" w:sz="0" w:space="0" w:color="auto"/>
        <w:right w:val="none" w:sz="0" w:space="0" w:color="auto"/>
      </w:divBdr>
      <w:divsChild>
        <w:div w:id="326904435">
          <w:marLeft w:val="0"/>
          <w:marRight w:val="0"/>
          <w:marTop w:val="0"/>
          <w:marBottom w:val="0"/>
          <w:divBdr>
            <w:top w:val="none" w:sz="0" w:space="0" w:color="auto"/>
            <w:left w:val="none" w:sz="0" w:space="0" w:color="auto"/>
            <w:bottom w:val="none" w:sz="0" w:space="0" w:color="auto"/>
            <w:right w:val="none" w:sz="0" w:space="0" w:color="auto"/>
          </w:divBdr>
          <w:divsChild>
            <w:div w:id="904874857">
              <w:marLeft w:val="0"/>
              <w:marRight w:val="0"/>
              <w:marTop w:val="0"/>
              <w:marBottom w:val="0"/>
              <w:divBdr>
                <w:top w:val="none" w:sz="0" w:space="0" w:color="auto"/>
                <w:left w:val="none" w:sz="0" w:space="0" w:color="auto"/>
                <w:bottom w:val="none" w:sz="0" w:space="0" w:color="auto"/>
                <w:right w:val="none" w:sz="0" w:space="0" w:color="auto"/>
              </w:divBdr>
              <w:divsChild>
                <w:div w:id="298388502">
                  <w:marLeft w:val="0"/>
                  <w:marRight w:val="0"/>
                  <w:marTop w:val="0"/>
                  <w:marBottom w:val="0"/>
                  <w:divBdr>
                    <w:top w:val="none" w:sz="0" w:space="0" w:color="auto"/>
                    <w:left w:val="none" w:sz="0" w:space="0" w:color="auto"/>
                    <w:bottom w:val="none" w:sz="0" w:space="0" w:color="auto"/>
                    <w:right w:val="none" w:sz="0" w:space="0" w:color="auto"/>
                  </w:divBdr>
                  <w:divsChild>
                    <w:div w:id="18029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71348">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9294283">
      <w:bodyDiv w:val="1"/>
      <w:marLeft w:val="0"/>
      <w:marRight w:val="0"/>
      <w:marTop w:val="0"/>
      <w:marBottom w:val="0"/>
      <w:divBdr>
        <w:top w:val="none" w:sz="0" w:space="0" w:color="auto"/>
        <w:left w:val="none" w:sz="0" w:space="0" w:color="auto"/>
        <w:bottom w:val="none" w:sz="0" w:space="0" w:color="auto"/>
        <w:right w:val="none" w:sz="0" w:space="0" w:color="auto"/>
      </w:divBdr>
      <w:divsChild>
        <w:div w:id="770659839">
          <w:marLeft w:val="0"/>
          <w:marRight w:val="0"/>
          <w:marTop w:val="0"/>
          <w:marBottom w:val="0"/>
          <w:divBdr>
            <w:top w:val="none" w:sz="0" w:space="0" w:color="auto"/>
            <w:left w:val="none" w:sz="0" w:space="0" w:color="auto"/>
            <w:bottom w:val="none" w:sz="0" w:space="0" w:color="auto"/>
            <w:right w:val="none" w:sz="0" w:space="0" w:color="auto"/>
          </w:divBdr>
        </w:div>
      </w:divsChild>
    </w:div>
    <w:div w:id="900212454">
      <w:bodyDiv w:val="1"/>
      <w:marLeft w:val="0"/>
      <w:marRight w:val="0"/>
      <w:marTop w:val="0"/>
      <w:marBottom w:val="0"/>
      <w:divBdr>
        <w:top w:val="none" w:sz="0" w:space="0" w:color="auto"/>
        <w:left w:val="none" w:sz="0" w:space="0" w:color="auto"/>
        <w:bottom w:val="none" w:sz="0" w:space="0" w:color="auto"/>
        <w:right w:val="none" w:sz="0" w:space="0" w:color="auto"/>
      </w:divBdr>
    </w:div>
    <w:div w:id="985471311">
      <w:bodyDiv w:val="1"/>
      <w:marLeft w:val="0"/>
      <w:marRight w:val="0"/>
      <w:marTop w:val="0"/>
      <w:marBottom w:val="0"/>
      <w:divBdr>
        <w:top w:val="none" w:sz="0" w:space="0" w:color="auto"/>
        <w:left w:val="none" w:sz="0" w:space="0" w:color="auto"/>
        <w:bottom w:val="none" w:sz="0" w:space="0" w:color="auto"/>
        <w:right w:val="none" w:sz="0" w:space="0" w:color="auto"/>
      </w:divBdr>
    </w:div>
    <w:div w:id="1331254614">
      <w:bodyDiv w:val="1"/>
      <w:marLeft w:val="0"/>
      <w:marRight w:val="0"/>
      <w:marTop w:val="0"/>
      <w:marBottom w:val="0"/>
      <w:divBdr>
        <w:top w:val="none" w:sz="0" w:space="0" w:color="auto"/>
        <w:left w:val="none" w:sz="0" w:space="0" w:color="auto"/>
        <w:bottom w:val="none" w:sz="0" w:space="0" w:color="auto"/>
        <w:right w:val="none" w:sz="0" w:space="0" w:color="auto"/>
      </w:divBdr>
      <w:divsChild>
        <w:div w:id="1275289515">
          <w:marLeft w:val="0"/>
          <w:marRight w:val="0"/>
          <w:marTop w:val="0"/>
          <w:marBottom w:val="0"/>
          <w:divBdr>
            <w:top w:val="none" w:sz="0" w:space="0" w:color="auto"/>
            <w:left w:val="none" w:sz="0" w:space="0" w:color="auto"/>
            <w:bottom w:val="none" w:sz="0" w:space="0" w:color="auto"/>
            <w:right w:val="none" w:sz="0" w:space="0" w:color="auto"/>
          </w:divBdr>
        </w:div>
      </w:divsChild>
    </w:div>
    <w:div w:id="1357005769">
      <w:bodyDiv w:val="1"/>
      <w:marLeft w:val="0"/>
      <w:marRight w:val="0"/>
      <w:marTop w:val="0"/>
      <w:marBottom w:val="0"/>
      <w:divBdr>
        <w:top w:val="none" w:sz="0" w:space="0" w:color="auto"/>
        <w:left w:val="none" w:sz="0" w:space="0" w:color="auto"/>
        <w:bottom w:val="none" w:sz="0" w:space="0" w:color="auto"/>
        <w:right w:val="none" w:sz="0" w:space="0" w:color="auto"/>
      </w:divBdr>
    </w:div>
    <w:div w:id="1488746532">
      <w:bodyDiv w:val="1"/>
      <w:marLeft w:val="0"/>
      <w:marRight w:val="0"/>
      <w:marTop w:val="0"/>
      <w:marBottom w:val="0"/>
      <w:divBdr>
        <w:top w:val="none" w:sz="0" w:space="0" w:color="auto"/>
        <w:left w:val="none" w:sz="0" w:space="0" w:color="auto"/>
        <w:bottom w:val="none" w:sz="0" w:space="0" w:color="auto"/>
        <w:right w:val="none" w:sz="0" w:space="0" w:color="auto"/>
      </w:divBdr>
      <w:divsChild>
        <w:div w:id="1209298330">
          <w:marLeft w:val="0"/>
          <w:marRight w:val="0"/>
          <w:marTop w:val="0"/>
          <w:marBottom w:val="0"/>
          <w:divBdr>
            <w:top w:val="none" w:sz="0" w:space="0" w:color="auto"/>
            <w:left w:val="none" w:sz="0" w:space="0" w:color="auto"/>
            <w:bottom w:val="none" w:sz="0" w:space="0" w:color="auto"/>
            <w:right w:val="none" w:sz="0" w:space="0" w:color="auto"/>
          </w:divBdr>
        </w:div>
      </w:divsChild>
    </w:div>
    <w:div w:id="1659766385">
      <w:bodyDiv w:val="1"/>
      <w:marLeft w:val="0"/>
      <w:marRight w:val="0"/>
      <w:marTop w:val="0"/>
      <w:marBottom w:val="0"/>
      <w:divBdr>
        <w:top w:val="none" w:sz="0" w:space="0" w:color="auto"/>
        <w:left w:val="none" w:sz="0" w:space="0" w:color="auto"/>
        <w:bottom w:val="none" w:sz="0" w:space="0" w:color="auto"/>
        <w:right w:val="none" w:sz="0" w:space="0" w:color="auto"/>
      </w:divBdr>
      <w:divsChild>
        <w:div w:id="798109135">
          <w:marLeft w:val="0"/>
          <w:marRight w:val="0"/>
          <w:marTop w:val="0"/>
          <w:marBottom w:val="0"/>
          <w:divBdr>
            <w:top w:val="none" w:sz="0" w:space="0" w:color="auto"/>
            <w:left w:val="none" w:sz="0" w:space="0" w:color="auto"/>
            <w:bottom w:val="none" w:sz="0" w:space="0" w:color="auto"/>
            <w:right w:val="none" w:sz="0" w:space="0" w:color="auto"/>
          </w:divBdr>
          <w:divsChild>
            <w:div w:id="1254320196">
              <w:marLeft w:val="0"/>
              <w:marRight w:val="0"/>
              <w:marTop w:val="0"/>
              <w:marBottom w:val="0"/>
              <w:divBdr>
                <w:top w:val="none" w:sz="0" w:space="0" w:color="auto"/>
                <w:left w:val="none" w:sz="0" w:space="0" w:color="auto"/>
                <w:bottom w:val="none" w:sz="0" w:space="0" w:color="auto"/>
                <w:right w:val="none" w:sz="0" w:space="0" w:color="auto"/>
              </w:divBdr>
              <w:divsChild>
                <w:div w:id="1269393754">
                  <w:marLeft w:val="0"/>
                  <w:marRight w:val="0"/>
                  <w:marTop w:val="0"/>
                  <w:marBottom w:val="0"/>
                  <w:divBdr>
                    <w:top w:val="none" w:sz="0" w:space="0" w:color="auto"/>
                    <w:left w:val="none" w:sz="0" w:space="0" w:color="auto"/>
                    <w:bottom w:val="none" w:sz="0" w:space="0" w:color="auto"/>
                    <w:right w:val="none" w:sz="0" w:space="0" w:color="auto"/>
                  </w:divBdr>
                  <w:divsChild>
                    <w:div w:id="320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7153">
      <w:bodyDiv w:val="1"/>
      <w:marLeft w:val="0"/>
      <w:marRight w:val="0"/>
      <w:marTop w:val="0"/>
      <w:marBottom w:val="0"/>
      <w:divBdr>
        <w:top w:val="none" w:sz="0" w:space="0" w:color="auto"/>
        <w:left w:val="none" w:sz="0" w:space="0" w:color="auto"/>
        <w:bottom w:val="none" w:sz="0" w:space="0" w:color="auto"/>
        <w:right w:val="none" w:sz="0" w:space="0" w:color="auto"/>
      </w:divBdr>
      <w:divsChild>
        <w:div w:id="1374114157">
          <w:marLeft w:val="0"/>
          <w:marRight w:val="0"/>
          <w:marTop w:val="0"/>
          <w:marBottom w:val="0"/>
          <w:divBdr>
            <w:top w:val="none" w:sz="0" w:space="0" w:color="auto"/>
            <w:left w:val="none" w:sz="0" w:space="0" w:color="auto"/>
            <w:bottom w:val="none" w:sz="0" w:space="0" w:color="auto"/>
            <w:right w:val="none" w:sz="0" w:space="0" w:color="auto"/>
          </w:divBdr>
          <w:divsChild>
            <w:div w:id="1561593758">
              <w:marLeft w:val="0"/>
              <w:marRight w:val="0"/>
              <w:marTop w:val="0"/>
              <w:marBottom w:val="0"/>
              <w:divBdr>
                <w:top w:val="none" w:sz="0" w:space="0" w:color="auto"/>
                <w:left w:val="none" w:sz="0" w:space="0" w:color="auto"/>
                <w:bottom w:val="none" w:sz="0" w:space="0" w:color="auto"/>
                <w:right w:val="none" w:sz="0" w:space="0" w:color="auto"/>
              </w:divBdr>
              <w:divsChild>
                <w:div w:id="1905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liverpool.gov.uk/media/1359213/imd-2019-liverpool-analysis-main-report.pdf" TargetMode="External"/><Relationship Id="rId18" Type="http://schemas.openxmlformats.org/officeDocument/2006/relationships/hyperlink" Target="https://www.ons.gov.uk/employmentandlabourmarket/peopleinwork/employmentandemployeetypes/bulletins/uklabourmarket/december2020" TargetMode="External"/><Relationship Id="rId26" Type="http://schemas.openxmlformats.org/officeDocument/2006/relationships/hyperlink" Target="http://data.parliament.uk/writtenevidence/committeeevidence.svc/evidencedocument/work-and-pensions-committee/pip-and-esa-assessments/written/73297.pdf" TargetMode="External"/><Relationship Id="rId3" Type="http://schemas.openxmlformats.org/officeDocument/2006/relationships/hyperlink" Target="https://blogs.bmj.com/bmj/2020/05/22/Covid-19-we-are-not-all-in-it-together-less-privileged-in-society-are-suffering-the-brunt-of-the-damage/" TargetMode="External"/><Relationship Id="rId21" Type="http://schemas.openxmlformats.org/officeDocument/2006/relationships/hyperlink" Target="https://www.oecd.org/gov/A2J-RT-Session-notes-May-2017.pdf" TargetMode="External"/><Relationship Id="rId7" Type="http://schemas.openxmlformats.org/officeDocument/2006/relationships/hyperlink" Target="https://stevemorganfoundation.org.uk/covid-19-emergency-fund-replaced-by-new-20m-match-fund/" TargetMode="External"/><Relationship Id="rId12" Type="http://schemas.openxmlformats.org/officeDocument/2006/relationships/hyperlink" Target="https://www.oecd.org/gov/A2J-RT-Session-notes-May-2017.pdf" TargetMode="External"/><Relationship Id="rId17" Type="http://schemas.openxmlformats.org/officeDocument/2006/relationships/hyperlink" Target="https://www.legalservicesboard.org.uk/coronavirus_impact" TargetMode="External"/><Relationship Id="rId25" Type="http://schemas.openxmlformats.org/officeDocument/2006/relationships/hyperlink" Target="https://doi.org/10.1093/icon/mot042" TargetMode="External"/><Relationship Id="rId33" Type="http://schemas.openxmlformats.org/officeDocument/2006/relationships/hyperlink" Target="https://www.legalservicesboard.org.uk/wp-content/uploads/2020/02/PLE-Reshaping-Legal-Services.pdf" TargetMode="External"/><Relationship Id="rId2" Type="http://schemas.openxmlformats.org/officeDocument/2006/relationships/hyperlink" Target="http://www.instituteofhealthequity.org/resources-reports/build-back-fairer-the-covid-19-marmot-review" TargetMode="External"/><Relationship Id="rId16" Type="http://schemas.openxmlformats.org/officeDocument/2006/relationships/hyperlink" Target="http://repository.essex.ac.uk/28002/1/COVID-19%5ELJ%20LAW%20%5EL0%20HUMAN%20RIGHTS%20-%20ESSEX%20DIALOGUES%20%201%20July%202020.pdf" TargetMode="External"/><Relationship Id="rId20" Type="http://schemas.openxmlformats.org/officeDocument/2006/relationships/hyperlink" Target="https://www.oecd.org/gov/A2J-RT-Session-notes-May-2017.pdf" TargetMode="External"/><Relationship Id="rId29" Type="http://schemas.openxmlformats.org/officeDocument/2006/relationships/hyperlink" Target="https://www.ons.gov.uk/peoplepopulationandcommunity/householdcharacteristics/homeinternetandsocialmediausage/articles/exploringtheuksdigitaldivide/2019-03-04#the-scale-of-digital-exclusion-in-the-uk" TargetMode="External"/><Relationship Id="rId1" Type="http://schemas.openxmlformats.org/officeDocument/2006/relationships/hyperlink" Target="https://www.jrf.org.uk/report/destitution-uk-2018" TargetMode="External"/><Relationship Id="rId6" Type="http://schemas.openxmlformats.org/officeDocument/2006/relationships/hyperlink" Target="https://www.communityjusticefund.org.uk/" TargetMode="External"/><Relationship Id="rId11" Type="http://schemas.openxmlformats.org/officeDocument/2006/relationships/hyperlink" Target="https://www.ncbi.nlm.nih.gov/pmc/articles/PMC7298201/" TargetMode="External"/><Relationship Id="rId24" Type="http://schemas.openxmlformats.org/officeDocument/2006/relationships/hyperlink" Target="https://assets.publishing.service.gov.uk/government/uploads/system/uploads/attachment_data/file/384310/cla-provider-research.pdf" TargetMode="External"/><Relationship Id="rId32" Type="http://schemas.openxmlformats.org/officeDocument/2006/relationships/hyperlink" Target="https://www.thelegaleducationfoundation.org/wp-content/uploads/2015/06/Role-of-Advice-Services-in-Health-Outcomes.pdf" TargetMode="External"/><Relationship Id="rId5" Type="http://schemas.openxmlformats.org/officeDocument/2006/relationships/hyperlink" Target="https://www.legalservicesboard.org.uk/wp-content/uploads/2020/01/Legal-Needs-of-Individuals-Summary-Report-Final-January-2020.pdf" TargetMode="External"/><Relationship Id="rId15" Type="http://schemas.openxmlformats.org/officeDocument/2006/relationships/hyperlink" Target="https://www.lawsociety.org.uk/en/topics/research/legal-needs-of-individuals-in-england-and-wales-report" TargetMode="External"/><Relationship Id="rId23" Type="http://schemas.openxmlformats.org/officeDocument/2006/relationships/hyperlink" Target="https://assets.publishing.service.gov.uk/government/uploads/system/uploads/attachment_data/file/384310/cla-provider-research.pdf" TargetMode="External"/><Relationship Id="rId28" Type="http://schemas.openxmlformats.org/officeDocument/2006/relationships/hyperlink" Target="https://www.cchpr.landecon.cam.ac.uk/Research/Start-Year/2017/building_better_opportunities_new_horizons/digital_divide" TargetMode="External"/><Relationship Id="rId10" Type="http://schemas.openxmlformats.org/officeDocument/2006/relationships/hyperlink" Target="https://www.ncbi.nlm.nih.gov/pmc/articles/PMC7298201/" TargetMode="External"/><Relationship Id="rId19" Type="http://schemas.openxmlformats.org/officeDocument/2006/relationships/hyperlink" Target="https://www.lag.org.uk/article/208258/editorial--we-are-working-to-ensure-access-to-justice-during-the-Covid-19-crisis-and-beyond" TargetMode="External"/><Relationship Id="rId31" Type="http://schemas.openxmlformats.org/officeDocument/2006/relationships/hyperlink" Target="https://www.legalservicesboard.org.uk/wp-content/uploads/2020/02/PLE-Reshaping-Legal-Services.pdf" TargetMode="External"/><Relationship Id="rId4" Type="http://schemas.openxmlformats.org/officeDocument/2006/relationships/hyperlink" Target="https://blogs.lse.ac.uk/politicsandpolicy/depth-and-profile-of-uk-poverty/" TargetMode="External"/><Relationship Id="rId9" Type="http://schemas.openxmlformats.org/officeDocument/2006/relationships/hyperlink" Target="https://blogs.bmj.com/bmj/2020/05/22/Covid-19-we-are-not-all-in-it-together-less-privileged-in-society-are-suffering-the-brunt-of-the-damage/" TargetMode="External"/><Relationship Id="rId14" Type="http://schemas.openxmlformats.org/officeDocument/2006/relationships/hyperlink" Target="http://livrepository.liverpool.ac.uk/id/eprint/3001750" TargetMode="External"/><Relationship Id="rId22" Type="http://schemas.openxmlformats.org/officeDocument/2006/relationships/hyperlink" Target="https://publiclawproject.org.uk/wp-content/uploads/2018/05/Keys-to-the-Gateway-An-Independent-Review-of-the-Mandatory-CLA-Gateway.pdf" TargetMode="External"/><Relationship Id="rId27" Type="http://schemas.openxmlformats.org/officeDocument/2006/relationships/hyperlink" Target="https://www.gov.uk/government/publications/dwp-benefits-statistics-august-2019/dwp-benefits-statistical-summary-august-2019" TargetMode="External"/><Relationship Id="rId30" Type="http://schemas.openxmlformats.org/officeDocument/2006/relationships/hyperlink" Target="https://www.thelegaleducationfoundation.org/wp-content/uploads/2015/06/Role-of-Advice-Services-in-Health-Outcomes.pdf" TargetMode="External"/><Relationship Id="rId8" Type="http://schemas.openxmlformats.org/officeDocument/2006/relationships/hyperlink" Target="https://www.liverpool.ac.uk/coronavirus/events/liverpool-responds-health-inequ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7E9A53550B94186259E82EEC756CB" ma:contentTypeVersion="7" ma:contentTypeDescription="Create a new document." ma:contentTypeScope="" ma:versionID="1db979dc8947924b49df77d6799efdea">
  <xsd:schema xmlns:xsd="http://www.w3.org/2001/XMLSchema" xmlns:xs="http://www.w3.org/2001/XMLSchema" xmlns:p="http://schemas.microsoft.com/office/2006/metadata/properties" xmlns:ns2="677c4064-a1d6-472b-a5f7-8b2688df2819" xmlns:ns3="83229ed5-6347-4cff-b3a4-a1fe54ced226" targetNamespace="http://schemas.microsoft.com/office/2006/metadata/properties" ma:root="true" ma:fieldsID="3c5c6ba46ccd4e388ac5acf28ef9b85a" ns2:_="" ns3:_="">
    <xsd:import namespace="677c4064-a1d6-472b-a5f7-8b2688df2819"/>
    <xsd:import namespace="83229ed5-6347-4cff-b3a4-a1fe54ced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4064-a1d6-472b-a5f7-8b2688df2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29ed5-6347-4cff-b3a4-a1fe54ced2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2ADA-3E67-4B68-BBAB-D7B48F0F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4064-a1d6-472b-a5f7-8b2688df2819"/>
    <ds:schemaRef ds:uri="83229ed5-6347-4cff-b3a4-a1fe54ce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F198-4A72-4480-B0FA-90DECC55A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99035-9A69-41CA-A2E4-CE0A9D0845E3}">
  <ds:schemaRefs>
    <ds:schemaRef ds:uri="http://schemas.microsoft.com/sharepoint/v3/contenttype/forms"/>
  </ds:schemaRefs>
</ds:datastoreItem>
</file>

<file path=customXml/itemProps4.xml><?xml version="1.0" encoding="utf-8"?>
<ds:datastoreItem xmlns:ds="http://schemas.openxmlformats.org/officeDocument/2006/customXml" ds:itemID="{08D69669-3976-4719-9A22-9EF2C394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James</dc:creator>
  <cp:keywords/>
  <dc:description/>
  <cp:lastModifiedBy>Organ, James</cp:lastModifiedBy>
  <cp:revision>5</cp:revision>
  <dcterms:created xsi:type="dcterms:W3CDTF">2021-01-12T10:38:00Z</dcterms:created>
  <dcterms:modified xsi:type="dcterms:W3CDTF">2021-01-12T10:42:00Z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0x010100EE27E9A53550B94186259E82EEC756CB</vt:lpwstr>
  </property>
</Properties>
</file>