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41CCA" w14:textId="464F9F04" w:rsidR="003E17C6" w:rsidRPr="00A74CDF" w:rsidRDefault="003F2650" w:rsidP="00BB1388">
      <w:pPr>
        <w:pStyle w:val="ManuscriptTitle"/>
        <w:spacing w:before="0" w:after="0" w:line="480" w:lineRule="auto"/>
        <w:jc w:val="both"/>
        <w:rPr>
          <w:rFonts w:ascii="Times New Roman" w:eastAsia="맑은 고딕" w:hAnsi="Times New Roman" w:cs="Times New Roman"/>
          <w:b/>
          <w:color w:val="000000" w:themeColor="text1"/>
          <w:sz w:val="24"/>
          <w:lang w:eastAsia="ko-KR"/>
        </w:rPr>
      </w:pPr>
      <w:r w:rsidRPr="00A74CDF">
        <w:rPr>
          <w:rFonts w:ascii="Times New Roman" w:eastAsia="맑은 고딕" w:hAnsi="Times New Roman" w:cs="Times New Roman"/>
          <w:b/>
          <w:color w:val="000000" w:themeColor="text1"/>
          <w:sz w:val="24"/>
          <w:lang w:eastAsia="ko-KR"/>
        </w:rPr>
        <w:t>Non-vitamin K Antagonist Oral Anticoagulants in Patients with Atrial Fibrillation and Prior Gastrointestinal Bleeding</w:t>
      </w:r>
    </w:p>
    <w:p w14:paraId="77942B59" w14:textId="77777777" w:rsidR="003F2650" w:rsidRPr="00A74CDF" w:rsidRDefault="003F2650" w:rsidP="00BB1388">
      <w:pPr>
        <w:pStyle w:val="ManuscriptTitle"/>
        <w:spacing w:before="0" w:after="0" w:line="480" w:lineRule="auto"/>
        <w:jc w:val="both"/>
        <w:rPr>
          <w:rFonts w:ascii="Times New Roman" w:eastAsia="맑은 고딕" w:hAnsi="Times New Roman" w:cs="Times New Roman"/>
          <w:color w:val="000000" w:themeColor="text1"/>
          <w:sz w:val="24"/>
        </w:rPr>
      </w:pPr>
    </w:p>
    <w:p w14:paraId="19F369D2" w14:textId="77777777" w:rsidR="00940D4E" w:rsidRPr="00A74CDF" w:rsidRDefault="00940D4E" w:rsidP="00BB1388">
      <w:pPr>
        <w:pStyle w:val="1"/>
        <w:spacing w:before="0" w:after="0"/>
        <w:jc w:val="both"/>
        <w:rPr>
          <w:rFonts w:ascii="Times New Roman" w:hAnsi="Times New Roman" w:cs="Times New Roman"/>
        </w:rPr>
      </w:pPr>
      <w:r w:rsidRPr="00A74CDF">
        <w:rPr>
          <w:rFonts w:ascii="Times New Roman" w:eastAsia="맑은 고딕" w:hAnsi="Times New Roman" w:cs="Times New Roman"/>
          <w:color w:val="000000" w:themeColor="text1"/>
        </w:rPr>
        <w:t>Soonil Kwon, MD,</w:t>
      </w:r>
      <w:r w:rsidRPr="00A74CDF">
        <w:rPr>
          <w:rFonts w:ascii="Times New Roman" w:eastAsia="맑은 고딕" w:hAnsi="Times New Roman" w:cs="Times New Roman"/>
          <w:color w:val="000000" w:themeColor="text1"/>
          <w:vertAlign w:val="superscript"/>
        </w:rPr>
        <w:t>1</w:t>
      </w:r>
      <w:r w:rsidRPr="00A74CDF">
        <w:rPr>
          <w:rFonts w:ascii="Times New Roman" w:eastAsia="맑은 고딕" w:hAnsi="Times New Roman" w:cs="Times New Roman"/>
          <w:color w:val="000000" w:themeColor="text1"/>
        </w:rPr>
        <w:t xml:space="preserve">* So-Ryoung Lee, </w:t>
      </w:r>
      <w:r w:rsidRPr="00A74CDF">
        <w:rPr>
          <w:rFonts w:ascii="Times New Roman" w:eastAsia="맑은 고딕" w:hAnsi="Times New Roman" w:cs="Times New Roman"/>
          <w:color w:val="auto"/>
        </w:rPr>
        <w:t>MD,</w:t>
      </w:r>
      <w:r w:rsidRPr="00A74CDF">
        <w:rPr>
          <w:rFonts w:ascii="Times New Roman" w:eastAsia="맑은 고딕" w:hAnsi="Times New Roman" w:cs="Times New Roman"/>
          <w:color w:val="auto"/>
          <w:vertAlign w:val="superscript"/>
        </w:rPr>
        <w:t>1</w:t>
      </w:r>
      <w:r w:rsidRPr="00A74CDF">
        <w:rPr>
          <w:rFonts w:ascii="Times New Roman" w:eastAsia="맑은 고딕" w:hAnsi="Times New Roman" w:cs="Times New Roman"/>
          <w:color w:val="000000" w:themeColor="text1"/>
        </w:rPr>
        <w:t>*</w:t>
      </w:r>
      <w:r w:rsidRPr="00A74CDF">
        <w:rPr>
          <w:rFonts w:ascii="Times New Roman" w:eastAsia="맑은 고딕" w:hAnsi="Times New Roman" w:cs="Times New Roman"/>
          <w:color w:val="auto"/>
        </w:rPr>
        <w:t xml:space="preserve"> </w:t>
      </w:r>
      <w:r w:rsidRPr="00A74CDF">
        <w:rPr>
          <w:rFonts w:ascii="Times New Roman" w:eastAsia="맑은 고딕" w:hAnsi="Times New Roman" w:cs="Times New Roman"/>
          <w:color w:val="000000" w:themeColor="text1"/>
        </w:rPr>
        <w:t>Eue-Keun Choi, MD, PhD,</w:t>
      </w:r>
      <w:r w:rsidRPr="00A74CDF">
        <w:rPr>
          <w:rFonts w:ascii="Times New Roman" w:eastAsia="맑은 고딕" w:hAnsi="Times New Roman" w:cs="Times New Roman"/>
          <w:color w:val="000000" w:themeColor="text1"/>
          <w:vertAlign w:val="superscript"/>
        </w:rPr>
        <w:t>1</w:t>
      </w:r>
      <w:r w:rsidRPr="00A74CDF">
        <w:rPr>
          <w:rFonts w:ascii="Times New Roman" w:eastAsia="맑은 고딕" w:hAnsi="Times New Roman" w:cs="Times New Roman"/>
          <w:color w:val="000000" w:themeColor="text1"/>
        </w:rPr>
        <w:t xml:space="preserve"> </w:t>
      </w:r>
      <w:r w:rsidRPr="00A74CDF">
        <w:rPr>
          <w:rFonts w:ascii="Times New Roman" w:eastAsia="맑은 고딕" w:hAnsi="Times New Roman" w:cs="Times New Roman"/>
          <w:color w:val="auto"/>
          <w:lang w:eastAsia="ko-KR"/>
        </w:rPr>
        <w:t>Euijae Lee, MD,</w:t>
      </w:r>
      <w:r w:rsidRPr="00A74CDF">
        <w:rPr>
          <w:rFonts w:ascii="Times New Roman" w:eastAsia="맑은 고딕" w:hAnsi="Times New Roman" w:cs="Times New Roman"/>
          <w:color w:val="auto"/>
          <w:vertAlign w:val="superscript"/>
          <w:lang w:eastAsia="ko-KR"/>
        </w:rPr>
        <w:t>1</w:t>
      </w:r>
      <w:r w:rsidRPr="00A74CDF">
        <w:rPr>
          <w:rFonts w:ascii="Times New Roman" w:eastAsia="맑은 고딕" w:hAnsi="Times New Roman" w:cs="Times New Roman"/>
          <w:color w:val="auto"/>
          <w:lang w:eastAsia="ko-KR"/>
        </w:rPr>
        <w:t xml:space="preserve"> Jin-Hyung Jung, BSc,</w:t>
      </w:r>
      <w:r w:rsidRPr="00A74CDF">
        <w:rPr>
          <w:rFonts w:ascii="Times New Roman" w:eastAsia="맑은 고딕" w:hAnsi="Times New Roman" w:cs="Times New Roman"/>
          <w:color w:val="auto"/>
          <w:vertAlign w:val="superscript"/>
          <w:lang w:eastAsia="ko-KR"/>
        </w:rPr>
        <w:t>2</w:t>
      </w:r>
      <w:r w:rsidRPr="00A74CDF">
        <w:rPr>
          <w:rFonts w:ascii="Times New Roman" w:eastAsia="맑은 고딕" w:hAnsi="Times New Roman" w:cs="Times New Roman"/>
          <w:color w:val="auto"/>
          <w:lang w:eastAsia="ko-KR"/>
        </w:rPr>
        <w:t xml:space="preserve"> </w:t>
      </w:r>
      <w:r w:rsidRPr="00A74CDF">
        <w:rPr>
          <w:rFonts w:ascii="Times New Roman" w:eastAsia="맑은 고딕" w:hAnsi="Times New Roman" w:cs="Times New Roman"/>
          <w:color w:val="auto"/>
        </w:rPr>
        <w:t>Kyung-</w:t>
      </w:r>
      <w:r w:rsidRPr="00A74CDF">
        <w:rPr>
          <w:rFonts w:ascii="Times New Roman" w:eastAsia="맑은 고딕" w:hAnsi="Times New Roman" w:cs="Times New Roman"/>
          <w:color w:val="auto"/>
          <w:lang w:eastAsia="ko-KR"/>
        </w:rPr>
        <w:t>D</w:t>
      </w:r>
      <w:r w:rsidRPr="00A74CDF">
        <w:rPr>
          <w:rFonts w:ascii="Times New Roman" w:eastAsia="맑은 고딕" w:hAnsi="Times New Roman" w:cs="Times New Roman"/>
          <w:color w:val="auto"/>
        </w:rPr>
        <w:t>o</w:t>
      </w:r>
      <w:r w:rsidRPr="00A74CDF">
        <w:rPr>
          <w:rFonts w:ascii="Times New Roman" w:eastAsia="맑은 고딕" w:hAnsi="Times New Roman" w:cs="Times New Roman"/>
          <w:color w:val="000000" w:themeColor="text1"/>
        </w:rPr>
        <w:t xml:space="preserve"> Han, PhD,</w:t>
      </w:r>
      <w:r w:rsidRPr="00A74CDF">
        <w:rPr>
          <w:rFonts w:ascii="Times New Roman" w:eastAsia="맑은 고딕" w:hAnsi="Times New Roman" w:cs="Times New Roman"/>
          <w:color w:val="000000" w:themeColor="text1"/>
          <w:vertAlign w:val="superscript"/>
          <w:lang w:eastAsia="ko-KR"/>
        </w:rPr>
        <w:t>2</w:t>
      </w:r>
      <w:r w:rsidRPr="00A74CDF">
        <w:rPr>
          <w:rFonts w:ascii="Times New Roman" w:eastAsia="맑은 고딕" w:hAnsi="Times New Roman" w:cs="Times New Roman"/>
          <w:color w:val="000000" w:themeColor="text1"/>
        </w:rPr>
        <w:t xml:space="preserve"> Myung-Jin Cha, MD,</w:t>
      </w:r>
      <w:r w:rsidRPr="00A74CDF">
        <w:rPr>
          <w:rFonts w:ascii="Times New Roman" w:eastAsia="맑은 고딕" w:hAnsi="Times New Roman" w:cs="Times New Roman"/>
          <w:color w:val="000000" w:themeColor="text1"/>
          <w:vertAlign w:val="superscript"/>
        </w:rPr>
        <w:t>1</w:t>
      </w:r>
      <w:r w:rsidRPr="00A74CDF">
        <w:rPr>
          <w:rFonts w:ascii="Times New Roman" w:eastAsia="맑은 고딕" w:hAnsi="Times New Roman" w:cs="Times New Roman"/>
          <w:color w:val="000000" w:themeColor="text1"/>
        </w:rPr>
        <w:t xml:space="preserve"> Seil Oh, MD, PhD,</w:t>
      </w:r>
      <w:r w:rsidRPr="00A74CDF">
        <w:rPr>
          <w:rFonts w:ascii="Times New Roman" w:eastAsia="맑은 고딕" w:hAnsi="Times New Roman" w:cs="Times New Roman"/>
          <w:color w:val="000000" w:themeColor="text1"/>
          <w:vertAlign w:val="superscript"/>
        </w:rPr>
        <w:t>1</w:t>
      </w:r>
      <w:r w:rsidRPr="00A74CDF">
        <w:rPr>
          <w:rFonts w:ascii="Times New Roman" w:hAnsi="Times New Roman" w:cs="Times New Roman"/>
        </w:rPr>
        <w:t xml:space="preserve"> Gregory Y. H. Lip, MD</w:t>
      </w:r>
      <w:r w:rsidRPr="00A74CDF">
        <w:rPr>
          <w:rFonts w:ascii="Times New Roman" w:hAnsi="Times New Roman" w:cs="Times New Roman"/>
          <w:vertAlign w:val="superscript"/>
        </w:rPr>
        <w:t>1,3,4</w:t>
      </w:r>
    </w:p>
    <w:p w14:paraId="2A2F5A82" w14:textId="77777777" w:rsidR="00940D4E" w:rsidRPr="00A74CDF" w:rsidRDefault="00940D4E" w:rsidP="00BB1388">
      <w:pPr>
        <w:pStyle w:val="1"/>
        <w:spacing w:before="0" w:after="0"/>
        <w:jc w:val="both"/>
        <w:rPr>
          <w:rFonts w:ascii="Times New Roman" w:eastAsia="맑은 고딕" w:hAnsi="Times New Roman" w:cs="Times New Roman"/>
          <w:color w:val="000000" w:themeColor="text1"/>
        </w:rPr>
      </w:pPr>
    </w:p>
    <w:p w14:paraId="75AFF00F" w14:textId="77777777" w:rsidR="00940D4E" w:rsidRPr="00A74CDF" w:rsidRDefault="00940D4E" w:rsidP="00BB1388">
      <w:pPr>
        <w:pStyle w:val="TableofContents"/>
        <w:spacing w:before="0" w:after="0"/>
        <w:jc w:val="both"/>
        <w:rPr>
          <w:rFonts w:ascii="Times New Roman" w:eastAsia="맑은 고딕" w:hAnsi="Times New Roman" w:cs="Times New Roman"/>
          <w:color w:val="000000" w:themeColor="text1"/>
        </w:rPr>
      </w:pPr>
      <w:r w:rsidRPr="00A74CDF">
        <w:rPr>
          <w:rFonts w:ascii="Times New Roman" w:eastAsia="맑은 고딕" w:hAnsi="Times New Roman" w:cs="Times New Roman"/>
          <w:color w:val="000000" w:themeColor="text1"/>
          <w:vertAlign w:val="superscript"/>
        </w:rPr>
        <w:t xml:space="preserve">1 </w:t>
      </w:r>
      <w:r w:rsidRPr="00A74CDF">
        <w:rPr>
          <w:rFonts w:ascii="Times New Roman" w:eastAsia="맑은 고딕" w:hAnsi="Times New Roman" w:cs="Times New Roman"/>
          <w:color w:val="000000" w:themeColor="text1"/>
        </w:rPr>
        <w:t>Department of Internal Medicine, Seoul National University Hospital, Seoul, Republic of Korea</w:t>
      </w:r>
    </w:p>
    <w:p w14:paraId="7999708C" w14:textId="77777777" w:rsidR="00940D4E" w:rsidRPr="00A74CDF" w:rsidRDefault="00940D4E" w:rsidP="00BB1388">
      <w:pPr>
        <w:pStyle w:val="TableofContents"/>
        <w:spacing w:before="0" w:after="0"/>
        <w:jc w:val="both"/>
        <w:rPr>
          <w:rFonts w:ascii="Times New Roman" w:eastAsia="맑은 고딕" w:hAnsi="Times New Roman" w:cs="Times New Roman"/>
          <w:color w:val="000000" w:themeColor="text1"/>
        </w:rPr>
      </w:pPr>
      <w:r w:rsidRPr="00A74CDF">
        <w:rPr>
          <w:rFonts w:ascii="Times New Roman" w:eastAsia="맑은 고딕" w:hAnsi="Times New Roman" w:cs="Times New Roman"/>
          <w:color w:val="000000" w:themeColor="text1"/>
          <w:vertAlign w:val="superscript"/>
          <w:lang w:eastAsia="ko-KR"/>
        </w:rPr>
        <w:t xml:space="preserve">2 </w:t>
      </w:r>
      <w:r w:rsidRPr="00A74CDF">
        <w:rPr>
          <w:rFonts w:ascii="Times New Roman" w:eastAsia="맑은 고딕" w:hAnsi="Times New Roman" w:cs="Times New Roman"/>
          <w:color w:val="000000" w:themeColor="text1"/>
        </w:rPr>
        <w:t>Department of Medical Statistics, College of Medicine, The Catholic University of Korea, Seoul, Republic of Korea</w:t>
      </w:r>
    </w:p>
    <w:p w14:paraId="7A276697" w14:textId="77777777" w:rsidR="008E7990" w:rsidRPr="00A74CDF" w:rsidRDefault="00940D4E" w:rsidP="00BB1388">
      <w:pPr>
        <w:spacing w:line="480" w:lineRule="auto"/>
        <w:jc w:val="both"/>
        <w:rPr>
          <w:color w:val="222222"/>
          <w:shd w:val="clear" w:color="auto" w:fill="FFFFFF"/>
          <w:lang w:eastAsia="ko-KR"/>
        </w:rPr>
      </w:pPr>
      <w:r w:rsidRPr="00A74CDF">
        <w:rPr>
          <w:color w:val="222222"/>
          <w:shd w:val="clear" w:color="auto" w:fill="FFFFFF"/>
          <w:vertAlign w:val="superscript"/>
          <w:lang w:eastAsia="ko-KR"/>
        </w:rPr>
        <w:t>3</w:t>
      </w:r>
      <w:r w:rsidRPr="00A74CDF">
        <w:rPr>
          <w:color w:val="222222"/>
          <w:shd w:val="clear" w:color="auto" w:fill="FFFFFF"/>
        </w:rPr>
        <w:t xml:space="preserve"> Liverpool Centre for Cardiovascular Science, University of Liverpool and Liverpool Chest &amp; Heart Hospital, Liverpool, United Kingdom</w:t>
      </w:r>
    </w:p>
    <w:p w14:paraId="0E7FA9DE" w14:textId="5497A850" w:rsidR="00940D4E" w:rsidRPr="00A74CDF" w:rsidRDefault="00940D4E" w:rsidP="00BB1388">
      <w:pPr>
        <w:spacing w:line="480" w:lineRule="auto"/>
        <w:jc w:val="both"/>
        <w:rPr>
          <w:rFonts w:eastAsia="바탕"/>
          <w:color w:val="222222"/>
          <w:shd w:val="clear" w:color="auto" w:fill="FFFFFF"/>
        </w:rPr>
      </w:pPr>
      <w:r w:rsidRPr="00A74CDF">
        <w:rPr>
          <w:color w:val="222222"/>
          <w:shd w:val="clear" w:color="auto" w:fill="FFFFFF"/>
          <w:vertAlign w:val="superscript"/>
        </w:rPr>
        <w:t>4</w:t>
      </w:r>
      <w:r w:rsidRPr="00A74CDF">
        <w:rPr>
          <w:color w:val="222222"/>
          <w:shd w:val="clear" w:color="auto" w:fill="FFFFFF"/>
        </w:rPr>
        <w:t xml:space="preserve"> Department of Clinical Medicine, Aalborg University, Aalborg, Denmark</w:t>
      </w:r>
    </w:p>
    <w:p w14:paraId="52A458A1" w14:textId="77777777" w:rsidR="00940D4E" w:rsidRPr="00A74CDF" w:rsidRDefault="00940D4E" w:rsidP="00BB1388">
      <w:pPr>
        <w:spacing w:line="480" w:lineRule="auto"/>
        <w:rPr>
          <w:color w:val="000000" w:themeColor="text1"/>
        </w:rPr>
      </w:pPr>
    </w:p>
    <w:p w14:paraId="05E8EE0F" w14:textId="7A083B88" w:rsidR="00940D4E" w:rsidRPr="00A74CDF" w:rsidRDefault="00940D4E" w:rsidP="00BB1388">
      <w:pPr>
        <w:spacing w:line="480" w:lineRule="auto"/>
        <w:rPr>
          <w:b/>
          <w:bCs/>
          <w:color w:val="000000" w:themeColor="text1"/>
        </w:rPr>
      </w:pPr>
      <w:r w:rsidRPr="00A74CDF">
        <w:rPr>
          <w:b/>
          <w:bCs/>
          <w:color w:val="000000" w:themeColor="text1"/>
        </w:rPr>
        <w:t>*</w:t>
      </w:r>
      <w:r w:rsidR="00DE04C8" w:rsidRPr="00A74CDF">
        <w:rPr>
          <w:b/>
          <w:bCs/>
          <w:color w:val="000000" w:themeColor="text1"/>
        </w:rPr>
        <w:t xml:space="preserve"> The first two </w:t>
      </w:r>
      <w:r w:rsidRPr="00A74CDF">
        <w:rPr>
          <w:b/>
          <w:bCs/>
          <w:color w:val="000000" w:themeColor="text1"/>
        </w:rPr>
        <w:t>authors contributed equally</w:t>
      </w:r>
      <w:r w:rsidR="00DE04C8" w:rsidRPr="00A74CDF">
        <w:rPr>
          <w:b/>
          <w:bCs/>
          <w:color w:val="000000" w:themeColor="text1"/>
        </w:rPr>
        <w:t xml:space="preserve"> to this work</w:t>
      </w:r>
      <w:r w:rsidRPr="00A74CDF">
        <w:rPr>
          <w:b/>
          <w:bCs/>
          <w:color w:val="000000" w:themeColor="text1"/>
        </w:rPr>
        <w:t xml:space="preserve">. </w:t>
      </w:r>
    </w:p>
    <w:p w14:paraId="524D171A" w14:textId="77777777" w:rsidR="00940D4E" w:rsidRPr="00A74CDF" w:rsidRDefault="00940D4E" w:rsidP="00BB1388">
      <w:pPr>
        <w:pStyle w:val="TableofContents"/>
        <w:spacing w:before="0" w:after="0"/>
        <w:jc w:val="both"/>
        <w:rPr>
          <w:rFonts w:ascii="Times New Roman" w:eastAsia="맑은 고딕" w:hAnsi="Times New Roman" w:cs="Times New Roman"/>
          <w:color w:val="auto"/>
          <w:lang w:eastAsia="ko-KR"/>
        </w:rPr>
      </w:pPr>
    </w:p>
    <w:p w14:paraId="727C29A4" w14:textId="77777777" w:rsidR="00940D4E" w:rsidRPr="00A74CDF" w:rsidRDefault="00940D4E" w:rsidP="00BB1388">
      <w:pPr>
        <w:pStyle w:val="TableofContents"/>
        <w:spacing w:before="0" w:after="0"/>
        <w:jc w:val="both"/>
        <w:rPr>
          <w:rFonts w:ascii="Times New Roman" w:eastAsia="맑은 고딕" w:hAnsi="Times New Roman" w:cs="Times New Roman"/>
          <w:b/>
          <w:color w:val="000000" w:themeColor="text1"/>
        </w:rPr>
      </w:pPr>
      <w:r w:rsidRPr="00A74CDF">
        <w:rPr>
          <w:rFonts w:ascii="Times New Roman" w:eastAsia="맑은 고딕" w:hAnsi="Times New Roman" w:cs="Times New Roman"/>
          <w:b/>
          <w:color w:val="000000" w:themeColor="text1"/>
        </w:rPr>
        <w:t>Corresponding author:</w:t>
      </w:r>
    </w:p>
    <w:p w14:paraId="205679AF" w14:textId="77777777" w:rsidR="00940D4E" w:rsidRPr="00A74CDF" w:rsidRDefault="00940D4E" w:rsidP="00BB1388">
      <w:pPr>
        <w:pStyle w:val="TableofContents"/>
        <w:spacing w:before="0" w:after="0"/>
        <w:jc w:val="both"/>
        <w:rPr>
          <w:rFonts w:ascii="Times New Roman" w:eastAsia="맑은 고딕" w:hAnsi="Times New Roman" w:cs="Times New Roman"/>
          <w:color w:val="000000" w:themeColor="text1"/>
          <w:lang w:eastAsia="ko-KR"/>
        </w:rPr>
      </w:pPr>
      <w:r w:rsidRPr="00A74CDF">
        <w:rPr>
          <w:rFonts w:ascii="Times New Roman" w:eastAsia="맑은 고딕" w:hAnsi="Times New Roman" w:cs="Times New Roman"/>
          <w:color w:val="000000" w:themeColor="text1"/>
        </w:rPr>
        <w:t>Eue-Keun Choi, MD, PhD</w:t>
      </w:r>
    </w:p>
    <w:p w14:paraId="3086E0DA" w14:textId="77777777" w:rsidR="00940D4E" w:rsidRPr="00A74CDF" w:rsidRDefault="00940D4E" w:rsidP="00BB1388">
      <w:pPr>
        <w:pStyle w:val="TableofContents"/>
        <w:spacing w:before="0" w:after="0"/>
        <w:jc w:val="both"/>
        <w:rPr>
          <w:rFonts w:ascii="Times New Roman" w:eastAsia="맑은 고딕" w:hAnsi="Times New Roman" w:cs="Times New Roman"/>
          <w:color w:val="000000" w:themeColor="text1"/>
        </w:rPr>
      </w:pPr>
      <w:r w:rsidRPr="00A74CDF">
        <w:rPr>
          <w:rFonts w:ascii="Times New Roman" w:eastAsia="맑은 고딕" w:hAnsi="Times New Roman" w:cs="Times New Roman"/>
          <w:color w:val="000000" w:themeColor="text1"/>
        </w:rPr>
        <w:t>Department of Internal Medicine, Seoul National University Hospital</w:t>
      </w:r>
    </w:p>
    <w:p w14:paraId="416CE077" w14:textId="77777777" w:rsidR="00940D4E" w:rsidRPr="00A74CDF" w:rsidRDefault="00940D4E" w:rsidP="00BB1388">
      <w:pPr>
        <w:pStyle w:val="TableofContents"/>
        <w:spacing w:before="0" w:after="0"/>
        <w:jc w:val="both"/>
        <w:rPr>
          <w:rFonts w:ascii="Times New Roman" w:eastAsia="맑은 고딕" w:hAnsi="Times New Roman" w:cs="Times New Roman"/>
          <w:color w:val="000000" w:themeColor="text1"/>
        </w:rPr>
      </w:pPr>
      <w:r w:rsidRPr="00A74CDF">
        <w:rPr>
          <w:rFonts w:ascii="Times New Roman" w:eastAsia="맑은 고딕" w:hAnsi="Times New Roman" w:cs="Times New Roman"/>
          <w:color w:val="000000" w:themeColor="text1"/>
        </w:rPr>
        <w:t>101 Daehak-ro, Jongno-gu, Seoul, 03080, Republic of Korea</w:t>
      </w:r>
    </w:p>
    <w:p w14:paraId="24D09128" w14:textId="697A1031" w:rsidR="00940D4E" w:rsidRPr="00A74CDF" w:rsidRDefault="00940D4E" w:rsidP="00BB1388">
      <w:pPr>
        <w:pStyle w:val="TableofContents"/>
        <w:spacing w:before="0" w:after="0"/>
        <w:jc w:val="both"/>
        <w:rPr>
          <w:rFonts w:ascii="Times New Roman" w:eastAsia="맑은 고딕" w:hAnsi="Times New Roman" w:cs="Times New Roman"/>
          <w:color w:val="000000" w:themeColor="text1"/>
        </w:rPr>
      </w:pPr>
      <w:r w:rsidRPr="00A74CDF">
        <w:rPr>
          <w:rFonts w:ascii="Times New Roman" w:eastAsia="맑은 고딕" w:hAnsi="Times New Roman" w:cs="Times New Roman"/>
          <w:color w:val="000000" w:themeColor="text1"/>
        </w:rPr>
        <w:t>Telephone: 82-2-2072-0688, Fax: 82-2-762-9662</w:t>
      </w:r>
      <w:r w:rsidRPr="00A74CDF">
        <w:rPr>
          <w:rFonts w:ascii="Times New Roman" w:eastAsia="맑은 고딕" w:hAnsi="Times New Roman" w:cs="Times New Roman"/>
          <w:color w:val="000000" w:themeColor="text1"/>
          <w:lang w:eastAsia="ko-KR"/>
        </w:rPr>
        <w:t xml:space="preserve">, </w:t>
      </w:r>
      <w:r w:rsidRPr="00A74CDF">
        <w:rPr>
          <w:rFonts w:ascii="Times New Roman" w:eastAsia="맑은 고딕" w:hAnsi="Times New Roman" w:cs="Times New Roman"/>
          <w:color w:val="000000" w:themeColor="text1"/>
        </w:rPr>
        <w:t xml:space="preserve">E-mail: </w:t>
      </w:r>
      <w:r w:rsidR="00BB1388" w:rsidRPr="00A74CDF">
        <w:rPr>
          <w:rFonts w:ascii="Times New Roman" w:eastAsia="맑은 고딕" w:hAnsi="Times New Roman" w:cs="Times New Roman"/>
          <w:color w:val="000000" w:themeColor="text1"/>
        </w:rPr>
        <w:t>choiek17@snu.ac.kr</w:t>
      </w:r>
    </w:p>
    <w:p w14:paraId="5BD5175D" w14:textId="77777777" w:rsidR="00BE7A51" w:rsidRPr="00A74CDF" w:rsidRDefault="00BE7A51" w:rsidP="00BE7A51">
      <w:pPr>
        <w:spacing w:line="480" w:lineRule="auto"/>
        <w:jc w:val="both"/>
        <w:rPr>
          <w:color w:val="222222"/>
          <w:shd w:val="clear" w:color="auto" w:fill="FFFFFF"/>
        </w:rPr>
      </w:pPr>
    </w:p>
    <w:p w14:paraId="18EE29B9" w14:textId="602202E7" w:rsidR="00BE7A51" w:rsidRPr="00A74CDF" w:rsidRDefault="00BE7A51" w:rsidP="00BE7A51">
      <w:pPr>
        <w:pStyle w:val="ManuscriptTitle"/>
        <w:spacing w:before="0" w:after="0" w:line="480" w:lineRule="auto"/>
        <w:jc w:val="both"/>
        <w:rPr>
          <w:rFonts w:ascii="Times New Roman" w:eastAsia="맑은 고딕" w:hAnsi="Times New Roman" w:cs="Times New Roman"/>
          <w:color w:val="000000" w:themeColor="text1"/>
          <w:sz w:val="24"/>
          <w:lang w:eastAsia="ko-KR"/>
        </w:rPr>
      </w:pPr>
      <w:r w:rsidRPr="00A74CDF">
        <w:rPr>
          <w:rFonts w:ascii="Times New Roman" w:eastAsia="맑은 고딕" w:hAnsi="Times New Roman" w:cs="Times New Roman" w:hint="eastAsia"/>
          <w:b/>
          <w:color w:val="000000" w:themeColor="text1"/>
          <w:sz w:val="24"/>
          <w:lang w:eastAsia="ko-KR"/>
        </w:rPr>
        <w:t xml:space="preserve">Cover </w:t>
      </w:r>
      <w:r w:rsidRPr="00A74CDF">
        <w:rPr>
          <w:rFonts w:ascii="Times New Roman" w:eastAsia="맑은 고딕" w:hAnsi="Times New Roman" w:cs="Times New Roman"/>
          <w:b/>
          <w:color w:val="000000" w:themeColor="text1"/>
          <w:sz w:val="24"/>
        </w:rPr>
        <w:t>title:</w:t>
      </w:r>
      <w:r w:rsidRPr="00A74CDF">
        <w:rPr>
          <w:rFonts w:ascii="Times New Roman" w:eastAsia="맑은 고딕" w:hAnsi="Times New Roman" w:cs="Times New Roman"/>
          <w:color w:val="000000" w:themeColor="text1"/>
          <w:sz w:val="24"/>
        </w:rPr>
        <w:t xml:space="preserve"> </w:t>
      </w:r>
      <w:r w:rsidRPr="00A74CDF">
        <w:rPr>
          <w:rFonts w:ascii="Times New Roman" w:eastAsia="맑은 고딕" w:hAnsi="Times New Roman" w:cs="Times New Roman"/>
          <w:color w:val="000000" w:themeColor="text1"/>
          <w:sz w:val="24"/>
          <w:lang w:eastAsia="ko-KR"/>
        </w:rPr>
        <w:t xml:space="preserve">NOAC in </w:t>
      </w:r>
      <w:r w:rsidRPr="00A74CDF">
        <w:rPr>
          <w:rFonts w:ascii="Times New Roman" w:eastAsia="맑은 고딕" w:hAnsi="Times New Roman" w:cs="Times New Roman" w:hint="eastAsia"/>
          <w:color w:val="000000" w:themeColor="text1"/>
          <w:sz w:val="24"/>
          <w:lang w:eastAsia="ko-KR"/>
        </w:rPr>
        <w:t xml:space="preserve">AF </w:t>
      </w:r>
      <w:r w:rsidRPr="00A74CDF">
        <w:rPr>
          <w:rFonts w:ascii="Times New Roman" w:eastAsia="맑은 고딕" w:hAnsi="Times New Roman" w:cs="Times New Roman"/>
          <w:color w:val="000000" w:themeColor="text1"/>
          <w:sz w:val="24"/>
          <w:lang w:eastAsia="ko-KR"/>
        </w:rPr>
        <w:t>with Gastrointestinal Bleeding</w:t>
      </w:r>
    </w:p>
    <w:p w14:paraId="03C35702" w14:textId="77777777" w:rsidR="00BE7A51" w:rsidRPr="00A74CDF" w:rsidRDefault="00BE7A51" w:rsidP="00BE7A51">
      <w:pPr>
        <w:pStyle w:val="ManuscriptTitle"/>
        <w:spacing w:before="0" w:after="0" w:line="480" w:lineRule="auto"/>
        <w:jc w:val="both"/>
        <w:rPr>
          <w:rFonts w:ascii="Times New Roman" w:eastAsia="맑은 고딕" w:hAnsi="Times New Roman" w:cs="Times New Roman"/>
          <w:color w:val="000000" w:themeColor="text1"/>
          <w:sz w:val="24"/>
          <w:lang w:eastAsia="ko-KR"/>
        </w:rPr>
      </w:pPr>
    </w:p>
    <w:p w14:paraId="77ED8F10" w14:textId="7A4364A4" w:rsidR="00BE7A51" w:rsidRPr="00A74CDF" w:rsidRDefault="00BE7A51" w:rsidP="00BE7A51">
      <w:pPr>
        <w:pStyle w:val="ManuscriptTitle"/>
        <w:spacing w:before="0" w:after="0" w:line="480" w:lineRule="auto"/>
        <w:jc w:val="both"/>
        <w:rPr>
          <w:rFonts w:ascii="Times New Roman" w:eastAsia="맑은 고딕" w:hAnsi="Times New Roman" w:cs="Times New Roman"/>
          <w:color w:val="000000" w:themeColor="text1"/>
          <w:sz w:val="24"/>
          <w:lang w:eastAsia="ko-KR"/>
        </w:rPr>
      </w:pPr>
      <w:r w:rsidRPr="00A74CDF">
        <w:rPr>
          <w:rFonts w:ascii="Times New Roman" w:eastAsia="맑은 고딕" w:hAnsi="Times New Roman" w:cs="Times New Roman" w:hint="eastAsia"/>
          <w:b/>
          <w:color w:val="000000" w:themeColor="text1"/>
          <w:sz w:val="24"/>
          <w:lang w:eastAsia="ko-KR"/>
        </w:rPr>
        <w:t>Total nu</w:t>
      </w:r>
      <w:r w:rsidRPr="00A74CDF">
        <w:rPr>
          <w:rFonts w:ascii="Times New Roman" w:eastAsia="맑은 고딕" w:hAnsi="Times New Roman" w:cs="Times New Roman"/>
          <w:b/>
          <w:color w:val="000000" w:themeColor="text1"/>
          <w:sz w:val="24"/>
          <w:lang w:eastAsia="ko-KR"/>
        </w:rPr>
        <w:t>mber of tables and figures:</w:t>
      </w:r>
      <w:r w:rsidRPr="00A74CDF">
        <w:rPr>
          <w:rFonts w:ascii="Times New Roman" w:eastAsia="맑은 고딕" w:hAnsi="Times New Roman" w:cs="Times New Roman"/>
          <w:color w:val="000000" w:themeColor="text1"/>
          <w:sz w:val="24"/>
          <w:lang w:eastAsia="ko-KR"/>
        </w:rPr>
        <w:t xml:space="preserve"> Tables </w:t>
      </w:r>
      <w:r w:rsidR="00A57F36" w:rsidRPr="00A74CDF">
        <w:rPr>
          <w:rFonts w:ascii="Times New Roman" w:eastAsia="맑은 고딕" w:hAnsi="Times New Roman" w:cs="Times New Roman"/>
          <w:color w:val="000000" w:themeColor="text1"/>
          <w:sz w:val="24"/>
          <w:lang w:eastAsia="ko-KR"/>
        </w:rPr>
        <w:t>2</w:t>
      </w:r>
      <w:r w:rsidRPr="00A74CDF">
        <w:rPr>
          <w:rFonts w:ascii="Times New Roman" w:eastAsia="맑은 고딕" w:hAnsi="Times New Roman" w:cs="Times New Roman"/>
          <w:color w:val="000000" w:themeColor="text1"/>
          <w:sz w:val="24"/>
          <w:lang w:eastAsia="ko-KR"/>
        </w:rPr>
        <w:t xml:space="preserve">; Figures </w:t>
      </w:r>
      <w:r w:rsidR="00221779" w:rsidRPr="00A74CDF">
        <w:rPr>
          <w:rFonts w:ascii="Times New Roman" w:eastAsia="맑은 고딕" w:hAnsi="Times New Roman" w:cs="Times New Roman"/>
          <w:color w:val="000000" w:themeColor="text1"/>
          <w:sz w:val="24"/>
          <w:lang w:eastAsia="ko-KR"/>
        </w:rPr>
        <w:t>4</w:t>
      </w:r>
    </w:p>
    <w:p w14:paraId="14A322D8" w14:textId="77777777" w:rsidR="00BE7A51" w:rsidRPr="00A74CDF" w:rsidRDefault="00BE7A51" w:rsidP="00BE7A51">
      <w:pPr>
        <w:spacing w:line="480" w:lineRule="auto"/>
        <w:jc w:val="both"/>
        <w:rPr>
          <w:b/>
        </w:rPr>
      </w:pPr>
    </w:p>
    <w:p w14:paraId="517C8652" w14:textId="64081BF1" w:rsidR="00BE7A51" w:rsidRPr="00A74CDF" w:rsidRDefault="00BE7A51" w:rsidP="00BE7A51">
      <w:pPr>
        <w:spacing w:line="480" w:lineRule="auto"/>
        <w:jc w:val="both"/>
      </w:pPr>
      <w:r w:rsidRPr="00A74CDF">
        <w:rPr>
          <w:b/>
        </w:rPr>
        <w:t>Key words</w:t>
      </w:r>
      <w:r w:rsidRPr="00A74CDF">
        <w:t xml:space="preserve">: </w:t>
      </w:r>
      <w:r w:rsidRPr="00A74CDF">
        <w:rPr>
          <w:rFonts w:eastAsia="맑은 고딕"/>
          <w:color w:val="000000" w:themeColor="text1"/>
        </w:rPr>
        <w:t xml:space="preserve">Atrial fibrillation, anticoagulants, warfarin, non-vitamin K antagonist oral anticoagulant (NOAC), </w:t>
      </w:r>
      <w:r w:rsidR="000121FE" w:rsidRPr="00A74CDF">
        <w:rPr>
          <w:rFonts w:eastAsia="맑은 고딕"/>
          <w:color w:val="000000" w:themeColor="text1"/>
        </w:rPr>
        <w:t xml:space="preserve">stroke, </w:t>
      </w:r>
      <w:r w:rsidRPr="00A74CDF">
        <w:rPr>
          <w:rFonts w:eastAsia="맑은 고딕"/>
          <w:color w:val="000000" w:themeColor="text1"/>
        </w:rPr>
        <w:t xml:space="preserve">gastrointestinal </w:t>
      </w:r>
      <w:r w:rsidRPr="00A74CDF">
        <w:rPr>
          <w:rFonts w:eastAsia="맑은 고딕"/>
          <w:color w:val="000000" w:themeColor="text1"/>
          <w:lang w:eastAsia="ko-KR"/>
        </w:rPr>
        <w:t>hemorrhag</w:t>
      </w:r>
      <w:r w:rsidR="000121FE" w:rsidRPr="00A74CDF">
        <w:rPr>
          <w:rFonts w:eastAsia="맑은 고딕"/>
          <w:color w:val="000000" w:themeColor="text1"/>
        </w:rPr>
        <w:t>e.</w:t>
      </w:r>
    </w:p>
    <w:p w14:paraId="3185247A" w14:textId="77777777" w:rsidR="00BE7A51" w:rsidRPr="00A74CDF" w:rsidRDefault="00BE7A51" w:rsidP="00BB1388">
      <w:pPr>
        <w:pStyle w:val="TableofContents"/>
        <w:spacing w:before="0" w:after="0"/>
        <w:jc w:val="both"/>
        <w:rPr>
          <w:rFonts w:ascii="Times New Roman" w:eastAsia="맑은 고딕" w:hAnsi="Times New Roman" w:cs="Times New Roman"/>
          <w:color w:val="000000" w:themeColor="text1"/>
        </w:rPr>
      </w:pPr>
    </w:p>
    <w:p w14:paraId="1667EED0" w14:textId="7F5BA3D5" w:rsidR="00BE7A51" w:rsidRPr="00A74CDF" w:rsidRDefault="00BE7A51" w:rsidP="00BB1388">
      <w:pPr>
        <w:pStyle w:val="TableofContents"/>
        <w:spacing w:before="0" w:after="0"/>
        <w:jc w:val="both"/>
        <w:rPr>
          <w:rFonts w:ascii="Times New Roman" w:eastAsia="맑은 고딕" w:hAnsi="Times New Roman" w:cs="Times New Roman"/>
          <w:color w:val="000000" w:themeColor="text1"/>
          <w:lang w:eastAsia="ko-KR"/>
        </w:rPr>
      </w:pPr>
      <w:r w:rsidRPr="00A74CDF">
        <w:rPr>
          <w:rFonts w:ascii="Times New Roman" w:eastAsia="맑은 고딕" w:hAnsi="Times New Roman" w:cs="Times New Roman" w:hint="eastAsia"/>
          <w:b/>
          <w:color w:val="000000" w:themeColor="text1"/>
          <w:lang w:eastAsia="ko-KR"/>
        </w:rPr>
        <w:t>Subject</w:t>
      </w:r>
      <w:r w:rsidRPr="00A74CDF">
        <w:rPr>
          <w:rFonts w:ascii="Times New Roman" w:eastAsia="맑은 고딕" w:hAnsi="Times New Roman" w:cs="Times New Roman"/>
          <w:b/>
          <w:color w:val="000000" w:themeColor="text1"/>
          <w:lang w:eastAsia="ko-KR"/>
        </w:rPr>
        <w:t xml:space="preserve"> terms:</w:t>
      </w:r>
      <w:r w:rsidRPr="00A74CDF">
        <w:rPr>
          <w:rFonts w:ascii="Times New Roman" w:eastAsia="맑은 고딕" w:hAnsi="Times New Roman" w:cs="Times New Roman"/>
          <w:color w:val="000000" w:themeColor="text1"/>
          <w:lang w:eastAsia="ko-KR"/>
        </w:rPr>
        <w:t xml:space="preserve"> Anticoagulants</w:t>
      </w:r>
    </w:p>
    <w:p w14:paraId="3FC9043C" w14:textId="77777777" w:rsidR="00BE7A51" w:rsidRPr="00A74CDF" w:rsidRDefault="00BE7A51" w:rsidP="00BE7A51">
      <w:pPr>
        <w:pStyle w:val="ManuscriptTitle"/>
        <w:spacing w:before="0" w:after="0" w:line="480" w:lineRule="auto"/>
        <w:jc w:val="both"/>
        <w:rPr>
          <w:rFonts w:ascii="Times New Roman" w:eastAsia="맑은 고딕" w:hAnsi="Times New Roman" w:cs="Times New Roman"/>
          <w:color w:val="000000" w:themeColor="text1"/>
          <w:sz w:val="24"/>
          <w:lang w:eastAsia="ko-KR"/>
        </w:rPr>
      </w:pPr>
    </w:p>
    <w:p w14:paraId="1DB4560E" w14:textId="57F1A772" w:rsidR="00BE7A51" w:rsidRPr="00A74CDF" w:rsidRDefault="00BE7A51" w:rsidP="00BE7A51">
      <w:pPr>
        <w:pStyle w:val="TableofContents"/>
        <w:spacing w:before="0" w:after="0"/>
        <w:jc w:val="both"/>
        <w:rPr>
          <w:rFonts w:ascii="Times New Roman" w:eastAsia="맑은 고딕" w:hAnsi="Times New Roman" w:cs="Times New Roman"/>
          <w:bCs/>
          <w:color w:val="000000" w:themeColor="text1"/>
        </w:rPr>
      </w:pPr>
      <w:r w:rsidRPr="00A74CDF">
        <w:rPr>
          <w:rFonts w:ascii="Times New Roman" w:eastAsia="맑은 고딕" w:hAnsi="Times New Roman" w:cs="Times New Roman"/>
          <w:b/>
          <w:color w:val="000000" w:themeColor="text1"/>
        </w:rPr>
        <w:t xml:space="preserve">Word count: </w:t>
      </w:r>
      <w:r w:rsidR="004A35F8" w:rsidRPr="00A74CDF">
        <w:rPr>
          <w:rFonts w:ascii="Times New Roman" w:eastAsia="맑은 고딕" w:hAnsi="Times New Roman" w:cs="Times New Roman"/>
          <w:bCs/>
          <w:color w:val="000000" w:themeColor="text1"/>
        </w:rPr>
        <w:t>6</w:t>
      </w:r>
      <w:r w:rsidR="000C7379">
        <w:rPr>
          <w:rFonts w:ascii="Times New Roman" w:eastAsia="맑은 고딕" w:hAnsi="Times New Roman" w:cs="Times New Roman"/>
          <w:bCs/>
          <w:color w:val="000000" w:themeColor="text1"/>
        </w:rPr>
        <w:t>350</w:t>
      </w:r>
      <w:bookmarkStart w:id="0" w:name="_GoBack"/>
      <w:bookmarkEnd w:id="0"/>
    </w:p>
    <w:p w14:paraId="2B142B2C" w14:textId="77777777" w:rsidR="00BE7A51" w:rsidRPr="00A74CDF" w:rsidRDefault="00BE7A51" w:rsidP="00BB1388">
      <w:pPr>
        <w:pStyle w:val="TableofContents"/>
        <w:spacing w:before="0" w:after="0"/>
        <w:jc w:val="both"/>
        <w:rPr>
          <w:rFonts w:ascii="Times New Roman" w:eastAsia="맑은 고딕" w:hAnsi="Times New Roman" w:cs="Times New Roman"/>
          <w:color w:val="000000" w:themeColor="text1"/>
        </w:rPr>
      </w:pPr>
    </w:p>
    <w:p w14:paraId="0276E630" w14:textId="4A6861CB" w:rsidR="00940D4E" w:rsidRPr="00A74CDF" w:rsidRDefault="00940D4E" w:rsidP="00BB1388">
      <w:pPr>
        <w:pStyle w:val="TableofContents"/>
        <w:rPr>
          <w:rFonts w:ascii="Times New Roman" w:eastAsia="맑은 고딕" w:hAnsi="Times New Roman" w:cs="Times New Roman"/>
          <w:b/>
          <w:color w:val="000000" w:themeColor="text1"/>
          <w:lang w:eastAsia="ko-KR"/>
        </w:rPr>
      </w:pPr>
      <w:r w:rsidRPr="00A74CDF">
        <w:rPr>
          <w:rFonts w:ascii="Times New Roman" w:eastAsia="맑은 고딕" w:hAnsi="Times New Roman" w:cs="Times New Roman"/>
          <w:b/>
          <w:color w:val="000000" w:themeColor="text1"/>
          <w:lang w:eastAsia="ko-KR"/>
        </w:rPr>
        <w:br w:type="page"/>
      </w:r>
    </w:p>
    <w:p w14:paraId="0FD7B5AA" w14:textId="71AA25E2" w:rsidR="001C29EA" w:rsidRPr="00A74CDF" w:rsidRDefault="001C29EA" w:rsidP="00BB1388">
      <w:pPr>
        <w:spacing w:line="480" w:lineRule="auto"/>
        <w:jc w:val="both"/>
        <w:rPr>
          <w:b/>
        </w:rPr>
      </w:pPr>
      <w:r w:rsidRPr="00A74CDF">
        <w:rPr>
          <w:b/>
        </w:rPr>
        <w:lastRenderedPageBreak/>
        <w:t>Abstract</w:t>
      </w:r>
    </w:p>
    <w:p w14:paraId="277C5646" w14:textId="77777777" w:rsidR="00940D4E" w:rsidRPr="00A74CDF" w:rsidRDefault="00940D4E" w:rsidP="00BB1388">
      <w:pPr>
        <w:spacing w:line="480" w:lineRule="auto"/>
        <w:jc w:val="both"/>
        <w:rPr>
          <w:b/>
        </w:rPr>
      </w:pPr>
    </w:p>
    <w:p w14:paraId="6173665E" w14:textId="37085E90" w:rsidR="00CC7910" w:rsidRPr="00A74CDF" w:rsidRDefault="00CC7910" w:rsidP="00BB1388">
      <w:pPr>
        <w:spacing w:line="480" w:lineRule="auto"/>
        <w:jc w:val="both"/>
      </w:pPr>
      <w:r w:rsidRPr="00A74CDF">
        <w:rPr>
          <w:b/>
        </w:rPr>
        <w:t>Background</w:t>
      </w:r>
      <w:r w:rsidR="00A609B8" w:rsidRPr="00A74CDF">
        <w:rPr>
          <w:b/>
        </w:rPr>
        <w:t xml:space="preserve"> and Purpose</w:t>
      </w:r>
      <w:r w:rsidRPr="00A74CDF">
        <w:t xml:space="preserve">: </w:t>
      </w:r>
      <w:r w:rsidRPr="00A74CDF">
        <w:rPr>
          <w:rFonts w:eastAsia="맑은 고딕"/>
          <w:color w:val="000000" w:themeColor="text1"/>
          <w:lang w:eastAsia="ko-KR"/>
        </w:rPr>
        <w:t>Limited data support the benefits of non-vitamin K oral anticoagulants (NOACs) among atrial fibrillation (AF) patients with prior gastrointestinal bleeding (GIB).</w:t>
      </w:r>
      <w:r w:rsidR="00A609B8" w:rsidRPr="00A74CDF">
        <w:rPr>
          <w:rFonts w:eastAsia="맑은 고딕"/>
          <w:color w:val="000000" w:themeColor="text1"/>
          <w:lang w:eastAsia="ko-KR"/>
        </w:rPr>
        <w:t xml:space="preserve"> </w:t>
      </w:r>
      <w:r w:rsidR="00A263C0" w:rsidRPr="00A74CDF">
        <w:t>We aimed t</w:t>
      </w:r>
      <w:r w:rsidRPr="00A74CDF">
        <w:rPr>
          <w:rFonts w:eastAsia="맑은 고딕"/>
          <w:color w:val="000000" w:themeColor="text1"/>
          <w:lang w:eastAsia="ko-KR"/>
        </w:rPr>
        <w:t>o evaluate the effectiveness and safety of NOACs compared to those of warfarin among AF patients with prior GIB.</w:t>
      </w:r>
    </w:p>
    <w:p w14:paraId="47CE1180" w14:textId="77777777" w:rsidR="00CC7910" w:rsidRPr="00A74CDF" w:rsidRDefault="00CC7910" w:rsidP="00BB1388">
      <w:pPr>
        <w:spacing w:line="480" w:lineRule="auto"/>
        <w:jc w:val="both"/>
      </w:pPr>
      <w:r w:rsidRPr="00A74CDF">
        <w:rPr>
          <w:b/>
        </w:rPr>
        <w:t>Methods</w:t>
      </w:r>
      <w:r w:rsidRPr="00A74CDF">
        <w:t xml:space="preserve">: Oral-anticoagulant-naïve individuals with AF and prior GIB between </w:t>
      </w:r>
      <w:r w:rsidRPr="00A74CDF">
        <w:rPr>
          <w:rFonts w:eastAsia="맑은 고딕"/>
          <w:color w:val="000000" w:themeColor="text1"/>
        </w:rPr>
        <w:t xml:space="preserve">January 2010 to April 2018 were identified from </w:t>
      </w:r>
      <w:r w:rsidRPr="00A74CDF">
        <w:rPr>
          <w:rFonts w:eastAsia="맑은 고딕"/>
          <w:color w:val="000000" w:themeColor="text1"/>
          <w:lang w:eastAsia="ko-KR"/>
        </w:rPr>
        <w:t>the</w:t>
      </w:r>
      <w:r w:rsidRPr="00A74CDF">
        <w:rPr>
          <w:rFonts w:eastAsia="맑은 고딕"/>
          <w:color w:val="000000" w:themeColor="text1"/>
        </w:rPr>
        <w:t xml:space="preserve"> Korean claims database. NOAC users were compared with warfarin users by balancing covariates </w:t>
      </w:r>
      <w:r w:rsidRPr="00A74CDF">
        <w:rPr>
          <w:rFonts w:eastAsia="맑은 고딕"/>
          <w:color w:val="000000" w:themeColor="text1"/>
          <w:lang w:eastAsia="ko-KR"/>
        </w:rPr>
        <w:t>using</w:t>
      </w:r>
      <w:r w:rsidRPr="00A74CDF">
        <w:rPr>
          <w:rFonts w:eastAsia="맑은 고딕"/>
          <w:color w:val="000000" w:themeColor="text1"/>
        </w:rPr>
        <w:t xml:space="preserve"> the inverse probability of treatment weighting (IPTW) method. The primary outcomes were ischemic stroke, major bleeding, and the composite outcome </w:t>
      </w:r>
      <w:r w:rsidRPr="00A74CDF">
        <w:rPr>
          <w:iCs/>
        </w:rPr>
        <w:t>(</w:t>
      </w:r>
      <w:r w:rsidRPr="00A74CDF">
        <w:rPr>
          <w:iCs/>
          <w:lang w:eastAsia="ko-KR"/>
        </w:rPr>
        <w:t>combined</w:t>
      </w:r>
      <w:r w:rsidRPr="00A74CDF">
        <w:rPr>
          <w:iCs/>
        </w:rPr>
        <w:t xml:space="preserve"> </w:t>
      </w:r>
      <w:r w:rsidRPr="00A74CDF">
        <w:rPr>
          <w:iCs/>
          <w:lang w:eastAsia="ko-KR"/>
        </w:rPr>
        <w:t>ischemic stroke and major bleeding</w:t>
      </w:r>
      <w:r w:rsidRPr="00A74CDF">
        <w:rPr>
          <w:iCs/>
        </w:rPr>
        <w:t>)</w:t>
      </w:r>
      <w:r w:rsidRPr="00A74CDF">
        <w:rPr>
          <w:rFonts w:eastAsia="맑은 고딕"/>
          <w:color w:val="000000" w:themeColor="text1"/>
        </w:rPr>
        <w:t>. Fatal events from each outcome were evaluated as secondary outcomes.</w:t>
      </w:r>
    </w:p>
    <w:p w14:paraId="66B899A2" w14:textId="7ABC24D8" w:rsidR="00CC7910" w:rsidRPr="00A74CDF" w:rsidRDefault="00CC7910" w:rsidP="00BB1388">
      <w:pPr>
        <w:spacing w:line="480" w:lineRule="auto"/>
        <w:jc w:val="both"/>
      </w:pPr>
      <w:r w:rsidRPr="00A74CDF">
        <w:rPr>
          <w:b/>
        </w:rPr>
        <w:t>Results</w:t>
      </w:r>
      <w:r w:rsidRPr="00A74CDF">
        <w:t>:</w:t>
      </w:r>
      <w:r w:rsidRPr="00A74CDF">
        <w:rPr>
          <w:rFonts w:eastAsia="맑은 고딕"/>
          <w:color w:val="000000" w:themeColor="text1"/>
        </w:rPr>
        <w:t xml:space="preserve"> A total of 42,048 patients were included (24,781 in the NOAC group and 17,267 in the warfarin group). </w:t>
      </w:r>
      <w:r w:rsidR="00A263C0" w:rsidRPr="00A74CDF">
        <w:rPr>
          <w:color w:val="000000" w:themeColor="text1"/>
          <w:lang w:eastAsia="ko-KR"/>
        </w:rPr>
        <w:t>T</w:t>
      </w:r>
      <w:r w:rsidR="00A263C0" w:rsidRPr="00A74CDF">
        <w:rPr>
          <w:color w:val="000000" w:themeColor="text1"/>
        </w:rPr>
        <w:t xml:space="preserve">he mean time from prior GIB to the initiation of OAC was 3.1±2.6 years. </w:t>
      </w:r>
      <w:r w:rsidRPr="00A74CDF">
        <w:rPr>
          <w:rFonts w:eastAsia="맑은 고딕"/>
          <w:color w:val="000000" w:themeColor="text1"/>
        </w:rPr>
        <w:t>After IPTW, baseline characteristics were balanced between the two groups (mean age: 72 years; male: 57%; and mean CHA</w:t>
      </w:r>
      <w:r w:rsidRPr="00A74CDF">
        <w:rPr>
          <w:rFonts w:eastAsia="맑은 고딕"/>
          <w:color w:val="000000" w:themeColor="text1"/>
          <w:vertAlign w:val="subscript"/>
        </w:rPr>
        <w:t>2</w:t>
      </w:r>
      <w:r w:rsidRPr="00A74CDF">
        <w:rPr>
          <w:rFonts w:eastAsia="맑은 고딕"/>
          <w:color w:val="000000" w:themeColor="text1"/>
        </w:rPr>
        <w:t>DS</w:t>
      </w:r>
      <w:r w:rsidRPr="00A74CDF">
        <w:rPr>
          <w:rFonts w:eastAsia="맑은 고딕"/>
          <w:color w:val="000000" w:themeColor="text1"/>
          <w:vertAlign w:val="subscript"/>
        </w:rPr>
        <w:t>2</w:t>
      </w:r>
      <w:r w:rsidRPr="00A74CDF">
        <w:rPr>
          <w:rFonts w:eastAsia="맑은 고딕"/>
          <w:color w:val="000000" w:themeColor="text1"/>
        </w:rPr>
        <w:t>-VASc score: 4). Lower risks of ischemic stroke, major bleeding, and the composite outcome were associated with NOAC use than with warfarin use [weighted hazard ratio (HR) 0.608, 95% confidence interval (CI) 0.543-0.680; HR 0.731, 95% CI 0.642-0.832; and HR 0.661, 95% CI 0.606-0.721, respectively]. For all secondary outcomes, NOACs showed greater risk reductions compared with warfarin.</w:t>
      </w:r>
    </w:p>
    <w:p w14:paraId="21C73514" w14:textId="7E939EEE" w:rsidR="00A609B8" w:rsidRPr="00A74CDF" w:rsidRDefault="00CC7910" w:rsidP="00BB1388">
      <w:pPr>
        <w:spacing w:line="480" w:lineRule="auto"/>
        <w:jc w:val="both"/>
        <w:rPr>
          <w:lang w:eastAsia="ko-KR"/>
        </w:rPr>
      </w:pPr>
      <w:r w:rsidRPr="00A74CDF">
        <w:rPr>
          <w:b/>
        </w:rPr>
        <w:t>Conclusion</w:t>
      </w:r>
      <w:r w:rsidR="00A609B8" w:rsidRPr="00A74CDF">
        <w:rPr>
          <w:b/>
        </w:rPr>
        <w:t>s</w:t>
      </w:r>
      <w:r w:rsidR="00DC292A" w:rsidRPr="00A74CDF">
        <w:rPr>
          <w:b/>
        </w:rPr>
        <w:t>:</w:t>
      </w:r>
      <w:r w:rsidRPr="00A74CDF">
        <w:t xml:space="preserve"> </w:t>
      </w:r>
      <w:r w:rsidRPr="00A74CDF">
        <w:rPr>
          <w:rFonts w:eastAsia="맑은 고딕"/>
          <w:color w:val="000000" w:themeColor="text1"/>
          <w:lang w:eastAsia="ko-KR"/>
        </w:rPr>
        <w:t>NOACs were associated with lower risks of</w:t>
      </w:r>
      <w:r w:rsidR="00DC292A" w:rsidRPr="00A74CDF">
        <w:rPr>
          <w:rFonts w:eastAsia="맑은 고딕"/>
          <w:color w:val="000000" w:themeColor="text1"/>
          <w:lang w:eastAsia="ko-KR"/>
        </w:rPr>
        <w:t xml:space="preserve"> </w:t>
      </w:r>
      <w:r w:rsidRPr="00A74CDF">
        <w:rPr>
          <w:rFonts w:eastAsia="맑은 고딕"/>
          <w:color w:val="000000" w:themeColor="text1"/>
          <w:lang w:eastAsia="ko-KR"/>
        </w:rPr>
        <w:t>ischemic stroke and major bleeding than warfarin among AF patients with prior GIB.</w:t>
      </w:r>
    </w:p>
    <w:p w14:paraId="4D0A6805" w14:textId="696A93D2" w:rsidR="001C29EA" w:rsidRPr="00A74CDF" w:rsidRDefault="00940D4E" w:rsidP="00BB1388">
      <w:pPr>
        <w:spacing w:after="200" w:line="480" w:lineRule="auto"/>
        <w:jc w:val="both"/>
        <w:rPr>
          <w:b/>
        </w:rPr>
      </w:pPr>
      <w:r w:rsidRPr="00A74CDF">
        <w:br w:type="page"/>
      </w:r>
    </w:p>
    <w:p w14:paraId="576D187A" w14:textId="786CD82C" w:rsidR="007876C3" w:rsidRPr="00D25190" w:rsidRDefault="007876C3" w:rsidP="00BB1388">
      <w:pPr>
        <w:pStyle w:val="TableofContentsCaption"/>
        <w:spacing w:before="0" w:after="0"/>
        <w:contextualSpacing/>
        <w:jc w:val="both"/>
        <w:rPr>
          <w:rFonts w:ascii="Times New Roman" w:hAnsi="Times New Roman" w:cs="Times New Roman"/>
          <w:b/>
          <w:highlight w:val="yellow"/>
          <w:lang w:eastAsia="ko-KR"/>
        </w:rPr>
      </w:pPr>
      <w:r w:rsidRPr="00D25190">
        <w:rPr>
          <w:rFonts w:ascii="Times New Roman" w:hAnsi="Times New Roman" w:cs="Times New Roman" w:hint="eastAsia"/>
          <w:b/>
          <w:highlight w:val="yellow"/>
          <w:lang w:eastAsia="ko-KR"/>
        </w:rPr>
        <w:lastRenderedPageBreak/>
        <w:t>Non-standard Abbreviations and Acronyms</w:t>
      </w:r>
    </w:p>
    <w:p w14:paraId="1504F604"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AF: atrial fibrillation</w:t>
      </w:r>
    </w:p>
    <w:p w14:paraId="7A5EAAA0"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ASD: absolute standardized difference</w:t>
      </w:r>
    </w:p>
    <w:p w14:paraId="1CC4BEA7"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CI: confidence interval</w:t>
      </w:r>
    </w:p>
    <w:p w14:paraId="42D2D054"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GIB: gastrointestinal bleeding</w:t>
      </w:r>
    </w:p>
    <w:p w14:paraId="2C8F012E"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HR: hazard ratio</w:t>
      </w:r>
    </w:p>
    <w:p w14:paraId="052D1350"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ICH: intracranial hemorrhage</w:t>
      </w:r>
    </w:p>
    <w:p w14:paraId="2D4A901F"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IPTW: inverse probability treatment weighting</w:t>
      </w:r>
    </w:p>
    <w:p w14:paraId="2087C79C"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NOAC: non-vitamin K antagonist oral anticoagulant</w:t>
      </w:r>
    </w:p>
    <w:p w14:paraId="1401770E"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NSAID: non-steroidal anti-inflammatory drug</w:t>
      </w:r>
    </w:p>
    <w:p w14:paraId="1740FD39"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OAC: oral anticoagulant</w:t>
      </w:r>
    </w:p>
    <w:p w14:paraId="333F42D5"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PPI: proton pump inhibitor</w:t>
      </w:r>
    </w:p>
    <w:p w14:paraId="1CF3B807" w14:textId="77777777" w:rsidR="007876C3" w:rsidRPr="00D25190" w:rsidRDefault="007876C3" w:rsidP="007876C3">
      <w:pPr>
        <w:pStyle w:val="TableofContentsCaption"/>
        <w:contextualSpacing/>
        <w:jc w:val="both"/>
        <w:rPr>
          <w:rFonts w:ascii="Times New Roman" w:hAnsi="Times New Roman" w:cs="Times New Roman"/>
          <w:highlight w:val="yellow"/>
        </w:rPr>
      </w:pPr>
      <w:r w:rsidRPr="00D25190">
        <w:rPr>
          <w:rFonts w:ascii="Times New Roman" w:hAnsi="Times New Roman" w:cs="Times New Roman"/>
          <w:highlight w:val="yellow"/>
        </w:rPr>
        <w:t>RCT: randomized controlled trial</w:t>
      </w:r>
    </w:p>
    <w:p w14:paraId="53607E97" w14:textId="4CE7A56E" w:rsidR="007876C3" w:rsidRPr="007876C3" w:rsidRDefault="007876C3" w:rsidP="007876C3">
      <w:pPr>
        <w:pStyle w:val="TableofContentsCaption"/>
        <w:spacing w:before="0" w:after="0"/>
        <w:contextualSpacing/>
        <w:jc w:val="both"/>
        <w:rPr>
          <w:rFonts w:ascii="Times New Roman" w:hAnsi="Times New Roman" w:cs="Times New Roman"/>
        </w:rPr>
      </w:pPr>
      <w:r w:rsidRPr="00D25190">
        <w:rPr>
          <w:rFonts w:ascii="Times New Roman" w:hAnsi="Times New Roman" w:cs="Times New Roman"/>
          <w:highlight w:val="yellow"/>
        </w:rPr>
        <w:t>TTR: time in therapeutic range</w:t>
      </w:r>
    </w:p>
    <w:p w14:paraId="04ADEAEF" w14:textId="77777777" w:rsidR="007876C3" w:rsidRDefault="007876C3">
      <w:pPr>
        <w:spacing w:after="200" w:line="276" w:lineRule="auto"/>
        <w:rPr>
          <w:rFonts w:eastAsia="바탕"/>
          <w:b/>
          <w:color w:val="000000"/>
        </w:rPr>
      </w:pPr>
      <w:r>
        <w:rPr>
          <w:b/>
        </w:rPr>
        <w:br w:type="page"/>
      </w:r>
    </w:p>
    <w:p w14:paraId="3C39A610" w14:textId="53FBF9E0" w:rsidR="00F64EFE" w:rsidRPr="00A74CDF" w:rsidRDefault="005B3F87" w:rsidP="00BB1388">
      <w:pPr>
        <w:pStyle w:val="TableofContentsCaption"/>
        <w:spacing w:before="0" w:after="0"/>
        <w:contextualSpacing/>
        <w:jc w:val="both"/>
        <w:rPr>
          <w:rFonts w:ascii="Times New Roman" w:hAnsi="Times New Roman" w:cs="Times New Roman"/>
          <w:b/>
        </w:rPr>
      </w:pPr>
      <w:r w:rsidRPr="00A74CDF">
        <w:rPr>
          <w:rFonts w:ascii="Times New Roman" w:hAnsi="Times New Roman" w:cs="Times New Roman"/>
          <w:b/>
        </w:rPr>
        <w:lastRenderedPageBreak/>
        <w:t>Introduction</w:t>
      </w:r>
    </w:p>
    <w:p w14:paraId="1DCB1D34" w14:textId="0C341026" w:rsidR="005B3F87" w:rsidRPr="00A74CDF" w:rsidRDefault="005B3F87" w:rsidP="00BB1388">
      <w:pPr>
        <w:pStyle w:val="TableofContentsCaption"/>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 xml:space="preserve">Oral anticoagulant (OAC) therapy is essential for the prevention of thromboembolic events in patients with atrial fibrillation (AF), and the </w:t>
      </w:r>
      <w:r w:rsidRPr="00A74CDF">
        <w:rPr>
          <w:rFonts w:ascii="Times New Roman" w:hAnsi="Times New Roman" w:cs="Times New Roman"/>
          <w:lang w:eastAsia="ko-KR"/>
        </w:rPr>
        <w:t>introduction</w:t>
      </w:r>
      <w:r w:rsidRPr="00A74CDF">
        <w:rPr>
          <w:rFonts w:ascii="Times New Roman" w:hAnsi="Times New Roman" w:cs="Times New Roman"/>
        </w:rPr>
        <w:t xml:space="preserve"> of non-vitamin K antagonist oral anticoagulants (NOACs)</w:t>
      </w:r>
      <w:r w:rsidR="0084105D" w:rsidRPr="00A74CDF">
        <w:rPr>
          <w:rFonts w:ascii="Times New Roman" w:hAnsi="Times New Roman" w:cs="Times New Roman"/>
        </w:rPr>
        <w:t xml:space="preserve"> h</w:t>
      </w:r>
      <w:r w:rsidR="007743C5" w:rsidRPr="00A74CDF">
        <w:rPr>
          <w:rFonts w:ascii="Times New Roman" w:hAnsi="Times New Roman" w:cs="Times New Roman"/>
        </w:rPr>
        <w:t xml:space="preserve">as facilitated </w:t>
      </w:r>
      <w:r w:rsidR="00F972A4" w:rsidRPr="00A74CDF">
        <w:rPr>
          <w:rFonts w:ascii="Times New Roman" w:hAnsi="Times New Roman" w:cs="Times New Roman"/>
        </w:rPr>
        <w:t>uptake of thromboprophylaxis</w:t>
      </w:r>
      <w:r w:rsidRPr="00A74CDF">
        <w:rPr>
          <w:rFonts w:ascii="Times New Roman" w:hAnsi="Times New Roman" w:cs="Times New Roman"/>
        </w:rPr>
        <w:t>.</w:t>
      </w:r>
      <w:r w:rsidRPr="00A74CDF" w:rsidDel="008811F4">
        <w:rPr>
          <w:rFonts w:ascii="Times New Roman" w:hAnsi="Times New Roman" w:cs="Times New Roman"/>
        </w:rPr>
        <w:t xml:space="preserve"> </w:t>
      </w:r>
      <w:r w:rsidRPr="00A74CDF">
        <w:rPr>
          <w:rFonts w:ascii="Times New Roman" w:hAnsi="Times New Roman" w:cs="Times New Roman"/>
        </w:rPr>
        <w:t>The efficacy and safety of NOAC</w:t>
      </w:r>
      <w:r w:rsidR="00432CA4" w:rsidRPr="00A74CDF">
        <w:rPr>
          <w:rFonts w:ascii="Times New Roman" w:hAnsi="Times New Roman" w:cs="Times New Roman"/>
        </w:rPr>
        <w:t>s are well</w:t>
      </w:r>
      <w:r w:rsidRPr="00A74CDF">
        <w:rPr>
          <w:rFonts w:ascii="Times New Roman" w:hAnsi="Times New Roman" w:cs="Times New Roman"/>
        </w:rPr>
        <w:t xml:space="preserve"> documented </w:t>
      </w:r>
      <w:r w:rsidR="008D2EEF" w:rsidRPr="00A74CDF">
        <w:rPr>
          <w:rFonts w:ascii="Times New Roman" w:hAnsi="Times New Roman" w:cs="Times New Roman"/>
        </w:rPr>
        <w:t>in</w:t>
      </w:r>
      <w:r w:rsidRPr="00A74CDF">
        <w:rPr>
          <w:rFonts w:ascii="Times New Roman" w:hAnsi="Times New Roman" w:cs="Times New Roman"/>
        </w:rPr>
        <w:t xml:space="preserve"> several previous randomized control</w:t>
      </w:r>
      <w:r w:rsidR="00D85A93">
        <w:rPr>
          <w:rFonts w:ascii="Times New Roman" w:hAnsi="Times New Roman" w:cs="Times New Roman"/>
        </w:rPr>
        <w:t>led</w:t>
      </w:r>
      <w:r w:rsidRPr="00A74CDF">
        <w:rPr>
          <w:rFonts w:ascii="Times New Roman" w:hAnsi="Times New Roman" w:cs="Times New Roman"/>
        </w:rPr>
        <w:t xml:space="preserve"> trials </w:t>
      </w:r>
      <w:r w:rsidR="008D2EEF" w:rsidRPr="00A74CDF">
        <w:rPr>
          <w:rFonts w:ascii="Times New Roman" w:hAnsi="Times New Roman" w:cs="Times New Roman"/>
        </w:rPr>
        <w:t xml:space="preserve">(RCTs) </w:t>
      </w:r>
      <w:r w:rsidRPr="00A74CDF">
        <w:rPr>
          <w:rFonts w:ascii="Times New Roman" w:hAnsi="Times New Roman" w:cs="Times New Roman"/>
        </w:rPr>
        <w:t>as well as real-world studies</w:t>
      </w:r>
      <w:r w:rsidR="004F463B" w:rsidRPr="00A74CDF">
        <w:rPr>
          <w:rFonts w:ascii="Times New Roman" w:hAnsi="Times New Roman" w:cs="Times New Roman"/>
        </w:rPr>
        <w:t>.</w:t>
      </w:r>
      <w:r w:rsidRPr="00A74CDF">
        <w:rPr>
          <w:rFonts w:ascii="Times New Roman" w:hAnsi="Times New Roman" w:cs="Times New Roman"/>
          <w:vertAlign w:val="superscript"/>
        </w:rPr>
        <w:t>1,2</w:t>
      </w:r>
      <w:r w:rsidRPr="00A74CDF">
        <w:rPr>
          <w:rFonts w:ascii="Times New Roman" w:hAnsi="Times New Roman" w:cs="Times New Roman"/>
        </w:rPr>
        <w:t xml:space="preserve"> Even in frail</w:t>
      </w:r>
      <w:r w:rsidRPr="00A74CDF">
        <w:rPr>
          <w:rFonts w:ascii="Times New Roman" w:hAnsi="Times New Roman" w:cs="Times New Roman"/>
          <w:lang w:eastAsia="ko-KR"/>
        </w:rPr>
        <w:t xml:space="preserve"> </w:t>
      </w:r>
      <w:r w:rsidRPr="00A74CDF">
        <w:rPr>
          <w:rFonts w:ascii="Times New Roman" w:hAnsi="Times New Roman" w:cs="Times New Roman"/>
        </w:rPr>
        <w:t xml:space="preserve">patients </w:t>
      </w:r>
      <w:r w:rsidR="00432CA4" w:rsidRPr="00A74CDF">
        <w:rPr>
          <w:rFonts w:ascii="Times New Roman" w:hAnsi="Times New Roman" w:cs="Times New Roman"/>
        </w:rPr>
        <w:t xml:space="preserve">for whom </w:t>
      </w:r>
      <w:r w:rsidRPr="00A74CDF">
        <w:rPr>
          <w:rFonts w:ascii="Times New Roman" w:hAnsi="Times New Roman" w:cs="Times New Roman"/>
        </w:rPr>
        <w:t xml:space="preserve">OAC treatments </w:t>
      </w:r>
      <w:r w:rsidR="00432CA4" w:rsidRPr="00A74CDF">
        <w:rPr>
          <w:rFonts w:ascii="Times New Roman" w:hAnsi="Times New Roman" w:cs="Times New Roman"/>
        </w:rPr>
        <w:t xml:space="preserve">were </w:t>
      </w:r>
      <w:r w:rsidRPr="00A74CDF">
        <w:rPr>
          <w:rFonts w:ascii="Times New Roman" w:hAnsi="Times New Roman" w:cs="Times New Roman"/>
        </w:rPr>
        <w:t>once thought to be risky, NOAC</w:t>
      </w:r>
      <w:r w:rsidR="00432CA4" w:rsidRPr="00A74CDF">
        <w:rPr>
          <w:rFonts w:ascii="Times New Roman" w:hAnsi="Times New Roman" w:cs="Times New Roman"/>
        </w:rPr>
        <w:t>s</w:t>
      </w:r>
      <w:r w:rsidRPr="00A74CDF">
        <w:rPr>
          <w:rFonts w:ascii="Times New Roman" w:hAnsi="Times New Roman" w:cs="Times New Roman"/>
        </w:rPr>
        <w:t xml:space="preserve"> </w:t>
      </w:r>
      <w:r w:rsidR="000A2E96" w:rsidRPr="00A74CDF">
        <w:rPr>
          <w:rFonts w:ascii="Times New Roman" w:hAnsi="Times New Roman" w:cs="Times New Roman"/>
        </w:rPr>
        <w:t xml:space="preserve">have </w:t>
      </w:r>
      <w:r w:rsidR="00F972A4" w:rsidRPr="00A74CDF">
        <w:rPr>
          <w:rFonts w:ascii="Times New Roman" w:hAnsi="Times New Roman" w:cs="Times New Roman"/>
        </w:rPr>
        <w:t xml:space="preserve">demonstrated significant </w:t>
      </w:r>
      <w:r w:rsidRPr="00A74CDF">
        <w:rPr>
          <w:rFonts w:ascii="Times New Roman" w:hAnsi="Times New Roman" w:cs="Times New Roman"/>
        </w:rPr>
        <w:t>net clinical benefit</w:t>
      </w:r>
      <w:r w:rsidR="004F463B" w:rsidRPr="00A74CDF">
        <w:rPr>
          <w:rFonts w:ascii="Times New Roman" w:hAnsi="Times New Roman" w:cs="Times New Roman"/>
        </w:rPr>
        <w:t>.</w:t>
      </w:r>
      <w:r w:rsidRPr="00A74CDF">
        <w:rPr>
          <w:rFonts w:ascii="Times New Roman" w:hAnsi="Times New Roman" w:cs="Times New Roman"/>
          <w:vertAlign w:val="superscript"/>
        </w:rPr>
        <w:t>3-5</w:t>
      </w:r>
      <w:r w:rsidRPr="00A74CDF">
        <w:rPr>
          <w:rFonts w:ascii="Times New Roman" w:hAnsi="Times New Roman" w:cs="Times New Roman"/>
        </w:rPr>
        <w:t xml:space="preserve"> However, the effectiveness and safety of NOAC</w:t>
      </w:r>
      <w:r w:rsidR="00432CA4" w:rsidRPr="00A74CDF">
        <w:rPr>
          <w:rFonts w:ascii="Times New Roman" w:hAnsi="Times New Roman" w:cs="Times New Roman"/>
        </w:rPr>
        <w:t>s</w:t>
      </w:r>
      <w:r w:rsidRPr="00A74CDF">
        <w:rPr>
          <w:rFonts w:ascii="Times New Roman" w:hAnsi="Times New Roman" w:cs="Times New Roman"/>
        </w:rPr>
        <w:t xml:space="preserve"> in AF patients </w:t>
      </w:r>
      <w:r w:rsidR="001F2A51" w:rsidRPr="00A74CDF">
        <w:rPr>
          <w:rFonts w:ascii="Times New Roman" w:hAnsi="Times New Roman" w:cs="Times New Roman"/>
        </w:rPr>
        <w:t xml:space="preserve">at </w:t>
      </w:r>
      <w:r w:rsidRPr="00A74CDF">
        <w:rPr>
          <w:rFonts w:ascii="Times New Roman" w:hAnsi="Times New Roman" w:cs="Times New Roman"/>
        </w:rPr>
        <w:t>high bleeding risk</w:t>
      </w:r>
      <w:r w:rsidR="001F2A51" w:rsidRPr="00A74CDF">
        <w:rPr>
          <w:rFonts w:ascii="Times New Roman" w:hAnsi="Times New Roman" w:cs="Times New Roman"/>
        </w:rPr>
        <w:t xml:space="preserve"> </w:t>
      </w:r>
      <w:r w:rsidRPr="00A74CDF">
        <w:rPr>
          <w:rFonts w:ascii="Times New Roman" w:hAnsi="Times New Roman" w:cs="Times New Roman"/>
        </w:rPr>
        <w:t xml:space="preserve">have not </w:t>
      </w:r>
      <w:r w:rsidR="00432CA4" w:rsidRPr="00A74CDF">
        <w:rPr>
          <w:rFonts w:ascii="Times New Roman" w:hAnsi="Times New Roman" w:cs="Times New Roman"/>
        </w:rPr>
        <w:t xml:space="preserve">been </w:t>
      </w:r>
      <w:r w:rsidR="001F2A51" w:rsidRPr="00A74CDF">
        <w:rPr>
          <w:rFonts w:ascii="Times New Roman" w:hAnsi="Times New Roman" w:cs="Times New Roman"/>
        </w:rPr>
        <w:t xml:space="preserve">well </w:t>
      </w:r>
      <w:r w:rsidRPr="00A74CDF">
        <w:rPr>
          <w:rFonts w:ascii="Times New Roman" w:hAnsi="Times New Roman" w:cs="Times New Roman"/>
        </w:rPr>
        <w:t xml:space="preserve">documented. </w:t>
      </w:r>
    </w:p>
    <w:p w14:paraId="6EC41E73" w14:textId="67E89E91" w:rsidR="00A55F66" w:rsidRPr="00A74CDF" w:rsidRDefault="005B3F87" w:rsidP="00BB1388">
      <w:pPr>
        <w:pStyle w:val="1"/>
        <w:spacing w:before="0" w:after="0"/>
        <w:ind w:firstLineChars="200" w:firstLine="480"/>
        <w:contextualSpacing/>
        <w:jc w:val="both"/>
        <w:rPr>
          <w:rFonts w:ascii="Times New Roman" w:hAnsi="Times New Roman" w:cs="Times New Roman"/>
          <w:color w:val="auto"/>
        </w:rPr>
      </w:pPr>
      <w:r w:rsidRPr="00A74CDF">
        <w:rPr>
          <w:rFonts w:ascii="Times New Roman" w:hAnsi="Times New Roman" w:cs="Times New Roman"/>
        </w:rPr>
        <w:t xml:space="preserve">Gastrointestinal bleeding (GIB) is one of the most frequent adverse events </w:t>
      </w:r>
      <w:r w:rsidR="00905B6F" w:rsidRPr="00A74CDF">
        <w:rPr>
          <w:rFonts w:ascii="Times New Roman" w:hAnsi="Times New Roman" w:cs="Times New Roman"/>
        </w:rPr>
        <w:t xml:space="preserve">that </w:t>
      </w:r>
      <w:r w:rsidR="00432CA4" w:rsidRPr="00A74CDF">
        <w:rPr>
          <w:rFonts w:ascii="Times New Roman" w:hAnsi="Times New Roman" w:cs="Times New Roman"/>
        </w:rPr>
        <w:t xml:space="preserve">occur </w:t>
      </w:r>
      <w:r w:rsidRPr="00A74CDF">
        <w:rPr>
          <w:rFonts w:ascii="Times New Roman" w:hAnsi="Times New Roman" w:cs="Times New Roman"/>
        </w:rPr>
        <w:t xml:space="preserve">during anticoagulation therapy and </w:t>
      </w:r>
      <w:r w:rsidR="00B31611" w:rsidRPr="00A74CDF">
        <w:rPr>
          <w:rFonts w:ascii="Times New Roman" w:hAnsi="Times New Roman" w:cs="Times New Roman"/>
        </w:rPr>
        <w:t>confers a</w:t>
      </w:r>
      <w:r w:rsidR="00432CA4" w:rsidRPr="00A74CDF">
        <w:rPr>
          <w:rFonts w:ascii="Times New Roman" w:hAnsi="Times New Roman" w:cs="Times New Roman"/>
        </w:rPr>
        <w:t xml:space="preserve"> </w:t>
      </w:r>
      <w:r w:rsidRPr="00A74CDF">
        <w:rPr>
          <w:rFonts w:ascii="Times New Roman" w:hAnsi="Times New Roman" w:cs="Times New Roman"/>
        </w:rPr>
        <w:t>significant health</w:t>
      </w:r>
      <w:r w:rsidR="008D2EEF" w:rsidRPr="00A74CDF">
        <w:rPr>
          <w:rFonts w:ascii="Times New Roman" w:hAnsi="Times New Roman" w:cs="Times New Roman"/>
        </w:rPr>
        <w:t xml:space="preserve"> </w:t>
      </w:r>
      <w:r w:rsidRPr="00A74CDF">
        <w:rPr>
          <w:rFonts w:ascii="Times New Roman" w:hAnsi="Times New Roman" w:cs="Times New Roman"/>
        </w:rPr>
        <w:t>care burden</w:t>
      </w:r>
      <w:r w:rsidR="004F463B" w:rsidRPr="00A74CDF">
        <w:rPr>
          <w:rFonts w:ascii="Times New Roman" w:hAnsi="Times New Roman" w:cs="Times New Roman"/>
        </w:rPr>
        <w:t>.</w:t>
      </w:r>
      <w:r w:rsidRPr="00A74CDF">
        <w:rPr>
          <w:rFonts w:ascii="Times New Roman" w:hAnsi="Times New Roman" w:cs="Times New Roman"/>
          <w:vertAlign w:val="superscript"/>
        </w:rPr>
        <w:t>6</w:t>
      </w:r>
      <w:r w:rsidRPr="00A74CDF">
        <w:rPr>
          <w:rFonts w:ascii="Times New Roman" w:hAnsi="Times New Roman" w:cs="Times New Roman"/>
        </w:rPr>
        <w:t xml:space="preserve"> Previous studies</w:t>
      </w:r>
      <w:r w:rsidR="008D2EEF" w:rsidRPr="00A74CDF">
        <w:rPr>
          <w:rFonts w:ascii="Times New Roman" w:hAnsi="Times New Roman" w:cs="Times New Roman"/>
        </w:rPr>
        <w:t xml:space="preserve"> have</w:t>
      </w:r>
      <w:r w:rsidRPr="00A74CDF">
        <w:rPr>
          <w:rFonts w:ascii="Times New Roman" w:hAnsi="Times New Roman" w:cs="Times New Roman"/>
        </w:rPr>
        <w:t xml:space="preserve"> reported that NOAC use </w:t>
      </w:r>
      <w:r w:rsidR="008D2EEF" w:rsidRPr="00A74CDF">
        <w:rPr>
          <w:rFonts w:ascii="Times New Roman" w:hAnsi="Times New Roman" w:cs="Times New Roman"/>
        </w:rPr>
        <w:t xml:space="preserve">is </w:t>
      </w:r>
      <w:r w:rsidRPr="00A74CDF">
        <w:rPr>
          <w:rFonts w:ascii="Times New Roman" w:hAnsi="Times New Roman" w:cs="Times New Roman"/>
        </w:rPr>
        <w:t xml:space="preserve">associated with a comparable or higher risk of GIB </w:t>
      </w:r>
      <w:r w:rsidR="00B650D0" w:rsidRPr="00A74CDF">
        <w:rPr>
          <w:rFonts w:ascii="Times New Roman" w:hAnsi="Times New Roman" w:cs="Times New Roman"/>
        </w:rPr>
        <w:t xml:space="preserve">than that noted </w:t>
      </w:r>
      <w:r w:rsidR="00BD5A08" w:rsidRPr="00A74CDF">
        <w:rPr>
          <w:rFonts w:ascii="Times New Roman" w:hAnsi="Times New Roman" w:cs="Times New Roman"/>
        </w:rPr>
        <w:t xml:space="preserve">with </w:t>
      </w:r>
      <w:r w:rsidRPr="00A74CDF">
        <w:rPr>
          <w:rFonts w:ascii="Times New Roman" w:hAnsi="Times New Roman" w:cs="Times New Roman"/>
        </w:rPr>
        <w:t>warfarin</w:t>
      </w:r>
      <w:r w:rsidR="004F463B" w:rsidRPr="00A74CDF">
        <w:rPr>
          <w:rFonts w:ascii="Times New Roman" w:hAnsi="Times New Roman" w:cs="Times New Roman"/>
        </w:rPr>
        <w:t>.</w:t>
      </w:r>
      <w:r w:rsidRPr="00A74CDF">
        <w:rPr>
          <w:rFonts w:ascii="Times New Roman" w:hAnsi="Times New Roman" w:cs="Times New Roman"/>
          <w:vertAlign w:val="superscript"/>
        </w:rPr>
        <w:t>7-10</w:t>
      </w:r>
      <w:r w:rsidRPr="00A74CDF">
        <w:rPr>
          <w:rFonts w:ascii="Times New Roman" w:hAnsi="Times New Roman" w:cs="Times New Roman"/>
          <w:lang w:eastAsia="ko-KR"/>
        </w:rPr>
        <w:t xml:space="preserve"> Furthermore, patients with a prior history of GIB are </w:t>
      </w:r>
      <w:r w:rsidR="00C93CA0" w:rsidRPr="00A74CDF">
        <w:rPr>
          <w:rFonts w:ascii="Times New Roman" w:hAnsi="Times New Roman" w:cs="Times New Roman"/>
          <w:lang w:eastAsia="ko-KR"/>
        </w:rPr>
        <w:t xml:space="preserve">at </w:t>
      </w:r>
      <w:r w:rsidRPr="00A74CDF">
        <w:rPr>
          <w:rFonts w:ascii="Times New Roman" w:hAnsi="Times New Roman" w:cs="Times New Roman"/>
          <w:lang w:eastAsia="ko-KR"/>
        </w:rPr>
        <w:t>high</w:t>
      </w:r>
      <w:r w:rsidR="00C93CA0" w:rsidRPr="00A74CDF">
        <w:rPr>
          <w:rFonts w:ascii="Times New Roman" w:hAnsi="Times New Roman" w:cs="Times New Roman"/>
          <w:lang w:eastAsia="ko-KR"/>
        </w:rPr>
        <w:t xml:space="preserve"> </w:t>
      </w:r>
      <w:r w:rsidRPr="00A74CDF">
        <w:rPr>
          <w:rFonts w:ascii="Times New Roman" w:hAnsi="Times New Roman" w:cs="Times New Roman"/>
          <w:lang w:eastAsia="ko-KR"/>
        </w:rPr>
        <w:t xml:space="preserve">risk of </w:t>
      </w:r>
      <w:r w:rsidR="00BE1B69" w:rsidRPr="00A74CDF">
        <w:rPr>
          <w:rFonts w:ascii="Times New Roman" w:hAnsi="Times New Roman" w:cs="Times New Roman"/>
          <w:lang w:eastAsia="ko-KR"/>
        </w:rPr>
        <w:t xml:space="preserve">further </w:t>
      </w:r>
      <w:r w:rsidRPr="00A74CDF">
        <w:rPr>
          <w:rFonts w:ascii="Times New Roman" w:hAnsi="Times New Roman" w:cs="Times New Roman"/>
          <w:lang w:eastAsia="ko-KR"/>
        </w:rPr>
        <w:t xml:space="preserve">bleeding events, so </w:t>
      </w:r>
      <w:r w:rsidR="00C93CA0" w:rsidRPr="00A74CDF">
        <w:rPr>
          <w:rFonts w:ascii="Times New Roman" w:hAnsi="Times New Roman" w:cs="Times New Roman"/>
          <w:lang w:eastAsia="ko-KR"/>
        </w:rPr>
        <w:t xml:space="preserve">an </w:t>
      </w:r>
      <w:r w:rsidRPr="00A74CDF">
        <w:rPr>
          <w:rFonts w:ascii="Times New Roman" w:hAnsi="Times New Roman" w:cs="Times New Roman"/>
          <w:lang w:eastAsia="ko-KR"/>
        </w:rPr>
        <w:t xml:space="preserve">optimal anticoagulation strategy is needed for this population. However, </w:t>
      </w:r>
      <w:r w:rsidRPr="00A74CDF">
        <w:rPr>
          <w:rFonts w:ascii="Times New Roman" w:hAnsi="Times New Roman" w:cs="Times New Roman"/>
        </w:rPr>
        <w:t xml:space="preserve">pivotal </w:t>
      </w:r>
      <w:r w:rsidR="00197681" w:rsidRPr="00A74CDF">
        <w:rPr>
          <w:rFonts w:ascii="Times New Roman" w:hAnsi="Times New Roman" w:cs="Times New Roman"/>
        </w:rPr>
        <w:t>RCTs</w:t>
      </w:r>
      <w:r w:rsidRPr="00A74CDF">
        <w:rPr>
          <w:rFonts w:ascii="Times New Roman" w:hAnsi="Times New Roman" w:cs="Times New Roman"/>
        </w:rPr>
        <w:t xml:space="preserve"> </w:t>
      </w:r>
      <w:r w:rsidR="00BD5A08" w:rsidRPr="00A74CDF">
        <w:rPr>
          <w:rFonts w:ascii="Times New Roman" w:hAnsi="Times New Roman" w:cs="Times New Roman"/>
        </w:rPr>
        <w:t>have</w:t>
      </w:r>
      <w:r w:rsidR="00BE1B69" w:rsidRPr="00A74CDF">
        <w:rPr>
          <w:rFonts w:ascii="Times New Roman" w:hAnsi="Times New Roman" w:cs="Times New Roman"/>
        </w:rPr>
        <w:t xml:space="preserve"> generally</w:t>
      </w:r>
      <w:r w:rsidR="00BD5A08" w:rsidRPr="00A74CDF">
        <w:rPr>
          <w:rFonts w:ascii="Times New Roman" w:hAnsi="Times New Roman" w:cs="Times New Roman"/>
        </w:rPr>
        <w:t xml:space="preserve"> </w:t>
      </w:r>
      <w:r w:rsidRPr="00A74CDF">
        <w:rPr>
          <w:rFonts w:ascii="Times New Roman" w:hAnsi="Times New Roman" w:cs="Times New Roman"/>
        </w:rPr>
        <w:t xml:space="preserve">excluded these patients, so </w:t>
      </w:r>
      <w:r w:rsidR="00FD16A4" w:rsidRPr="00A74CDF">
        <w:rPr>
          <w:rFonts w:ascii="Times New Roman" w:hAnsi="Times New Roman" w:cs="Times New Roman"/>
        </w:rPr>
        <w:t xml:space="preserve">there is insufficient </w:t>
      </w:r>
      <w:r w:rsidRPr="00A74CDF">
        <w:rPr>
          <w:rFonts w:ascii="Times New Roman" w:hAnsi="Times New Roman" w:cs="Times New Roman"/>
        </w:rPr>
        <w:t xml:space="preserve">evidence </w:t>
      </w:r>
      <w:r w:rsidR="006511F5" w:rsidRPr="00A74CDF">
        <w:rPr>
          <w:rFonts w:ascii="Times New Roman" w:hAnsi="Times New Roman" w:cs="Times New Roman"/>
        </w:rPr>
        <w:t>for the</w:t>
      </w:r>
      <w:r w:rsidRPr="00A74CDF">
        <w:rPr>
          <w:rFonts w:ascii="Times New Roman" w:hAnsi="Times New Roman" w:cs="Times New Roman"/>
        </w:rPr>
        <w:t xml:space="preserve"> </w:t>
      </w:r>
      <w:r w:rsidRPr="00A74CDF">
        <w:rPr>
          <w:rFonts w:ascii="Times New Roman" w:hAnsi="Times New Roman" w:cs="Times New Roman"/>
          <w:lang w:eastAsia="ko-KR"/>
        </w:rPr>
        <w:t xml:space="preserve">optimal anticoagulation therapy </w:t>
      </w:r>
      <w:r w:rsidR="006511F5" w:rsidRPr="00A74CDF">
        <w:rPr>
          <w:rFonts w:ascii="Times New Roman" w:hAnsi="Times New Roman" w:cs="Times New Roman"/>
          <w:lang w:eastAsia="ko-KR"/>
        </w:rPr>
        <w:t xml:space="preserve">for </w:t>
      </w:r>
      <w:r w:rsidRPr="00A74CDF">
        <w:rPr>
          <w:rFonts w:ascii="Times New Roman" w:hAnsi="Times New Roman" w:cs="Times New Roman"/>
        </w:rPr>
        <w:t>AF patients</w:t>
      </w:r>
      <w:r w:rsidR="00FD16A4" w:rsidRPr="00A74CDF">
        <w:rPr>
          <w:rFonts w:ascii="Times New Roman" w:hAnsi="Times New Roman" w:cs="Times New Roman"/>
        </w:rPr>
        <w:t xml:space="preserve"> </w:t>
      </w:r>
      <w:r w:rsidRPr="00A74CDF">
        <w:rPr>
          <w:rFonts w:ascii="Times New Roman" w:hAnsi="Times New Roman" w:cs="Times New Roman"/>
        </w:rPr>
        <w:t>with a history of GIB</w:t>
      </w:r>
      <w:r w:rsidR="004F463B" w:rsidRPr="00A74CDF">
        <w:rPr>
          <w:rFonts w:ascii="Times New Roman" w:hAnsi="Times New Roman" w:cs="Times New Roman"/>
        </w:rPr>
        <w:t>.</w:t>
      </w:r>
      <w:r w:rsidRPr="00A74CDF">
        <w:rPr>
          <w:rFonts w:ascii="Times New Roman" w:hAnsi="Times New Roman" w:cs="Times New Roman"/>
          <w:vertAlign w:val="superscript"/>
        </w:rPr>
        <w:t>11-14</w:t>
      </w:r>
      <w:r w:rsidRPr="00A74CDF">
        <w:rPr>
          <w:rFonts w:ascii="Times New Roman" w:hAnsi="Times New Roman" w:cs="Times New Roman"/>
        </w:rPr>
        <w:t xml:space="preserve"> </w:t>
      </w:r>
      <w:r w:rsidR="006511F5" w:rsidRPr="00A74CDF">
        <w:rPr>
          <w:rFonts w:ascii="Times New Roman" w:hAnsi="Times New Roman" w:cs="Times New Roman"/>
        </w:rPr>
        <w:t>The restarting</w:t>
      </w:r>
      <w:r w:rsidRPr="00A74CDF">
        <w:rPr>
          <w:rFonts w:ascii="Times New Roman" w:hAnsi="Times New Roman" w:cs="Times New Roman"/>
        </w:rPr>
        <w:t xml:space="preserve"> of OAC</w:t>
      </w:r>
      <w:r w:rsidR="00E13267" w:rsidRPr="00A74CDF">
        <w:rPr>
          <w:rFonts w:ascii="Times New Roman" w:hAnsi="Times New Roman" w:cs="Times New Roman"/>
        </w:rPr>
        <w:t>s</w:t>
      </w:r>
      <w:r w:rsidRPr="00A74CDF">
        <w:rPr>
          <w:rFonts w:ascii="Times New Roman" w:hAnsi="Times New Roman" w:cs="Times New Roman"/>
        </w:rPr>
        <w:t xml:space="preserve"> may benefit th</w:t>
      </w:r>
      <w:r w:rsidR="006511F5" w:rsidRPr="00A74CDF">
        <w:rPr>
          <w:rFonts w:ascii="Times New Roman" w:hAnsi="Times New Roman" w:cs="Times New Roman"/>
        </w:rPr>
        <w:t>e latter</w:t>
      </w:r>
      <w:r w:rsidRPr="00A74CDF">
        <w:rPr>
          <w:rFonts w:ascii="Times New Roman" w:hAnsi="Times New Roman" w:cs="Times New Roman"/>
        </w:rPr>
        <w:t xml:space="preserve"> population, but little is known about prognos</w:t>
      </w:r>
      <w:r w:rsidR="00FD16A4" w:rsidRPr="00A74CDF">
        <w:rPr>
          <w:rFonts w:ascii="Times New Roman" w:hAnsi="Times New Roman" w:cs="Times New Roman"/>
        </w:rPr>
        <w:t>e</w:t>
      </w:r>
      <w:r w:rsidRPr="00A74CDF">
        <w:rPr>
          <w:rFonts w:ascii="Times New Roman" w:hAnsi="Times New Roman" w:cs="Times New Roman"/>
        </w:rPr>
        <w:t>s by type of OAC.</w:t>
      </w:r>
      <w:r w:rsidRPr="00A74CDF">
        <w:rPr>
          <w:rFonts w:ascii="Times New Roman" w:hAnsi="Times New Roman" w:cs="Times New Roman"/>
          <w:lang w:eastAsia="ko-KR"/>
        </w:rPr>
        <w:t xml:space="preserve"> Considering that </w:t>
      </w:r>
      <w:r w:rsidR="00C60315" w:rsidRPr="00A74CDF">
        <w:rPr>
          <w:rFonts w:ascii="Times New Roman" w:hAnsi="Times New Roman" w:cs="Times New Roman"/>
          <w:lang w:eastAsia="ko-KR"/>
        </w:rPr>
        <w:t xml:space="preserve">many </w:t>
      </w:r>
      <w:r w:rsidRPr="00A74CDF">
        <w:rPr>
          <w:rFonts w:ascii="Times New Roman" w:hAnsi="Times New Roman" w:cs="Times New Roman"/>
          <w:lang w:eastAsia="ko-KR"/>
        </w:rPr>
        <w:t>NOAC</w:t>
      </w:r>
      <w:r w:rsidR="00027CAB" w:rsidRPr="00A74CDF">
        <w:rPr>
          <w:rFonts w:ascii="Times New Roman" w:hAnsi="Times New Roman" w:cs="Times New Roman"/>
          <w:lang w:eastAsia="ko-KR"/>
        </w:rPr>
        <w:t>s</w:t>
      </w:r>
      <w:r w:rsidRPr="00A74CDF">
        <w:rPr>
          <w:rFonts w:ascii="Times New Roman" w:hAnsi="Times New Roman" w:cs="Times New Roman"/>
          <w:lang w:eastAsia="ko-KR"/>
        </w:rPr>
        <w:t xml:space="preserve"> </w:t>
      </w:r>
      <w:r w:rsidR="006511F5" w:rsidRPr="00A74CDF">
        <w:rPr>
          <w:rFonts w:ascii="Times New Roman" w:hAnsi="Times New Roman" w:cs="Times New Roman"/>
          <w:lang w:eastAsia="ko-KR"/>
        </w:rPr>
        <w:t>(</w:t>
      </w:r>
      <w:r w:rsidR="00C60315" w:rsidRPr="00A74CDF">
        <w:rPr>
          <w:rFonts w:ascii="Times New Roman" w:hAnsi="Times New Roman" w:cs="Times New Roman"/>
          <w:i/>
          <w:iCs/>
          <w:lang w:eastAsia="ko-KR"/>
        </w:rPr>
        <w:t>i</w:t>
      </w:r>
      <w:r w:rsidR="00983323" w:rsidRPr="00A74CDF">
        <w:rPr>
          <w:rFonts w:ascii="Times New Roman" w:hAnsi="Times New Roman" w:cs="Times New Roman"/>
          <w:i/>
          <w:iCs/>
          <w:lang w:eastAsia="ko-KR"/>
        </w:rPr>
        <w:t>.</w:t>
      </w:r>
      <w:r w:rsidR="00C60315" w:rsidRPr="00A74CDF">
        <w:rPr>
          <w:rFonts w:ascii="Times New Roman" w:hAnsi="Times New Roman" w:cs="Times New Roman"/>
          <w:i/>
          <w:iCs/>
          <w:lang w:eastAsia="ko-KR"/>
        </w:rPr>
        <w:t>e.</w:t>
      </w:r>
      <w:r w:rsidR="00983323" w:rsidRPr="00A74CDF">
        <w:rPr>
          <w:rFonts w:ascii="Times New Roman" w:hAnsi="Times New Roman" w:cs="Times New Roman"/>
          <w:lang w:eastAsia="ko-KR"/>
        </w:rPr>
        <w:t>,</w:t>
      </w:r>
      <w:r w:rsidR="006511F5" w:rsidRPr="00A74CDF">
        <w:rPr>
          <w:rFonts w:ascii="Times New Roman" w:hAnsi="Times New Roman" w:cs="Times New Roman"/>
          <w:lang w:eastAsia="ko-KR"/>
        </w:rPr>
        <w:t xml:space="preserve"> dabigatran 150</w:t>
      </w:r>
      <w:r w:rsidR="00983323" w:rsidRPr="00A74CDF">
        <w:rPr>
          <w:rFonts w:ascii="Times New Roman" w:hAnsi="Times New Roman" w:cs="Times New Roman"/>
          <w:lang w:eastAsia="ko-KR"/>
        </w:rPr>
        <w:t xml:space="preserve"> </w:t>
      </w:r>
      <w:r w:rsidR="006511F5" w:rsidRPr="00A74CDF">
        <w:rPr>
          <w:rFonts w:ascii="Times New Roman" w:hAnsi="Times New Roman" w:cs="Times New Roman"/>
          <w:lang w:eastAsia="ko-KR"/>
        </w:rPr>
        <w:t>mg bid, rivaroxaban 20</w:t>
      </w:r>
      <w:r w:rsidR="00983323" w:rsidRPr="00A74CDF">
        <w:rPr>
          <w:rFonts w:ascii="Times New Roman" w:hAnsi="Times New Roman" w:cs="Times New Roman"/>
          <w:lang w:eastAsia="ko-KR"/>
        </w:rPr>
        <w:t xml:space="preserve"> </w:t>
      </w:r>
      <w:r w:rsidR="006511F5" w:rsidRPr="00A74CDF">
        <w:rPr>
          <w:rFonts w:ascii="Times New Roman" w:hAnsi="Times New Roman" w:cs="Times New Roman"/>
          <w:lang w:eastAsia="ko-KR"/>
        </w:rPr>
        <w:t>mg and edoxaban 60</w:t>
      </w:r>
      <w:r w:rsidR="00983323" w:rsidRPr="00A74CDF">
        <w:rPr>
          <w:rFonts w:ascii="Times New Roman" w:hAnsi="Times New Roman" w:cs="Times New Roman"/>
          <w:lang w:eastAsia="ko-KR"/>
        </w:rPr>
        <w:t xml:space="preserve"> </w:t>
      </w:r>
      <w:r w:rsidR="006511F5" w:rsidRPr="00A74CDF">
        <w:rPr>
          <w:rFonts w:ascii="Times New Roman" w:hAnsi="Times New Roman" w:cs="Times New Roman"/>
          <w:lang w:eastAsia="ko-KR"/>
        </w:rPr>
        <w:t xml:space="preserve">mg) </w:t>
      </w:r>
      <w:r w:rsidRPr="00A74CDF">
        <w:rPr>
          <w:rFonts w:ascii="Times New Roman" w:hAnsi="Times New Roman" w:cs="Times New Roman"/>
          <w:lang w:eastAsia="ko-KR"/>
        </w:rPr>
        <w:t>increase the risk of GIB by 25</w:t>
      </w:r>
      <w:r w:rsidR="00027CAB" w:rsidRPr="00A74CDF">
        <w:rPr>
          <w:rFonts w:ascii="Times New Roman" w:hAnsi="Times New Roman" w:cs="Times New Roman"/>
          <w:lang w:eastAsia="ko-KR"/>
        </w:rPr>
        <w:t xml:space="preserve"> to </w:t>
      </w:r>
      <w:r w:rsidRPr="00A74CDF">
        <w:rPr>
          <w:rFonts w:ascii="Times New Roman" w:hAnsi="Times New Roman" w:cs="Times New Roman"/>
          <w:lang w:eastAsia="ko-KR"/>
        </w:rPr>
        <w:t xml:space="preserve">30% compared </w:t>
      </w:r>
      <w:r w:rsidR="00027CAB" w:rsidRPr="00A74CDF">
        <w:rPr>
          <w:rFonts w:ascii="Times New Roman" w:hAnsi="Times New Roman" w:cs="Times New Roman"/>
          <w:lang w:eastAsia="ko-KR"/>
        </w:rPr>
        <w:t xml:space="preserve">with </w:t>
      </w:r>
      <w:r w:rsidRPr="00A74CDF">
        <w:rPr>
          <w:rFonts w:ascii="Times New Roman" w:hAnsi="Times New Roman" w:cs="Times New Roman"/>
          <w:lang w:eastAsia="ko-KR"/>
        </w:rPr>
        <w:t>warfarin, the safety of NOAC</w:t>
      </w:r>
      <w:r w:rsidR="00027CAB" w:rsidRPr="00A74CDF">
        <w:rPr>
          <w:rFonts w:ascii="Times New Roman" w:hAnsi="Times New Roman" w:cs="Times New Roman"/>
          <w:lang w:eastAsia="ko-KR"/>
        </w:rPr>
        <w:t>s</w:t>
      </w:r>
      <w:r w:rsidRPr="00A74CDF">
        <w:rPr>
          <w:rFonts w:ascii="Times New Roman" w:hAnsi="Times New Roman" w:cs="Times New Roman"/>
          <w:lang w:eastAsia="ko-KR"/>
        </w:rPr>
        <w:t xml:space="preserve"> </w:t>
      </w:r>
      <w:r w:rsidR="00E13267" w:rsidRPr="00A74CDF">
        <w:rPr>
          <w:rFonts w:ascii="Times New Roman" w:hAnsi="Times New Roman" w:cs="Times New Roman"/>
          <w:lang w:eastAsia="ko-KR"/>
        </w:rPr>
        <w:t>is</w:t>
      </w:r>
      <w:r w:rsidRPr="00A74CDF">
        <w:rPr>
          <w:rFonts w:ascii="Times New Roman" w:hAnsi="Times New Roman" w:cs="Times New Roman"/>
          <w:lang w:eastAsia="ko-KR"/>
        </w:rPr>
        <w:t xml:space="preserve"> </w:t>
      </w:r>
      <w:r w:rsidR="00C60315" w:rsidRPr="00A74CDF">
        <w:rPr>
          <w:rFonts w:ascii="Times New Roman" w:hAnsi="Times New Roman" w:cs="Times New Roman"/>
          <w:lang w:eastAsia="ko-KR"/>
        </w:rPr>
        <w:t>of some</w:t>
      </w:r>
      <w:r w:rsidRPr="00A74CDF">
        <w:rPr>
          <w:rFonts w:ascii="Times New Roman" w:hAnsi="Times New Roman" w:cs="Times New Roman"/>
          <w:lang w:eastAsia="ko-KR"/>
        </w:rPr>
        <w:t xml:space="preserve"> concern </w:t>
      </w:r>
      <w:r w:rsidR="00027CAB" w:rsidRPr="00A74CDF">
        <w:rPr>
          <w:rFonts w:ascii="Times New Roman" w:hAnsi="Times New Roman" w:cs="Times New Roman"/>
          <w:lang w:eastAsia="ko-KR"/>
        </w:rPr>
        <w:t>for</w:t>
      </w:r>
      <w:r w:rsidRPr="00A74CDF">
        <w:rPr>
          <w:rFonts w:ascii="Times New Roman" w:hAnsi="Times New Roman" w:cs="Times New Roman"/>
          <w:lang w:eastAsia="ko-KR"/>
        </w:rPr>
        <w:t xml:space="preserve"> patients with prior GIB</w:t>
      </w:r>
      <w:r w:rsidR="004F463B" w:rsidRPr="00A74CDF">
        <w:rPr>
          <w:rFonts w:ascii="Times New Roman" w:hAnsi="Times New Roman" w:cs="Times New Roman"/>
          <w:lang w:eastAsia="ko-KR"/>
        </w:rPr>
        <w:t>.</w:t>
      </w:r>
      <w:r w:rsidRPr="00A74CDF">
        <w:rPr>
          <w:rFonts w:ascii="Times New Roman" w:hAnsi="Times New Roman" w:cs="Times New Roman"/>
          <w:vertAlign w:val="superscript"/>
          <w:lang w:eastAsia="ko-KR"/>
        </w:rPr>
        <w:t>1,15</w:t>
      </w:r>
      <w:r w:rsidRPr="00A74CDF">
        <w:rPr>
          <w:rFonts w:ascii="Times New Roman" w:hAnsi="Times New Roman" w:cs="Times New Roman"/>
          <w:lang w:eastAsia="ko-KR"/>
        </w:rPr>
        <w:t xml:space="preserve"> </w:t>
      </w:r>
      <w:r w:rsidR="00C60315" w:rsidRPr="00A74CDF">
        <w:rPr>
          <w:rFonts w:ascii="Times New Roman" w:hAnsi="Times New Roman" w:cs="Times New Roman"/>
          <w:lang w:eastAsia="ko-KR"/>
        </w:rPr>
        <w:t>D</w:t>
      </w:r>
      <w:r w:rsidR="007E54E1" w:rsidRPr="00A74CDF">
        <w:rPr>
          <w:rFonts w:ascii="Times New Roman" w:hAnsi="Times New Roman" w:cs="Times New Roman"/>
          <w:lang w:eastAsia="ko-KR"/>
        </w:rPr>
        <w:t xml:space="preserve">espite </w:t>
      </w:r>
      <w:r w:rsidR="00C60315" w:rsidRPr="00A74CDF">
        <w:rPr>
          <w:rFonts w:ascii="Times New Roman" w:hAnsi="Times New Roman" w:cs="Times New Roman"/>
          <w:lang w:eastAsia="ko-KR"/>
        </w:rPr>
        <w:t>the</w:t>
      </w:r>
      <w:r w:rsidR="007E54E1" w:rsidRPr="00A74CDF">
        <w:rPr>
          <w:rFonts w:ascii="Times New Roman" w:hAnsi="Times New Roman" w:cs="Times New Roman"/>
          <w:lang w:eastAsia="ko-KR"/>
        </w:rPr>
        <w:t xml:space="preserve"> lack of strong evidence, </w:t>
      </w:r>
      <w:r w:rsidRPr="00A74CDF">
        <w:rPr>
          <w:rFonts w:ascii="Times New Roman" w:hAnsi="Times New Roman" w:cs="Times New Roman"/>
          <w:lang w:eastAsia="ko-KR"/>
        </w:rPr>
        <w:t>c</w:t>
      </w:r>
      <w:r w:rsidRPr="00A74CDF">
        <w:rPr>
          <w:rFonts w:ascii="Times New Roman" w:hAnsi="Times New Roman" w:cs="Times New Roman"/>
        </w:rPr>
        <w:t xml:space="preserve">urrent guidelines </w:t>
      </w:r>
      <w:r w:rsidR="00802ED5" w:rsidRPr="00A74CDF">
        <w:rPr>
          <w:rFonts w:ascii="Times New Roman" w:hAnsi="Times New Roman" w:cs="Times New Roman"/>
        </w:rPr>
        <w:t xml:space="preserve">generally </w:t>
      </w:r>
      <w:r w:rsidRPr="00A74CDF">
        <w:rPr>
          <w:rFonts w:ascii="Times New Roman" w:hAnsi="Times New Roman" w:cs="Times New Roman"/>
        </w:rPr>
        <w:t xml:space="preserve">recommend </w:t>
      </w:r>
      <w:r w:rsidR="00A621BA" w:rsidRPr="00A74CDF">
        <w:rPr>
          <w:rFonts w:ascii="Times New Roman" w:hAnsi="Times New Roman" w:cs="Times New Roman"/>
        </w:rPr>
        <w:t>the use of ‘</w:t>
      </w:r>
      <w:r w:rsidRPr="00A74CDF">
        <w:rPr>
          <w:rFonts w:ascii="Times New Roman" w:hAnsi="Times New Roman" w:cs="Times New Roman"/>
        </w:rPr>
        <w:t>optimal OAC therapy</w:t>
      </w:r>
      <w:r w:rsidR="00A621BA" w:rsidRPr="00A74CDF">
        <w:rPr>
          <w:rFonts w:ascii="Times New Roman" w:hAnsi="Times New Roman" w:cs="Times New Roman"/>
        </w:rPr>
        <w:t>’</w:t>
      </w:r>
      <w:r w:rsidRPr="00A74CDF">
        <w:rPr>
          <w:rFonts w:ascii="Times New Roman" w:hAnsi="Times New Roman" w:cs="Times New Roman"/>
        </w:rPr>
        <w:t xml:space="preserve"> for patients with prior GIB</w:t>
      </w:r>
      <w:r w:rsidR="004F463B" w:rsidRPr="00A74CDF">
        <w:rPr>
          <w:rFonts w:ascii="Times New Roman" w:hAnsi="Times New Roman" w:cs="Times New Roman"/>
        </w:rPr>
        <w:t>.</w:t>
      </w:r>
      <w:r w:rsidRPr="00A74CDF">
        <w:rPr>
          <w:rFonts w:ascii="Times New Roman" w:hAnsi="Times New Roman" w:cs="Times New Roman"/>
          <w:vertAlign w:val="superscript"/>
        </w:rPr>
        <w:t>16,17</w:t>
      </w:r>
      <w:r w:rsidR="00802ED5" w:rsidRPr="00A74CDF">
        <w:rPr>
          <w:rFonts w:ascii="Times New Roman" w:hAnsi="Times New Roman" w:cs="Times New Roman"/>
        </w:rPr>
        <w:t xml:space="preserve"> </w:t>
      </w:r>
      <w:r w:rsidR="001D1322" w:rsidRPr="00A74CDF">
        <w:rPr>
          <w:rFonts w:ascii="Times New Roman" w:hAnsi="Times New Roman" w:cs="Times New Roman"/>
          <w:color w:val="auto"/>
        </w:rPr>
        <w:t xml:space="preserve">In recent </w:t>
      </w:r>
      <w:r w:rsidR="00AE5C2A" w:rsidRPr="00A74CDF">
        <w:rPr>
          <w:rFonts w:ascii="Times New Roman" w:hAnsi="Times New Roman" w:cs="Times New Roman"/>
          <w:color w:val="auto"/>
        </w:rPr>
        <w:t>International Consensus Guidelines</w:t>
      </w:r>
      <w:r w:rsidR="00D82080" w:rsidRPr="00A74CDF">
        <w:rPr>
          <w:rFonts w:ascii="Times New Roman" w:hAnsi="Times New Roman" w:cs="Times New Roman"/>
          <w:color w:val="auto"/>
        </w:rPr>
        <w:t xml:space="preserve">, proton pump inhibitors (PPIs) </w:t>
      </w:r>
      <w:r w:rsidR="00285CA4" w:rsidRPr="00A74CDF">
        <w:rPr>
          <w:rFonts w:ascii="Times New Roman" w:hAnsi="Times New Roman" w:cs="Times New Roman"/>
          <w:color w:val="auto"/>
        </w:rPr>
        <w:t xml:space="preserve">have </w:t>
      </w:r>
      <w:r w:rsidR="00D82080" w:rsidRPr="00A74CDF">
        <w:rPr>
          <w:rFonts w:ascii="Times New Roman" w:hAnsi="Times New Roman" w:cs="Times New Roman"/>
          <w:color w:val="auto"/>
        </w:rPr>
        <w:t>been recommended</w:t>
      </w:r>
      <w:r w:rsidR="00285CA4" w:rsidRPr="00A74CDF">
        <w:rPr>
          <w:rFonts w:ascii="Times New Roman" w:hAnsi="Times New Roman" w:cs="Times New Roman"/>
          <w:color w:val="auto"/>
        </w:rPr>
        <w:t xml:space="preserve"> </w:t>
      </w:r>
      <w:r w:rsidR="00285CA4" w:rsidRPr="00A74CDF">
        <w:rPr>
          <w:rFonts w:ascii="Times New Roman" w:hAnsi="Times New Roman" w:cs="Times New Roman"/>
          <w:color w:val="auto"/>
          <w:lang w:eastAsia="ko-KR"/>
        </w:rPr>
        <w:t>in patients with a previous history of ulcer bleeding requiring continued cardiovascular prophylaxis with anticoagulant therapy with or without aspirin</w:t>
      </w:r>
      <w:r w:rsidR="00D82080" w:rsidRPr="00A74CDF">
        <w:rPr>
          <w:rFonts w:ascii="Times New Roman" w:hAnsi="Times New Roman" w:cs="Times New Roman"/>
          <w:color w:val="auto"/>
        </w:rPr>
        <w:t>, but with low-quality evidence</w:t>
      </w:r>
      <w:r w:rsidR="004F463B" w:rsidRPr="00A74CDF">
        <w:rPr>
          <w:rFonts w:ascii="Times New Roman" w:hAnsi="Times New Roman" w:cs="Times New Roman"/>
          <w:color w:val="auto"/>
        </w:rPr>
        <w:t>.</w:t>
      </w:r>
      <w:r w:rsidR="00A55F66" w:rsidRPr="00A74CDF">
        <w:rPr>
          <w:rFonts w:ascii="Times New Roman" w:hAnsi="Times New Roman" w:cs="Times New Roman"/>
          <w:color w:val="auto"/>
          <w:vertAlign w:val="superscript"/>
        </w:rPr>
        <w:t>18,19</w:t>
      </w:r>
    </w:p>
    <w:p w14:paraId="142C22B8" w14:textId="5F0D6BA7" w:rsidR="005B3F87" w:rsidRPr="00A74CDF" w:rsidRDefault="00802ED5" w:rsidP="00BB1388">
      <w:pPr>
        <w:pStyle w:val="1"/>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color w:val="auto"/>
        </w:rPr>
        <w:lastRenderedPageBreak/>
        <w:t>Th</w:t>
      </w:r>
      <w:r w:rsidR="001D1322" w:rsidRPr="00A74CDF">
        <w:rPr>
          <w:rFonts w:ascii="Times New Roman" w:hAnsi="Times New Roman" w:cs="Times New Roman"/>
          <w:color w:val="auto"/>
        </w:rPr>
        <w:t>e recommended use of OACs in patients with prior GIB is</w:t>
      </w:r>
      <w:r w:rsidRPr="00A74CDF">
        <w:rPr>
          <w:rFonts w:ascii="Times New Roman" w:hAnsi="Times New Roman" w:cs="Times New Roman"/>
          <w:color w:val="auto"/>
        </w:rPr>
        <w:t xml:space="preserve"> of some concern especially in Asia, where </w:t>
      </w:r>
      <w:r w:rsidR="0080017B" w:rsidRPr="00A74CDF">
        <w:rPr>
          <w:rFonts w:ascii="Times New Roman" w:hAnsi="Times New Roman" w:cs="Times New Roman"/>
          <w:color w:val="auto"/>
        </w:rPr>
        <w:t xml:space="preserve">AF </w:t>
      </w:r>
      <w:r w:rsidRPr="00A74CDF">
        <w:rPr>
          <w:rFonts w:ascii="Times New Roman" w:hAnsi="Times New Roman" w:cs="Times New Roman"/>
          <w:color w:val="auto"/>
        </w:rPr>
        <w:t xml:space="preserve">patients </w:t>
      </w:r>
      <w:r w:rsidR="0080017B" w:rsidRPr="00A74CDF">
        <w:rPr>
          <w:rFonts w:ascii="Times New Roman" w:hAnsi="Times New Roman" w:cs="Times New Roman"/>
          <w:color w:val="auto"/>
        </w:rPr>
        <w:t>appear to be at high risk of major bleeds compared to non-Asians, and many physicians tend to under-anticoagulate AF patients due to a perceived risk of bleeds</w:t>
      </w:r>
      <w:r w:rsidR="004F463B" w:rsidRPr="00A74CDF">
        <w:rPr>
          <w:rFonts w:ascii="Times New Roman" w:hAnsi="Times New Roman" w:cs="Times New Roman"/>
          <w:color w:val="auto"/>
        </w:rPr>
        <w:t>.</w:t>
      </w:r>
      <w:r w:rsidR="004E3609" w:rsidRPr="00A74CDF">
        <w:rPr>
          <w:rFonts w:ascii="Times New Roman" w:hAnsi="Times New Roman" w:cs="Times New Roman"/>
          <w:color w:val="auto"/>
          <w:vertAlign w:val="superscript"/>
        </w:rPr>
        <w:t>19</w:t>
      </w:r>
      <w:r w:rsidR="0080017B" w:rsidRPr="00A74CDF">
        <w:rPr>
          <w:rFonts w:ascii="Times New Roman" w:hAnsi="Times New Roman" w:cs="Times New Roman"/>
          <w:color w:val="auto"/>
        </w:rPr>
        <w:t xml:space="preserve">  </w:t>
      </w:r>
      <w:r w:rsidR="0080017B" w:rsidRPr="00A74CDF">
        <w:rPr>
          <w:rFonts w:ascii="Times New Roman" w:hAnsi="Times New Roman" w:cs="Times New Roman"/>
        </w:rPr>
        <w:t>This reflects the relative paucity of data in Asian patients with prior</w:t>
      </w:r>
      <w:r w:rsidR="00D23F76">
        <w:rPr>
          <w:rFonts w:ascii="Times New Roman" w:hAnsi="Times New Roman" w:cs="Times New Roman"/>
        </w:rPr>
        <w:t xml:space="preserve"> </w:t>
      </w:r>
      <w:r w:rsidR="0080017B" w:rsidRPr="00A74CDF">
        <w:rPr>
          <w:rFonts w:ascii="Times New Roman" w:hAnsi="Times New Roman" w:cs="Times New Roman"/>
        </w:rPr>
        <w:t>GIB.</w:t>
      </w:r>
      <w:r w:rsidR="00A55F66" w:rsidRPr="00A74CDF">
        <w:rPr>
          <w:rFonts w:ascii="Times New Roman" w:hAnsi="Times New Roman" w:cs="Times New Roman"/>
        </w:rPr>
        <w:t xml:space="preserve"> Therefore, i</w:t>
      </w:r>
      <w:r w:rsidRPr="00A74CDF">
        <w:rPr>
          <w:rFonts w:ascii="Times New Roman" w:hAnsi="Times New Roman" w:cs="Times New Roman"/>
        </w:rPr>
        <w:t xml:space="preserve">n this large nationwide </w:t>
      </w:r>
      <w:r w:rsidR="0080017B" w:rsidRPr="00A74CDF">
        <w:rPr>
          <w:rFonts w:ascii="Times New Roman" w:hAnsi="Times New Roman" w:cs="Times New Roman"/>
        </w:rPr>
        <w:t xml:space="preserve">Asian </w:t>
      </w:r>
      <w:r w:rsidRPr="00A74CDF">
        <w:rPr>
          <w:rFonts w:ascii="Times New Roman" w:hAnsi="Times New Roman" w:cs="Times New Roman"/>
        </w:rPr>
        <w:t xml:space="preserve">cohort study, </w:t>
      </w:r>
      <w:r w:rsidR="005B3F87" w:rsidRPr="00A74CDF">
        <w:rPr>
          <w:rFonts w:ascii="Times New Roman" w:hAnsi="Times New Roman" w:cs="Times New Roman"/>
        </w:rPr>
        <w:t>we aimed to evaluate the effectiveness and safety of NOAC</w:t>
      </w:r>
      <w:r w:rsidR="008D072B" w:rsidRPr="00A74CDF">
        <w:rPr>
          <w:rFonts w:ascii="Times New Roman" w:hAnsi="Times New Roman" w:cs="Times New Roman"/>
        </w:rPr>
        <w:t>s</w:t>
      </w:r>
      <w:r w:rsidR="005B3F87" w:rsidRPr="00A74CDF">
        <w:rPr>
          <w:rFonts w:ascii="Times New Roman" w:hAnsi="Times New Roman" w:cs="Times New Roman"/>
        </w:rPr>
        <w:t xml:space="preserve"> </w:t>
      </w:r>
      <w:r w:rsidR="00284710" w:rsidRPr="00A74CDF">
        <w:rPr>
          <w:rFonts w:ascii="Times New Roman" w:hAnsi="Times New Roman" w:cs="Times New Roman"/>
        </w:rPr>
        <w:t xml:space="preserve">compared with </w:t>
      </w:r>
      <w:r w:rsidR="00084805" w:rsidRPr="00A74CDF">
        <w:rPr>
          <w:rFonts w:ascii="Times New Roman" w:hAnsi="Times New Roman" w:cs="Times New Roman"/>
        </w:rPr>
        <w:t xml:space="preserve">those of </w:t>
      </w:r>
      <w:r w:rsidR="005B3F87" w:rsidRPr="00A74CDF">
        <w:rPr>
          <w:rFonts w:ascii="Times New Roman" w:hAnsi="Times New Roman" w:cs="Times New Roman"/>
        </w:rPr>
        <w:t>warfarin in AF patients with prior GIB.</w:t>
      </w:r>
    </w:p>
    <w:p w14:paraId="7C3CA39D" w14:textId="77777777" w:rsidR="005B3F87" w:rsidRPr="00A74CDF" w:rsidRDefault="005B3F87" w:rsidP="00BB1388">
      <w:pPr>
        <w:pStyle w:val="1"/>
        <w:spacing w:before="0" w:after="0"/>
        <w:ind w:firstLineChars="200" w:firstLine="480"/>
        <w:contextualSpacing/>
        <w:jc w:val="both"/>
        <w:rPr>
          <w:rFonts w:ascii="Times New Roman" w:hAnsi="Times New Roman" w:cs="Times New Roman"/>
        </w:rPr>
      </w:pPr>
    </w:p>
    <w:p w14:paraId="3D5DB5C5" w14:textId="77777777" w:rsidR="005B3F87" w:rsidRPr="00A74CDF" w:rsidRDefault="005B3F87" w:rsidP="00BB1388">
      <w:pPr>
        <w:pStyle w:val="1"/>
        <w:spacing w:before="0" w:after="0"/>
        <w:contextualSpacing/>
        <w:jc w:val="both"/>
        <w:rPr>
          <w:rFonts w:ascii="Times New Roman" w:hAnsi="Times New Roman" w:cs="Times New Roman"/>
        </w:rPr>
      </w:pPr>
      <w:r w:rsidRPr="00A74CDF">
        <w:rPr>
          <w:rFonts w:ascii="Times New Roman" w:hAnsi="Times New Roman" w:cs="Times New Roman"/>
          <w:b/>
        </w:rPr>
        <w:t>Methods</w:t>
      </w:r>
    </w:p>
    <w:p w14:paraId="4F132A98" w14:textId="77777777" w:rsidR="005B3F87" w:rsidRPr="00A74CDF" w:rsidRDefault="005B3F87" w:rsidP="00BB1388">
      <w:pPr>
        <w:pStyle w:val="TableofContentsCaption"/>
        <w:spacing w:before="0" w:after="0"/>
        <w:contextualSpacing/>
        <w:jc w:val="both"/>
        <w:rPr>
          <w:rFonts w:ascii="Times New Roman" w:hAnsi="Times New Roman" w:cs="Times New Roman"/>
          <w:i/>
        </w:rPr>
      </w:pPr>
      <w:r w:rsidRPr="00A74CDF">
        <w:rPr>
          <w:rFonts w:ascii="Times New Roman" w:hAnsi="Times New Roman" w:cs="Times New Roman"/>
          <w:i/>
        </w:rPr>
        <w:t>Data source and study design</w:t>
      </w:r>
    </w:p>
    <w:p w14:paraId="2D55F5DE" w14:textId="3D98557D" w:rsidR="005B3F87" w:rsidRPr="00A74CDF" w:rsidRDefault="00DE51E6" w:rsidP="00BB1388">
      <w:pPr>
        <w:pStyle w:val="TableofContentsCaption"/>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 xml:space="preserve">Anonymized data and materials are publicly available at the Korean Health Insurance Review and Assessment (HIRA) database upon a request. </w:t>
      </w:r>
      <w:r w:rsidR="005B3F87" w:rsidRPr="00A74CDF">
        <w:rPr>
          <w:rFonts w:ascii="Times New Roman" w:hAnsi="Times New Roman" w:cs="Times New Roman"/>
        </w:rPr>
        <w:t xml:space="preserve">This was a retrospective observational cohort study that </w:t>
      </w:r>
      <w:r w:rsidR="00350CC3" w:rsidRPr="00A74CDF">
        <w:rPr>
          <w:rFonts w:ascii="Times New Roman" w:hAnsi="Times New Roman" w:cs="Times New Roman"/>
        </w:rPr>
        <w:t xml:space="preserve">analyzed </w:t>
      </w:r>
      <w:r w:rsidR="005B3F87" w:rsidRPr="00A74CDF">
        <w:rPr>
          <w:rFonts w:ascii="Times New Roman" w:hAnsi="Times New Roman" w:cs="Times New Roman"/>
        </w:rPr>
        <w:t>claims</w:t>
      </w:r>
      <w:r w:rsidR="00CF4E21" w:rsidRPr="00A74CDF">
        <w:rPr>
          <w:rFonts w:ascii="Times New Roman" w:hAnsi="Times New Roman" w:cs="Times New Roman"/>
        </w:rPr>
        <w:t xml:space="preserve"> dat</w:t>
      </w:r>
      <w:r w:rsidR="00844C9F" w:rsidRPr="00A74CDF">
        <w:rPr>
          <w:rFonts w:ascii="Times New Roman" w:hAnsi="Times New Roman" w:cs="Times New Roman"/>
        </w:rPr>
        <w:t>a</w:t>
      </w:r>
      <w:r w:rsidR="005B3F87" w:rsidRPr="00A74CDF">
        <w:rPr>
          <w:rFonts w:ascii="Times New Roman" w:hAnsi="Times New Roman" w:cs="Times New Roman"/>
        </w:rPr>
        <w:t xml:space="preserve"> </w:t>
      </w:r>
      <w:r w:rsidR="00350CC3" w:rsidRPr="00A74CDF">
        <w:rPr>
          <w:rFonts w:ascii="Times New Roman" w:hAnsi="Times New Roman" w:cs="Times New Roman"/>
        </w:rPr>
        <w:t xml:space="preserve">between January 2010 and April 2018 in </w:t>
      </w:r>
      <w:r w:rsidR="005B3F87" w:rsidRPr="00A74CDF">
        <w:rPr>
          <w:rFonts w:ascii="Times New Roman" w:hAnsi="Times New Roman" w:cs="Times New Roman"/>
        </w:rPr>
        <w:t xml:space="preserve">the </w:t>
      </w:r>
      <w:r w:rsidR="00844C9F" w:rsidRPr="00A74CDF">
        <w:rPr>
          <w:rFonts w:ascii="Times New Roman" w:hAnsi="Times New Roman" w:cs="Times New Roman"/>
        </w:rPr>
        <w:t xml:space="preserve">well-established </w:t>
      </w:r>
      <w:r w:rsidR="005B3F87" w:rsidRPr="00A74CDF">
        <w:rPr>
          <w:rFonts w:ascii="Times New Roman" w:hAnsi="Times New Roman" w:cs="Times New Roman"/>
        </w:rPr>
        <w:t xml:space="preserve">HIRA </w:t>
      </w:r>
      <w:r w:rsidR="00350CC3" w:rsidRPr="00A74CDF">
        <w:rPr>
          <w:rFonts w:ascii="Times New Roman" w:hAnsi="Times New Roman" w:cs="Times New Roman"/>
        </w:rPr>
        <w:t>database</w:t>
      </w:r>
      <w:r w:rsidR="002028A9" w:rsidRPr="00A74CDF">
        <w:rPr>
          <w:rFonts w:ascii="Times New Roman" w:hAnsi="Times New Roman" w:cs="Times New Roman"/>
        </w:rPr>
        <w:t xml:space="preserve">, which </w:t>
      </w:r>
      <w:r w:rsidR="005B3F87" w:rsidRPr="00A74CDF">
        <w:rPr>
          <w:rFonts w:ascii="Times New Roman" w:hAnsi="Times New Roman" w:cs="Times New Roman"/>
        </w:rPr>
        <w:t>contains the medical claims of virtually the entire Korean population</w:t>
      </w:r>
      <w:r w:rsidR="00264EF7" w:rsidRPr="00A74CDF">
        <w:rPr>
          <w:rFonts w:ascii="Times New Roman" w:hAnsi="Times New Roman" w:cs="Times New Roman"/>
        </w:rPr>
        <w:t>.</w:t>
      </w:r>
      <w:r w:rsidR="00927302" w:rsidRPr="00A74CDF">
        <w:rPr>
          <w:rFonts w:ascii="Times New Roman" w:hAnsi="Times New Roman" w:cs="Times New Roman"/>
          <w:vertAlign w:val="superscript"/>
        </w:rPr>
        <w:t>2</w:t>
      </w:r>
      <w:r w:rsidR="00264EF7" w:rsidRPr="00A74CDF">
        <w:rPr>
          <w:rFonts w:ascii="Times New Roman" w:hAnsi="Times New Roman" w:cs="Times New Roman"/>
          <w:vertAlign w:val="superscript"/>
        </w:rPr>
        <w:t>0</w:t>
      </w:r>
      <w:r w:rsidR="005B3F87" w:rsidRPr="00A74CDF">
        <w:rPr>
          <w:rFonts w:ascii="Times New Roman" w:hAnsi="Times New Roman" w:cs="Times New Roman"/>
          <w:lang w:eastAsia="ko-KR"/>
        </w:rPr>
        <w:t xml:space="preserve"> </w:t>
      </w:r>
      <w:r w:rsidR="005B3F87" w:rsidRPr="00A74CDF">
        <w:rPr>
          <w:rFonts w:ascii="Times New Roman" w:hAnsi="Times New Roman" w:cs="Times New Roman"/>
        </w:rPr>
        <w:t xml:space="preserve">The </w:t>
      </w:r>
      <w:r w:rsidR="005635EA" w:rsidRPr="00A74CDF">
        <w:rPr>
          <w:rFonts w:ascii="Times New Roman" w:hAnsi="Times New Roman" w:cs="Times New Roman"/>
        </w:rPr>
        <w:t xml:space="preserve">HIRA </w:t>
      </w:r>
      <w:r w:rsidR="005B3F87" w:rsidRPr="00A74CDF">
        <w:rPr>
          <w:rFonts w:ascii="Times New Roman" w:hAnsi="Times New Roman" w:cs="Times New Roman"/>
        </w:rPr>
        <w:t xml:space="preserve">claims database </w:t>
      </w:r>
      <w:r w:rsidR="00FD16A4" w:rsidRPr="00A74CDF">
        <w:rPr>
          <w:rFonts w:ascii="Times New Roman" w:hAnsi="Times New Roman" w:cs="Times New Roman"/>
        </w:rPr>
        <w:t>consisted of</w:t>
      </w:r>
      <w:r w:rsidR="005B3F87" w:rsidRPr="00A74CDF">
        <w:rPr>
          <w:rFonts w:ascii="Times New Roman" w:hAnsi="Times New Roman" w:cs="Times New Roman"/>
        </w:rPr>
        <w:t xml:space="preserve"> individual demographic information and diagnoses encoded in the International Classification of Disease, Tenth Revision, Clinical Modification codes. A</w:t>
      </w:r>
      <w:r w:rsidR="00BD3BA1" w:rsidRPr="00A74CDF">
        <w:rPr>
          <w:rFonts w:ascii="Times New Roman" w:hAnsi="Times New Roman" w:cs="Times New Roman"/>
        </w:rPr>
        <w:t>dditionally</w:t>
      </w:r>
      <w:r w:rsidR="005B3F87" w:rsidRPr="00A74CDF">
        <w:rPr>
          <w:rFonts w:ascii="Times New Roman" w:hAnsi="Times New Roman" w:cs="Times New Roman"/>
        </w:rPr>
        <w:t>, medical expenses</w:t>
      </w:r>
      <w:r w:rsidR="009427F6" w:rsidRPr="00A74CDF">
        <w:rPr>
          <w:rFonts w:ascii="Times New Roman" w:hAnsi="Times New Roman" w:cs="Times New Roman"/>
        </w:rPr>
        <w:t>,</w:t>
      </w:r>
      <w:r w:rsidR="005B3F87" w:rsidRPr="00A74CDF">
        <w:rPr>
          <w:rFonts w:ascii="Times New Roman" w:hAnsi="Times New Roman" w:cs="Times New Roman"/>
        </w:rPr>
        <w:t xml:space="preserve"> including prescriptions and procedures at both inpatient and outpatient services</w:t>
      </w:r>
      <w:r w:rsidR="009427F6" w:rsidRPr="00A74CDF">
        <w:rPr>
          <w:rFonts w:ascii="Times New Roman" w:hAnsi="Times New Roman" w:cs="Times New Roman"/>
        </w:rPr>
        <w:t>,</w:t>
      </w:r>
      <w:r w:rsidR="005B3F87" w:rsidRPr="00A74CDF">
        <w:rPr>
          <w:rFonts w:ascii="Times New Roman" w:hAnsi="Times New Roman" w:cs="Times New Roman"/>
        </w:rPr>
        <w:t xml:space="preserve"> were included</w:t>
      </w:r>
      <w:r w:rsidR="00264EF7" w:rsidRPr="00A74CDF">
        <w:rPr>
          <w:rFonts w:ascii="Times New Roman" w:hAnsi="Times New Roman" w:cs="Times New Roman"/>
        </w:rPr>
        <w:t>.</w:t>
      </w:r>
      <w:r w:rsidR="00927302" w:rsidRPr="00A74CDF">
        <w:rPr>
          <w:rFonts w:ascii="Times New Roman" w:hAnsi="Times New Roman" w:cs="Times New Roman"/>
          <w:vertAlign w:val="superscript"/>
        </w:rPr>
        <w:t>20</w:t>
      </w:r>
    </w:p>
    <w:p w14:paraId="55C607A9" w14:textId="17716E00" w:rsidR="005B3F87" w:rsidRPr="00A74CDF" w:rsidRDefault="005B3F87" w:rsidP="00BB1388">
      <w:pPr>
        <w:pStyle w:val="TableofContentsCaption"/>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 xml:space="preserve">The flowchart of the study is </w:t>
      </w:r>
      <w:r w:rsidRPr="00A74CDF">
        <w:rPr>
          <w:rFonts w:ascii="Times New Roman" w:hAnsi="Times New Roman" w:cs="Times New Roman"/>
          <w:lang w:eastAsia="ko-KR"/>
        </w:rPr>
        <w:t xml:space="preserve">illustrated </w:t>
      </w:r>
      <w:r w:rsidRPr="00A74CDF">
        <w:rPr>
          <w:rFonts w:ascii="Times New Roman" w:hAnsi="Times New Roman" w:cs="Times New Roman"/>
        </w:rPr>
        <w:t xml:space="preserve">in </w:t>
      </w:r>
      <w:r w:rsidRPr="00A74CDF">
        <w:rPr>
          <w:rFonts w:ascii="Times New Roman" w:hAnsi="Times New Roman" w:cs="Times New Roman"/>
          <w:b/>
          <w:bCs/>
        </w:rPr>
        <w:t xml:space="preserve">Figure </w:t>
      </w:r>
      <w:r w:rsidR="00901485" w:rsidRPr="00A74CDF">
        <w:rPr>
          <w:rFonts w:ascii="Times New Roman" w:hAnsi="Times New Roman" w:cs="Times New Roman"/>
          <w:b/>
          <w:bCs/>
        </w:rPr>
        <w:t>I</w:t>
      </w:r>
      <w:r w:rsidRPr="00A74CDF">
        <w:rPr>
          <w:rFonts w:ascii="Times New Roman" w:hAnsi="Times New Roman" w:cs="Times New Roman"/>
        </w:rPr>
        <w:t xml:space="preserve">. </w:t>
      </w:r>
      <w:r w:rsidR="00437174" w:rsidRPr="00437174">
        <w:rPr>
          <w:rFonts w:ascii="Times New Roman" w:hAnsi="Times New Roman" w:cs="Times New Roman"/>
          <w:highlight w:val="yellow"/>
        </w:rPr>
        <w:t>We included AF patients with OAC prescription between January 2010 and April 2018. Among them, we excluded patients who had prescribed OAC</w:t>
      </w:r>
      <w:r w:rsidR="00437174">
        <w:rPr>
          <w:rFonts w:ascii="Times New Roman" w:hAnsi="Times New Roman" w:cs="Times New Roman"/>
          <w:highlight w:val="yellow"/>
        </w:rPr>
        <w:t>s</w:t>
      </w:r>
      <w:r w:rsidR="00437174" w:rsidRPr="00437174">
        <w:rPr>
          <w:rFonts w:ascii="Times New Roman" w:hAnsi="Times New Roman" w:cs="Times New Roman"/>
          <w:highlight w:val="yellow"/>
        </w:rPr>
        <w:t xml:space="preserve"> between January 2008 and December 2009 to enroll </w:t>
      </w:r>
      <w:r w:rsidR="00437174">
        <w:rPr>
          <w:rFonts w:ascii="Times New Roman" w:hAnsi="Times New Roman" w:cs="Times New Roman"/>
          <w:highlight w:val="yellow"/>
        </w:rPr>
        <w:t>OAC-naïve patients</w:t>
      </w:r>
      <w:r w:rsidR="00437174" w:rsidRPr="00437174">
        <w:rPr>
          <w:rFonts w:ascii="Times New Roman" w:hAnsi="Times New Roman" w:cs="Times New Roman"/>
          <w:highlight w:val="yellow"/>
        </w:rPr>
        <w:t xml:space="preserve">. Among a total of 157,833 </w:t>
      </w:r>
      <w:r w:rsidR="00437174">
        <w:rPr>
          <w:rFonts w:ascii="Times New Roman" w:hAnsi="Times New Roman" w:cs="Times New Roman"/>
          <w:highlight w:val="yellow"/>
        </w:rPr>
        <w:t xml:space="preserve">OAC-naïve </w:t>
      </w:r>
      <w:r w:rsidR="00437174" w:rsidRPr="00437174">
        <w:rPr>
          <w:rFonts w:ascii="Times New Roman" w:hAnsi="Times New Roman" w:cs="Times New Roman"/>
          <w:highlight w:val="yellow"/>
        </w:rPr>
        <w:t xml:space="preserve">patients with </w:t>
      </w:r>
      <w:r w:rsidR="00437174">
        <w:rPr>
          <w:rFonts w:ascii="Times New Roman" w:hAnsi="Times New Roman" w:cs="Times New Roman"/>
          <w:highlight w:val="yellow"/>
        </w:rPr>
        <w:t>AF</w:t>
      </w:r>
      <w:r w:rsidR="00437174" w:rsidRPr="00437174">
        <w:rPr>
          <w:rFonts w:ascii="Times New Roman" w:hAnsi="Times New Roman" w:cs="Times New Roman"/>
          <w:highlight w:val="yellow"/>
        </w:rPr>
        <w:t xml:space="preserve">, we selected 46,967 patients who had a history of GIB before </w:t>
      </w:r>
      <w:r w:rsidR="00C36054">
        <w:rPr>
          <w:rFonts w:ascii="Times New Roman" w:hAnsi="Times New Roman" w:cs="Times New Roman"/>
          <w:highlight w:val="yellow"/>
        </w:rPr>
        <w:t xml:space="preserve">the </w:t>
      </w:r>
      <w:r w:rsidR="00437174" w:rsidRPr="00437174">
        <w:rPr>
          <w:rFonts w:ascii="Times New Roman" w:hAnsi="Times New Roman" w:cs="Times New Roman"/>
          <w:highlight w:val="yellow"/>
        </w:rPr>
        <w:t>index treatment</w:t>
      </w:r>
      <w:r w:rsidR="00C36054">
        <w:rPr>
          <w:rFonts w:ascii="Times New Roman" w:hAnsi="Times New Roman" w:cs="Times New Roman"/>
          <w:highlight w:val="yellow"/>
        </w:rPr>
        <w:t xml:space="preserve"> of OACs</w:t>
      </w:r>
      <w:r w:rsidR="00437174" w:rsidRPr="00437174">
        <w:rPr>
          <w:rFonts w:ascii="Times New Roman" w:hAnsi="Times New Roman" w:cs="Times New Roman"/>
          <w:highlight w:val="yellow"/>
        </w:rPr>
        <w:t>.</w:t>
      </w:r>
      <w:r w:rsidR="00437174">
        <w:rPr>
          <w:rFonts w:ascii="Times New Roman" w:hAnsi="Times New Roman" w:cs="Times New Roman" w:hint="eastAsia"/>
          <w:lang w:eastAsia="ko-KR"/>
        </w:rPr>
        <w:t xml:space="preserve"> </w:t>
      </w:r>
      <w:r w:rsidRPr="00A74CDF">
        <w:rPr>
          <w:rFonts w:ascii="Times New Roman" w:hAnsi="Times New Roman" w:cs="Times New Roman"/>
        </w:rPr>
        <w:t>GIB was defined as an event with hospitalization diagnostic codes (</w:t>
      </w:r>
      <w:r w:rsidRPr="00A74CDF">
        <w:rPr>
          <w:rFonts w:ascii="Times New Roman" w:hAnsi="Times New Roman" w:cs="Times New Roman"/>
          <w:b/>
          <w:bCs/>
        </w:rPr>
        <w:t xml:space="preserve">Table </w:t>
      </w:r>
      <w:r w:rsidR="002B1526" w:rsidRPr="00A74CDF">
        <w:rPr>
          <w:rFonts w:ascii="Times New Roman" w:hAnsi="Times New Roman" w:cs="Times New Roman"/>
          <w:b/>
          <w:bCs/>
        </w:rPr>
        <w:t>I in the Data Supplement</w:t>
      </w:r>
      <w:r w:rsidRPr="00A74CDF">
        <w:rPr>
          <w:rFonts w:ascii="Times New Roman" w:hAnsi="Times New Roman" w:cs="Times New Roman"/>
        </w:rPr>
        <w:t xml:space="preserve">). We excluded those aged less than 20 years </w:t>
      </w:r>
      <w:r w:rsidRPr="00A74CDF">
        <w:rPr>
          <w:rFonts w:ascii="Times New Roman" w:hAnsi="Times New Roman" w:cs="Times New Roman"/>
        </w:rPr>
        <w:lastRenderedPageBreak/>
        <w:t>(</w:t>
      </w:r>
      <w:r w:rsidRPr="00A74CDF">
        <w:rPr>
          <w:rFonts w:ascii="Times New Roman" w:hAnsi="Times New Roman" w:cs="Times New Roman"/>
          <w:i/>
        </w:rPr>
        <w:t>n</w:t>
      </w:r>
      <w:r w:rsidRPr="00A74CDF">
        <w:rPr>
          <w:rFonts w:ascii="Times New Roman" w:hAnsi="Times New Roman" w:cs="Times New Roman"/>
        </w:rPr>
        <w:t xml:space="preserve"> =</w:t>
      </w:r>
      <w:r w:rsidR="0093028C" w:rsidRPr="00A74CDF">
        <w:rPr>
          <w:rFonts w:ascii="Times New Roman" w:hAnsi="Times New Roman" w:cs="Times New Roman"/>
        </w:rPr>
        <w:t xml:space="preserve"> </w:t>
      </w:r>
      <w:r w:rsidRPr="00A74CDF">
        <w:rPr>
          <w:rFonts w:ascii="Times New Roman" w:hAnsi="Times New Roman" w:cs="Times New Roman"/>
        </w:rPr>
        <w:t>13) and those with valvular AF (</w:t>
      </w:r>
      <w:r w:rsidRPr="00A74CDF">
        <w:rPr>
          <w:rFonts w:ascii="Times New Roman" w:hAnsi="Times New Roman" w:cs="Times New Roman"/>
          <w:i/>
        </w:rPr>
        <w:t>n</w:t>
      </w:r>
      <w:r w:rsidRPr="00A74CDF">
        <w:rPr>
          <w:rFonts w:ascii="Times New Roman" w:hAnsi="Times New Roman" w:cs="Times New Roman"/>
        </w:rPr>
        <w:t xml:space="preserve"> =</w:t>
      </w:r>
      <w:r w:rsidR="0093028C" w:rsidRPr="00A74CDF">
        <w:rPr>
          <w:rFonts w:ascii="Times New Roman" w:hAnsi="Times New Roman" w:cs="Times New Roman"/>
        </w:rPr>
        <w:t xml:space="preserve"> </w:t>
      </w:r>
      <w:r w:rsidRPr="00A74CDF">
        <w:rPr>
          <w:rFonts w:ascii="Times New Roman" w:hAnsi="Times New Roman" w:cs="Times New Roman"/>
        </w:rPr>
        <w:t xml:space="preserve">2413). </w:t>
      </w:r>
      <w:r w:rsidR="006A2BAF" w:rsidRPr="00A74CDF">
        <w:rPr>
          <w:rFonts w:ascii="Times New Roman" w:hAnsi="Times New Roman" w:cs="Times New Roman"/>
        </w:rPr>
        <w:t>T</w:t>
      </w:r>
      <w:r w:rsidRPr="00A74CDF">
        <w:rPr>
          <w:rFonts w:ascii="Times New Roman" w:hAnsi="Times New Roman" w:cs="Times New Roman"/>
        </w:rPr>
        <w:t>hose who had other indications of OAC</w:t>
      </w:r>
      <w:r w:rsidR="00B601E4" w:rsidRPr="00A74CDF">
        <w:rPr>
          <w:rFonts w:ascii="Times New Roman" w:hAnsi="Times New Roman" w:cs="Times New Roman"/>
        </w:rPr>
        <w:t>s</w:t>
      </w:r>
      <w:r w:rsidRPr="00A74CDF">
        <w:rPr>
          <w:rFonts w:ascii="Times New Roman" w:hAnsi="Times New Roman" w:cs="Times New Roman"/>
        </w:rPr>
        <w:t xml:space="preserve"> (pulmonary thromboembolism, deep vein thrombosis, </w:t>
      </w:r>
      <w:r w:rsidR="0086331A" w:rsidRPr="00A74CDF">
        <w:rPr>
          <w:rFonts w:ascii="Times New Roman" w:hAnsi="Times New Roman" w:cs="Times New Roman"/>
        </w:rPr>
        <w:t xml:space="preserve">or </w:t>
      </w:r>
      <w:r w:rsidRPr="00A74CDF">
        <w:rPr>
          <w:rFonts w:ascii="Times New Roman" w:hAnsi="Times New Roman" w:cs="Times New Roman"/>
        </w:rPr>
        <w:t>joint replacement surgery) or those who had contraindication of NOAC</w:t>
      </w:r>
      <w:r w:rsidR="0093028C" w:rsidRPr="00A74CDF">
        <w:rPr>
          <w:rFonts w:ascii="Times New Roman" w:hAnsi="Times New Roman" w:cs="Times New Roman"/>
        </w:rPr>
        <w:t>s</w:t>
      </w:r>
      <w:r w:rsidRPr="00A74CDF">
        <w:rPr>
          <w:rFonts w:ascii="Times New Roman" w:hAnsi="Times New Roman" w:cs="Times New Roman"/>
        </w:rPr>
        <w:t xml:space="preserve"> (end-stage renal disease) were </w:t>
      </w:r>
      <w:r w:rsidR="006A2BAF" w:rsidRPr="00A74CDF">
        <w:rPr>
          <w:rFonts w:ascii="Times New Roman" w:hAnsi="Times New Roman" w:cs="Times New Roman"/>
        </w:rPr>
        <w:t xml:space="preserve">also </w:t>
      </w:r>
      <w:r w:rsidRPr="00A74CDF">
        <w:rPr>
          <w:rFonts w:ascii="Times New Roman" w:hAnsi="Times New Roman" w:cs="Times New Roman"/>
        </w:rPr>
        <w:t>excluded (</w:t>
      </w:r>
      <w:r w:rsidRPr="00A74CDF">
        <w:rPr>
          <w:rFonts w:ascii="Times New Roman" w:hAnsi="Times New Roman" w:cs="Times New Roman"/>
          <w:i/>
        </w:rPr>
        <w:t>n</w:t>
      </w:r>
      <w:r w:rsidRPr="00A74CDF">
        <w:rPr>
          <w:rFonts w:ascii="Times New Roman" w:hAnsi="Times New Roman" w:cs="Times New Roman"/>
        </w:rPr>
        <w:t xml:space="preserve"> =</w:t>
      </w:r>
      <w:r w:rsidR="0093028C" w:rsidRPr="00A74CDF">
        <w:rPr>
          <w:rFonts w:ascii="Times New Roman" w:hAnsi="Times New Roman" w:cs="Times New Roman"/>
        </w:rPr>
        <w:t xml:space="preserve"> </w:t>
      </w:r>
      <w:r w:rsidRPr="00A74CDF">
        <w:rPr>
          <w:rFonts w:ascii="Times New Roman" w:hAnsi="Times New Roman" w:cs="Times New Roman"/>
        </w:rPr>
        <w:t xml:space="preserve">2493). </w:t>
      </w:r>
      <w:r w:rsidRPr="00A74CDF">
        <w:rPr>
          <w:rFonts w:ascii="Times New Roman" w:hAnsi="Times New Roman" w:cs="Times New Roman"/>
          <w:lang w:eastAsia="ko-KR"/>
        </w:rPr>
        <w:t xml:space="preserve">Finally, </w:t>
      </w:r>
      <w:r w:rsidRPr="00A74CDF">
        <w:rPr>
          <w:rFonts w:ascii="Times New Roman" w:hAnsi="Times New Roman" w:cs="Times New Roman"/>
        </w:rPr>
        <w:t>a total of 42,048 patients were analyzed.</w:t>
      </w:r>
    </w:p>
    <w:p w14:paraId="2920B936" w14:textId="74BD1778" w:rsidR="005B3F87" w:rsidRPr="00A74CDF" w:rsidRDefault="005B3F87" w:rsidP="00BB1388">
      <w:pPr>
        <w:pStyle w:val="TableofContentsCaption"/>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 xml:space="preserve">This study conformed to the ethical guidelines of the Declaration of Helsinki and was approved by the Institutional Review Board of Seoul National University Hospital (IRB No: E-1812-042-993). </w:t>
      </w:r>
      <w:r w:rsidR="00AB7747" w:rsidRPr="00A74CDF">
        <w:rPr>
          <w:rFonts w:ascii="Times New Roman" w:hAnsi="Times New Roman" w:cs="Times New Roman"/>
        </w:rPr>
        <w:t>I</w:t>
      </w:r>
      <w:r w:rsidRPr="00A74CDF">
        <w:rPr>
          <w:rFonts w:ascii="Times New Roman" w:hAnsi="Times New Roman" w:cs="Times New Roman"/>
        </w:rPr>
        <w:t>nformed consent was exempted since the claims database was available to the researcher in anonymized forms only.</w:t>
      </w:r>
    </w:p>
    <w:p w14:paraId="676E05C9" w14:textId="77777777" w:rsidR="005B3F87" w:rsidRPr="00A74CDF" w:rsidRDefault="005B3F87" w:rsidP="00BB1388">
      <w:pPr>
        <w:pStyle w:val="TableofContents"/>
        <w:spacing w:before="0" w:after="0"/>
        <w:ind w:firstLine="200"/>
        <w:contextualSpacing/>
        <w:jc w:val="both"/>
        <w:rPr>
          <w:rFonts w:ascii="Times New Roman" w:hAnsi="Times New Roman" w:cs="Times New Roman"/>
        </w:rPr>
      </w:pPr>
    </w:p>
    <w:p w14:paraId="02E0E091" w14:textId="77777777" w:rsidR="005B3F87" w:rsidRPr="00A74CDF" w:rsidRDefault="005B3F87" w:rsidP="00BB1388">
      <w:pPr>
        <w:pStyle w:val="TableofContentsCaption"/>
        <w:spacing w:before="0" w:after="0"/>
        <w:contextualSpacing/>
        <w:jc w:val="both"/>
        <w:rPr>
          <w:rFonts w:ascii="Times New Roman" w:hAnsi="Times New Roman" w:cs="Times New Roman"/>
          <w:i/>
        </w:rPr>
      </w:pPr>
      <w:r w:rsidRPr="00A74CDF">
        <w:rPr>
          <w:rFonts w:ascii="Times New Roman" w:hAnsi="Times New Roman" w:cs="Times New Roman"/>
          <w:i/>
        </w:rPr>
        <w:t>Covariates</w:t>
      </w:r>
    </w:p>
    <w:p w14:paraId="0813C769" w14:textId="01245A92" w:rsidR="005B3F87" w:rsidRPr="00A74CDF" w:rsidRDefault="005B3F87" w:rsidP="00BB1388">
      <w:pPr>
        <w:pStyle w:val="TableofContentsCaption"/>
        <w:spacing w:before="0" w:after="0"/>
        <w:ind w:firstLineChars="200" w:firstLine="480"/>
        <w:contextualSpacing/>
        <w:jc w:val="both"/>
        <w:rPr>
          <w:rFonts w:ascii="Times New Roman" w:hAnsi="Times New Roman" w:cs="Times New Roman"/>
          <w:iCs/>
        </w:rPr>
      </w:pPr>
      <w:r w:rsidRPr="00A74CDF">
        <w:rPr>
          <w:rFonts w:ascii="Times New Roman" w:hAnsi="Times New Roman" w:cs="Times New Roman"/>
          <w:iCs/>
        </w:rPr>
        <w:t xml:space="preserve">We defined the following variables as covariates: age, sex, comorbidities, and concomitant medications. </w:t>
      </w:r>
      <w:r w:rsidR="00F2293E" w:rsidRPr="00A74CDF">
        <w:rPr>
          <w:rFonts w:ascii="Times New Roman" w:hAnsi="Times New Roman" w:cs="Times New Roman"/>
          <w:iCs/>
        </w:rPr>
        <w:t>D</w:t>
      </w:r>
      <w:r w:rsidRPr="00A74CDF">
        <w:rPr>
          <w:rFonts w:ascii="Times New Roman" w:hAnsi="Times New Roman" w:cs="Times New Roman"/>
          <w:iCs/>
        </w:rPr>
        <w:t>etailed definition</w:t>
      </w:r>
      <w:r w:rsidR="00F2293E" w:rsidRPr="00A74CDF">
        <w:rPr>
          <w:rFonts w:ascii="Times New Roman" w:hAnsi="Times New Roman" w:cs="Times New Roman"/>
          <w:iCs/>
        </w:rPr>
        <w:t>s</w:t>
      </w:r>
      <w:r w:rsidRPr="00A74CDF">
        <w:rPr>
          <w:rFonts w:ascii="Times New Roman" w:hAnsi="Times New Roman" w:cs="Times New Roman"/>
          <w:iCs/>
        </w:rPr>
        <w:t xml:space="preserve"> of comorbidities are summarized in </w:t>
      </w:r>
      <w:r w:rsidRPr="00A74CDF">
        <w:rPr>
          <w:rFonts w:ascii="Times New Roman" w:hAnsi="Times New Roman" w:cs="Times New Roman"/>
          <w:b/>
          <w:bCs/>
          <w:iCs/>
        </w:rPr>
        <w:t xml:space="preserve">Table </w:t>
      </w:r>
      <w:r w:rsidR="002B1526" w:rsidRPr="00A74CDF">
        <w:rPr>
          <w:rFonts w:ascii="Times New Roman" w:hAnsi="Times New Roman" w:cs="Times New Roman"/>
          <w:b/>
          <w:bCs/>
          <w:iCs/>
        </w:rPr>
        <w:t>I in the Data Supplement</w:t>
      </w:r>
      <w:r w:rsidR="00264EF7" w:rsidRPr="00A74CDF">
        <w:rPr>
          <w:rFonts w:ascii="Times New Roman" w:hAnsi="Times New Roman" w:cs="Times New Roman"/>
          <w:b/>
          <w:bCs/>
          <w:iCs/>
        </w:rPr>
        <w:t>.</w:t>
      </w:r>
      <w:r w:rsidRPr="00A74CDF">
        <w:rPr>
          <w:rFonts w:ascii="Times New Roman" w:hAnsi="Times New Roman" w:cs="Times New Roman"/>
          <w:iCs/>
          <w:vertAlign w:val="superscript"/>
        </w:rPr>
        <w:t>2,</w:t>
      </w:r>
      <w:r w:rsidR="00927302" w:rsidRPr="00A74CDF">
        <w:rPr>
          <w:rFonts w:ascii="Times New Roman" w:hAnsi="Times New Roman" w:cs="Times New Roman"/>
          <w:iCs/>
          <w:vertAlign w:val="superscript"/>
        </w:rPr>
        <w:t>21</w:t>
      </w:r>
      <w:r w:rsidRPr="00A74CDF">
        <w:rPr>
          <w:rFonts w:ascii="Times New Roman" w:hAnsi="Times New Roman" w:cs="Times New Roman"/>
          <w:iCs/>
        </w:rPr>
        <w:t xml:space="preserve"> The CHA</w:t>
      </w:r>
      <w:r w:rsidRPr="00A74CDF">
        <w:rPr>
          <w:rFonts w:ascii="Times New Roman" w:hAnsi="Times New Roman" w:cs="Times New Roman"/>
          <w:iCs/>
          <w:vertAlign w:val="subscript"/>
        </w:rPr>
        <w:t>2</w:t>
      </w:r>
      <w:r w:rsidRPr="00A74CDF">
        <w:rPr>
          <w:rFonts w:ascii="Times New Roman" w:hAnsi="Times New Roman" w:cs="Times New Roman"/>
          <w:iCs/>
        </w:rPr>
        <w:t>DS</w:t>
      </w:r>
      <w:r w:rsidRPr="00A74CDF">
        <w:rPr>
          <w:rFonts w:ascii="Times New Roman" w:hAnsi="Times New Roman" w:cs="Times New Roman"/>
          <w:iCs/>
          <w:vertAlign w:val="subscript"/>
        </w:rPr>
        <w:t>2</w:t>
      </w:r>
      <w:r w:rsidRPr="00A74CDF">
        <w:rPr>
          <w:rFonts w:ascii="Times New Roman" w:hAnsi="Times New Roman" w:cs="Times New Roman"/>
          <w:iCs/>
        </w:rPr>
        <w:t>-VASc score, the HAS-BLED score</w:t>
      </w:r>
      <w:r w:rsidR="0086331A" w:rsidRPr="00A74CDF">
        <w:rPr>
          <w:rFonts w:ascii="Times New Roman" w:hAnsi="Times New Roman" w:cs="Times New Roman"/>
          <w:iCs/>
        </w:rPr>
        <w:t>,</w:t>
      </w:r>
      <w:r w:rsidRPr="00A74CDF">
        <w:rPr>
          <w:rFonts w:ascii="Times New Roman" w:hAnsi="Times New Roman" w:cs="Times New Roman"/>
          <w:iCs/>
        </w:rPr>
        <w:t xml:space="preserve"> and the Charlson comorbidity index were used to estimate stroke risk, bleeding risk, and the burden of comorbidities, respectively</w:t>
      </w:r>
      <w:r w:rsidR="00264EF7" w:rsidRPr="00A74CDF">
        <w:rPr>
          <w:rFonts w:ascii="Times New Roman" w:hAnsi="Times New Roman" w:cs="Times New Roman"/>
          <w:iCs/>
        </w:rPr>
        <w:t>.</w:t>
      </w:r>
      <w:r w:rsidRPr="00A74CDF">
        <w:rPr>
          <w:rFonts w:ascii="Times New Roman" w:hAnsi="Times New Roman" w:cs="Times New Roman"/>
          <w:iCs/>
          <w:vertAlign w:val="superscript"/>
        </w:rPr>
        <w:t>2</w:t>
      </w:r>
      <w:r w:rsidR="00927302" w:rsidRPr="00A74CDF">
        <w:rPr>
          <w:rFonts w:ascii="Times New Roman" w:hAnsi="Times New Roman" w:cs="Times New Roman"/>
          <w:iCs/>
          <w:vertAlign w:val="superscript"/>
        </w:rPr>
        <w:t>2</w:t>
      </w:r>
      <w:r w:rsidRPr="00A74CDF">
        <w:rPr>
          <w:rFonts w:ascii="Times New Roman" w:hAnsi="Times New Roman" w:cs="Times New Roman"/>
          <w:iCs/>
          <w:vertAlign w:val="superscript"/>
        </w:rPr>
        <w:t>,2</w:t>
      </w:r>
      <w:r w:rsidR="00927302" w:rsidRPr="00A74CDF">
        <w:rPr>
          <w:rFonts w:ascii="Times New Roman" w:hAnsi="Times New Roman" w:cs="Times New Roman"/>
          <w:iCs/>
          <w:vertAlign w:val="superscript"/>
        </w:rPr>
        <w:t>3</w:t>
      </w:r>
      <w:r w:rsidRPr="00A74CDF">
        <w:rPr>
          <w:rFonts w:ascii="Times New Roman" w:hAnsi="Times New Roman" w:cs="Times New Roman"/>
          <w:iCs/>
          <w:lang w:eastAsia="ko-KR"/>
        </w:rPr>
        <w:t xml:space="preserve"> </w:t>
      </w:r>
      <w:r w:rsidRPr="00A74CDF">
        <w:rPr>
          <w:rFonts w:ascii="Times New Roman" w:hAnsi="Times New Roman" w:cs="Times New Roman"/>
          <w:iCs/>
        </w:rPr>
        <w:t xml:space="preserve">The </w:t>
      </w:r>
      <w:r w:rsidRPr="00A74CDF">
        <w:rPr>
          <w:rFonts w:ascii="Times New Roman" w:hAnsi="Times New Roman" w:cs="Times New Roman"/>
          <w:color w:val="auto"/>
        </w:rPr>
        <w:t xml:space="preserve">HAS-BLED score was calculated with </w:t>
      </w:r>
      <w:r w:rsidR="00432A94" w:rsidRPr="00A74CDF">
        <w:rPr>
          <w:rFonts w:ascii="Times New Roman" w:hAnsi="Times New Roman" w:cs="Times New Roman"/>
          <w:color w:val="auto"/>
        </w:rPr>
        <w:t xml:space="preserve">all </w:t>
      </w:r>
      <w:r w:rsidRPr="00A74CDF">
        <w:rPr>
          <w:rFonts w:ascii="Times New Roman" w:hAnsi="Times New Roman" w:cs="Times New Roman"/>
          <w:color w:val="auto"/>
        </w:rPr>
        <w:t>variables except for international normalized ratio and alcohol use</w:t>
      </w:r>
      <w:r w:rsidR="00432A94" w:rsidRPr="00A74CDF">
        <w:rPr>
          <w:rFonts w:ascii="Times New Roman" w:hAnsi="Times New Roman" w:cs="Times New Roman"/>
          <w:color w:val="auto"/>
        </w:rPr>
        <w:t>,</w:t>
      </w:r>
      <w:r w:rsidRPr="00A74CDF">
        <w:rPr>
          <w:rFonts w:ascii="Times New Roman" w:hAnsi="Times New Roman" w:cs="Times New Roman"/>
          <w:color w:val="auto"/>
        </w:rPr>
        <w:t xml:space="preserve"> since they were not available from </w:t>
      </w:r>
      <w:r w:rsidRPr="00A74CDF">
        <w:rPr>
          <w:rFonts w:ascii="Times New Roman" w:hAnsi="Times New Roman" w:cs="Times New Roman"/>
          <w:color w:val="auto"/>
          <w:lang w:eastAsia="ko-KR"/>
        </w:rPr>
        <w:t xml:space="preserve">the </w:t>
      </w:r>
      <w:r w:rsidRPr="00A74CDF">
        <w:rPr>
          <w:rFonts w:ascii="Times New Roman" w:hAnsi="Times New Roman" w:cs="Times New Roman"/>
          <w:color w:val="auto"/>
        </w:rPr>
        <w:t>claims database</w:t>
      </w:r>
      <w:r w:rsidR="00264EF7" w:rsidRPr="00A74CDF">
        <w:rPr>
          <w:rFonts w:ascii="Times New Roman" w:hAnsi="Times New Roman" w:cs="Times New Roman"/>
          <w:color w:val="auto"/>
        </w:rPr>
        <w:t>.</w:t>
      </w:r>
      <w:r w:rsidRPr="00A74CDF">
        <w:rPr>
          <w:rFonts w:ascii="Times New Roman" w:hAnsi="Times New Roman" w:cs="Times New Roman"/>
          <w:color w:val="auto"/>
          <w:vertAlign w:val="superscript"/>
        </w:rPr>
        <w:t>2</w:t>
      </w:r>
      <w:r w:rsidR="00927302" w:rsidRPr="00A74CDF">
        <w:rPr>
          <w:rFonts w:ascii="Times New Roman" w:hAnsi="Times New Roman" w:cs="Times New Roman"/>
          <w:color w:val="auto"/>
          <w:vertAlign w:val="superscript"/>
        </w:rPr>
        <w:t>3</w:t>
      </w:r>
      <w:r w:rsidRPr="00A74CDF">
        <w:rPr>
          <w:rFonts w:ascii="Times New Roman" w:hAnsi="Times New Roman" w:cs="Times New Roman"/>
          <w:color w:val="auto"/>
        </w:rPr>
        <w:t xml:space="preserve"> The detailed method</w:t>
      </w:r>
      <w:r w:rsidR="00E1032F" w:rsidRPr="00A74CDF">
        <w:rPr>
          <w:rFonts w:ascii="Times New Roman" w:hAnsi="Times New Roman" w:cs="Times New Roman"/>
          <w:color w:val="auto"/>
        </w:rPr>
        <w:t xml:space="preserve"> </w:t>
      </w:r>
      <w:r w:rsidR="00432A94" w:rsidRPr="00A74CDF">
        <w:rPr>
          <w:rFonts w:ascii="Times New Roman" w:hAnsi="Times New Roman" w:cs="Times New Roman"/>
          <w:color w:val="auto"/>
        </w:rPr>
        <w:t>used</w:t>
      </w:r>
      <w:r w:rsidRPr="00A74CDF">
        <w:rPr>
          <w:rFonts w:ascii="Times New Roman" w:hAnsi="Times New Roman" w:cs="Times New Roman"/>
          <w:color w:val="auto"/>
        </w:rPr>
        <w:t xml:space="preserve"> to calculate the Charlson comorbidity index is presented in </w:t>
      </w:r>
      <w:r w:rsidRPr="00A74CDF">
        <w:rPr>
          <w:rFonts w:ascii="Times New Roman" w:hAnsi="Times New Roman" w:cs="Times New Roman"/>
          <w:b/>
          <w:bCs/>
          <w:color w:val="auto"/>
        </w:rPr>
        <w:t xml:space="preserve">Table </w:t>
      </w:r>
      <w:r w:rsidR="002B1526" w:rsidRPr="00A74CDF">
        <w:rPr>
          <w:rFonts w:ascii="Times New Roman" w:hAnsi="Times New Roman" w:cs="Times New Roman"/>
          <w:b/>
          <w:bCs/>
          <w:color w:val="auto"/>
        </w:rPr>
        <w:t>II</w:t>
      </w:r>
      <w:r w:rsidR="002B1526" w:rsidRPr="00A74CDF">
        <w:rPr>
          <w:rFonts w:ascii="Times New Roman" w:hAnsi="Times New Roman" w:cs="Times New Roman"/>
          <w:b/>
          <w:bCs/>
          <w:iCs/>
        </w:rPr>
        <w:t xml:space="preserve"> in the Data Supplement</w:t>
      </w:r>
      <w:r w:rsidRPr="00A74CDF">
        <w:rPr>
          <w:rFonts w:ascii="Times New Roman" w:hAnsi="Times New Roman" w:cs="Times New Roman"/>
          <w:color w:val="auto"/>
        </w:rPr>
        <w:t xml:space="preserve">. </w:t>
      </w:r>
    </w:p>
    <w:p w14:paraId="79D5CB7A" w14:textId="77777777" w:rsidR="005B3F87" w:rsidRPr="00A74CDF" w:rsidRDefault="005B3F87" w:rsidP="00BB1388">
      <w:pPr>
        <w:pStyle w:val="TableofContentsCaption"/>
        <w:spacing w:before="0" w:after="0"/>
        <w:ind w:firstLineChars="200" w:firstLine="480"/>
        <w:contextualSpacing/>
        <w:jc w:val="both"/>
        <w:rPr>
          <w:rFonts w:ascii="Times New Roman" w:hAnsi="Times New Roman" w:cs="Times New Roman"/>
          <w:iCs/>
        </w:rPr>
      </w:pPr>
    </w:p>
    <w:p w14:paraId="19EC1155" w14:textId="77777777" w:rsidR="005B3F87" w:rsidRPr="00A74CDF" w:rsidRDefault="005B3F87" w:rsidP="00BB1388">
      <w:pPr>
        <w:pStyle w:val="TableofContentsCaption"/>
        <w:spacing w:before="0" w:after="0"/>
        <w:contextualSpacing/>
        <w:jc w:val="both"/>
        <w:rPr>
          <w:rFonts w:ascii="Times New Roman" w:hAnsi="Times New Roman" w:cs="Times New Roman"/>
          <w:iCs/>
        </w:rPr>
      </w:pPr>
      <w:r w:rsidRPr="00A74CDF">
        <w:rPr>
          <w:rFonts w:ascii="Times New Roman" w:hAnsi="Times New Roman" w:cs="Times New Roman"/>
          <w:i/>
        </w:rPr>
        <w:t>Study outcomes and follow-up</w:t>
      </w:r>
    </w:p>
    <w:p w14:paraId="1061A48D" w14:textId="60F32C9D" w:rsidR="005B3F87" w:rsidRPr="00A74CDF" w:rsidRDefault="00275204" w:rsidP="00BB1388">
      <w:pPr>
        <w:pStyle w:val="TableofContentsCaption"/>
        <w:spacing w:before="0" w:after="0"/>
        <w:ind w:firstLineChars="200" w:firstLine="480"/>
        <w:contextualSpacing/>
        <w:jc w:val="both"/>
        <w:rPr>
          <w:rFonts w:ascii="Times New Roman" w:hAnsi="Times New Roman" w:cs="Times New Roman"/>
          <w:iCs/>
          <w:lang w:eastAsia="ko-KR"/>
        </w:rPr>
      </w:pPr>
      <w:r w:rsidRPr="00A74CDF">
        <w:rPr>
          <w:rFonts w:ascii="Times New Roman" w:hAnsi="Times New Roman" w:cs="Times New Roman"/>
          <w:iCs/>
          <w:lang w:eastAsia="ko-KR"/>
        </w:rPr>
        <w:t xml:space="preserve">In </w:t>
      </w:r>
      <w:r w:rsidR="005B3F87" w:rsidRPr="00A74CDF">
        <w:rPr>
          <w:rFonts w:ascii="Times New Roman" w:hAnsi="Times New Roman" w:cs="Times New Roman"/>
          <w:iCs/>
          <w:lang w:eastAsia="ko-KR"/>
        </w:rPr>
        <w:t xml:space="preserve">the </w:t>
      </w:r>
      <w:r w:rsidRPr="00A74CDF">
        <w:rPr>
          <w:rFonts w:ascii="Times New Roman" w:hAnsi="Times New Roman" w:cs="Times New Roman"/>
          <w:iCs/>
          <w:lang w:eastAsia="ko-KR"/>
        </w:rPr>
        <w:t xml:space="preserve">patients’ </w:t>
      </w:r>
      <w:r w:rsidR="005B3F87" w:rsidRPr="00A74CDF">
        <w:rPr>
          <w:rFonts w:ascii="Times New Roman" w:hAnsi="Times New Roman" w:cs="Times New Roman"/>
          <w:iCs/>
          <w:lang w:eastAsia="ko-KR"/>
        </w:rPr>
        <w:t>follow-up period, w</w:t>
      </w:r>
      <w:r w:rsidR="005B3F87" w:rsidRPr="00A74CDF">
        <w:rPr>
          <w:rFonts w:ascii="Times New Roman" w:hAnsi="Times New Roman" w:cs="Times New Roman"/>
          <w:iCs/>
        </w:rPr>
        <w:t xml:space="preserve">e </w:t>
      </w:r>
      <w:r w:rsidR="005B3F87" w:rsidRPr="00A74CDF">
        <w:rPr>
          <w:rFonts w:ascii="Times New Roman" w:hAnsi="Times New Roman" w:cs="Times New Roman"/>
          <w:iCs/>
          <w:lang w:eastAsia="ko-KR"/>
        </w:rPr>
        <w:t>investigated</w:t>
      </w:r>
      <w:r w:rsidR="005B3F87" w:rsidRPr="00A74CDF">
        <w:rPr>
          <w:rFonts w:ascii="Times New Roman" w:hAnsi="Times New Roman" w:cs="Times New Roman"/>
          <w:iCs/>
        </w:rPr>
        <w:t xml:space="preserve"> ischemic stroke, major bleeding, and composite outcome (</w:t>
      </w:r>
      <w:r w:rsidR="00FD16A4" w:rsidRPr="00A74CDF">
        <w:rPr>
          <w:rFonts w:ascii="Times New Roman" w:hAnsi="Times New Roman" w:cs="Times New Roman"/>
          <w:iCs/>
          <w:lang w:eastAsia="ko-KR"/>
        </w:rPr>
        <w:t>combined</w:t>
      </w:r>
      <w:r w:rsidR="00FD16A4" w:rsidRPr="00A74CDF" w:rsidDel="00275204">
        <w:rPr>
          <w:rFonts w:ascii="Times New Roman" w:hAnsi="Times New Roman" w:cs="Times New Roman"/>
          <w:iCs/>
        </w:rPr>
        <w:t xml:space="preserve"> </w:t>
      </w:r>
      <w:r w:rsidR="005B3F87" w:rsidRPr="00A74CDF">
        <w:rPr>
          <w:rFonts w:ascii="Times New Roman" w:hAnsi="Times New Roman" w:cs="Times New Roman"/>
          <w:iCs/>
          <w:lang w:eastAsia="ko-KR"/>
        </w:rPr>
        <w:t>ischemic stroke and major bleeding</w:t>
      </w:r>
      <w:r w:rsidR="005B3F87" w:rsidRPr="00A74CDF">
        <w:rPr>
          <w:rFonts w:ascii="Times New Roman" w:hAnsi="Times New Roman" w:cs="Times New Roman"/>
          <w:iCs/>
        </w:rPr>
        <w:t>) events to assess the comparative effectiveness and safety of warfarin versus NOAC</w:t>
      </w:r>
      <w:r w:rsidR="00D94B86" w:rsidRPr="00A74CDF">
        <w:rPr>
          <w:rFonts w:ascii="Times New Roman" w:hAnsi="Times New Roman" w:cs="Times New Roman"/>
          <w:iCs/>
        </w:rPr>
        <w:t>s</w:t>
      </w:r>
      <w:r w:rsidR="005B3F87" w:rsidRPr="00A74CDF">
        <w:rPr>
          <w:rFonts w:ascii="Times New Roman" w:hAnsi="Times New Roman" w:cs="Times New Roman"/>
          <w:iCs/>
        </w:rPr>
        <w:t xml:space="preserve">. </w:t>
      </w:r>
      <w:r w:rsidR="003F3DF7" w:rsidRPr="00A74CDF">
        <w:rPr>
          <w:rFonts w:ascii="Times New Roman" w:hAnsi="Times New Roman" w:cs="Times New Roman"/>
          <w:iCs/>
        </w:rPr>
        <w:t>M</w:t>
      </w:r>
      <w:r w:rsidR="005B3F87" w:rsidRPr="00A74CDF">
        <w:rPr>
          <w:rFonts w:ascii="Times New Roman" w:hAnsi="Times New Roman" w:cs="Times New Roman"/>
          <w:iCs/>
        </w:rPr>
        <w:t xml:space="preserve">ajor bleeding events were </w:t>
      </w:r>
      <w:r w:rsidR="005B3F87" w:rsidRPr="00A74CDF">
        <w:rPr>
          <w:rFonts w:ascii="Times New Roman" w:hAnsi="Times New Roman" w:cs="Times New Roman"/>
          <w:iCs/>
        </w:rPr>
        <w:lastRenderedPageBreak/>
        <w:t xml:space="preserve">defined </w:t>
      </w:r>
      <w:r w:rsidR="003F3DF7" w:rsidRPr="00A74CDF">
        <w:rPr>
          <w:rFonts w:ascii="Times New Roman" w:hAnsi="Times New Roman" w:cs="Times New Roman"/>
          <w:iCs/>
        </w:rPr>
        <w:t>as</w:t>
      </w:r>
      <w:r w:rsidR="005B3F87" w:rsidRPr="00A74CDF">
        <w:rPr>
          <w:rFonts w:ascii="Times New Roman" w:hAnsi="Times New Roman" w:cs="Times New Roman"/>
          <w:iCs/>
        </w:rPr>
        <w:t xml:space="preserve"> either new occurre</w:t>
      </w:r>
      <w:r w:rsidR="003F3DF7" w:rsidRPr="00A74CDF">
        <w:rPr>
          <w:rFonts w:ascii="Times New Roman" w:hAnsi="Times New Roman" w:cs="Times New Roman"/>
          <w:iCs/>
        </w:rPr>
        <w:t>nces of</w:t>
      </w:r>
      <w:r w:rsidR="005B3F87" w:rsidRPr="00A74CDF">
        <w:rPr>
          <w:rFonts w:ascii="Times New Roman" w:hAnsi="Times New Roman" w:cs="Times New Roman"/>
          <w:iCs/>
        </w:rPr>
        <w:t xml:space="preserve"> </w:t>
      </w:r>
      <w:r w:rsidR="00D94B86" w:rsidRPr="00A74CDF">
        <w:rPr>
          <w:rFonts w:ascii="Times New Roman" w:hAnsi="Times New Roman" w:cs="Times New Roman"/>
          <w:iCs/>
        </w:rPr>
        <w:t>intracerebral hemorrhage (</w:t>
      </w:r>
      <w:r w:rsidR="005B3F87" w:rsidRPr="00A74CDF">
        <w:rPr>
          <w:rFonts w:ascii="Times New Roman" w:hAnsi="Times New Roman" w:cs="Times New Roman"/>
          <w:iCs/>
        </w:rPr>
        <w:t>ICH</w:t>
      </w:r>
      <w:r w:rsidR="00D94B86" w:rsidRPr="00A74CDF">
        <w:rPr>
          <w:rFonts w:ascii="Times New Roman" w:hAnsi="Times New Roman" w:cs="Times New Roman"/>
          <w:iCs/>
        </w:rPr>
        <w:t>)</w:t>
      </w:r>
      <w:r w:rsidR="005B3F87" w:rsidRPr="00A74CDF">
        <w:rPr>
          <w:rFonts w:ascii="Times New Roman" w:hAnsi="Times New Roman" w:cs="Times New Roman"/>
          <w:iCs/>
        </w:rPr>
        <w:t xml:space="preserve"> or major GIB requiring hospitalization. </w:t>
      </w:r>
      <w:r w:rsidR="00D94B86" w:rsidRPr="00A74CDF">
        <w:rPr>
          <w:rFonts w:ascii="Times New Roman" w:hAnsi="Times New Roman" w:cs="Times New Roman"/>
          <w:iCs/>
        </w:rPr>
        <w:t>D</w:t>
      </w:r>
      <w:r w:rsidR="005B3F87" w:rsidRPr="00A74CDF">
        <w:rPr>
          <w:rFonts w:ascii="Times New Roman" w:hAnsi="Times New Roman" w:cs="Times New Roman"/>
          <w:iCs/>
        </w:rPr>
        <w:t xml:space="preserve">etailed definitions of these outcomes are summarized in </w:t>
      </w:r>
      <w:r w:rsidR="005B3F87" w:rsidRPr="00A74CDF">
        <w:rPr>
          <w:rFonts w:ascii="Times New Roman" w:hAnsi="Times New Roman" w:cs="Times New Roman"/>
          <w:b/>
          <w:bCs/>
          <w:iCs/>
        </w:rPr>
        <w:t xml:space="preserve">Table </w:t>
      </w:r>
      <w:r w:rsidR="002B1526" w:rsidRPr="00A74CDF">
        <w:rPr>
          <w:rFonts w:ascii="Times New Roman" w:hAnsi="Times New Roman" w:cs="Times New Roman"/>
          <w:b/>
          <w:bCs/>
          <w:iCs/>
        </w:rPr>
        <w:t>I in the Data Supplement</w:t>
      </w:r>
      <w:r w:rsidR="005B3F87" w:rsidRPr="00A74CDF">
        <w:rPr>
          <w:rFonts w:ascii="Times New Roman" w:hAnsi="Times New Roman" w:cs="Times New Roman"/>
          <w:iCs/>
        </w:rPr>
        <w:t xml:space="preserve">. </w:t>
      </w:r>
      <w:r w:rsidR="00D94B86" w:rsidRPr="00A74CDF">
        <w:rPr>
          <w:rFonts w:ascii="Times New Roman" w:hAnsi="Times New Roman" w:cs="Times New Roman"/>
          <w:iCs/>
        </w:rPr>
        <w:t>S</w:t>
      </w:r>
      <w:r w:rsidR="005B3F87" w:rsidRPr="00A74CDF">
        <w:rPr>
          <w:rFonts w:ascii="Times New Roman" w:hAnsi="Times New Roman" w:cs="Times New Roman"/>
          <w:iCs/>
        </w:rPr>
        <w:t xml:space="preserve">econdary outcomes were </w:t>
      </w:r>
      <w:r w:rsidR="00D94B86" w:rsidRPr="00A74CDF">
        <w:rPr>
          <w:rFonts w:ascii="Times New Roman" w:hAnsi="Times New Roman" w:cs="Times New Roman"/>
          <w:iCs/>
        </w:rPr>
        <w:t xml:space="preserve">defined as </w:t>
      </w:r>
      <w:r w:rsidR="005B3F87" w:rsidRPr="00A74CDF">
        <w:rPr>
          <w:rFonts w:ascii="Times New Roman" w:hAnsi="Times New Roman" w:cs="Times New Roman"/>
          <w:iCs/>
        </w:rPr>
        <w:t>events result</w:t>
      </w:r>
      <w:r w:rsidR="00D94B86" w:rsidRPr="00A74CDF">
        <w:rPr>
          <w:rFonts w:ascii="Times New Roman" w:hAnsi="Times New Roman" w:cs="Times New Roman"/>
          <w:iCs/>
        </w:rPr>
        <w:t>ing</w:t>
      </w:r>
      <w:r w:rsidR="005B3F87" w:rsidRPr="00A74CDF">
        <w:rPr>
          <w:rFonts w:ascii="Times New Roman" w:hAnsi="Times New Roman" w:cs="Times New Roman"/>
          <w:iCs/>
        </w:rPr>
        <w:t xml:space="preserve"> in death </w:t>
      </w:r>
      <w:r w:rsidR="00B867DB" w:rsidRPr="00A74CDF">
        <w:rPr>
          <w:rFonts w:ascii="Times New Roman" w:hAnsi="Times New Roman" w:cs="Times New Roman"/>
          <w:iCs/>
        </w:rPr>
        <w:t xml:space="preserve">during </w:t>
      </w:r>
      <w:r w:rsidR="005B3F87" w:rsidRPr="00A74CDF">
        <w:rPr>
          <w:rFonts w:ascii="Times New Roman" w:hAnsi="Times New Roman" w:cs="Times New Roman"/>
          <w:iCs/>
        </w:rPr>
        <w:t xml:space="preserve">the index hospitalization period due to primary outcomes: fatal ischemic stroke, fatal major bleeding, </w:t>
      </w:r>
      <w:r w:rsidR="00B867DB" w:rsidRPr="00A74CDF">
        <w:rPr>
          <w:rFonts w:ascii="Times New Roman" w:hAnsi="Times New Roman" w:cs="Times New Roman"/>
          <w:iCs/>
        </w:rPr>
        <w:t xml:space="preserve">or </w:t>
      </w:r>
      <w:r w:rsidR="005B3F87" w:rsidRPr="00A74CDF">
        <w:rPr>
          <w:rFonts w:ascii="Times New Roman" w:hAnsi="Times New Roman" w:cs="Times New Roman"/>
          <w:iCs/>
        </w:rPr>
        <w:t xml:space="preserve">death from </w:t>
      </w:r>
      <w:r w:rsidR="00B867DB" w:rsidRPr="00A74CDF">
        <w:rPr>
          <w:rFonts w:ascii="Times New Roman" w:hAnsi="Times New Roman" w:cs="Times New Roman"/>
          <w:iCs/>
        </w:rPr>
        <w:t xml:space="preserve">a </w:t>
      </w:r>
      <w:r w:rsidR="005B3F87" w:rsidRPr="00A74CDF">
        <w:rPr>
          <w:rFonts w:ascii="Times New Roman" w:hAnsi="Times New Roman" w:cs="Times New Roman"/>
          <w:iCs/>
        </w:rPr>
        <w:t xml:space="preserve">composite outcome. </w:t>
      </w:r>
      <w:r w:rsidR="005B3F87" w:rsidRPr="00A74CDF">
        <w:rPr>
          <w:rFonts w:ascii="Times New Roman" w:hAnsi="Times New Roman" w:cs="Times New Roman"/>
          <w:iCs/>
          <w:lang w:eastAsia="ko-KR"/>
        </w:rPr>
        <w:t xml:space="preserve">Study patients were </w:t>
      </w:r>
      <w:r w:rsidR="00250916" w:rsidRPr="00A74CDF">
        <w:rPr>
          <w:rFonts w:ascii="Times New Roman" w:hAnsi="Times New Roman" w:cs="Times New Roman"/>
          <w:iCs/>
          <w:lang w:eastAsia="ko-KR"/>
        </w:rPr>
        <w:t xml:space="preserve">removed </w:t>
      </w:r>
      <w:r w:rsidR="005B3F87" w:rsidRPr="00A74CDF">
        <w:rPr>
          <w:rFonts w:ascii="Times New Roman" w:hAnsi="Times New Roman" w:cs="Times New Roman"/>
          <w:iCs/>
          <w:lang w:eastAsia="ko-KR"/>
        </w:rPr>
        <w:t xml:space="preserve">at the occurrence of </w:t>
      </w:r>
      <w:r w:rsidR="003F3DF7" w:rsidRPr="00A74CDF">
        <w:rPr>
          <w:rFonts w:ascii="Times New Roman" w:hAnsi="Times New Roman" w:cs="Times New Roman"/>
          <w:iCs/>
          <w:lang w:eastAsia="ko-KR"/>
        </w:rPr>
        <w:t xml:space="preserve">a </w:t>
      </w:r>
      <w:r w:rsidR="005B3F87" w:rsidRPr="00A74CDF">
        <w:rPr>
          <w:rFonts w:ascii="Times New Roman" w:hAnsi="Times New Roman" w:cs="Times New Roman"/>
          <w:iCs/>
          <w:lang w:eastAsia="ko-KR"/>
        </w:rPr>
        <w:t xml:space="preserve">clinical outcome, discontinuation of </w:t>
      </w:r>
      <w:r w:rsidR="003F3DF7" w:rsidRPr="00A74CDF">
        <w:rPr>
          <w:rFonts w:ascii="Times New Roman" w:hAnsi="Times New Roman" w:cs="Times New Roman"/>
          <w:iCs/>
          <w:lang w:eastAsia="ko-KR"/>
        </w:rPr>
        <w:t xml:space="preserve">the </w:t>
      </w:r>
      <w:r w:rsidR="005B3F87" w:rsidRPr="00A74CDF">
        <w:rPr>
          <w:rFonts w:ascii="Times New Roman" w:hAnsi="Times New Roman" w:cs="Times New Roman"/>
          <w:iCs/>
          <w:lang w:eastAsia="ko-KR"/>
        </w:rPr>
        <w:t>index treatment (≥</w:t>
      </w:r>
      <w:r w:rsidR="00D94B86" w:rsidRPr="00A74CDF">
        <w:rPr>
          <w:rFonts w:ascii="Times New Roman" w:hAnsi="Times New Roman" w:cs="Times New Roman"/>
          <w:iCs/>
          <w:lang w:eastAsia="ko-KR"/>
        </w:rPr>
        <w:t xml:space="preserve"> </w:t>
      </w:r>
      <w:r w:rsidR="005B3F87" w:rsidRPr="00A74CDF">
        <w:rPr>
          <w:rFonts w:ascii="Times New Roman" w:hAnsi="Times New Roman" w:cs="Times New Roman"/>
          <w:iCs/>
          <w:lang w:eastAsia="ko-KR"/>
        </w:rPr>
        <w:t>30</w:t>
      </w:r>
      <w:r w:rsidR="00250916" w:rsidRPr="00A74CDF">
        <w:rPr>
          <w:rFonts w:ascii="Times New Roman" w:hAnsi="Times New Roman" w:cs="Times New Roman"/>
          <w:iCs/>
          <w:lang w:eastAsia="ko-KR"/>
        </w:rPr>
        <w:t>-</w:t>
      </w:r>
      <w:r w:rsidR="005B3F87" w:rsidRPr="00A74CDF">
        <w:rPr>
          <w:rFonts w:ascii="Times New Roman" w:hAnsi="Times New Roman" w:cs="Times New Roman"/>
          <w:iCs/>
          <w:lang w:eastAsia="ko-KR"/>
        </w:rPr>
        <w:t>day absence of index OAC claims), or the end of the study period (April 30, 2018)</w:t>
      </w:r>
      <w:r w:rsidR="00250916" w:rsidRPr="00A74CDF">
        <w:rPr>
          <w:rFonts w:ascii="Times New Roman" w:hAnsi="Times New Roman" w:cs="Times New Roman"/>
          <w:iCs/>
          <w:lang w:eastAsia="ko-KR"/>
        </w:rPr>
        <w:t>,</w:t>
      </w:r>
      <w:r w:rsidR="005B3F87" w:rsidRPr="00A74CDF">
        <w:rPr>
          <w:rFonts w:ascii="Times New Roman" w:hAnsi="Times New Roman" w:cs="Times New Roman"/>
          <w:iCs/>
          <w:lang w:eastAsia="ko-KR"/>
        </w:rPr>
        <w:t xml:space="preserve"> whichever came first.</w:t>
      </w:r>
    </w:p>
    <w:p w14:paraId="0CF27152" w14:textId="77777777" w:rsidR="005B3F87" w:rsidRPr="00A74CDF" w:rsidRDefault="005B3F87" w:rsidP="00BB1388">
      <w:pPr>
        <w:pStyle w:val="TableofContents"/>
        <w:spacing w:before="0" w:after="0"/>
        <w:ind w:firstLine="200"/>
        <w:contextualSpacing/>
        <w:jc w:val="both"/>
        <w:rPr>
          <w:rFonts w:ascii="Times New Roman" w:hAnsi="Times New Roman" w:cs="Times New Roman"/>
        </w:rPr>
      </w:pPr>
    </w:p>
    <w:p w14:paraId="4BF1FDD4" w14:textId="77777777" w:rsidR="005B3F87" w:rsidRPr="00A74CDF" w:rsidRDefault="005B3F87" w:rsidP="00BB1388">
      <w:pPr>
        <w:pStyle w:val="TableofContentsCaption"/>
        <w:spacing w:before="0" w:after="0"/>
        <w:contextualSpacing/>
        <w:jc w:val="both"/>
        <w:rPr>
          <w:rFonts w:ascii="Times New Roman" w:hAnsi="Times New Roman" w:cs="Times New Roman"/>
          <w:i/>
        </w:rPr>
      </w:pPr>
      <w:r w:rsidRPr="00A74CDF">
        <w:rPr>
          <w:rFonts w:ascii="Times New Roman" w:hAnsi="Times New Roman" w:cs="Times New Roman"/>
          <w:i/>
        </w:rPr>
        <w:t>Subgroup and sensitivity analyses</w:t>
      </w:r>
    </w:p>
    <w:p w14:paraId="1DA379D8" w14:textId="43CA51A8" w:rsidR="005B3F87" w:rsidRPr="00A74CDF" w:rsidRDefault="00DA1D43" w:rsidP="00BB1388">
      <w:pPr>
        <w:pStyle w:val="TableofContentsCaption"/>
        <w:spacing w:before="0" w:after="0"/>
        <w:ind w:firstLineChars="200" w:firstLine="480"/>
        <w:contextualSpacing/>
        <w:jc w:val="both"/>
        <w:rPr>
          <w:rFonts w:ascii="Times New Roman" w:hAnsi="Times New Roman" w:cs="Times New Roman"/>
          <w:iCs/>
        </w:rPr>
      </w:pPr>
      <w:r w:rsidRPr="00A74CDF">
        <w:rPr>
          <w:rFonts w:ascii="Times New Roman" w:hAnsi="Times New Roman" w:cs="Times New Roman"/>
          <w:iCs/>
        </w:rPr>
        <w:t xml:space="preserve">Several </w:t>
      </w:r>
      <w:r w:rsidR="005B3F87" w:rsidRPr="00A74CDF">
        <w:rPr>
          <w:rFonts w:ascii="Times New Roman" w:hAnsi="Times New Roman" w:cs="Times New Roman"/>
          <w:iCs/>
        </w:rPr>
        <w:t>subgroup analyses were performed to compare NOAC and warfarin users: age strata (&lt;75 and ≥75 years), sex, selected comorbidities (hypertension, diabetes, heart failure, myocardial infarction, and renal disease), CHA</w:t>
      </w:r>
      <w:r w:rsidR="005B3F87" w:rsidRPr="00A74CDF">
        <w:rPr>
          <w:rFonts w:ascii="Times New Roman" w:hAnsi="Times New Roman" w:cs="Times New Roman"/>
          <w:iCs/>
          <w:vertAlign w:val="subscript"/>
        </w:rPr>
        <w:t>2</w:t>
      </w:r>
      <w:r w:rsidR="005B3F87" w:rsidRPr="00A74CDF">
        <w:rPr>
          <w:rFonts w:ascii="Times New Roman" w:hAnsi="Times New Roman" w:cs="Times New Roman"/>
          <w:iCs/>
        </w:rPr>
        <w:t>DS</w:t>
      </w:r>
      <w:r w:rsidR="005B3F87" w:rsidRPr="00A74CDF">
        <w:rPr>
          <w:rFonts w:ascii="Times New Roman" w:hAnsi="Times New Roman" w:cs="Times New Roman"/>
          <w:iCs/>
          <w:vertAlign w:val="subscript"/>
        </w:rPr>
        <w:t>2</w:t>
      </w:r>
      <w:r w:rsidR="005B3F87" w:rsidRPr="00A74CDF">
        <w:rPr>
          <w:rFonts w:ascii="Times New Roman" w:hAnsi="Times New Roman" w:cs="Times New Roman"/>
          <w:iCs/>
        </w:rPr>
        <w:t>-VASc scores (&lt;3 and ≥3 points), HAS-BLED scores (&lt;3 and ≥3 points), Charlson Comorbidity Index (&lt;3 and ≥3 points), and concomitant medications [</w:t>
      </w:r>
      <w:r w:rsidR="005B3F87" w:rsidRPr="00A74CDF">
        <w:rPr>
          <w:rFonts w:ascii="Times New Roman" w:hAnsi="Times New Roman" w:cs="Times New Roman"/>
          <w:iCs/>
          <w:lang w:eastAsia="ko-KR"/>
        </w:rPr>
        <w:t>antiplatelet agents, PPI</w:t>
      </w:r>
      <w:r w:rsidR="00927302" w:rsidRPr="00A74CDF">
        <w:rPr>
          <w:rFonts w:ascii="Times New Roman" w:hAnsi="Times New Roman" w:cs="Times New Roman"/>
          <w:iCs/>
          <w:lang w:eastAsia="ko-KR"/>
        </w:rPr>
        <w:t>s</w:t>
      </w:r>
      <w:r w:rsidR="005B3F87" w:rsidRPr="00A74CDF">
        <w:rPr>
          <w:rFonts w:ascii="Times New Roman" w:hAnsi="Times New Roman" w:cs="Times New Roman"/>
          <w:iCs/>
        </w:rPr>
        <w:t xml:space="preserve">, and </w:t>
      </w:r>
      <w:r w:rsidR="00D23F76">
        <w:rPr>
          <w:rFonts w:ascii="Times New Roman" w:hAnsi="Times New Roman" w:cs="Times New Roman"/>
          <w:iCs/>
        </w:rPr>
        <w:t>non-steroidal anti-inflammatory drugs (</w:t>
      </w:r>
      <w:r w:rsidR="005B3F87" w:rsidRPr="00A74CDF">
        <w:rPr>
          <w:rFonts w:ascii="Times New Roman" w:hAnsi="Times New Roman" w:cs="Times New Roman"/>
          <w:iCs/>
        </w:rPr>
        <w:t>NSAIDs</w:t>
      </w:r>
      <w:r w:rsidR="00D23F76">
        <w:rPr>
          <w:rFonts w:ascii="Times New Roman" w:hAnsi="Times New Roman" w:cs="Times New Roman"/>
          <w:iCs/>
        </w:rPr>
        <w:t>)</w:t>
      </w:r>
      <w:r w:rsidR="005B3F87" w:rsidRPr="00A74CDF">
        <w:rPr>
          <w:rFonts w:ascii="Times New Roman" w:hAnsi="Times New Roman" w:cs="Times New Roman"/>
          <w:iCs/>
        </w:rPr>
        <w:t xml:space="preserve">]. For all subgroup analyses, multivariable Cox proportional hazards models were adjusted with the same covariates as in the main analyses. </w:t>
      </w:r>
      <w:r w:rsidR="00250916" w:rsidRPr="00A74CDF">
        <w:rPr>
          <w:rFonts w:ascii="Times New Roman" w:hAnsi="Times New Roman" w:cs="Times New Roman"/>
          <w:iCs/>
        </w:rPr>
        <w:t xml:space="preserve">A </w:t>
      </w:r>
      <w:r w:rsidR="005B3F87" w:rsidRPr="00A74CDF">
        <w:rPr>
          <w:rFonts w:ascii="Times New Roman" w:hAnsi="Times New Roman" w:cs="Times New Roman"/>
          <w:i/>
          <w:iCs/>
        </w:rPr>
        <w:t>p</w:t>
      </w:r>
      <w:r w:rsidR="005B3F87" w:rsidRPr="00A74CDF">
        <w:rPr>
          <w:rFonts w:ascii="Times New Roman" w:hAnsi="Times New Roman" w:cs="Times New Roman"/>
          <w:iCs/>
        </w:rPr>
        <w:t>-value ≤</w:t>
      </w:r>
      <w:r w:rsidR="00250916" w:rsidRPr="00A74CDF">
        <w:rPr>
          <w:rFonts w:ascii="Times New Roman" w:hAnsi="Times New Roman" w:cs="Times New Roman"/>
          <w:iCs/>
        </w:rPr>
        <w:t xml:space="preserve"> </w:t>
      </w:r>
      <w:r w:rsidR="005B3F87" w:rsidRPr="00A74CDF">
        <w:rPr>
          <w:rFonts w:ascii="Times New Roman" w:hAnsi="Times New Roman" w:cs="Times New Roman"/>
          <w:iCs/>
        </w:rPr>
        <w:t xml:space="preserve">0.1 was considered </w:t>
      </w:r>
      <w:r w:rsidR="0053603E" w:rsidRPr="00A74CDF">
        <w:rPr>
          <w:rFonts w:ascii="Times New Roman" w:hAnsi="Times New Roman" w:cs="Times New Roman"/>
          <w:iCs/>
        </w:rPr>
        <w:t xml:space="preserve">a </w:t>
      </w:r>
      <w:r w:rsidR="005B3F87" w:rsidRPr="00A74CDF">
        <w:rPr>
          <w:rFonts w:ascii="Times New Roman" w:hAnsi="Times New Roman" w:cs="Times New Roman"/>
          <w:iCs/>
        </w:rPr>
        <w:t xml:space="preserve">statistically significant </w:t>
      </w:r>
      <w:r w:rsidR="0053603E" w:rsidRPr="00A74CDF">
        <w:rPr>
          <w:rFonts w:ascii="Times New Roman" w:hAnsi="Times New Roman" w:cs="Times New Roman"/>
          <w:iCs/>
        </w:rPr>
        <w:t xml:space="preserve">indication of </w:t>
      </w:r>
      <w:r w:rsidR="005B3F87" w:rsidRPr="00A74CDF">
        <w:rPr>
          <w:rFonts w:ascii="Times New Roman" w:hAnsi="Times New Roman" w:cs="Times New Roman"/>
          <w:iCs/>
        </w:rPr>
        <w:t xml:space="preserve">interaction between treatment </w:t>
      </w:r>
      <w:r w:rsidR="0053603E" w:rsidRPr="00A74CDF">
        <w:rPr>
          <w:rFonts w:ascii="Times New Roman" w:hAnsi="Times New Roman" w:cs="Times New Roman"/>
          <w:iCs/>
        </w:rPr>
        <w:t xml:space="preserve">effects </w:t>
      </w:r>
      <w:r w:rsidR="005B3F87" w:rsidRPr="00A74CDF">
        <w:rPr>
          <w:rFonts w:ascii="Times New Roman" w:hAnsi="Times New Roman" w:cs="Times New Roman"/>
          <w:iCs/>
        </w:rPr>
        <w:t>and subgroup</w:t>
      </w:r>
      <w:r w:rsidR="0053603E" w:rsidRPr="00A74CDF">
        <w:rPr>
          <w:rFonts w:ascii="Times New Roman" w:hAnsi="Times New Roman" w:cs="Times New Roman"/>
          <w:iCs/>
        </w:rPr>
        <w:t xml:space="preserve"> variables</w:t>
      </w:r>
      <w:r w:rsidR="005B3F87" w:rsidRPr="00A74CDF">
        <w:rPr>
          <w:rFonts w:ascii="Times New Roman" w:hAnsi="Times New Roman" w:cs="Times New Roman"/>
          <w:iCs/>
        </w:rPr>
        <w:t>.</w:t>
      </w:r>
    </w:p>
    <w:p w14:paraId="2386266B" w14:textId="0BE21506" w:rsidR="005B3F87" w:rsidRPr="00A74CDF" w:rsidRDefault="005B3F87" w:rsidP="00BB1388">
      <w:pPr>
        <w:pStyle w:val="TableofContentsCaption"/>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iCs/>
          <w:lang w:eastAsia="ko-KR"/>
        </w:rPr>
        <w:t xml:space="preserve">For sensitivity analyses, we compared </w:t>
      </w:r>
      <w:r w:rsidRPr="00A74CDF">
        <w:rPr>
          <w:rFonts w:ascii="Times New Roman" w:hAnsi="Times New Roman" w:cs="Times New Roman"/>
          <w:lang w:eastAsia="ko-KR"/>
        </w:rPr>
        <w:t>regular dose</w:t>
      </w:r>
      <w:r w:rsidR="00EC6E51" w:rsidRPr="00A74CDF">
        <w:rPr>
          <w:rFonts w:ascii="Times New Roman" w:hAnsi="Times New Roman" w:cs="Times New Roman"/>
          <w:lang w:eastAsia="ko-KR"/>
        </w:rPr>
        <w:t>s</w:t>
      </w:r>
      <w:r w:rsidRPr="00A74CDF">
        <w:rPr>
          <w:rFonts w:ascii="Times New Roman" w:hAnsi="Times New Roman" w:cs="Times New Roman"/>
          <w:i/>
          <w:lang w:eastAsia="ko-KR"/>
        </w:rPr>
        <w:t xml:space="preserve"> </w:t>
      </w:r>
      <w:r w:rsidRPr="00A74CDF">
        <w:rPr>
          <w:rFonts w:ascii="Times New Roman" w:hAnsi="Times New Roman" w:cs="Times New Roman"/>
          <w:iCs/>
          <w:lang w:eastAsia="ko-KR"/>
        </w:rPr>
        <w:t xml:space="preserve">of NOACs (rivaroxaban 20 mg once daily, dabigatran 150 mg twice daily, apixaban 5 mg twice daily, and edoxaban 60 mg once daily) </w:t>
      </w:r>
      <w:r w:rsidR="007E00A8" w:rsidRPr="00A74CDF">
        <w:rPr>
          <w:rFonts w:ascii="Times New Roman" w:hAnsi="Times New Roman" w:cs="Times New Roman"/>
          <w:iCs/>
          <w:lang w:eastAsia="ko-KR"/>
        </w:rPr>
        <w:t>with</w:t>
      </w:r>
      <w:r w:rsidRPr="00A74CDF">
        <w:rPr>
          <w:rFonts w:ascii="Times New Roman" w:hAnsi="Times New Roman" w:cs="Times New Roman"/>
          <w:iCs/>
          <w:lang w:eastAsia="ko-KR"/>
        </w:rPr>
        <w:t xml:space="preserve"> warfarin using</w:t>
      </w:r>
      <w:r w:rsidR="00D52415" w:rsidRPr="00A74CDF">
        <w:rPr>
          <w:rFonts w:ascii="Times New Roman" w:hAnsi="Times New Roman" w:cs="Times New Roman"/>
          <w:iCs/>
          <w:lang w:eastAsia="ko-KR"/>
        </w:rPr>
        <w:t xml:space="preserve"> inverse probability of treatment weighting</w:t>
      </w:r>
      <w:r w:rsidRPr="00A74CDF">
        <w:rPr>
          <w:rFonts w:ascii="Times New Roman" w:hAnsi="Times New Roman" w:cs="Times New Roman"/>
          <w:iCs/>
          <w:lang w:eastAsia="ko-KR"/>
        </w:rPr>
        <w:t xml:space="preserve"> </w:t>
      </w:r>
      <w:r w:rsidR="00D52415" w:rsidRPr="00A74CDF">
        <w:rPr>
          <w:rFonts w:ascii="Times New Roman" w:hAnsi="Times New Roman" w:cs="Times New Roman"/>
          <w:iCs/>
          <w:lang w:eastAsia="ko-KR"/>
        </w:rPr>
        <w:t>(</w:t>
      </w:r>
      <w:r w:rsidRPr="00A74CDF">
        <w:rPr>
          <w:rFonts w:ascii="Times New Roman" w:hAnsi="Times New Roman" w:cs="Times New Roman"/>
          <w:iCs/>
          <w:lang w:eastAsia="ko-KR"/>
        </w:rPr>
        <w:t>IPTW</w:t>
      </w:r>
      <w:r w:rsidR="00D52415" w:rsidRPr="00A74CDF">
        <w:rPr>
          <w:rFonts w:ascii="Times New Roman" w:hAnsi="Times New Roman" w:cs="Times New Roman"/>
          <w:iCs/>
          <w:lang w:eastAsia="ko-KR"/>
        </w:rPr>
        <w:t>)</w:t>
      </w:r>
      <w:r w:rsidRPr="00A74CDF">
        <w:rPr>
          <w:rFonts w:ascii="Times New Roman" w:hAnsi="Times New Roman" w:cs="Times New Roman"/>
          <w:iCs/>
          <w:lang w:eastAsia="ko-KR"/>
        </w:rPr>
        <w:t xml:space="preserve">. </w:t>
      </w:r>
      <w:r w:rsidRPr="00A74CDF">
        <w:rPr>
          <w:rFonts w:ascii="Times New Roman" w:hAnsi="Times New Roman" w:cs="Times New Roman"/>
          <w:iCs/>
        </w:rPr>
        <w:t xml:space="preserve">Therefore, to balance this difference </w:t>
      </w:r>
      <w:r w:rsidR="00250916" w:rsidRPr="00A74CDF">
        <w:rPr>
          <w:rFonts w:ascii="Times New Roman" w:hAnsi="Times New Roman" w:cs="Times New Roman"/>
          <w:iCs/>
          <w:lang w:eastAsia="ko-KR"/>
        </w:rPr>
        <w:t>in</w:t>
      </w:r>
      <w:r w:rsidRPr="00A74CDF">
        <w:rPr>
          <w:rFonts w:ascii="Times New Roman" w:hAnsi="Times New Roman" w:cs="Times New Roman"/>
          <w:iCs/>
          <w:lang w:eastAsia="ko-KR"/>
        </w:rPr>
        <w:t xml:space="preserve"> </w:t>
      </w:r>
      <w:r w:rsidR="00D82839" w:rsidRPr="00A74CDF">
        <w:rPr>
          <w:rFonts w:ascii="Times New Roman" w:hAnsi="Times New Roman" w:cs="Times New Roman"/>
          <w:iCs/>
          <w:lang w:eastAsia="ko-KR"/>
        </w:rPr>
        <w:t xml:space="preserve">the </w:t>
      </w:r>
      <w:r w:rsidRPr="00A74CDF">
        <w:rPr>
          <w:rFonts w:ascii="Times New Roman" w:hAnsi="Times New Roman" w:cs="Times New Roman"/>
          <w:iCs/>
          <w:lang w:eastAsia="ko-KR"/>
        </w:rPr>
        <w:t>follow-up period</w:t>
      </w:r>
      <w:r w:rsidRPr="00A74CDF">
        <w:rPr>
          <w:rFonts w:ascii="Times New Roman" w:hAnsi="Times New Roman" w:cs="Times New Roman"/>
          <w:iCs/>
        </w:rPr>
        <w:t>, we performed an additional sensitivity analysis by restricting the follow-up period</w:t>
      </w:r>
      <w:r w:rsidR="006C30E1" w:rsidRPr="00A74CDF">
        <w:rPr>
          <w:rFonts w:ascii="Times New Roman" w:hAnsi="Times New Roman" w:cs="Times New Roman"/>
          <w:iCs/>
        </w:rPr>
        <w:t>s</w:t>
      </w:r>
      <w:r w:rsidRPr="00A74CDF">
        <w:rPr>
          <w:rFonts w:ascii="Times New Roman" w:hAnsi="Times New Roman" w:cs="Times New Roman"/>
          <w:iCs/>
        </w:rPr>
        <w:t xml:space="preserve"> to </w:t>
      </w:r>
      <w:r w:rsidR="001520B6" w:rsidRPr="00A74CDF">
        <w:rPr>
          <w:rFonts w:ascii="Times New Roman" w:hAnsi="Times New Roman" w:cs="Times New Roman"/>
          <w:iCs/>
        </w:rPr>
        <w:t>one</w:t>
      </w:r>
      <w:r w:rsidRPr="00A74CDF">
        <w:rPr>
          <w:rFonts w:ascii="Times New Roman" w:hAnsi="Times New Roman" w:cs="Times New Roman"/>
          <w:iCs/>
        </w:rPr>
        <w:t xml:space="preserve"> year </w:t>
      </w:r>
      <w:r w:rsidR="006C30E1" w:rsidRPr="00A74CDF">
        <w:rPr>
          <w:rFonts w:ascii="Times New Roman" w:hAnsi="Times New Roman" w:cs="Times New Roman"/>
          <w:iCs/>
        </w:rPr>
        <w:t xml:space="preserve">or </w:t>
      </w:r>
      <w:r w:rsidR="001520B6" w:rsidRPr="00A74CDF">
        <w:rPr>
          <w:rFonts w:ascii="Times New Roman" w:hAnsi="Times New Roman" w:cs="Times New Roman"/>
          <w:iCs/>
        </w:rPr>
        <w:t>six</w:t>
      </w:r>
      <w:r w:rsidRPr="00A74CDF">
        <w:rPr>
          <w:rFonts w:ascii="Times New Roman" w:hAnsi="Times New Roman" w:cs="Times New Roman"/>
          <w:iCs/>
        </w:rPr>
        <w:t xml:space="preserve"> months</w:t>
      </w:r>
      <w:r w:rsidR="00264EF7" w:rsidRPr="00A74CDF">
        <w:rPr>
          <w:rFonts w:ascii="Times New Roman" w:hAnsi="Times New Roman" w:cs="Times New Roman"/>
          <w:iCs/>
        </w:rPr>
        <w:t>.</w:t>
      </w:r>
      <w:r w:rsidRPr="00A74CDF">
        <w:rPr>
          <w:rFonts w:ascii="Times New Roman" w:hAnsi="Times New Roman" w:cs="Times New Roman"/>
          <w:vertAlign w:val="superscript"/>
        </w:rPr>
        <w:t>2</w:t>
      </w:r>
      <w:r w:rsidR="00927302" w:rsidRPr="00A74CDF">
        <w:rPr>
          <w:rFonts w:ascii="Times New Roman" w:hAnsi="Times New Roman" w:cs="Times New Roman"/>
          <w:vertAlign w:val="superscript"/>
        </w:rPr>
        <w:t>4</w:t>
      </w:r>
      <w:r w:rsidRPr="00A74CDF">
        <w:rPr>
          <w:rFonts w:ascii="Times New Roman" w:hAnsi="Times New Roman" w:cs="Times New Roman"/>
          <w:vertAlign w:val="superscript"/>
        </w:rPr>
        <w:t>,2</w:t>
      </w:r>
      <w:r w:rsidR="00927302" w:rsidRPr="00A74CDF">
        <w:rPr>
          <w:rFonts w:ascii="Times New Roman" w:hAnsi="Times New Roman" w:cs="Times New Roman"/>
          <w:vertAlign w:val="superscript"/>
        </w:rPr>
        <w:t>5</w:t>
      </w:r>
      <w:r w:rsidR="008B3B43" w:rsidRPr="00A74CDF">
        <w:rPr>
          <w:rFonts w:ascii="Times New Roman" w:hAnsi="Times New Roman" w:cs="Times New Roman"/>
        </w:rPr>
        <w:t xml:space="preserve"> </w:t>
      </w:r>
      <w:r w:rsidR="00E06BA3" w:rsidRPr="00A74CDF">
        <w:rPr>
          <w:rFonts w:ascii="Times New Roman" w:hAnsi="Times New Roman" w:cs="Times New Roman"/>
        </w:rPr>
        <w:t xml:space="preserve">Since death is in a competitive event with other clinical outcomes, we also performed competing risk analysis by setting death as a competing </w:t>
      </w:r>
      <w:r w:rsidR="00E06BA3" w:rsidRPr="00A74CDF">
        <w:rPr>
          <w:rFonts w:ascii="Times New Roman" w:hAnsi="Times New Roman" w:cs="Times New Roman"/>
        </w:rPr>
        <w:lastRenderedPageBreak/>
        <w:t>risk and observed how the results changed.</w:t>
      </w:r>
      <w:r w:rsidR="00E06BA3" w:rsidRPr="00A74CDF">
        <w:rPr>
          <w:rFonts w:ascii="Times New Roman" w:hAnsi="Times New Roman" w:cs="Times New Roman"/>
          <w:vertAlign w:val="superscript"/>
        </w:rPr>
        <w:t>26</w:t>
      </w:r>
      <w:r w:rsidR="00E06BA3" w:rsidRPr="00A74CDF">
        <w:rPr>
          <w:rFonts w:ascii="Times New Roman" w:hAnsi="Times New Roman" w:cs="Times New Roman" w:hint="eastAsia"/>
          <w:lang w:eastAsia="ko-KR"/>
        </w:rPr>
        <w:t xml:space="preserve"> </w:t>
      </w:r>
      <w:r w:rsidR="005016E4" w:rsidRPr="00A74CDF">
        <w:rPr>
          <w:rFonts w:ascii="Times New Roman" w:hAnsi="Times New Roman" w:cs="Times New Roman"/>
          <w:lang w:eastAsia="ko-KR"/>
        </w:rPr>
        <w:t>To evaluate the population with longer follow-up periods, we performed additional sensitivity analysis among patients with a 6-month or longer follow-up period to evaluate whether the main results were consistent in those who had neither drug discontinuation nor any clinical outcomes during in the first 6-month.</w:t>
      </w:r>
    </w:p>
    <w:p w14:paraId="6C7C8D44" w14:textId="77777777" w:rsidR="005B3F87" w:rsidRPr="00A74CDF" w:rsidRDefault="005B3F87" w:rsidP="00BB1388">
      <w:pPr>
        <w:pStyle w:val="TableofContents"/>
        <w:spacing w:before="0" w:after="0"/>
        <w:rPr>
          <w:rFonts w:ascii="Times New Roman" w:hAnsi="Times New Roman" w:cs="Times New Roman"/>
        </w:rPr>
      </w:pPr>
    </w:p>
    <w:p w14:paraId="014464F7" w14:textId="77777777" w:rsidR="005B3F87" w:rsidRPr="00A74CDF" w:rsidRDefault="005B3F87" w:rsidP="00BB1388">
      <w:pPr>
        <w:pStyle w:val="TableofContentsCaption"/>
        <w:spacing w:before="0" w:after="0"/>
        <w:contextualSpacing/>
        <w:jc w:val="both"/>
        <w:rPr>
          <w:rFonts w:ascii="Times New Roman" w:hAnsi="Times New Roman" w:cs="Times New Roman"/>
        </w:rPr>
      </w:pPr>
      <w:r w:rsidRPr="00A74CDF">
        <w:rPr>
          <w:rFonts w:ascii="Times New Roman" w:hAnsi="Times New Roman" w:cs="Times New Roman"/>
          <w:i/>
        </w:rPr>
        <w:t>Statistical analyses</w:t>
      </w:r>
    </w:p>
    <w:p w14:paraId="422EE44F" w14:textId="079504EB" w:rsidR="003D0A45" w:rsidRPr="00A74CDF" w:rsidRDefault="005B3F87" w:rsidP="00BB1388">
      <w:pPr>
        <w:pStyle w:val="TableofContentsCaption"/>
        <w:spacing w:before="0" w:after="0"/>
        <w:ind w:firstLineChars="200" w:firstLine="480"/>
        <w:contextualSpacing/>
        <w:jc w:val="both"/>
        <w:rPr>
          <w:rFonts w:ascii="Times New Roman" w:hAnsi="Times New Roman" w:cs="Times New Roman"/>
          <w:color w:val="000000" w:themeColor="text1"/>
        </w:rPr>
      </w:pPr>
      <w:r w:rsidRPr="00A74CDF">
        <w:rPr>
          <w:rFonts w:ascii="Times New Roman" w:hAnsi="Times New Roman" w:cs="Times New Roman"/>
          <w:iCs/>
        </w:rPr>
        <w:t>The two treatment groups (pooled NOAC</w:t>
      </w:r>
      <w:r w:rsidR="00250916" w:rsidRPr="00A74CDF">
        <w:rPr>
          <w:rFonts w:ascii="Times New Roman" w:hAnsi="Times New Roman" w:cs="Times New Roman"/>
          <w:iCs/>
        </w:rPr>
        <w:t>s</w:t>
      </w:r>
      <w:r w:rsidRPr="00A74CDF">
        <w:rPr>
          <w:rFonts w:ascii="Times New Roman" w:hAnsi="Times New Roman" w:cs="Times New Roman"/>
          <w:iCs/>
        </w:rPr>
        <w:t xml:space="preserve"> and warfarin) were compared after balancing the covariates with the IPTW of propensity scores</w:t>
      </w:r>
      <w:r w:rsidR="00264EF7" w:rsidRPr="00A74CDF">
        <w:rPr>
          <w:rFonts w:ascii="Times New Roman" w:hAnsi="Times New Roman" w:cs="Times New Roman"/>
          <w:iCs/>
        </w:rPr>
        <w:t>.</w:t>
      </w:r>
      <w:r w:rsidRPr="00A74CDF">
        <w:rPr>
          <w:rFonts w:ascii="Times New Roman" w:hAnsi="Times New Roman" w:cs="Times New Roman"/>
          <w:iCs/>
          <w:vertAlign w:val="superscript"/>
        </w:rPr>
        <w:t>2</w:t>
      </w:r>
      <w:r w:rsidR="009E7C03" w:rsidRPr="00A74CDF">
        <w:rPr>
          <w:rFonts w:ascii="Times New Roman" w:hAnsi="Times New Roman" w:cs="Times New Roman"/>
          <w:iCs/>
          <w:vertAlign w:val="superscript"/>
        </w:rPr>
        <w:t>7</w:t>
      </w:r>
      <w:r w:rsidRPr="00A74CDF">
        <w:rPr>
          <w:rFonts w:ascii="Times New Roman" w:hAnsi="Times New Roman" w:cs="Times New Roman"/>
          <w:iCs/>
          <w:vertAlign w:val="superscript"/>
        </w:rPr>
        <w:t>,2</w:t>
      </w:r>
      <w:r w:rsidR="009E7C03" w:rsidRPr="00A74CDF">
        <w:rPr>
          <w:rFonts w:ascii="Times New Roman" w:hAnsi="Times New Roman" w:cs="Times New Roman"/>
          <w:iCs/>
          <w:vertAlign w:val="superscript"/>
        </w:rPr>
        <w:t>8</w:t>
      </w:r>
      <w:r w:rsidRPr="00A74CDF">
        <w:rPr>
          <w:rFonts w:ascii="Times New Roman" w:hAnsi="Times New Roman" w:cs="Times New Roman"/>
          <w:iCs/>
        </w:rPr>
        <w:t xml:space="preserve"> </w:t>
      </w:r>
      <w:r w:rsidR="00E50E5B" w:rsidRPr="00E50E5B">
        <w:rPr>
          <w:rFonts w:ascii="Times New Roman" w:hAnsi="Times New Roman" w:cs="Times New Roman"/>
          <w:iCs/>
          <w:highlight w:val="yellow"/>
        </w:rPr>
        <w:t xml:space="preserve">The IPTW was preferred over propensity score matching in our study because it can retain all eligible study subjects and it is more suitable to analyze between more than two treatment </w:t>
      </w:r>
      <w:r w:rsidR="00E50E5B" w:rsidRPr="00E30935">
        <w:rPr>
          <w:rFonts w:ascii="Times New Roman" w:hAnsi="Times New Roman" w:cs="Times New Roman"/>
          <w:iCs/>
          <w:highlight w:val="yellow"/>
        </w:rPr>
        <w:t>groups.</w:t>
      </w:r>
      <w:r w:rsidR="00A2363F" w:rsidRPr="00E30935">
        <w:rPr>
          <w:rFonts w:ascii="Times New Roman" w:hAnsi="Times New Roman" w:cs="Times New Roman"/>
          <w:iCs/>
          <w:highlight w:val="yellow"/>
          <w:vertAlign w:val="superscript"/>
        </w:rPr>
        <w:t>29,30</w:t>
      </w:r>
      <w:r w:rsidR="00E50E5B">
        <w:rPr>
          <w:rFonts w:ascii="Times New Roman" w:hAnsi="Times New Roman" w:cs="Times New Roman"/>
          <w:iCs/>
        </w:rPr>
        <w:t xml:space="preserve"> </w:t>
      </w:r>
      <w:r w:rsidRPr="00A74CDF">
        <w:rPr>
          <w:rFonts w:ascii="Times New Roman" w:hAnsi="Times New Roman" w:cs="Times New Roman"/>
          <w:iCs/>
        </w:rPr>
        <w:t>For any covariate, the difference between the two groups w</w:t>
      </w:r>
      <w:r w:rsidR="00250916" w:rsidRPr="00A74CDF">
        <w:rPr>
          <w:rFonts w:ascii="Times New Roman" w:hAnsi="Times New Roman" w:cs="Times New Roman"/>
          <w:iCs/>
        </w:rPr>
        <w:t>as</w:t>
      </w:r>
      <w:r w:rsidRPr="00A74CDF">
        <w:rPr>
          <w:rFonts w:ascii="Times New Roman" w:hAnsi="Times New Roman" w:cs="Times New Roman"/>
          <w:iCs/>
        </w:rPr>
        <w:t xml:space="preserve"> regarded </w:t>
      </w:r>
      <w:r w:rsidR="00D82839" w:rsidRPr="00A74CDF">
        <w:rPr>
          <w:rFonts w:ascii="Times New Roman" w:hAnsi="Times New Roman" w:cs="Times New Roman"/>
          <w:iCs/>
        </w:rPr>
        <w:t>as</w:t>
      </w:r>
      <w:r w:rsidRPr="00A74CDF">
        <w:rPr>
          <w:rFonts w:ascii="Times New Roman" w:hAnsi="Times New Roman" w:cs="Times New Roman"/>
          <w:iCs/>
        </w:rPr>
        <w:t xml:space="preserve"> negligible if the absolute standardized difference (ASD) was ≤</w:t>
      </w:r>
      <w:r w:rsidR="00250916" w:rsidRPr="00A74CDF">
        <w:rPr>
          <w:rFonts w:ascii="Times New Roman" w:hAnsi="Times New Roman" w:cs="Times New Roman"/>
          <w:iCs/>
        </w:rPr>
        <w:t xml:space="preserve"> </w:t>
      </w:r>
      <w:r w:rsidRPr="00A74CDF">
        <w:rPr>
          <w:rFonts w:ascii="Times New Roman" w:hAnsi="Times New Roman" w:cs="Times New Roman"/>
          <w:iCs/>
        </w:rPr>
        <w:t>0.1</w:t>
      </w:r>
      <w:r w:rsidR="00264EF7" w:rsidRPr="00A74CDF">
        <w:rPr>
          <w:rFonts w:ascii="Times New Roman" w:hAnsi="Times New Roman" w:cs="Times New Roman"/>
          <w:iCs/>
        </w:rPr>
        <w:t>.</w:t>
      </w:r>
      <w:r w:rsidR="00A2363F">
        <w:rPr>
          <w:rFonts w:ascii="Times New Roman" w:hAnsi="Times New Roman" w:cs="Times New Roman"/>
          <w:vertAlign w:val="superscript"/>
        </w:rPr>
        <w:t>31</w:t>
      </w:r>
      <w:r w:rsidRPr="00A74CDF">
        <w:rPr>
          <w:rFonts w:ascii="Times New Roman" w:hAnsi="Times New Roman" w:cs="Times New Roman"/>
          <w:iCs/>
        </w:rPr>
        <w:t xml:space="preserve"> Weighted incidence rates in 100 person-years were compared in the two groups. For survival analysis, </w:t>
      </w:r>
      <w:r w:rsidR="00B4691C" w:rsidRPr="00A74CDF">
        <w:rPr>
          <w:rFonts w:ascii="Times New Roman" w:hAnsi="Times New Roman" w:cs="Times New Roman"/>
          <w:iCs/>
        </w:rPr>
        <w:t xml:space="preserve">treatment groups and study outcomes were evaluated using </w:t>
      </w:r>
      <w:r w:rsidRPr="00A74CDF">
        <w:rPr>
          <w:rFonts w:ascii="Times New Roman" w:hAnsi="Times New Roman" w:cs="Times New Roman"/>
          <w:iCs/>
        </w:rPr>
        <w:t xml:space="preserve">the Kaplan-Meier method with the log-rank test and </w:t>
      </w:r>
      <w:r w:rsidRPr="00A74CDF">
        <w:rPr>
          <w:rFonts w:ascii="Times New Roman" w:hAnsi="Times New Roman" w:cs="Times New Roman"/>
          <w:iCs/>
          <w:color w:val="000000" w:themeColor="text1"/>
        </w:rPr>
        <w:t xml:space="preserve">weighted Cox proportional hazard models. </w:t>
      </w:r>
      <w:r w:rsidR="00C43FA6" w:rsidRPr="00A74CDF">
        <w:rPr>
          <w:rFonts w:ascii="Times New Roman" w:hAnsi="Times New Roman" w:cs="Times New Roman"/>
          <w:color w:val="000000" w:themeColor="text1"/>
        </w:rPr>
        <w:t xml:space="preserve">A </w:t>
      </w:r>
      <w:r w:rsidRPr="00A74CDF">
        <w:rPr>
          <w:rFonts w:ascii="Times New Roman" w:hAnsi="Times New Roman" w:cs="Times New Roman"/>
          <w:color w:val="000000" w:themeColor="text1"/>
        </w:rPr>
        <w:t xml:space="preserve">comparison of </w:t>
      </w:r>
      <w:r w:rsidR="00C43FA6" w:rsidRPr="00A74CDF">
        <w:rPr>
          <w:rFonts w:ascii="Times New Roman" w:hAnsi="Times New Roman" w:cs="Times New Roman"/>
          <w:color w:val="000000" w:themeColor="text1"/>
        </w:rPr>
        <w:t xml:space="preserve">users of </w:t>
      </w:r>
      <w:r w:rsidR="006525CC" w:rsidRPr="00A74CDF">
        <w:rPr>
          <w:rFonts w:ascii="Times New Roman" w:hAnsi="Times New Roman" w:cs="Times New Roman"/>
          <w:color w:val="000000" w:themeColor="text1"/>
        </w:rPr>
        <w:t xml:space="preserve">the </w:t>
      </w:r>
      <w:r w:rsidR="00C43FA6" w:rsidRPr="00A74CDF">
        <w:rPr>
          <w:rFonts w:ascii="Times New Roman" w:hAnsi="Times New Roman" w:cs="Times New Roman"/>
          <w:color w:val="000000" w:themeColor="text1"/>
        </w:rPr>
        <w:t>five</w:t>
      </w:r>
      <w:r w:rsidRPr="00A74CDF">
        <w:rPr>
          <w:rFonts w:ascii="Times New Roman" w:hAnsi="Times New Roman" w:cs="Times New Roman"/>
          <w:color w:val="000000" w:themeColor="text1"/>
        </w:rPr>
        <w:t xml:space="preserve"> OAC</w:t>
      </w:r>
      <w:r w:rsidR="00C43FA6" w:rsidRPr="00A74CDF">
        <w:rPr>
          <w:rFonts w:ascii="Times New Roman" w:hAnsi="Times New Roman" w:cs="Times New Roman"/>
          <w:color w:val="000000" w:themeColor="text1"/>
        </w:rPr>
        <w:t>s</w:t>
      </w:r>
      <w:r w:rsidRPr="00A74CDF">
        <w:rPr>
          <w:rFonts w:ascii="Times New Roman" w:hAnsi="Times New Roman" w:cs="Times New Roman"/>
          <w:color w:val="000000" w:themeColor="text1"/>
        </w:rPr>
        <w:t xml:space="preserve"> (rivaroxaban, dabigatran, apixaban, edoxaban, and warfarin) was also performed using </w:t>
      </w:r>
      <w:r w:rsidR="00C43FA6" w:rsidRPr="00A74CDF">
        <w:rPr>
          <w:rFonts w:ascii="Times New Roman" w:hAnsi="Times New Roman" w:cs="Times New Roman"/>
          <w:color w:val="000000" w:themeColor="text1"/>
        </w:rPr>
        <w:t xml:space="preserve">the </w:t>
      </w:r>
      <w:r w:rsidRPr="00A74CDF">
        <w:rPr>
          <w:rFonts w:ascii="Times New Roman" w:hAnsi="Times New Roman" w:cs="Times New Roman"/>
          <w:color w:val="000000" w:themeColor="text1"/>
        </w:rPr>
        <w:t xml:space="preserve">IPTW of propensity scores for the covariates across the five groups. Statistical significance was assumed for analyses with a </w:t>
      </w:r>
      <w:r w:rsidR="009F48E5" w:rsidRPr="00A74CDF">
        <w:rPr>
          <w:rFonts w:ascii="Times New Roman" w:hAnsi="Times New Roman" w:cs="Times New Roman"/>
          <w:color w:val="000000" w:themeColor="text1"/>
        </w:rPr>
        <w:t>two</w:t>
      </w:r>
      <w:r w:rsidRPr="00A74CDF">
        <w:rPr>
          <w:rFonts w:ascii="Times New Roman" w:hAnsi="Times New Roman" w:cs="Times New Roman"/>
          <w:color w:val="000000" w:themeColor="text1"/>
        </w:rPr>
        <w:t xml:space="preserve">-tailed </w:t>
      </w:r>
      <w:r w:rsidRPr="00A74CDF">
        <w:rPr>
          <w:rFonts w:ascii="Times New Roman" w:hAnsi="Times New Roman" w:cs="Times New Roman"/>
          <w:i/>
          <w:color w:val="000000" w:themeColor="text1"/>
        </w:rPr>
        <w:t>p</w:t>
      </w:r>
      <w:r w:rsidRPr="00A74CDF">
        <w:rPr>
          <w:rFonts w:ascii="Times New Roman" w:hAnsi="Times New Roman" w:cs="Times New Roman"/>
          <w:color w:val="000000" w:themeColor="text1"/>
        </w:rPr>
        <w:t>-value &lt;</w:t>
      </w:r>
      <w:r w:rsidR="009F48E5" w:rsidRPr="00A74CDF">
        <w:rPr>
          <w:rFonts w:ascii="Times New Roman" w:hAnsi="Times New Roman" w:cs="Times New Roman"/>
          <w:color w:val="000000" w:themeColor="text1"/>
        </w:rPr>
        <w:t xml:space="preserve"> </w:t>
      </w:r>
      <w:r w:rsidRPr="00A74CDF">
        <w:rPr>
          <w:rFonts w:ascii="Times New Roman" w:hAnsi="Times New Roman" w:cs="Times New Roman"/>
          <w:color w:val="000000" w:themeColor="text1"/>
        </w:rPr>
        <w:t>0.05. All statistical analyses were performed with SAS 9.3 (SAS Institute Inc., Cary, NC, USA).</w:t>
      </w:r>
    </w:p>
    <w:p w14:paraId="7CE82EC2" w14:textId="77777777" w:rsidR="003D0A45" w:rsidRPr="00A74CDF" w:rsidRDefault="003D0A45" w:rsidP="00BB1388">
      <w:pPr>
        <w:pStyle w:val="TableofContents"/>
        <w:contextualSpacing/>
        <w:rPr>
          <w:rFonts w:ascii="Times New Roman" w:hAnsi="Times New Roman" w:cs="Times New Roman"/>
          <w:color w:val="000000" w:themeColor="text1"/>
        </w:rPr>
      </w:pPr>
    </w:p>
    <w:p w14:paraId="0E12551B" w14:textId="77777777" w:rsidR="005B3F87" w:rsidRPr="00A74CDF" w:rsidRDefault="005B3F87" w:rsidP="00BB1388">
      <w:pPr>
        <w:pStyle w:val="TableofContentsCaption"/>
        <w:spacing w:before="0" w:after="0"/>
        <w:contextualSpacing/>
        <w:jc w:val="both"/>
        <w:rPr>
          <w:rFonts w:ascii="Times New Roman" w:hAnsi="Times New Roman" w:cs="Times New Roman"/>
          <w:color w:val="000000" w:themeColor="text1"/>
        </w:rPr>
      </w:pPr>
      <w:r w:rsidRPr="00A74CDF">
        <w:rPr>
          <w:rFonts w:ascii="Times New Roman" w:hAnsi="Times New Roman" w:cs="Times New Roman"/>
          <w:b/>
          <w:bCs/>
          <w:color w:val="000000" w:themeColor="text1"/>
        </w:rPr>
        <w:t>Results</w:t>
      </w:r>
    </w:p>
    <w:p w14:paraId="7057B32A" w14:textId="77777777" w:rsidR="005B3F87" w:rsidRPr="00A74CDF" w:rsidRDefault="005B3F87" w:rsidP="00BB1388">
      <w:pPr>
        <w:pStyle w:val="TableofContents"/>
        <w:spacing w:before="0" w:after="0"/>
        <w:contextualSpacing/>
        <w:jc w:val="both"/>
        <w:rPr>
          <w:rFonts w:ascii="Times New Roman" w:hAnsi="Times New Roman" w:cs="Times New Roman"/>
          <w:i/>
          <w:iCs/>
          <w:color w:val="000000" w:themeColor="text1"/>
        </w:rPr>
      </w:pPr>
      <w:r w:rsidRPr="00A74CDF">
        <w:rPr>
          <w:rFonts w:ascii="Times New Roman" w:hAnsi="Times New Roman" w:cs="Times New Roman"/>
          <w:i/>
          <w:iCs/>
          <w:color w:val="000000" w:themeColor="text1"/>
        </w:rPr>
        <w:t>Baseline characteristics</w:t>
      </w:r>
    </w:p>
    <w:p w14:paraId="6F814199" w14:textId="3366CE9D"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color w:val="000000" w:themeColor="text1"/>
        </w:rPr>
        <w:t xml:space="preserve">Among a total of 42,048 OAC-treated individuals with non-valvular AF and prior GIB, 24,781 (58.9%) NOAC users and 17,267 (41.1%) warfarin users </w:t>
      </w:r>
      <w:r w:rsidR="00C43FA6" w:rsidRPr="00A74CDF">
        <w:rPr>
          <w:rFonts w:ascii="Times New Roman" w:hAnsi="Times New Roman" w:cs="Times New Roman"/>
          <w:color w:val="000000" w:themeColor="text1"/>
        </w:rPr>
        <w:t xml:space="preserve">were included </w:t>
      </w:r>
      <w:r w:rsidRPr="00A74CDF">
        <w:rPr>
          <w:rFonts w:ascii="Times New Roman" w:hAnsi="Times New Roman" w:cs="Times New Roman"/>
          <w:color w:val="000000" w:themeColor="text1"/>
        </w:rPr>
        <w:t>(</w:t>
      </w:r>
      <w:r w:rsidRPr="00A74CDF">
        <w:rPr>
          <w:rFonts w:ascii="Times New Roman" w:hAnsi="Times New Roman" w:cs="Times New Roman"/>
          <w:b/>
          <w:bCs/>
          <w:color w:val="000000" w:themeColor="text1"/>
        </w:rPr>
        <w:t xml:space="preserve">Figure </w:t>
      </w:r>
      <w:r w:rsidR="00940C0A" w:rsidRPr="00A74CDF">
        <w:rPr>
          <w:rFonts w:ascii="Times New Roman" w:hAnsi="Times New Roman" w:cs="Times New Roman"/>
          <w:b/>
          <w:bCs/>
          <w:color w:val="000000" w:themeColor="text1"/>
        </w:rPr>
        <w:t>I</w:t>
      </w:r>
      <w:r w:rsidRPr="00A74CDF">
        <w:rPr>
          <w:rFonts w:ascii="Times New Roman" w:hAnsi="Times New Roman" w:cs="Times New Roman"/>
          <w:color w:val="000000" w:themeColor="text1"/>
        </w:rPr>
        <w:t xml:space="preserve">). </w:t>
      </w:r>
      <w:r w:rsidRPr="00A74CDF">
        <w:rPr>
          <w:rFonts w:ascii="Times New Roman" w:hAnsi="Times New Roman" w:cs="Times New Roman"/>
          <w:color w:val="000000" w:themeColor="text1"/>
          <w:lang w:eastAsia="ko-KR"/>
        </w:rPr>
        <w:t>T</w:t>
      </w:r>
      <w:r w:rsidRPr="00A74CDF">
        <w:rPr>
          <w:rFonts w:ascii="Times New Roman" w:hAnsi="Times New Roman" w:cs="Times New Roman"/>
          <w:color w:val="000000" w:themeColor="text1"/>
        </w:rPr>
        <w:t xml:space="preserve">he </w:t>
      </w:r>
      <w:r w:rsidRPr="00A74CDF">
        <w:rPr>
          <w:rFonts w:ascii="Times New Roman" w:hAnsi="Times New Roman" w:cs="Times New Roman"/>
          <w:color w:val="000000" w:themeColor="text1"/>
        </w:rPr>
        <w:lastRenderedPageBreak/>
        <w:t xml:space="preserve">mean time from prior GIB to the initiation of OAC was 3.1±2.6 years. </w:t>
      </w:r>
      <w:r w:rsidR="00C43FA6" w:rsidRPr="00A74CDF">
        <w:rPr>
          <w:rFonts w:ascii="Times New Roman" w:hAnsi="Times New Roman" w:cs="Times New Roman"/>
          <w:color w:val="000000" w:themeColor="text1"/>
        </w:rPr>
        <w:t xml:space="preserve">A </w:t>
      </w:r>
      <w:r w:rsidRPr="00A74CDF">
        <w:rPr>
          <w:rFonts w:ascii="Times New Roman" w:hAnsi="Times New Roman" w:cs="Times New Roman"/>
          <w:color w:val="000000" w:themeColor="text1"/>
        </w:rPr>
        <w:t xml:space="preserve">comparison of the baseline characteristics of the two treatment groups </w:t>
      </w:r>
      <w:r w:rsidRPr="00A74CDF">
        <w:rPr>
          <w:rFonts w:ascii="Times New Roman" w:hAnsi="Times New Roman" w:cs="Times New Roman"/>
        </w:rPr>
        <w:t xml:space="preserve">before IPTW is presented in </w:t>
      </w:r>
      <w:r w:rsidRPr="00A74CDF">
        <w:rPr>
          <w:rFonts w:ascii="Times New Roman" w:hAnsi="Times New Roman" w:cs="Times New Roman"/>
          <w:b/>
          <w:bCs/>
        </w:rPr>
        <w:t xml:space="preserve">Table </w:t>
      </w:r>
      <w:r w:rsidR="00940C0A" w:rsidRPr="00A74CDF">
        <w:rPr>
          <w:rFonts w:ascii="Times New Roman" w:hAnsi="Times New Roman" w:cs="Times New Roman"/>
          <w:b/>
          <w:bCs/>
        </w:rPr>
        <w:t>I</w:t>
      </w:r>
      <w:r w:rsidRPr="00A74CDF">
        <w:rPr>
          <w:rFonts w:ascii="Times New Roman" w:hAnsi="Times New Roman" w:cs="Times New Roman"/>
        </w:rPr>
        <w:t xml:space="preserve">. Before IPTW, compared </w:t>
      </w:r>
      <w:r w:rsidR="00C43FA6" w:rsidRPr="00A74CDF">
        <w:rPr>
          <w:rFonts w:ascii="Times New Roman" w:hAnsi="Times New Roman" w:cs="Times New Roman"/>
        </w:rPr>
        <w:t xml:space="preserve">with </w:t>
      </w:r>
      <w:r w:rsidRPr="00A74CDF">
        <w:rPr>
          <w:rFonts w:ascii="Times New Roman" w:hAnsi="Times New Roman" w:cs="Times New Roman"/>
        </w:rPr>
        <w:t>warfarin users, NOAC users were significantly older (72.9</w:t>
      </w:r>
      <w:r w:rsidRPr="00A74CDF">
        <w:rPr>
          <w:rFonts w:ascii="Times New Roman" w:eastAsia="맑은 고딕" w:hAnsi="Times New Roman" w:cs="Times New Roman"/>
        </w:rPr>
        <w:t>±9.4</w:t>
      </w:r>
      <w:r w:rsidRPr="00A74CDF">
        <w:rPr>
          <w:rFonts w:ascii="Times New Roman" w:eastAsia="맑은 고딕" w:hAnsi="Times New Roman" w:cs="Times New Roman"/>
          <w:lang w:eastAsia="ko-KR"/>
        </w:rPr>
        <w:t xml:space="preserve"> v</w:t>
      </w:r>
      <w:r w:rsidR="008A00CE" w:rsidRPr="00A74CDF">
        <w:rPr>
          <w:rFonts w:ascii="Times New Roman" w:eastAsia="맑은 고딕" w:hAnsi="Times New Roman" w:cs="Times New Roman"/>
          <w:lang w:eastAsia="ko-KR"/>
        </w:rPr>
        <w:t>ersu</w:t>
      </w:r>
      <w:r w:rsidRPr="00A74CDF">
        <w:rPr>
          <w:rFonts w:ascii="Times New Roman" w:eastAsia="맑은 고딕" w:hAnsi="Times New Roman" w:cs="Times New Roman"/>
          <w:lang w:eastAsia="ko-KR"/>
        </w:rPr>
        <w:t>s 69.7</w:t>
      </w:r>
      <w:r w:rsidRPr="00A74CDF">
        <w:rPr>
          <w:rFonts w:ascii="Times New Roman" w:eastAsia="맑은 고딕" w:hAnsi="Times New Roman" w:cs="Times New Roman"/>
        </w:rPr>
        <w:t>±11.0 years)</w:t>
      </w:r>
      <w:r w:rsidR="00C43FA6" w:rsidRPr="00A74CDF">
        <w:rPr>
          <w:rFonts w:ascii="Times New Roman" w:hAnsi="Times New Roman" w:cs="Times New Roman"/>
        </w:rPr>
        <w:t xml:space="preserve"> and</w:t>
      </w:r>
      <w:r w:rsidRPr="00A74CDF">
        <w:rPr>
          <w:rFonts w:ascii="Times New Roman" w:hAnsi="Times New Roman" w:cs="Times New Roman"/>
        </w:rPr>
        <w:t xml:space="preserve"> had higher CHA</w:t>
      </w:r>
      <w:r w:rsidRPr="00A74CDF">
        <w:rPr>
          <w:rFonts w:ascii="Times New Roman" w:hAnsi="Times New Roman" w:cs="Times New Roman"/>
          <w:vertAlign w:val="subscript"/>
        </w:rPr>
        <w:t>2</w:t>
      </w:r>
      <w:r w:rsidRPr="00A74CDF">
        <w:rPr>
          <w:rFonts w:ascii="Times New Roman" w:hAnsi="Times New Roman" w:cs="Times New Roman"/>
        </w:rPr>
        <w:t>DS</w:t>
      </w:r>
      <w:r w:rsidRPr="00A74CDF">
        <w:rPr>
          <w:rFonts w:ascii="Times New Roman" w:hAnsi="Times New Roman" w:cs="Times New Roman"/>
          <w:vertAlign w:val="subscript"/>
        </w:rPr>
        <w:t>2</w:t>
      </w:r>
      <w:r w:rsidRPr="00A74CDF">
        <w:rPr>
          <w:rFonts w:ascii="Times New Roman" w:hAnsi="Times New Roman" w:cs="Times New Roman"/>
        </w:rPr>
        <w:t>-VASc score</w:t>
      </w:r>
      <w:r w:rsidR="00C43FA6" w:rsidRPr="00A74CDF">
        <w:rPr>
          <w:rFonts w:ascii="Times New Roman" w:hAnsi="Times New Roman" w:cs="Times New Roman"/>
        </w:rPr>
        <w:t>s</w:t>
      </w:r>
      <w:r w:rsidRPr="00A74CDF">
        <w:rPr>
          <w:rFonts w:ascii="Times New Roman" w:hAnsi="Times New Roman" w:cs="Times New Roman"/>
        </w:rPr>
        <w:t xml:space="preserve"> (3.8</w:t>
      </w:r>
      <w:r w:rsidRPr="00A74CDF">
        <w:rPr>
          <w:rFonts w:ascii="Times New Roman" w:eastAsia="맑은 고딕" w:hAnsi="Times New Roman" w:cs="Times New Roman"/>
        </w:rPr>
        <w:t>±1.5 v</w:t>
      </w:r>
      <w:r w:rsidR="008A00CE" w:rsidRPr="00A74CDF">
        <w:rPr>
          <w:rFonts w:ascii="Times New Roman" w:eastAsia="맑은 고딕" w:hAnsi="Times New Roman" w:cs="Times New Roman"/>
        </w:rPr>
        <w:t>ersu</w:t>
      </w:r>
      <w:r w:rsidRPr="00A74CDF">
        <w:rPr>
          <w:rFonts w:ascii="Times New Roman" w:eastAsia="맑은 고딕" w:hAnsi="Times New Roman" w:cs="Times New Roman"/>
        </w:rPr>
        <w:t>s 3.5±1.7)</w:t>
      </w:r>
      <w:r w:rsidRPr="00A74CDF">
        <w:rPr>
          <w:rFonts w:ascii="Times New Roman" w:hAnsi="Times New Roman" w:cs="Times New Roman"/>
        </w:rPr>
        <w:t>.</w:t>
      </w:r>
      <w:r w:rsidRPr="00A74CDF">
        <w:rPr>
          <w:rFonts w:ascii="Times New Roman" w:hAnsi="Times New Roman" w:cs="Times New Roman"/>
          <w:lang w:eastAsia="ko-KR"/>
        </w:rPr>
        <w:t xml:space="preserve"> </w:t>
      </w:r>
      <w:r w:rsidRPr="00A74CDF">
        <w:rPr>
          <w:rFonts w:ascii="Times New Roman" w:hAnsi="Times New Roman" w:cs="Times New Roman"/>
        </w:rPr>
        <w:t xml:space="preserve">After IPTW, </w:t>
      </w:r>
      <w:r w:rsidRPr="00A74CDF">
        <w:rPr>
          <w:rFonts w:ascii="Times New Roman" w:hAnsi="Times New Roman" w:cs="Times New Roman"/>
          <w:lang w:eastAsia="ko-KR"/>
        </w:rPr>
        <w:t>t</w:t>
      </w:r>
      <w:r w:rsidRPr="00A74CDF">
        <w:rPr>
          <w:rFonts w:ascii="Times New Roman" w:hAnsi="Times New Roman" w:cs="Times New Roman"/>
        </w:rPr>
        <w:t xml:space="preserve">here were no significant differences in </w:t>
      </w:r>
      <w:r w:rsidR="00C43FA6" w:rsidRPr="00A74CDF">
        <w:rPr>
          <w:rFonts w:ascii="Times New Roman" w:hAnsi="Times New Roman" w:cs="Times New Roman"/>
        </w:rPr>
        <w:t xml:space="preserve">any </w:t>
      </w:r>
      <w:r w:rsidRPr="00A74CDF">
        <w:rPr>
          <w:rFonts w:ascii="Times New Roman" w:hAnsi="Times New Roman" w:cs="Times New Roman"/>
        </w:rPr>
        <w:t>covariates (ASDs ≤</w:t>
      </w:r>
      <w:r w:rsidR="000C4886" w:rsidRPr="00A74CDF">
        <w:rPr>
          <w:rFonts w:ascii="Times New Roman" w:hAnsi="Times New Roman" w:cs="Times New Roman"/>
        </w:rPr>
        <w:t xml:space="preserve"> </w:t>
      </w:r>
      <w:r w:rsidRPr="00A74CDF">
        <w:rPr>
          <w:rFonts w:ascii="Times New Roman" w:hAnsi="Times New Roman" w:cs="Times New Roman"/>
        </w:rPr>
        <w:t xml:space="preserve">0.1). The weighted population </w:t>
      </w:r>
      <w:r w:rsidR="006525CC" w:rsidRPr="00A74CDF">
        <w:rPr>
          <w:rFonts w:ascii="Times New Roman" w:hAnsi="Times New Roman" w:cs="Times New Roman"/>
        </w:rPr>
        <w:t xml:space="preserve">had </w:t>
      </w:r>
      <w:r w:rsidR="00C43FA6" w:rsidRPr="00A74CDF">
        <w:rPr>
          <w:rFonts w:ascii="Times New Roman" w:hAnsi="Times New Roman" w:cs="Times New Roman"/>
        </w:rPr>
        <w:t xml:space="preserve">a </w:t>
      </w:r>
      <w:r w:rsidRPr="00A74CDF">
        <w:rPr>
          <w:rFonts w:ascii="Times New Roman" w:hAnsi="Times New Roman" w:cs="Times New Roman"/>
        </w:rPr>
        <w:t xml:space="preserve">mean age of 71.8 years, </w:t>
      </w:r>
      <w:r w:rsidR="00C43FA6" w:rsidRPr="00A74CDF">
        <w:rPr>
          <w:rFonts w:ascii="Times New Roman" w:hAnsi="Times New Roman" w:cs="Times New Roman"/>
        </w:rPr>
        <w:t>a</w:t>
      </w:r>
      <w:r w:rsidRPr="00A74CDF">
        <w:rPr>
          <w:rFonts w:ascii="Times New Roman" w:hAnsi="Times New Roman" w:cs="Times New Roman"/>
        </w:rPr>
        <w:t xml:space="preserve"> male proportion </w:t>
      </w:r>
      <w:r w:rsidR="00C43FA6" w:rsidRPr="00A74CDF">
        <w:rPr>
          <w:rFonts w:ascii="Times New Roman" w:hAnsi="Times New Roman" w:cs="Times New Roman"/>
        </w:rPr>
        <w:t xml:space="preserve">of </w:t>
      </w:r>
      <w:r w:rsidRPr="00A74CDF">
        <w:rPr>
          <w:rFonts w:ascii="Times New Roman" w:hAnsi="Times New Roman" w:cs="Times New Roman"/>
        </w:rPr>
        <w:t xml:space="preserve">56.8%, </w:t>
      </w:r>
      <w:r w:rsidR="00C43FA6" w:rsidRPr="00A74CDF">
        <w:rPr>
          <w:rFonts w:ascii="Times New Roman" w:hAnsi="Times New Roman" w:cs="Times New Roman"/>
        </w:rPr>
        <w:t xml:space="preserve">a </w:t>
      </w:r>
      <w:r w:rsidRPr="00A74CDF">
        <w:rPr>
          <w:rFonts w:ascii="Times New Roman" w:hAnsi="Times New Roman" w:cs="Times New Roman"/>
        </w:rPr>
        <w:t>mean CHA</w:t>
      </w:r>
      <w:r w:rsidRPr="00A74CDF">
        <w:rPr>
          <w:rFonts w:ascii="Times New Roman" w:hAnsi="Times New Roman" w:cs="Times New Roman"/>
          <w:vertAlign w:val="subscript"/>
        </w:rPr>
        <w:t>2</w:t>
      </w:r>
      <w:r w:rsidRPr="00A74CDF">
        <w:rPr>
          <w:rFonts w:ascii="Times New Roman" w:hAnsi="Times New Roman" w:cs="Times New Roman"/>
        </w:rPr>
        <w:t>DS</w:t>
      </w:r>
      <w:r w:rsidRPr="00A74CDF">
        <w:rPr>
          <w:rFonts w:ascii="Times New Roman" w:hAnsi="Times New Roman" w:cs="Times New Roman"/>
          <w:vertAlign w:val="subscript"/>
        </w:rPr>
        <w:t>2</w:t>
      </w:r>
      <w:r w:rsidRPr="00A74CDF">
        <w:rPr>
          <w:rFonts w:ascii="Times New Roman" w:hAnsi="Times New Roman" w:cs="Times New Roman"/>
        </w:rPr>
        <w:t xml:space="preserve">-VASc score of 3.7, </w:t>
      </w:r>
      <w:r w:rsidR="00C43FA6" w:rsidRPr="00A74CDF">
        <w:rPr>
          <w:rFonts w:ascii="Times New Roman" w:hAnsi="Times New Roman" w:cs="Times New Roman"/>
        </w:rPr>
        <w:t xml:space="preserve">a </w:t>
      </w:r>
      <w:r w:rsidRPr="00A74CDF">
        <w:rPr>
          <w:rFonts w:ascii="Times New Roman" w:hAnsi="Times New Roman" w:cs="Times New Roman"/>
        </w:rPr>
        <w:t xml:space="preserve">mean HAS-BLED score of 4.2, and </w:t>
      </w:r>
      <w:r w:rsidR="00C43FA6" w:rsidRPr="00A74CDF">
        <w:rPr>
          <w:rFonts w:ascii="Times New Roman" w:hAnsi="Times New Roman" w:cs="Times New Roman"/>
        </w:rPr>
        <w:t xml:space="preserve">a </w:t>
      </w:r>
      <w:r w:rsidRPr="00A74CDF">
        <w:rPr>
          <w:rFonts w:ascii="Times New Roman" w:hAnsi="Times New Roman" w:cs="Times New Roman"/>
        </w:rPr>
        <w:t xml:space="preserve">mean Charlson comorbidity index of 4.5. The IPTW distributions of the two treatment groups are presented in </w:t>
      </w:r>
      <w:r w:rsidRPr="00A74CDF">
        <w:rPr>
          <w:rFonts w:ascii="Times New Roman" w:hAnsi="Times New Roman" w:cs="Times New Roman"/>
          <w:b/>
          <w:bCs/>
        </w:rPr>
        <w:t xml:space="preserve">Figure </w:t>
      </w:r>
      <w:r w:rsidR="002B1526" w:rsidRPr="00A74CDF">
        <w:rPr>
          <w:rFonts w:ascii="Times New Roman" w:hAnsi="Times New Roman" w:cs="Times New Roman"/>
          <w:b/>
          <w:bCs/>
        </w:rPr>
        <w:t>I in the Data Supplement</w:t>
      </w:r>
      <w:r w:rsidRPr="00A74CDF">
        <w:rPr>
          <w:rFonts w:ascii="Times New Roman" w:hAnsi="Times New Roman" w:cs="Times New Roman"/>
        </w:rPr>
        <w:t>.</w:t>
      </w:r>
      <w:r w:rsidRPr="00A74CDF">
        <w:rPr>
          <w:rFonts w:ascii="Times New Roman" w:hAnsi="Times New Roman" w:cs="Times New Roman"/>
          <w:lang w:eastAsia="ko-KR"/>
        </w:rPr>
        <w:t xml:space="preserve"> </w:t>
      </w:r>
      <w:r w:rsidRPr="00A74CDF">
        <w:rPr>
          <w:rFonts w:ascii="Times New Roman" w:hAnsi="Times New Roman" w:cs="Times New Roman"/>
        </w:rPr>
        <w:t xml:space="preserve">Among NOAC users, 9629 (38.9%) </w:t>
      </w:r>
      <w:r w:rsidRPr="00A74CDF">
        <w:rPr>
          <w:rFonts w:ascii="Times New Roman" w:hAnsi="Times New Roman" w:cs="Times New Roman"/>
          <w:lang w:eastAsia="ko-KR"/>
        </w:rPr>
        <w:t xml:space="preserve">patients </w:t>
      </w:r>
      <w:r w:rsidRPr="00A74CDF">
        <w:rPr>
          <w:rFonts w:ascii="Times New Roman" w:hAnsi="Times New Roman" w:cs="Times New Roman"/>
        </w:rPr>
        <w:t>received regular dose</w:t>
      </w:r>
      <w:r w:rsidR="00D719F3" w:rsidRPr="00A74CDF">
        <w:rPr>
          <w:rFonts w:ascii="Times New Roman" w:hAnsi="Times New Roman" w:cs="Times New Roman"/>
        </w:rPr>
        <w:t xml:space="preserve"> </w:t>
      </w:r>
      <w:r w:rsidRPr="00A74CDF">
        <w:rPr>
          <w:rFonts w:ascii="Times New Roman" w:hAnsi="Times New Roman" w:cs="Times New Roman"/>
        </w:rPr>
        <w:t>NOACs.</w:t>
      </w:r>
    </w:p>
    <w:p w14:paraId="4CBE87C9" w14:textId="77777777"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p>
    <w:p w14:paraId="446C17F0" w14:textId="74CB6D60" w:rsidR="005B3F87" w:rsidRPr="00A74CDF" w:rsidRDefault="005B3F87" w:rsidP="00BB1388">
      <w:pPr>
        <w:pStyle w:val="TableofContents"/>
        <w:spacing w:before="0" w:after="0"/>
        <w:contextualSpacing/>
        <w:jc w:val="both"/>
        <w:rPr>
          <w:rFonts w:ascii="Times New Roman" w:hAnsi="Times New Roman" w:cs="Times New Roman"/>
          <w:i/>
          <w:iCs/>
        </w:rPr>
      </w:pPr>
      <w:r w:rsidRPr="00A74CDF">
        <w:rPr>
          <w:rFonts w:ascii="Times New Roman" w:hAnsi="Times New Roman" w:cs="Times New Roman"/>
          <w:i/>
          <w:iCs/>
        </w:rPr>
        <w:t xml:space="preserve">Effectiveness and safety of NOAC </w:t>
      </w:r>
      <w:r w:rsidRPr="00A74CDF">
        <w:rPr>
          <w:rFonts w:ascii="Times New Roman" w:hAnsi="Times New Roman" w:cs="Times New Roman"/>
          <w:i/>
          <w:iCs/>
          <w:lang w:eastAsia="ko-KR"/>
        </w:rPr>
        <w:t>versus warfarin</w:t>
      </w:r>
    </w:p>
    <w:p w14:paraId="01DF3DF0" w14:textId="189F466E" w:rsidR="005B3F87" w:rsidRPr="00A74CDF" w:rsidRDefault="005B3F87" w:rsidP="00BB1388">
      <w:pPr>
        <w:pStyle w:val="TableofContents"/>
        <w:spacing w:before="0" w:after="0"/>
        <w:ind w:firstLineChars="200" w:firstLine="480"/>
        <w:contextualSpacing/>
        <w:jc w:val="both"/>
        <w:rPr>
          <w:rFonts w:ascii="Times New Roman" w:hAnsi="Times New Roman" w:cs="Times New Roman"/>
          <w:lang w:eastAsia="ko-KR"/>
        </w:rPr>
      </w:pPr>
      <w:r w:rsidRPr="00A74CDF">
        <w:rPr>
          <w:rFonts w:ascii="Times New Roman" w:hAnsi="Times New Roman" w:cs="Times New Roman"/>
        </w:rPr>
        <w:t xml:space="preserve">During </w:t>
      </w:r>
      <w:r w:rsidR="00097C0F" w:rsidRPr="00A74CDF">
        <w:rPr>
          <w:rFonts w:ascii="Times New Roman" w:hAnsi="Times New Roman" w:cs="Times New Roman"/>
        </w:rPr>
        <w:t xml:space="preserve">a </w:t>
      </w:r>
      <w:r w:rsidRPr="00A74CDF">
        <w:rPr>
          <w:rFonts w:ascii="Times New Roman" w:hAnsi="Times New Roman" w:cs="Times New Roman"/>
        </w:rPr>
        <w:t xml:space="preserve">median 0.6 years </w:t>
      </w:r>
      <w:r w:rsidR="00FD16A4" w:rsidRPr="00A74CDF">
        <w:rPr>
          <w:rFonts w:ascii="Times New Roman" w:hAnsi="Times New Roman" w:cs="Times New Roman"/>
        </w:rPr>
        <w:t xml:space="preserve">(interquartile range 0.2-1.7) </w:t>
      </w:r>
      <w:r w:rsidRPr="00A74CDF">
        <w:rPr>
          <w:rFonts w:ascii="Times New Roman" w:hAnsi="Times New Roman" w:cs="Times New Roman"/>
        </w:rPr>
        <w:t>of follow-up, 1426 (3.4%) ischemic stroke</w:t>
      </w:r>
      <w:r w:rsidR="001821B5" w:rsidRPr="00A74CDF">
        <w:rPr>
          <w:rFonts w:ascii="Times New Roman" w:hAnsi="Times New Roman" w:cs="Times New Roman"/>
        </w:rPr>
        <w:t>s</w:t>
      </w:r>
      <w:r w:rsidRPr="00A74CDF">
        <w:rPr>
          <w:rFonts w:ascii="Times New Roman" w:hAnsi="Times New Roman" w:cs="Times New Roman"/>
        </w:rPr>
        <w:t>, 1053 (2.5%) major bleeding</w:t>
      </w:r>
      <w:r w:rsidR="001821B5" w:rsidRPr="00A74CDF">
        <w:rPr>
          <w:rFonts w:ascii="Times New Roman" w:hAnsi="Times New Roman" w:cs="Times New Roman"/>
        </w:rPr>
        <w:t>s</w:t>
      </w:r>
      <w:r w:rsidRPr="00A74CDF">
        <w:rPr>
          <w:rFonts w:ascii="Times New Roman" w:hAnsi="Times New Roman" w:cs="Times New Roman"/>
        </w:rPr>
        <w:t>, and 2386 (5.7%) composite outcome events occurred.</w:t>
      </w:r>
      <w:r w:rsidRPr="00A74CDF">
        <w:rPr>
          <w:rFonts w:ascii="Times New Roman" w:hAnsi="Times New Roman" w:cs="Times New Roman"/>
          <w:lang w:eastAsia="ko-KR"/>
        </w:rPr>
        <w:t xml:space="preserve"> The weighted cumulative incidence curves of NOAC users showed significantly lower</w:t>
      </w:r>
      <w:r w:rsidR="004D2F7F" w:rsidRPr="00A74CDF">
        <w:rPr>
          <w:rFonts w:ascii="Times New Roman" w:hAnsi="Times New Roman" w:cs="Times New Roman"/>
          <w:lang w:eastAsia="ko-KR"/>
        </w:rPr>
        <w:t xml:space="preserve"> rates of</w:t>
      </w:r>
      <w:r w:rsidRPr="00A74CDF">
        <w:rPr>
          <w:rFonts w:ascii="Times New Roman" w:hAnsi="Times New Roman" w:cs="Times New Roman"/>
          <w:lang w:eastAsia="ko-KR"/>
        </w:rPr>
        <w:t xml:space="preserve"> event</w:t>
      </w:r>
      <w:r w:rsidR="004D2F7F" w:rsidRPr="00A74CDF">
        <w:rPr>
          <w:rFonts w:ascii="Times New Roman" w:hAnsi="Times New Roman" w:cs="Times New Roman"/>
          <w:lang w:eastAsia="ko-KR"/>
        </w:rPr>
        <w:t>s</w:t>
      </w:r>
      <w:r w:rsidRPr="00A74CDF">
        <w:rPr>
          <w:rFonts w:ascii="Times New Roman" w:hAnsi="Times New Roman" w:cs="Times New Roman"/>
          <w:lang w:eastAsia="ko-KR"/>
        </w:rPr>
        <w:t xml:space="preserve"> </w:t>
      </w:r>
      <w:r w:rsidR="00A15F84" w:rsidRPr="00A74CDF">
        <w:rPr>
          <w:rFonts w:ascii="Times New Roman" w:hAnsi="Times New Roman" w:cs="Times New Roman"/>
          <w:lang w:eastAsia="ko-KR"/>
        </w:rPr>
        <w:t xml:space="preserve">with NOACs compared to </w:t>
      </w:r>
      <w:r w:rsidRPr="00A74CDF">
        <w:rPr>
          <w:rFonts w:ascii="Times New Roman" w:hAnsi="Times New Roman" w:cs="Times New Roman"/>
          <w:lang w:eastAsia="ko-KR"/>
        </w:rPr>
        <w:t xml:space="preserve">warfarin users for all primary outcomes (all log-rank </w:t>
      </w:r>
      <w:r w:rsidRPr="00A74CDF">
        <w:rPr>
          <w:rFonts w:ascii="Times New Roman" w:hAnsi="Times New Roman" w:cs="Times New Roman"/>
          <w:i/>
          <w:lang w:eastAsia="ko-KR"/>
        </w:rPr>
        <w:t>p</w:t>
      </w:r>
      <w:r w:rsidRPr="00A74CDF">
        <w:rPr>
          <w:rFonts w:ascii="Times New Roman" w:hAnsi="Times New Roman" w:cs="Times New Roman"/>
          <w:lang w:eastAsia="ko-KR"/>
        </w:rPr>
        <w:t>-values &lt;</w:t>
      </w:r>
      <w:r w:rsidR="00FD16A4" w:rsidRPr="00A74CDF">
        <w:rPr>
          <w:rFonts w:ascii="Times New Roman" w:hAnsi="Times New Roman" w:cs="Times New Roman"/>
          <w:lang w:eastAsia="ko-KR"/>
        </w:rPr>
        <w:t xml:space="preserve"> </w:t>
      </w:r>
      <w:r w:rsidRPr="00A74CDF">
        <w:rPr>
          <w:rFonts w:ascii="Times New Roman" w:hAnsi="Times New Roman" w:cs="Times New Roman"/>
          <w:lang w:eastAsia="ko-KR"/>
        </w:rPr>
        <w:t>0.001) (</w:t>
      </w:r>
      <w:r w:rsidRPr="00A74CDF">
        <w:rPr>
          <w:rFonts w:ascii="Times New Roman" w:hAnsi="Times New Roman" w:cs="Times New Roman"/>
          <w:b/>
          <w:bCs/>
          <w:lang w:eastAsia="ko-KR"/>
        </w:rPr>
        <w:t xml:space="preserve">Figure </w:t>
      </w:r>
      <w:r w:rsidR="00940C0A" w:rsidRPr="00A74CDF">
        <w:rPr>
          <w:rFonts w:ascii="Times New Roman" w:hAnsi="Times New Roman" w:cs="Times New Roman"/>
          <w:b/>
          <w:bCs/>
          <w:lang w:eastAsia="ko-KR"/>
        </w:rPr>
        <w:t>II</w:t>
      </w:r>
      <w:r w:rsidRPr="00A74CDF">
        <w:rPr>
          <w:rFonts w:ascii="Times New Roman" w:hAnsi="Times New Roman" w:cs="Times New Roman"/>
          <w:lang w:eastAsia="ko-KR"/>
        </w:rPr>
        <w:t xml:space="preserve">). Compared </w:t>
      </w:r>
      <w:r w:rsidR="004D2F7F" w:rsidRPr="00A74CDF">
        <w:rPr>
          <w:rFonts w:ascii="Times New Roman" w:hAnsi="Times New Roman" w:cs="Times New Roman"/>
          <w:lang w:eastAsia="ko-KR"/>
        </w:rPr>
        <w:t xml:space="preserve">with </w:t>
      </w:r>
      <w:r w:rsidRPr="00A74CDF">
        <w:rPr>
          <w:rFonts w:ascii="Times New Roman" w:hAnsi="Times New Roman" w:cs="Times New Roman"/>
          <w:lang w:eastAsia="ko-KR"/>
        </w:rPr>
        <w:t xml:space="preserve">warfarin, NOAC was associated with 39%, 27%, and 34% risk reductions in ischemic stroke, major bleeding, and composite outcome, respectively </w:t>
      </w:r>
      <w:r w:rsidR="00613AE5" w:rsidRPr="00A74CDF">
        <w:rPr>
          <w:rFonts w:ascii="Times New Roman" w:hAnsi="Times New Roman" w:cs="Times New Roman"/>
          <w:lang w:eastAsia="ko-KR"/>
        </w:rPr>
        <w:t>[</w:t>
      </w:r>
      <w:r w:rsidRPr="00A74CDF">
        <w:rPr>
          <w:rFonts w:ascii="Times New Roman" w:hAnsi="Times New Roman" w:cs="Times New Roman"/>
          <w:lang w:eastAsia="ko-KR"/>
        </w:rPr>
        <w:t>weighted hazard ratio (HR) 0.608</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95% confidence interval (CI) 0.543-0.680; HR 0.731</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95% CI 0.642-0.832; and HR 0.661</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95% CI 0.606-0.721, respectively, for all </w:t>
      </w:r>
      <w:r w:rsidRPr="00A74CDF">
        <w:rPr>
          <w:rFonts w:ascii="Times New Roman" w:hAnsi="Times New Roman" w:cs="Times New Roman"/>
          <w:i/>
          <w:lang w:eastAsia="ko-KR"/>
        </w:rPr>
        <w:t>p</w:t>
      </w:r>
      <w:r w:rsidRPr="00A74CDF">
        <w:rPr>
          <w:rFonts w:ascii="Times New Roman" w:hAnsi="Times New Roman" w:cs="Times New Roman"/>
          <w:lang w:eastAsia="ko-KR"/>
        </w:rPr>
        <w:t>-values &lt;</w:t>
      </w:r>
      <w:r w:rsidR="00613AE5" w:rsidRPr="00A74CDF">
        <w:rPr>
          <w:rFonts w:ascii="Times New Roman" w:hAnsi="Times New Roman" w:cs="Times New Roman"/>
          <w:lang w:eastAsia="ko-KR"/>
        </w:rPr>
        <w:t xml:space="preserve"> </w:t>
      </w:r>
      <w:r w:rsidRPr="00A74CDF">
        <w:rPr>
          <w:rFonts w:ascii="Times New Roman" w:hAnsi="Times New Roman" w:cs="Times New Roman"/>
          <w:lang w:eastAsia="ko-KR"/>
        </w:rPr>
        <w:t>0.001</w:t>
      </w:r>
      <w:r w:rsidR="00613AE5" w:rsidRPr="00A74CDF">
        <w:rPr>
          <w:rFonts w:ascii="Times New Roman" w:hAnsi="Times New Roman" w:cs="Times New Roman"/>
          <w:lang w:eastAsia="ko-KR"/>
        </w:rPr>
        <w:t>]</w:t>
      </w:r>
      <w:r w:rsidRPr="00A74CDF">
        <w:rPr>
          <w:rFonts w:ascii="Times New Roman" w:hAnsi="Times New Roman" w:cs="Times New Roman"/>
          <w:lang w:eastAsia="ko-KR"/>
        </w:rPr>
        <w:t xml:space="preserve"> (</w:t>
      </w:r>
      <w:r w:rsidR="00373059" w:rsidRPr="00A74CDF">
        <w:rPr>
          <w:rFonts w:ascii="Times New Roman" w:hAnsi="Times New Roman" w:cs="Times New Roman"/>
          <w:b/>
          <w:bCs/>
          <w:lang w:eastAsia="ko-KR"/>
        </w:rPr>
        <w:t>Figure</w:t>
      </w:r>
      <w:r w:rsidR="00940C0A" w:rsidRPr="00A74CDF">
        <w:rPr>
          <w:rFonts w:ascii="Times New Roman" w:hAnsi="Times New Roman" w:cs="Times New Roman"/>
          <w:b/>
          <w:bCs/>
          <w:lang w:eastAsia="ko-KR"/>
        </w:rPr>
        <w:t xml:space="preserve"> III </w:t>
      </w:r>
      <w:r w:rsidRPr="00A74CDF">
        <w:rPr>
          <w:rFonts w:ascii="Times New Roman" w:hAnsi="Times New Roman" w:cs="Times New Roman"/>
          <w:lang w:eastAsia="ko-KR"/>
        </w:rPr>
        <w:t>).</w:t>
      </w:r>
    </w:p>
    <w:p w14:paraId="6C57DB4E" w14:textId="77777777"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p>
    <w:p w14:paraId="0185253F" w14:textId="77777777" w:rsidR="005B3F87" w:rsidRPr="00A74CDF" w:rsidRDefault="005B3F87" w:rsidP="00BB1388">
      <w:pPr>
        <w:pStyle w:val="TableofContents"/>
        <w:spacing w:before="0" w:after="0"/>
        <w:contextualSpacing/>
        <w:jc w:val="both"/>
        <w:rPr>
          <w:rFonts w:ascii="Times New Roman" w:hAnsi="Times New Roman" w:cs="Times New Roman"/>
          <w:i/>
          <w:iCs/>
        </w:rPr>
      </w:pPr>
      <w:r w:rsidRPr="00A74CDF">
        <w:rPr>
          <w:rFonts w:ascii="Times New Roman" w:hAnsi="Times New Roman" w:cs="Times New Roman"/>
          <w:i/>
          <w:iCs/>
        </w:rPr>
        <w:t>Fatal outcomes</w:t>
      </w:r>
    </w:p>
    <w:p w14:paraId="6BF28746" w14:textId="47311981"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 xml:space="preserve">Compared </w:t>
      </w:r>
      <w:r w:rsidR="004D2F7F" w:rsidRPr="00A74CDF">
        <w:rPr>
          <w:rFonts w:ascii="Times New Roman" w:hAnsi="Times New Roman" w:cs="Times New Roman"/>
        </w:rPr>
        <w:t xml:space="preserve">with </w:t>
      </w:r>
      <w:r w:rsidRPr="00A74CDF">
        <w:rPr>
          <w:rFonts w:ascii="Times New Roman" w:hAnsi="Times New Roman" w:cs="Times New Roman"/>
        </w:rPr>
        <w:t>warfarin, NOAC</w:t>
      </w:r>
      <w:r w:rsidR="00860095" w:rsidRPr="00A74CDF">
        <w:rPr>
          <w:rFonts w:ascii="Times New Roman" w:hAnsi="Times New Roman" w:cs="Times New Roman"/>
        </w:rPr>
        <w:t>s</w:t>
      </w:r>
      <w:r w:rsidRPr="00A74CDF">
        <w:rPr>
          <w:rFonts w:ascii="Times New Roman" w:hAnsi="Times New Roman" w:cs="Times New Roman"/>
        </w:rPr>
        <w:t xml:space="preserve"> w</w:t>
      </w:r>
      <w:r w:rsidR="00860095" w:rsidRPr="00A74CDF">
        <w:rPr>
          <w:rFonts w:ascii="Times New Roman" w:hAnsi="Times New Roman" w:cs="Times New Roman"/>
        </w:rPr>
        <w:t>ere</w:t>
      </w:r>
      <w:r w:rsidRPr="00A74CDF">
        <w:rPr>
          <w:rFonts w:ascii="Times New Roman" w:hAnsi="Times New Roman" w:cs="Times New Roman"/>
        </w:rPr>
        <w:t xml:space="preserve"> associated with significantly lower</w:t>
      </w:r>
      <w:r w:rsidR="004D2F7F" w:rsidRPr="00A74CDF">
        <w:rPr>
          <w:rFonts w:ascii="Times New Roman" w:hAnsi="Times New Roman" w:cs="Times New Roman"/>
        </w:rPr>
        <w:t xml:space="preserve"> rates of</w:t>
      </w:r>
      <w:r w:rsidRPr="00A74CDF">
        <w:rPr>
          <w:rFonts w:ascii="Times New Roman" w:hAnsi="Times New Roman" w:cs="Times New Roman"/>
        </w:rPr>
        <w:t xml:space="preserve"> event</w:t>
      </w:r>
      <w:r w:rsidR="004D2F7F" w:rsidRPr="00A74CDF">
        <w:rPr>
          <w:rFonts w:ascii="Times New Roman" w:hAnsi="Times New Roman" w:cs="Times New Roman"/>
        </w:rPr>
        <w:t>s</w:t>
      </w:r>
      <w:r w:rsidRPr="00A74CDF">
        <w:rPr>
          <w:rFonts w:ascii="Times New Roman" w:hAnsi="Times New Roman" w:cs="Times New Roman"/>
        </w:rPr>
        <w:t xml:space="preserve"> for all secondary outcomes (all log-rank </w:t>
      </w:r>
      <w:r w:rsidRPr="00A74CDF">
        <w:rPr>
          <w:rFonts w:ascii="Times New Roman" w:hAnsi="Times New Roman" w:cs="Times New Roman"/>
          <w:i/>
        </w:rPr>
        <w:t>p</w:t>
      </w:r>
      <w:r w:rsidRPr="00A74CDF">
        <w:rPr>
          <w:rFonts w:ascii="Times New Roman" w:hAnsi="Times New Roman" w:cs="Times New Roman"/>
        </w:rPr>
        <w:t>-values &lt;</w:t>
      </w:r>
      <w:r w:rsidR="00FD16A4" w:rsidRPr="00A74CDF">
        <w:rPr>
          <w:rFonts w:ascii="Times New Roman" w:hAnsi="Times New Roman" w:cs="Times New Roman"/>
        </w:rPr>
        <w:t xml:space="preserve"> </w:t>
      </w:r>
      <w:r w:rsidRPr="00A74CDF">
        <w:rPr>
          <w:rFonts w:ascii="Times New Roman" w:hAnsi="Times New Roman" w:cs="Times New Roman"/>
        </w:rPr>
        <w:t xml:space="preserve">0.001, </w:t>
      </w:r>
      <w:r w:rsidRPr="00A74CDF">
        <w:rPr>
          <w:rFonts w:ascii="Times New Roman" w:hAnsi="Times New Roman" w:cs="Times New Roman"/>
          <w:b/>
          <w:bCs/>
        </w:rPr>
        <w:t xml:space="preserve">Figure </w:t>
      </w:r>
      <w:r w:rsidR="00940C0A" w:rsidRPr="00A74CDF">
        <w:rPr>
          <w:rFonts w:ascii="Times New Roman" w:hAnsi="Times New Roman" w:cs="Times New Roman"/>
          <w:b/>
          <w:bCs/>
        </w:rPr>
        <w:t>II</w:t>
      </w:r>
      <w:r w:rsidRPr="00A74CDF">
        <w:rPr>
          <w:rFonts w:ascii="Times New Roman" w:hAnsi="Times New Roman" w:cs="Times New Roman"/>
        </w:rPr>
        <w:t xml:space="preserve"> </w:t>
      </w:r>
      <w:r w:rsidR="00427F2B" w:rsidRPr="00A74CDF">
        <w:rPr>
          <w:rFonts w:ascii="Times New Roman" w:hAnsi="Times New Roman" w:cs="Times New Roman"/>
          <w:b/>
          <w:bCs/>
        </w:rPr>
        <w:t xml:space="preserve">in the Data Supplement </w:t>
      </w:r>
      <w:r w:rsidRPr="00A74CDF">
        <w:rPr>
          <w:rFonts w:ascii="Times New Roman" w:hAnsi="Times New Roman" w:cs="Times New Roman"/>
        </w:rPr>
        <w:t xml:space="preserve">and </w:t>
      </w:r>
      <w:r w:rsidRPr="00A74CDF">
        <w:rPr>
          <w:rFonts w:ascii="Times New Roman" w:hAnsi="Times New Roman" w:cs="Times New Roman"/>
          <w:b/>
          <w:bCs/>
        </w:rPr>
        <w:lastRenderedPageBreak/>
        <w:t xml:space="preserve">Table </w:t>
      </w:r>
      <w:r w:rsidR="002B1526" w:rsidRPr="00A74CDF">
        <w:rPr>
          <w:rFonts w:ascii="Times New Roman" w:hAnsi="Times New Roman" w:cs="Times New Roman"/>
          <w:b/>
          <w:bCs/>
        </w:rPr>
        <w:t>III in the Data Supplement</w:t>
      </w:r>
      <w:r w:rsidRPr="00A74CDF">
        <w:rPr>
          <w:rFonts w:ascii="Times New Roman" w:hAnsi="Times New Roman" w:cs="Times New Roman"/>
        </w:rPr>
        <w:t xml:space="preserve">). </w:t>
      </w:r>
      <w:r w:rsidR="00A15F84" w:rsidRPr="00A74CDF">
        <w:rPr>
          <w:rFonts w:ascii="Times New Roman" w:hAnsi="Times New Roman" w:cs="Times New Roman"/>
        </w:rPr>
        <w:t>R</w:t>
      </w:r>
      <w:r w:rsidRPr="00A74CDF">
        <w:rPr>
          <w:rFonts w:ascii="Times New Roman" w:hAnsi="Times New Roman" w:cs="Times New Roman"/>
        </w:rPr>
        <w:t xml:space="preserve">isk analysis of the fatal outcomes showed results </w:t>
      </w:r>
      <w:r w:rsidR="00FA3F9D" w:rsidRPr="00A74CDF">
        <w:rPr>
          <w:rFonts w:ascii="Times New Roman" w:hAnsi="Times New Roman" w:cs="Times New Roman"/>
        </w:rPr>
        <w:t xml:space="preserve">consistent </w:t>
      </w:r>
      <w:r w:rsidRPr="00A74CDF">
        <w:rPr>
          <w:rFonts w:ascii="Times New Roman" w:hAnsi="Times New Roman" w:cs="Times New Roman"/>
        </w:rPr>
        <w:t xml:space="preserve">with the primary </w:t>
      </w:r>
      <w:r w:rsidRPr="00A74CDF">
        <w:rPr>
          <w:rFonts w:ascii="Times New Roman" w:hAnsi="Times New Roman" w:cs="Times New Roman"/>
          <w:lang w:eastAsia="ko-KR"/>
        </w:rPr>
        <w:t>outcomes</w:t>
      </w:r>
      <w:r w:rsidR="00FA3F9D" w:rsidRPr="00A74CDF">
        <w:rPr>
          <w:rFonts w:ascii="Times New Roman" w:hAnsi="Times New Roman" w:cs="Times New Roman"/>
          <w:lang w:eastAsia="ko-KR"/>
        </w:rPr>
        <w:t>,</w:t>
      </w:r>
      <w:r w:rsidRPr="00A74CDF">
        <w:rPr>
          <w:rFonts w:ascii="Times New Roman" w:hAnsi="Times New Roman" w:cs="Times New Roman"/>
          <w:lang w:eastAsia="ko-KR"/>
        </w:rPr>
        <w:t xml:space="preserve"> with </w:t>
      </w:r>
      <w:r w:rsidRPr="00A74CDF">
        <w:rPr>
          <w:rFonts w:ascii="Times New Roman" w:hAnsi="Times New Roman" w:cs="Times New Roman"/>
        </w:rPr>
        <w:t>greater risk reductions</w:t>
      </w:r>
      <w:r w:rsidR="004D2F7F" w:rsidRPr="00A74CDF">
        <w:rPr>
          <w:rFonts w:ascii="Times New Roman" w:hAnsi="Times New Roman" w:cs="Times New Roman"/>
        </w:rPr>
        <w:t xml:space="preserve"> </w:t>
      </w:r>
      <w:r w:rsidRPr="00A74CDF">
        <w:rPr>
          <w:rFonts w:ascii="Times New Roman" w:hAnsi="Times New Roman" w:cs="Times New Roman"/>
        </w:rPr>
        <w:t>for fatal ischemic stroke</w:t>
      </w:r>
      <w:r w:rsidR="00FD16A4" w:rsidRPr="00A74CDF">
        <w:rPr>
          <w:rFonts w:ascii="Times New Roman" w:hAnsi="Times New Roman" w:cs="Times New Roman"/>
        </w:rPr>
        <w:t xml:space="preserve"> (HR 0.479, </w:t>
      </w:r>
      <w:r w:rsidR="00FA3F9D" w:rsidRPr="00A74CDF">
        <w:rPr>
          <w:rFonts w:ascii="Times New Roman" w:hAnsi="Times New Roman" w:cs="Times New Roman"/>
        </w:rPr>
        <w:t>95% CI 0.375-0.608),</w:t>
      </w:r>
      <w:r w:rsidRPr="00A74CDF">
        <w:rPr>
          <w:rFonts w:ascii="Times New Roman" w:hAnsi="Times New Roman" w:cs="Times New Roman"/>
        </w:rPr>
        <w:t xml:space="preserve"> fatal major bleeding</w:t>
      </w:r>
      <w:r w:rsidR="00FA3F9D" w:rsidRPr="00A74CDF">
        <w:rPr>
          <w:rFonts w:ascii="Times New Roman" w:hAnsi="Times New Roman" w:cs="Times New Roman"/>
        </w:rPr>
        <w:t xml:space="preserve"> </w:t>
      </w:r>
      <w:r w:rsidR="00FD16A4" w:rsidRPr="00A74CDF">
        <w:rPr>
          <w:rFonts w:ascii="Times New Roman" w:hAnsi="Times New Roman" w:cs="Times New Roman"/>
        </w:rPr>
        <w:t>(</w:t>
      </w:r>
      <w:r w:rsidR="00FA3F9D" w:rsidRPr="00A74CDF">
        <w:rPr>
          <w:rFonts w:ascii="Times New Roman" w:hAnsi="Times New Roman" w:cs="Times New Roman"/>
        </w:rPr>
        <w:t>HR 0.448</w:t>
      </w:r>
      <w:r w:rsidR="00FD16A4" w:rsidRPr="00A74CDF">
        <w:rPr>
          <w:rFonts w:ascii="Times New Roman" w:hAnsi="Times New Roman" w:cs="Times New Roman"/>
        </w:rPr>
        <w:t>,</w:t>
      </w:r>
      <w:r w:rsidR="00FA3F9D" w:rsidRPr="00A74CDF">
        <w:rPr>
          <w:rFonts w:ascii="Times New Roman" w:hAnsi="Times New Roman" w:cs="Times New Roman"/>
        </w:rPr>
        <w:t xml:space="preserve"> 95% CI 0.284-0.689),</w:t>
      </w:r>
      <w:r w:rsidRPr="00A74CDF">
        <w:rPr>
          <w:rFonts w:ascii="Times New Roman" w:hAnsi="Times New Roman" w:cs="Times New Roman"/>
        </w:rPr>
        <w:t xml:space="preserve"> and </w:t>
      </w:r>
      <w:r w:rsidRPr="00A74CDF">
        <w:rPr>
          <w:rFonts w:ascii="Times New Roman" w:hAnsi="Times New Roman" w:cs="Times New Roman"/>
          <w:lang w:eastAsia="ko-KR"/>
        </w:rPr>
        <w:t xml:space="preserve">fatal </w:t>
      </w:r>
      <w:r w:rsidRPr="00A74CDF">
        <w:rPr>
          <w:rFonts w:ascii="Times New Roman" w:hAnsi="Times New Roman" w:cs="Times New Roman"/>
        </w:rPr>
        <w:t>composite outcome</w:t>
      </w:r>
      <w:r w:rsidR="00FA3F9D" w:rsidRPr="00A74CDF">
        <w:rPr>
          <w:rFonts w:ascii="Times New Roman" w:hAnsi="Times New Roman" w:cs="Times New Roman"/>
        </w:rPr>
        <w:t>s (HR 0.475</w:t>
      </w:r>
      <w:r w:rsidR="00FD16A4" w:rsidRPr="00A74CDF">
        <w:rPr>
          <w:rFonts w:ascii="Times New Roman" w:hAnsi="Times New Roman" w:cs="Times New Roman"/>
        </w:rPr>
        <w:t>,</w:t>
      </w:r>
      <w:r w:rsidR="00FA3F9D" w:rsidRPr="00A74CDF">
        <w:rPr>
          <w:rFonts w:ascii="Times New Roman" w:hAnsi="Times New Roman" w:cs="Times New Roman"/>
        </w:rPr>
        <w:t xml:space="preserve"> 95% CI 0.384-0.587)</w:t>
      </w:r>
      <w:r w:rsidRPr="00A74CDF">
        <w:rPr>
          <w:rFonts w:ascii="Times New Roman" w:hAnsi="Times New Roman" w:cs="Times New Roman"/>
        </w:rPr>
        <w:t xml:space="preserve"> for all </w:t>
      </w:r>
      <w:r w:rsidRPr="00A74CDF">
        <w:rPr>
          <w:rFonts w:ascii="Times New Roman" w:hAnsi="Times New Roman" w:cs="Times New Roman"/>
          <w:i/>
        </w:rPr>
        <w:t>p</w:t>
      </w:r>
      <w:r w:rsidRPr="00A74CDF">
        <w:rPr>
          <w:rFonts w:ascii="Times New Roman" w:hAnsi="Times New Roman" w:cs="Times New Roman"/>
        </w:rPr>
        <w:t>-values &lt;</w:t>
      </w:r>
      <w:r w:rsidR="00FD16A4" w:rsidRPr="00A74CDF">
        <w:rPr>
          <w:rFonts w:ascii="Times New Roman" w:hAnsi="Times New Roman" w:cs="Times New Roman"/>
        </w:rPr>
        <w:t xml:space="preserve"> </w:t>
      </w:r>
      <w:r w:rsidRPr="00A74CDF">
        <w:rPr>
          <w:rFonts w:ascii="Times New Roman" w:hAnsi="Times New Roman" w:cs="Times New Roman"/>
        </w:rPr>
        <w:t>0.001 (</w:t>
      </w:r>
      <w:r w:rsidR="00373059" w:rsidRPr="00A74CDF">
        <w:rPr>
          <w:rFonts w:ascii="Times New Roman" w:hAnsi="Times New Roman" w:cs="Times New Roman"/>
          <w:b/>
          <w:bCs/>
        </w:rPr>
        <w:t xml:space="preserve">Figure </w:t>
      </w:r>
      <w:r w:rsidR="00940C0A" w:rsidRPr="00A74CDF">
        <w:rPr>
          <w:rFonts w:ascii="Times New Roman" w:hAnsi="Times New Roman" w:cs="Times New Roman"/>
          <w:b/>
          <w:bCs/>
        </w:rPr>
        <w:t>III</w:t>
      </w:r>
      <w:r w:rsidRPr="00A74CDF">
        <w:rPr>
          <w:rFonts w:ascii="Times New Roman" w:hAnsi="Times New Roman" w:cs="Times New Roman"/>
        </w:rPr>
        <w:t>).</w:t>
      </w:r>
      <w:r w:rsidRPr="00A74CDF">
        <w:rPr>
          <w:rFonts w:ascii="Times New Roman" w:hAnsi="Times New Roman" w:cs="Times New Roman"/>
          <w:lang w:eastAsia="ko-KR"/>
        </w:rPr>
        <w:t xml:space="preserve"> Also, NOAC use was associated with a</w:t>
      </w:r>
      <w:r w:rsidR="004D2F7F" w:rsidRPr="00A74CDF">
        <w:rPr>
          <w:rFonts w:ascii="Times New Roman" w:hAnsi="Times New Roman" w:cs="Times New Roman"/>
          <w:lang w:eastAsia="ko-KR"/>
        </w:rPr>
        <w:t>n</w:t>
      </w:r>
      <w:r w:rsidRPr="00A74CDF">
        <w:rPr>
          <w:rFonts w:ascii="Times New Roman" w:hAnsi="Times New Roman" w:cs="Times New Roman"/>
          <w:lang w:eastAsia="ko-KR"/>
        </w:rPr>
        <w:t xml:space="preserve"> 18% lower risk of all-cause death compared </w:t>
      </w:r>
      <w:r w:rsidR="004D2F7F" w:rsidRPr="00A74CDF">
        <w:rPr>
          <w:rFonts w:ascii="Times New Roman" w:hAnsi="Times New Roman" w:cs="Times New Roman"/>
          <w:lang w:eastAsia="ko-KR"/>
        </w:rPr>
        <w:t>with</w:t>
      </w:r>
      <w:r w:rsidRPr="00A74CDF">
        <w:rPr>
          <w:rFonts w:ascii="Times New Roman" w:hAnsi="Times New Roman" w:cs="Times New Roman"/>
          <w:lang w:eastAsia="ko-KR"/>
        </w:rPr>
        <w:t xml:space="preserve"> warfarin. </w:t>
      </w:r>
    </w:p>
    <w:p w14:paraId="523C7AC5" w14:textId="77777777"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p>
    <w:p w14:paraId="753EC3FC" w14:textId="77777777" w:rsidR="005B3F87" w:rsidRPr="00A74CDF" w:rsidRDefault="005B3F87" w:rsidP="00BB1388">
      <w:pPr>
        <w:pStyle w:val="TableofContents"/>
        <w:spacing w:before="0" w:after="0"/>
        <w:contextualSpacing/>
        <w:jc w:val="both"/>
        <w:rPr>
          <w:rFonts w:ascii="Times New Roman" w:hAnsi="Times New Roman" w:cs="Times New Roman"/>
          <w:i/>
          <w:iCs/>
          <w:lang w:eastAsia="ko-KR"/>
        </w:rPr>
      </w:pPr>
      <w:r w:rsidRPr="00A74CDF">
        <w:rPr>
          <w:rFonts w:ascii="Times New Roman" w:hAnsi="Times New Roman" w:cs="Times New Roman"/>
          <w:i/>
          <w:iCs/>
          <w:lang w:eastAsia="ko-KR"/>
        </w:rPr>
        <w:t>Major bleeding: intracranial hemorrhage and recurrent gastrointestinal bleeding</w:t>
      </w:r>
    </w:p>
    <w:p w14:paraId="03F19462" w14:textId="7989DE80"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 xml:space="preserve">The weighted incidence rates and </w:t>
      </w:r>
      <w:r w:rsidRPr="00A74CDF">
        <w:rPr>
          <w:rFonts w:ascii="Times New Roman" w:hAnsi="Times New Roman" w:cs="Times New Roman"/>
          <w:lang w:eastAsia="ko-KR"/>
        </w:rPr>
        <w:t>cumulative incidence</w:t>
      </w:r>
      <w:r w:rsidRPr="00A74CDF">
        <w:rPr>
          <w:rFonts w:ascii="Times New Roman" w:hAnsi="Times New Roman" w:cs="Times New Roman"/>
        </w:rPr>
        <w:t xml:space="preserve"> curves for ICH, GIB, fatal ICH, and fatal GIB are illustrated in </w:t>
      </w:r>
      <w:r w:rsidR="003B2DCD" w:rsidRPr="00A74CDF">
        <w:rPr>
          <w:rFonts w:ascii="Times New Roman" w:hAnsi="Times New Roman" w:cs="Times New Roman"/>
          <w:b/>
          <w:bCs/>
        </w:rPr>
        <w:t>Table</w:t>
      </w:r>
      <w:r w:rsidR="004F2125" w:rsidRPr="00A74CDF">
        <w:rPr>
          <w:rFonts w:ascii="Times New Roman" w:hAnsi="Times New Roman" w:cs="Times New Roman"/>
          <w:b/>
          <w:bCs/>
        </w:rPr>
        <w:t xml:space="preserve"> </w:t>
      </w:r>
      <w:r w:rsidR="002B1526" w:rsidRPr="00A74CDF">
        <w:rPr>
          <w:rFonts w:ascii="Times New Roman" w:hAnsi="Times New Roman" w:cs="Times New Roman"/>
          <w:b/>
          <w:bCs/>
        </w:rPr>
        <w:t>III</w:t>
      </w:r>
      <w:r w:rsidRPr="00A74CDF">
        <w:rPr>
          <w:rFonts w:ascii="Times New Roman" w:hAnsi="Times New Roman" w:cs="Times New Roman"/>
          <w:b/>
          <w:bCs/>
        </w:rPr>
        <w:t xml:space="preserve"> </w:t>
      </w:r>
      <w:r w:rsidR="003B2DCD" w:rsidRPr="00A74CDF">
        <w:rPr>
          <w:rFonts w:ascii="Times New Roman" w:hAnsi="Times New Roman" w:cs="Times New Roman"/>
          <w:b/>
          <w:bCs/>
        </w:rPr>
        <w:t>in the Data Supplement</w:t>
      </w:r>
      <w:r w:rsidR="003B2DCD" w:rsidRPr="00A74CDF">
        <w:rPr>
          <w:rFonts w:ascii="Times New Roman" w:hAnsi="Times New Roman" w:cs="Times New Roman"/>
        </w:rPr>
        <w:t xml:space="preserve"> </w:t>
      </w:r>
      <w:r w:rsidRPr="00A74CDF">
        <w:rPr>
          <w:rFonts w:ascii="Times New Roman" w:hAnsi="Times New Roman" w:cs="Times New Roman"/>
        </w:rPr>
        <w:t xml:space="preserve">and </w:t>
      </w:r>
      <w:r w:rsidRPr="00A74CDF">
        <w:rPr>
          <w:rFonts w:ascii="Times New Roman" w:hAnsi="Times New Roman" w:cs="Times New Roman"/>
          <w:b/>
          <w:bCs/>
        </w:rPr>
        <w:t xml:space="preserve">Figure </w:t>
      </w:r>
      <w:r w:rsidR="000F4913" w:rsidRPr="00A74CDF">
        <w:rPr>
          <w:rFonts w:ascii="Times New Roman" w:hAnsi="Times New Roman" w:cs="Times New Roman"/>
          <w:b/>
          <w:bCs/>
        </w:rPr>
        <w:t>I</w:t>
      </w:r>
      <w:r w:rsidR="008100D2" w:rsidRPr="00A74CDF">
        <w:rPr>
          <w:rFonts w:ascii="Times New Roman" w:hAnsi="Times New Roman" w:cs="Times New Roman"/>
          <w:b/>
          <w:bCs/>
        </w:rPr>
        <w:t>I</w:t>
      </w:r>
      <w:r w:rsidR="000F4913" w:rsidRPr="00A74CDF">
        <w:rPr>
          <w:rFonts w:ascii="Times New Roman" w:hAnsi="Times New Roman" w:cs="Times New Roman"/>
          <w:b/>
          <w:bCs/>
        </w:rPr>
        <w:t>I in the Data Supplement</w:t>
      </w:r>
      <w:r w:rsidRPr="00A74CDF">
        <w:rPr>
          <w:rFonts w:ascii="Times New Roman" w:hAnsi="Times New Roman" w:cs="Times New Roman"/>
        </w:rPr>
        <w:t xml:space="preserve">. </w:t>
      </w:r>
      <w:r w:rsidRPr="00A74CDF">
        <w:rPr>
          <w:rFonts w:ascii="Times New Roman" w:hAnsi="Times New Roman" w:cs="Times New Roman"/>
          <w:lang w:eastAsia="ko-KR"/>
        </w:rPr>
        <w:t xml:space="preserve">In </w:t>
      </w:r>
      <w:r w:rsidR="004D2F7F" w:rsidRPr="00A74CDF">
        <w:rPr>
          <w:rFonts w:ascii="Times New Roman" w:hAnsi="Times New Roman" w:cs="Times New Roman"/>
          <w:lang w:eastAsia="ko-KR"/>
        </w:rPr>
        <w:t xml:space="preserve">a </w:t>
      </w:r>
      <w:r w:rsidRPr="00A74CDF">
        <w:rPr>
          <w:rFonts w:ascii="Times New Roman" w:hAnsi="Times New Roman" w:cs="Times New Roman"/>
          <w:lang w:eastAsia="ko-KR"/>
        </w:rPr>
        <w:t>weighted Kaplan-Meier survival analysis, NOAC</w:t>
      </w:r>
      <w:r w:rsidR="004D2F7F" w:rsidRPr="00A74CDF">
        <w:rPr>
          <w:rFonts w:ascii="Times New Roman" w:hAnsi="Times New Roman" w:cs="Times New Roman"/>
          <w:lang w:eastAsia="ko-KR"/>
        </w:rPr>
        <w:t xml:space="preserve"> user</w:t>
      </w:r>
      <w:r w:rsidRPr="00A74CDF">
        <w:rPr>
          <w:rFonts w:ascii="Times New Roman" w:hAnsi="Times New Roman" w:cs="Times New Roman"/>
          <w:lang w:eastAsia="ko-KR"/>
        </w:rPr>
        <w:t xml:space="preserve">s showed lower risk of major bleeding events compared </w:t>
      </w:r>
      <w:r w:rsidR="004D2F7F" w:rsidRPr="00A74CDF">
        <w:rPr>
          <w:rFonts w:ascii="Times New Roman" w:hAnsi="Times New Roman" w:cs="Times New Roman"/>
          <w:lang w:eastAsia="ko-KR"/>
        </w:rPr>
        <w:t>with</w:t>
      </w:r>
      <w:r w:rsidRPr="00A74CDF">
        <w:rPr>
          <w:rFonts w:ascii="Times New Roman" w:hAnsi="Times New Roman" w:cs="Times New Roman"/>
          <w:lang w:eastAsia="ko-KR"/>
        </w:rPr>
        <w:t xml:space="preserve"> warfarin users except for fatal GIB </w:t>
      </w:r>
      <w:r w:rsidR="00FD16A4" w:rsidRPr="00A74CDF">
        <w:rPr>
          <w:rFonts w:ascii="Times New Roman" w:hAnsi="Times New Roman" w:cs="Times New Roman"/>
          <w:lang w:eastAsia="ko-KR"/>
        </w:rPr>
        <w:t>(</w:t>
      </w:r>
      <w:r w:rsidRPr="00A74CDF">
        <w:rPr>
          <w:rFonts w:ascii="Times New Roman" w:hAnsi="Times New Roman" w:cs="Times New Roman"/>
          <w:lang w:eastAsia="ko-KR"/>
        </w:rPr>
        <w:t>HR 0.464</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95% CI 0.346-0.618 for ICH; HR 0.827</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95% CI 0.714-0.958 for GIB; HR 0.272</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95% CI 0.144-0.479 for fatal ICH; and HR 1.152</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95% CI 0.539-2.514 for fatal GIB</w:t>
      </w:r>
      <w:r w:rsidR="00FD16A4" w:rsidRPr="00A74CDF">
        <w:rPr>
          <w:rFonts w:ascii="Times New Roman" w:hAnsi="Times New Roman" w:cs="Times New Roman"/>
          <w:lang w:eastAsia="ko-KR"/>
        </w:rPr>
        <w:t>)</w:t>
      </w:r>
      <w:r w:rsidRPr="00A74CDF">
        <w:rPr>
          <w:rFonts w:ascii="Times New Roman" w:hAnsi="Times New Roman" w:cs="Times New Roman"/>
          <w:lang w:eastAsia="ko-KR"/>
        </w:rPr>
        <w:t xml:space="preserve"> (</w:t>
      </w:r>
      <w:r w:rsidRPr="00A74CDF">
        <w:rPr>
          <w:rFonts w:ascii="Times New Roman" w:hAnsi="Times New Roman" w:cs="Times New Roman"/>
          <w:b/>
          <w:bCs/>
          <w:lang w:eastAsia="ko-KR"/>
        </w:rPr>
        <w:t xml:space="preserve">Figure </w:t>
      </w:r>
      <w:r w:rsidR="000F4913" w:rsidRPr="00A74CDF">
        <w:rPr>
          <w:rFonts w:ascii="Times New Roman" w:hAnsi="Times New Roman" w:cs="Times New Roman"/>
          <w:b/>
          <w:bCs/>
          <w:lang w:eastAsia="ko-KR"/>
        </w:rPr>
        <w:t>I</w:t>
      </w:r>
      <w:r w:rsidR="00B54801" w:rsidRPr="00A74CDF">
        <w:rPr>
          <w:rFonts w:ascii="Times New Roman" w:hAnsi="Times New Roman" w:cs="Times New Roman"/>
          <w:b/>
          <w:bCs/>
          <w:lang w:eastAsia="ko-KR"/>
        </w:rPr>
        <w:t>V</w:t>
      </w:r>
      <w:r w:rsidRPr="00A74CDF">
        <w:rPr>
          <w:rFonts w:ascii="Times New Roman" w:hAnsi="Times New Roman" w:cs="Times New Roman"/>
          <w:lang w:eastAsia="ko-KR"/>
        </w:rPr>
        <w:t>).</w:t>
      </w:r>
    </w:p>
    <w:p w14:paraId="65D63490" w14:textId="60040C72"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p>
    <w:p w14:paraId="165E6987" w14:textId="4266A93C" w:rsidR="00A57F36" w:rsidRPr="00A74CDF" w:rsidRDefault="00F94608" w:rsidP="00A57F36">
      <w:pPr>
        <w:pStyle w:val="TableofContents"/>
        <w:spacing w:before="0" w:after="0"/>
        <w:contextualSpacing/>
        <w:jc w:val="both"/>
        <w:rPr>
          <w:rFonts w:ascii="Times New Roman" w:hAnsi="Times New Roman" w:cs="Times New Roman"/>
          <w:i/>
          <w:iCs/>
        </w:rPr>
      </w:pPr>
      <w:r w:rsidRPr="00A74CDF">
        <w:rPr>
          <w:rFonts w:ascii="Times New Roman" w:hAnsi="Times New Roman" w:cs="Times New Roman"/>
          <w:i/>
          <w:iCs/>
        </w:rPr>
        <w:t>Details of gastrointestinal bleeding events</w:t>
      </w:r>
    </w:p>
    <w:p w14:paraId="31495EA6" w14:textId="7B4D3675" w:rsidR="000E2AC2" w:rsidRPr="00A74CDF" w:rsidRDefault="00FA233D" w:rsidP="00BB1388">
      <w:pPr>
        <w:pStyle w:val="TableofContents"/>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We performed a detailed analysis of GIB events (</w:t>
      </w:r>
      <w:r w:rsidRPr="00A74CDF">
        <w:rPr>
          <w:rFonts w:ascii="Times New Roman" w:hAnsi="Times New Roman" w:cs="Times New Roman"/>
          <w:b/>
        </w:rPr>
        <w:t>Table II</w:t>
      </w:r>
      <w:r w:rsidRPr="00A74CDF">
        <w:rPr>
          <w:rFonts w:ascii="Times New Roman" w:hAnsi="Times New Roman" w:cs="Times New Roman"/>
        </w:rPr>
        <w:t xml:space="preserve">). There were no significant differences in the proportions of upper or lower GIB by OAC types. However, length of hospital stay was significantly shorter in NOAC users than in warfarin users; 6.2±5.2 versus 7.9±6.9, respectively; </w:t>
      </w:r>
      <w:r w:rsidRPr="00A74CDF">
        <w:rPr>
          <w:rFonts w:ascii="Times New Roman" w:hAnsi="Times New Roman" w:cs="Times New Roman"/>
          <w:i/>
        </w:rPr>
        <w:t>p</w:t>
      </w:r>
      <w:r w:rsidRPr="00A74CDF">
        <w:rPr>
          <w:rFonts w:ascii="Times New Roman" w:hAnsi="Times New Roman" w:cs="Times New Roman"/>
        </w:rPr>
        <w:t xml:space="preserve">-value &lt;0.001. Also, the number of cases of transfusion requirements and that of endoscopic interventions were significantly lower in NOAC users than in warfarin users; 208 (60.1) versus 321 (67.0) for transfusion; 256 (74.0) versus 385 (80.4) for endoscopic intervention; </w:t>
      </w:r>
      <w:r w:rsidRPr="00A74CDF">
        <w:rPr>
          <w:rFonts w:ascii="Times New Roman" w:hAnsi="Times New Roman" w:cs="Times New Roman"/>
          <w:i/>
        </w:rPr>
        <w:t>p</w:t>
      </w:r>
      <w:r w:rsidRPr="00A74CDF">
        <w:rPr>
          <w:rFonts w:ascii="Times New Roman" w:hAnsi="Times New Roman" w:cs="Times New Roman"/>
        </w:rPr>
        <w:t xml:space="preserve">-value = 0.042 and 0.030 by Pearson’s chi-square test, respectively. Possibly due to the low event numbers, there was no significant difference in the number of radiologic interventions between the </w:t>
      </w:r>
      <w:r w:rsidRPr="00A74CDF">
        <w:rPr>
          <w:rFonts w:ascii="Times New Roman" w:hAnsi="Times New Roman" w:cs="Times New Roman"/>
        </w:rPr>
        <w:lastRenderedPageBreak/>
        <w:t xml:space="preserve">two treatment groups. </w:t>
      </w:r>
      <w:r w:rsidR="00C246C4" w:rsidRPr="00A74CDF">
        <w:rPr>
          <w:rFonts w:ascii="Times New Roman" w:hAnsi="Times New Roman" w:cs="Times New Roman"/>
        </w:rPr>
        <w:t>Considering such results, the degrees of GIB presentation may have been more severe in warfarin users than in the NOAC users.</w:t>
      </w:r>
    </w:p>
    <w:p w14:paraId="6A0AC6D6" w14:textId="77777777" w:rsidR="00A57F36" w:rsidRPr="00A74CDF" w:rsidRDefault="00A57F36" w:rsidP="00BB1388">
      <w:pPr>
        <w:pStyle w:val="TableofContents"/>
        <w:spacing w:before="0" w:after="0"/>
        <w:ind w:firstLineChars="200" w:firstLine="480"/>
        <w:contextualSpacing/>
        <w:jc w:val="both"/>
        <w:rPr>
          <w:rFonts w:ascii="Times New Roman" w:hAnsi="Times New Roman" w:cs="Times New Roman"/>
        </w:rPr>
      </w:pPr>
    </w:p>
    <w:p w14:paraId="65AB64A8" w14:textId="77777777" w:rsidR="005B3F87" w:rsidRPr="00A74CDF" w:rsidRDefault="005B3F87" w:rsidP="00BB1388">
      <w:pPr>
        <w:pStyle w:val="TableofContents"/>
        <w:spacing w:before="0" w:after="0"/>
        <w:contextualSpacing/>
        <w:jc w:val="both"/>
        <w:rPr>
          <w:rFonts w:ascii="Times New Roman" w:hAnsi="Times New Roman" w:cs="Times New Roman"/>
          <w:i/>
          <w:iCs/>
          <w:lang w:eastAsia="ko-KR"/>
        </w:rPr>
      </w:pPr>
      <w:r w:rsidRPr="00A74CDF">
        <w:rPr>
          <w:rFonts w:ascii="Times New Roman" w:hAnsi="Times New Roman" w:cs="Times New Roman"/>
          <w:i/>
          <w:iCs/>
          <w:lang w:eastAsia="ko-KR"/>
        </w:rPr>
        <w:t>Subgroup and sensitivity analyses</w:t>
      </w:r>
    </w:p>
    <w:p w14:paraId="7B4173E5" w14:textId="77777777" w:rsidR="005B3F87" w:rsidRPr="00A74CDF" w:rsidRDefault="005B3F87" w:rsidP="00BB1388">
      <w:pPr>
        <w:pStyle w:val="TableofContents"/>
        <w:numPr>
          <w:ilvl w:val="0"/>
          <w:numId w:val="0"/>
        </w:numPr>
        <w:spacing w:before="0" w:after="0"/>
        <w:contextualSpacing/>
        <w:jc w:val="both"/>
        <w:rPr>
          <w:rFonts w:ascii="Times New Roman" w:hAnsi="Times New Roman" w:cs="Times New Roman"/>
          <w:i/>
          <w:iCs/>
          <w:lang w:eastAsia="ko-KR"/>
        </w:rPr>
      </w:pPr>
      <w:r w:rsidRPr="00A74CDF">
        <w:rPr>
          <w:rFonts w:ascii="Times New Roman" w:hAnsi="Times New Roman" w:cs="Times New Roman"/>
          <w:i/>
          <w:iCs/>
        </w:rPr>
        <w:t>(a) NOAC types</w:t>
      </w:r>
    </w:p>
    <w:p w14:paraId="1908037E" w14:textId="17982EBB" w:rsidR="005B3F87" w:rsidRPr="00A74CDF" w:rsidRDefault="005B3F87" w:rsidP="00BB1388">
      <w:pPr>
        <w:pStyle w:val="TableofContents"/>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NOAC</w:t>
      </w:r>
      <w:r w:rsidR="00FD16A4" w:rsidRPr="00A74CDF">
        <w:rPr>
          <w:rFonts w:ascii="Times New Roman" w:hAnsi="Times New Roman" w:cs="Times New Roman"/>
        </w:rPr>
        <w:t>s</w:t>
      </w:r>
      <w:r w:rsidRPr="00A74CDF">
        <w:rPr>
          <w:rFonts w:ascii="Times New Roman" w:hAnsi="Times New Roman" w:cs="Times New Roman"/>
        </w:rPr>
        <w:t xml:space="preserve"> w</w:t>
      </w:r>
      <w:r w:rsidR="00FD16A4" w:rsidRPr="00A74CDF">
        <w:rPr>
          <w:rFonts w:ascii="Times New Roman" w:hAnsi="Times New Roman" w:cs="Times New Roman"/>
        </w:rPr>
        <w:t>ere</w:t>
      </w:r>
      <w:r w:rsidRPr="00A74CDF">
        <w:rPr>
          <w:rFonts w:ascii="Times New Roman" w:hAnsi="Times New Roman" w:cs="Times New Roman"/>
        </w:rPr>
        <w:t xml:space="preserve"> prescribed </w:t>
      </w:r>
      <w:r w:rsidR="004D2F7F" w:rsidRPr="00A74CDF">
        <w:rPr>
          <w:rFonts w:ascii="Times New Roman" w:hAnsi="Times New Roman" w:cs="Times New Roman"/>
        </w:rPr>
        <w:t xml:space="preserve">to patients in </w:t>
      </w:r>
      <w:r w:rsidRPr="00A74CDF">
        <w:rPr>
          <w:rFonts w:ascii="Times New Roman" w:hAnsi="Times New Roman" w:cs="Times New Roman"/>
        </w:rPr>
        <w:t xml:space="preserve">the following </w:t>
      </w:r>
      <w:r w:rsidR="004D2F7F" w:rsidRPr="00A74CDF">
        <w:rPr>
          <w:rFonts w:ascii="Times New Roman" w:hAnsi="Times New Roman" w:cs="Times New Roman"/>
        </w:rPr>
        <w:t>proportions</w:t>
      </w:r>
      <w:r w:rsidRPr="00A74CDF">
        <w:rPr>
          <w:rFonts w:ascii="Times New Roman" w:hAnsi="Times New Roman" w:cs="Times New Roman"/>
        </w:rPr>
        <w:t xml:space="preserve">: 9539 (38.5%) </w:t>
      </w:r>
      <w:r w:rsidRPr="00A74CDF">
        <w:rPr>
          <w:rFonts w:ascii="Times New Roman" w:hAnsi="Times New Roman" w:cs="Times New Roman"/>
          <w:lang w:eastAsia="ko-KR"/>
        </w:rPr>
        <w:t>rivaroxaban</w:t>
      </w:r>
      <w:r w:rsidRPr="00A74CDF">
        <w:rPr>
          <w:rFonts w:ascii="Times New Roman" w:hAnsi="Times New Roman" w:cs="Times New Roman"/>
        </w:rPr>
        <w:t xml:space="preserve">, 4358 (17.6%) dabigatran, 6404 (25.8%) apixaban, </w:t>
      </w:r>
      <w:r w:rsidR="004D2F7F" w:rsidRPr="00A74CDF">
        <w:rPr>
          <w:rFonts w:ascii="Times New Roman" w:hAnsi="Times New Roman" w:cs="Times New Roman"/>
        </w:rPr>
        <w:t xml:space="preserve">and </w:t>
      </w:r>
      <w:r w:rsidRPr="00A74CDF">
        <w:rPr>
          <w:rFonts w:ascii="Times New Roman" w:hAnsi="Times New Roman" w:cs="Times New Roman"/>
        </w:rPr>
        <w:t>4480 (18.1%) edoxaban.</w:t>
      </w:r>
      <w:r w:rsidRPr="00A74CDF">
        <w:rPr>
          <w:rFonts w:ascii="Times New Roman" w:hAnsi="Times New Roman" w:cs="Times New Roman"/>
          <w:lang w:eastAsia="ko-KR"/>
        </w:rPr>
        <w:t xml:space="preserve"> </w:t>
      </w:r>
      <w:r w:rsidRPr="00A74CDF">
        <w:rPr>
          <w:rFonts w:ascii="Times New Roman" w:hAnsi="Times New Roman" w:cs="Times New Roman"/>
        </w:rPr>
        <w:t xml:space="preserve">The baseline characteristics of warfarin and </w:t>
      </w:r>
      <w:r w:rsidR="004D2F7F" w:rsidRPr="00A74CDF">
        <w:rPr>
          <w:rFonts w:ascii="Times New Roman" w:hAnsi="Times New Roman" w:cs="Times New Roman"/>
        </w:rPr>
        <w:t xml:space="preserve">the </w:t>
      </w:r>
      <w:r w:rsidRPr="00A74CDF">
        <w:rPr>
          <w:rFonts w:ascii="Times New Roman" w:hAnsi="Times New Roman" w:cs="Times New Roman"/>
        </w:rPr>
        <w:t>four NOAC</w:t>
      </w:r>
      <w:r w:rsidR="004D2F7F" w:rsidRPr="00A74CDF">
        <w:rPr>
          <w:rFonts w:ascii="Times New Roman" w:hAnsi="Times New Roman" w:cs="Times New Roman"/>
        </w:rPr>
        <w:t>s</w:t>
      </w:r>
      <w:r w:rsidRPr="00A74CDF">
        <w:rPr>
          <w:rFonts w:ascii="Times New Roman" w:hAnsi="Times New Roman" w:cs="Times New Roman"/>
        </w:rPr>
        <w:t xml:space="preserve"> before and after IPTW are presented in </w:t>
      </w:r>
      <w:r w:rsidRPr="00A74CDF">
        <w:rPr>
          <w:rFonts w:ascii="Times New Roman" w:hAnsi="Times New Roman" w:cs="Times New Roman"/>
          <w:b/>
          <w:bCs/>
        </w:rPr>
        <w:t xml:space="preserve">Table </w:t>
      </w:r>
      <w:r w:rsidR="002B1526" w:rsidRPr="00A74CDF">
        <w:rPr>
          <w:rFonts w:ascii="Times New Roman" w:hAnsi="Times New Roman" w:cs="Times New Roman"/>
          <w:b/>
          <w:bCs/>
        </w:rPr>
        <w:t>IV</w:t>
      </w:r>
      <w:r w:rsidRPr="00A74CDF">
        <w:rPr>
          <w:rFonts w:ascii="Times New Roman" w:hAnsi="Times New Roman" w:cs="Times New Roman"/>
        </w:rPr>
        <w:t xml:space="preserve"> and </w:t>
      </w:r>
      <w:r w:rsidRPr="00A74CDF">
        <w:rPr>
          <w:rFonts w:ascii="Times New Roman" w:hAnsi="Times New Roman" w:cs="Times New Roman"/>
          <w:b/>
          <w:bCs/>
        </w:rPr>
        <w:t xml:space="preserve">Table </w:t>
      </w:r>
      <w:r w:rsidR="002B1526" w:rsidRPr="00A74CDF">
        <w:rPr>
          <w:rFonts w:ascii="Times New Roman" w:hAnsi="Times New Roman" w:cs="Times New Roman"/>
          <w:b/>
          <w:bCs/>
        </w:rPr>
        <w:t>V in the Data Supplement</w:t>
      </w:r>
      <w:r w:rsidRPr="00A74CDF">
        <w:rPr>
          <w:rFonts w:ascii="Times New Roman" w:hAnsi="Times New Roman" w:cs="Times New Roman"/>
        </w:rPr>
        <w:t xml:space="preserve">. </w:t>
      </w:r>
      <w:r w:rsidRPr="00A74CDF">
        <w:rPr>
          <w:rFonts w:ascii="Times New Roman" w:hAnsi="Times New Roman" w:cs="Times New Roman"/>
          <w:lang w:eastAsia="ko-KR"/>
        </w:rPr>
        <w:t xml:space="preserve">All </w:t>
      </w:r>
      <w:r w:rsidR="004D2F7F" w:rsidRPr="00A74CDF">
        <w:rPr>
          <w:rFonts w:ascii="Times New Roman" w:hAnsi="Times New Roman" w:cs="Times New Roman"/>
          <w:lang w:eastAsia="ko-KR"/>
        </w:rPr>
        <w:t>four</w:t>
      </w:r>
      <w:r w:rsidRPr="00A74CDF">
        <w:rPr>
          <w:rFonts w:ascii="Times New Roman" w:hAnsi="Times New Roman" w:cs="Times New Roman"/>
          <w:lang w:eastAsia="ko-KR"/>
        </w:rPr>
        <w:t xml:space="preserve"> NOACs had significantly lower weighted risks of all primary and secondary outcomes compared </w:t>
      </w:r>
      <w:r w:rsidR="004D2F7F" w:rsidRPr="00A74CDF">
        <w:rPr>
          <w:rFonts w:ascii="Times New Roman" w:hAnsi="Times New Roman" w:cs="Times New Roman"/>
          <w:lang w:eastAsia="ko-KR"/>
        </w:rPr>
        <w:t xml:space="preserve">with </w:t>
      </w:r>
      <w:r w:rsidRPr="00A74CDF">
        <w:rPr>
          <w:rFonts w:ascii="Times New Roman" w:hAnsi="Times New Roman" w:cs="Times New Roman"/>
          <w:lang w:eastAsia="ko-KR"/>
        </w:rPr>
        <w:t>warfarin (</w:t>
      </w:r>
      <w:r w:rsidRPr="00A74CDF">
        <w:rPr>
          <w:rFonts w:ascii="Times New Roman" w:hAnsi="Times New Roman" w:cs="Times New Roman"/>
          <w:b/>
          <w:bCs/>
          <w:lang w:eastAsia="ko-KR"/>
        </w:rPr>
        <w:t xml:space="preserve">Table </w:t>
      </w:r>
      <w:r w:rsidR="002B1526" w:rsidRPr="00A74CDF">
        <w:rPr>
          <w:rFonts w:ascii="Times New Roman" w:hAnsi="Times New Roman" w:cs="Times New Roman"/>
          <w:b/>
          <w:bCs/>
          <w:lang w:eastAsia="ko-KR"/>
        </w:rPr>
        <w:t>VI,</w:t>
      </w:r>
      <w:r w:rsidRPr="00A74CDF">
        <w:rPr>
          <w:rFonts w:ascii="Times New Roman" w:hAnsi="Times New Roman" w:cs="Times New Roman"/>
          <w:b/>
          <w:bCs/>
          <w:lang w:eastAsia="ko-KR"/>
        </w:rPr>
        <w:t xml:space="preserve"> </w:t>
      </w:r>
      <w:r w:rsidR="002B1526" w:rsidRPr="00A74CDF">
        <w:rPr>
          <w:rFonts w:ascii="Times New Roman" w:hAnsi="Times New Roman" w:cs="Times New Roman"/>
          <w:b/>
          <w:bCs/>
          <w:lang w:eastAsia="ko-KR"/>
        </w:rPr>
        <w:t>Table VII</w:t>
      </w:r>
      <w:r w:rsidRPr="00A74CDF">
        <w:rPr>
          <w:rFonts w:ascii="Times New Roman" w:hAnsi="Times New Roman" w:cs="Times New Roman"/>
          <w:b/>
          <w:bCs/>
          <w:lang w:eastAsia="ko-KR"/>
        </w:rPr>
        <w:t xml:space="preserve">, Figure </w:t>
      </w:r>
      <w:r w:rsidR="00B54801" w:rsidRPr="00A74CDF">
        <w:rPr>
          <w:rFonts w:ascii="Times New Roman" w:hAnsi="Times New Roman" w:cs="Times New Roman"/>
          <w:b/>
          <w:bCs/>
          <w:lang w:eastAsia="ko-KR"/>
        </w:rPr>
        <w:t>I</w:t>
      </w:r>
      <w:r w:rsidR="008100D2" w:rsidRPr="00A74CDF">
        <w:rPr>
          <w:rFonts w:ascii="Times New Roman" w:hAnsi="Times New Roman" w:cs="Times New Roman"/>
          <w:b/>
          <w:bCs/>
          <w:lang w:eastAsia="ko-KR"/>
        </w:rPr>
        <w:t>V</w:t>
      </w:r>
      <w:r w:rsidR="002B1526" w:rsidRPr="00A74CDF">
        <w:rPr>
          <w:rFonts w:ascii="Times New Roman" w:hAnsi="Times New Roman" w:cs="Times New Roman"/>
          <w:b/>
          <w:bCs/>
          <w:lang w:eastAsia="ko-KR"/>
        </w:rPr>
        <w:t>, and Figure</w:t>
      </w:r>
      <w:r w:rsidRPr="00A74CDF">
        <w:rPr>
          <w:rFonts w:ascii="Times New Roman" w:hAnsi="Times New Roman" w:cs="Times New Roman"/>
          <w:b/>
          <w:bCs/>
          <w:lang w:eastAsia="ko-KR"/>
        </w:rPr>
        <w:t xml:space="preserve"> </w:t>
      </w:r>
      <w:r w:rsidR="000F4913" w:rsidRPr="00A74CDF">
        <w:rPr>
          <w:rFonts w:ascii="Times New Roman" w:hAnsi="Times New Roman" w:cs="Times New Roman"/>
          <w:b/>
          <w:bCs/>
          <w:lang w:eastAsia="ko-KR"/>
        </w:rPr>
        <w:t>V</w:t>
      </w:r>
      <w:r w:rsidR="002B1526" w:rsidRPr="00A74CDF">
        <w:rPr>
          <w:rFonts w:ascii="Times New Roman" w:hAnsi="Times New Roman" w:cs="Times New Roman"/>
          <w:b/>
          <w:bCs/>
          <w:lang w:eastAsia="ko-KR"/>
        </w:rPr>
        <w:t xml:space="preserve"> in the Data Supplement</w:t>
      </w:r>
      <w:r w:rsidRPr="00A74CDF">
        <w:rPr>
          <w:rFonts w:ascii="Times New Roman" w:hAnsi="Times New Roman" w:cs="Times New Roman"/>
          <w:lang w:eastAsia="ko-KR"/>
        </w:rPr>
        <w:t xml:space="preserve">). Among </w:t>
      </w:r>
      <w:r w:rsidR="004D2F7F" w:rsidRPr="00A74CDF">
        <w:rPr>
          <w:rFonts w:ascii="Times New Roman" w:hAnsi="Times New Roman" w:cs="Times New Roman"/>
          <w:lang w:eastAsia="ko-KR"/>
        </w:rPr>
        <w:t>the four</w:t>
      </w:r>
      <w:r w:rsidRPr="00A74CDF">
        <w:rPr>
          <w:rFonts w:ascii="Times New Roman" w:hAnsi="Times New Roman" w:cs="Times New Roman"/>
          <w:lang w:eastAsia="ko-KR"/>
        </w:rPr>
        <w:t xml:space="preserve"> NOACs, edoxaban was associated with the lowest risk of ischemic stroke (HR 0.426</w:t>
      </w:r>
      <w:r w:rsidR="00DE3B7B" w:rsidRPr="00A74CDF">
        <w:rPr>
          <w:rFonts w:ascii="Times New Roman" w:hAnsi="Times New Roman" w:cs="Times New Roman"/>
          <w:lang w:eastAsia="ko-KR"/>
        </w:rPr>
        <w:t>,</w:t>
      </w:r>
      <w:r w:rsidRPr="00A74CDF">
        <w:rPr>
          <w:rFonts w:ascii="Times New Roman" w:hAnsi="Times New Roman" w:cs="Times New Roman"/>
          <w:lang w:eastAsia="ko-KR"/>
        </w:rPr>
        <w:t xml:space="preserve"> 95% CI 0.322-0.552) and </w:t>
      </w:r>
      <w:r w:rsidR="007C11DA" w:rsidRPr="00A74CDF">
        <w:rPr>
          <w:rFonts w:ascii="Times New Roman" w:hAnsi="Times New Roman" w:cs="Times New Roman"/>
          <w:lang w:eastAsia="ko-KR"/>
        </w:rPr>
        <w:t xml:space="preserve">the </w:t>
      </w:r>
      <w:r w:rsidRPr="00A74CDF">
        <w:rPr>
          <w:rFonts w:ascii="Times New Roman" w:hAnsi="Times New Roman" w:cs="Times New Roman"/>
          <w:lang w:eastAsia="ko-KR"/>
        </w:rPr>
        <w:t>composite outcome (HR 0.542</w:t>
      </w:r>
      <w:r w:rsidR="00DE3B7B" w:rsidRPr="00A74CDF">
        <w:rPr>
          <w:rFonts w:ascii="Times New Roman" w:hAnsi="Times New Roman" w:cs="Times New Roman"/>
          <w:lang w:eastAsia="ko-KR"/>
        </w:rPr>
        <w:t>,</w:t>
      </w:r>
      <w:r w:rsidRPr="00A74CDF">
        <w:rPr>
          <w:rFonts w:ascii="Times New Roman" w:hAnsi="Times New Roman" w:cs="Times New Roman"/>
          <w:lang w:eastAsia="ko-KR"/>
        </w:rPr>
        <w:t xml:space="preserve"> 95% CI 0.446-0.652), whereas apixaban was associated with the lowest risk of major bleeding (HR 0.653</w:t>
      </w:r>
      <w:r w:rsidR="00DE3B7B" w:rsidRPr="00A74CDF">
        <w:rPr>
          <w:rFonts w:ascii="Times New Roman" w:hAnsi="Times New Roman" w:cs="Times New Roman"/>
          <w:lang w:eastAsia="ko-KR"/>
        </w:rPr>
        <w:t>,</w:t>
      </w:r>
      <w:r w:rsidRPr="00A74CDF">
        <w:rPr>
          <w:rFonts w:ascii="Times New Roman" w:hAnsi="Times New Roman" w:cs="Times New Roman"/>
          <w:lang w:eastAsia="ko-KR"/>
        </w:rPr>
        <w:t xml:space="preserve"> 95% CI 0.523-0.807). All NOACs had a lower risk of ICH </w:t>
      </w:r>
      <w:r w:rsidR="00DE3B7B" w:rsidRPr="00A74CDF">
        <w:rPr>
          <w:rFonts w:ascii="Times New Roman" w:hAnsi="Times New Roman" w:cs="Times New Roman"/>
          <w:lang w:eastAsia="ko-KR"/>
        </w:rPr>
        <w:t xml:space="preserve">compared with </w:t>
      </w:r>
      <w:r w:rsidRPr="00A74CDF">
        <w:rPr>
          <w:rFonts w:ascii="Times New Roman" w:hAnsi="Times New Roman" w:cs="Times New Roman"/>
          <w:lang w:eastAsia="ko-KR"/>
        </w:rPr>
        <w:t xml:space="preserve">warfarin, while only dabigatran and apixaban had </w:t>
      </w:r>
      <w:r w:rsidR="00FD16A4" w:rsidRPr="00A74CDF">
        <w:rPr>
          <w:rFonts w:ascii="Times New Roman" w:hAnsi="Times New Roman" w:cs="Times New Roman"/>
          <w:lang w:eastAsia="ko-KR"/>
        </w:rPr>
        <w:t xml:space="preserve">a </w:t>
      </w:r>
      <w:r w:rsidRPr="00A74CDF">
        <w:rPr>
          <w:rFonts w:ascii="Times New Roman" w:hAnsi="Times New Roman" w:cs="Times New Roman"/>
          <w:lang w:eastAsia="ko-KR"/>
        </w:rPr>
        <w:t xml:space="preserve">lower risk of recurrent GIB </w:t>
      </w:r>
      <w:r w:rsidR="00FD16A4" w:rsidRPr="00A74CDF">
        <w:rPr>
          <w:rFonts w:ascii="Times New Roman" w:hAnsi="Times New Roman" w:cs="Times New Roman"/>
          <w:lang w:eastAsia="ko-KR"/>
        </w:rPr>
        <w:t xml:space="preserve">compared with </w:t>
      </w:r>
      <w:r w:rsidRPr="00A74CDF">
        <w:rPr>
          <w:rFonts w:ascii="Times New Roman" w:hAnsi="Times New Roman" w:cs="Times New Roman"/>
          <w:lang w:eastAsia="ko-KR"/>
        </w:rPr>
        <w:t>warfarin (HR 0.762</w:t>
      </w:r>
      <w:r w:rsidR="00DE3B7B" w:rsidRPr="00A74CDF">
        <w:rPr>
          <w:rFonts w:ascii="Times New Roman" w:hAnsi="Times New Roman" w:cs="Times New Roman"/>
          <w:lang w:eastAsia="ko-KR"/>
        </w:rPr>
        <w:t>,</w:t>
      </w:r>
      <w:r w:rsidRPr="00A74CDF">
        <w:rPr>
          <w:rFonts w:ascii="Times New Roman" w:hAnsi="Times New Roman" w:cs="Times New Roman"/>
          <w:lang w:eastAsia="ko-KR"/>
        </w:rPr>
        <w:t xml:space="preserve"> 95% CI 0.576-0.989 and HR 0.724</w:t>
      </w:r>
      <w:r w:rsidR="00DE3B7B" w:rsidRPr="00A74CDF">
        <w:rPr>
          <w:rFonts w:ascii="Times New Roman" w:hAnsi="Times New Roman" w:cs="Times New Roman"/>
          <w:lang w:eastAsia="ko-KR"/>
        </w:rPr>
        <w:t>,</w:t>
      </w:r>
      <w:r w:rsidRPr="00A74CDF">
        <w:rPr>
          <w:rFonts w:ascii="Times New Roman" w:hAnsi="Times New Roman" w:cs="Times New Roman"/>
          <w:lang w:eastAsia="ko-KR"/>
        </w:rPr>
        <w:t xml:space="preserve"> 95% CI 0.565-0.917, respectively).</w:t>
      </w:r>
    </w:p>
    <w:p w14:paraId="637AB071" w14:textId="77777777" w:rsidR="005B3F87" w:rsidRPr="00A74CDF" w:rsidRDefault="005B3F87" w:rsidP="00BB1388">
      <w:pPr>
        <w:pStyle w:val="TableofContents"/>
        <w:spacing w:before="0" w:after="0"/>
        <w:ind w:firstLineChars="200" w:firstLine="480"/>
        <w:contextualSpacing/>
        <w:jc w:val="both"/>
        <w:rPr>
          <w:rFonts w:ascii="Times New Roman" w:hAnsi="Times New Roman" w:cs="Times New Roman"/>
          <w:lang w:eastAsia="ko-KR"/>
        </w:rPr>
      </w:pPr>
    </w:p>
    <w:p w14:paraId="74CFDDAD" w14:textId="358D03B8" w:rsidR="005B3F87" w:rsidRPr="00A74CDF" w:rsidRDefault="005B3F87" w:rsidP="00BB1388">
      <w:pPr>
        <w:pStyle w:val="TableofContents"/>
        <w:spacing w:before="0" w:after="0"/>
        <w:contextualSpacing/>
        <w:jc w:val="both"/>
        <w:rPr>
          <w:rFonts w:ascii="Times New Roman" w:hAnsi="Times New Roman" w:cs="Times New Roman"/>
          <w:i/>
          <w:iCs/>
          <w:lang w:eastAsia="ko-KR"/>
        </w:rPr>
      </w:pPr>
      <w:r w:rsidRPr="00A74CDF">
        <w:rPr>
          <w:rFonts w:ascii="Times New Roman" w:hAnsi="Times New Roman" w:cs="Times New Roman"/>
          <w:i/>
          <w:iCs/>
          <w:lang w:eastAsia="ko-KR"/>
        </w:rPr>
        <w:t>(b) Various</w:t>
      </w:r>
      <w:r w:rsidR="00FF7E7F" w:rsidRPr="00A74CDF">
        <w:rPr>
          <w:rFonts w:ascii="Times New Roman" w:hAnsi="Times New Roman" w:cs="Times New Roman"/>
          <w:i/>
          <w:iCs/>
          <w:lang w:eastAsia="ko-KR"/>
        </w:rPr>
        <w:t xml:space="preserve"> patient</w:t>
      </w:r>
      <w:r w:rsidRPr="00A74CDF">
        <w:rPr>
          <w:rFonts w:ascii="Times New Roman" w:hAnsi="Times New Roman" w:cs="Times New Roman"/>
          <w:i/>
          <w:iCs/>
          <w:lang w:eastAsia="ko-KR"/>
        </w:rPr>
        <w:t xml:space="preserve"> subgroups</w:t>
      </w:r>
    </w:p>
    <w:p w14:paraId="65783500" w14:textId="4B62EAF1" w:rsidR="005B3F87" w:rsidRPr="00A74CDF" w:rsidRDefault="005B3F87" w:rsidP="00BB1388">
      <w:pPr>
        <w:pStyle w:val="TableofContents"/>
        <w:spacing w:before="0" w:after="0"/>
        <w:ind w:firstLineChars="200" w:firstLine="480"/>
        <w:contextualSpacing/>
        <w:jc w:val="both"/>
        <w:rPr>
          <w:rFonts w:ascii="Times New Roman" w:hAnsi="Times New Roman" w:cs="Times New Roman"/>
          <w:lang w:eastAsia="ko-KR"/>
        </w:rPr>
      </w:pPr>
      <w:r w:rsidRPr="00A74CDF">
        <w:rPr>
          <w:rFonts w:ascii="Times New Roman" w:hAnsi="Times New Roman" w:cs="Times New Roman"/>
          <w:lang w:eastAsia="ko-KR"/>
        </w:rPr>
        <w:t xml:space="preserve">The results of other subgroup analyses are summarized in </w:t>
      </w:r>
      <w:r w:rsidRPr="00A74CDF">
        <w:rPr>
          <w:rFonts w:ascii="Times New Roman" w:hAnsi="Times New Roman" w:cs="Times New Roman"/>
          <w:b/>
          <w:bCs/>
          <w:lang w:eastAsia="ko-KR"/>
        </w:rPr>
        <w:t xml:space="preserve">Tables </w:t>
      </w:r>
      <w:r w:rsidR="002B1526" w:rsidRPr="00A74CDF">
        <w:rPr>
          <w:rFonts w:ascii="Times New Roman" w:hAnsi="Times New Roman" w:cs="Times New Roman"/>
          <w:b/>
          <w:bCs/>
          <w:lang w:eastAsia="ko-KR"/>
        </w:rPr>
        <w:t>VIII</w:t>
      </w:r>
      <w:r w:rsidRPr="00A74CDF">
        <w:rPr>
          <w:rFonts w:ascii="Times New Roman" w:hAnsi="Times New Roman" w:cs="Times New Roman"/>
          <w:lang w:eastAsia="ko-KR"/>
        </w:rPr>
        <w:t xml:space="preserve"> and </w:t>
      </w:r>
      <w:r w:rsidR="002B1526" w:rsidRPr="00A74CDF">
        <w:rPr>
          <w:rFonts w:ascii="Times New Roman" w:hAnsi="Times New Roman" w:cs="Times New Roman"/>
          <w:b/>
          <w:bCs/>
          <w:lang w:eastAsia="ko-KR"/>
        </w:rPr>
        <w:t>Table IX in the Data Supplement</w:t>
      </w:r>
      <w:r w:rsidRPr="00A74CDF">
        <w:rPr>
          <w:rFonts w:ascii="Times New Roman" w:hAnsi="Times New Roman" w:cs="Times New Roman"/>
          <w:lang w:eastAsia="ko-KR"/>
        </w:rPr>
        <w:t xml:space="preserve">. </w:t>
      </w:r>
      <w:r w:rsidR="004D2F7F" w:rsidRPr="00A74CDF">
        <w:rPr>
          <w:rFonts w:ascii="Times New Roman" w:hAnsi="Times New Roman" w:cs="Times New Roman"/>
          <w:lang w:eastAsia="ko-KR"/>
        </w:rPr>
        <w:t>I</w:t>
      </w:r>
      <w:r w:rsidRPr="00A74CDF">
        <w:rPr>
          <w:rFonts w:ascii="Times New Roman" w:hAnsi="Times New Roman" w:cs="Times New Roman"/>
          <w:lang w:eastAsia="ko-KR"/>
        </w:rPr>
        <w:t>n line with the main results, NOAC</w:t>
      </w:r>
      <w:r w:rsidR="004D2F7F" w:rsidRPr="00A74CDF">
        <w:rPr>
          <w:rFonts w:ascii="Times New Roman" w:hAnsi="Times New Roman" w:cs="Times New Roman"/>
          <w:lang w:eastAsia="ko-KR"/>
        </w:rPr>
        <w:t xml:space="preserve"> users</w:t>
      </w:r>
      <w:r w:rsidRPr="00A74CDF">
        <w:rPr>
          <w:rFonts w:ascii="Times New Roman" w:hAnsi="Times New Roman" w:cs="Times New Roman"/>
          <w:lang w:eastAsia="ko-KR"/>
        </w:rPr>
        <w:t xml:space="preserve"> showed a trend of lower risk of both non-fatal and fatal clinical outcomes compared </w:t>
      </w:r>
      <w:r w:rsidR="004D2F7F" w:rsidRPr="00A74CDF">
        <w:rPr>
          <w:rFonts w:ascii="Times New Roman" w:hAnsi="Times New Roman" w:cs="Times New Roman"/>
          <w:lang w:eastAsia="ko-KR"/>
        </w:rPr>
        <w:t>with</w:t>
      </w:r>
      <w:r w:rsidRPr="00A74CDF">
        <w:rPr>
          <w:rFonts w:ascii="Times New Roman" w:hAnsi="Times New Roman" w:cs="Times New Roman"/>
          <w:lang w:eastAsia="ko-KR"/>
        </w:rPr>
        <w:t xml:space="preserve"> warfarin users in subgroup analys</w:t>
      </w:r>
      <w:r w:rsidR="004D2F7F" w:rsidRPr="00A74CDF">
        <w:rPr>
          <w:rFonts w:ascii="Times New Roman" w:hAnsi="Times New Roman" w:cs="Times New Roman"/>
          <w:lang w:eastAsia="ko-KR"/>
        </w:rPr>
        <w:t>e</w:t>
      </w:r>
      <w:r w:rsidRPr="00A74CDF">
        <w:rPr>
          <w:rFonts w:ascii="Times New Roman" w:hAnsi="Times New Roman" w:cs="Times New Roman"/>
          <w:lang w:eastAsia="ko-KR"/>
        </w:rPr>
        <w:t xml:space="preserve">s except </w:t>
      </w:r>
      <w:r w:rsidR="00FF7E7F" w:rsidRPr="00A74CDF">
        <w:rPr>
          <w:rFonts w:ascii="Times New Roman" w:hAnsi="Times New Roman" w:cs="Times New Roman"/>
          <w:lang w:eastAsia="ko-KR"/>
        </w:rPr>
        <w:t>for</w:t>
      </w:r>
      <w:r w:rsidR="00C00449" w:rsidRPr="00A74CDF">
        <w:rPr>
          <w:rFonts w:ascii="Times New Roman" w:hAnsi="Times New Roman" w:cs="Times New Roman"/>
          <w:lang w:eastAsia="ko-KR"/>
        </w:rPr>
        <w:t xml:space="preserve"> the </w:t>
      </w:r>
      <w:r w:rsidRPr="00A74CDF">
        <w:rPr>
          <w:rFonts w:ascii="Times New Roman" w:hAnsi="Times New Roman" w:cs="Times New Roman"/>
          <w:lang w:eastAsia="ko-KR"/>
        </w:rPr>
        <w:t xml:space="preserve">interaction </w:t>
      </w:r>
      <w:r w:rsidR="00C00449" w:rsidRPr="00A74CDF">
        <w:rPr>
          <w:rFonts w:ascii="Times New Roman" w:hAnsi="Times New Roman" w:cs="Times New Roman"/>
          <w:lang w:eastAsia="ko-KR"/>
        </w:rPr>
        <w:t xml:space="preserve">between </w:t>
      </w:r>
      <w:r w:rsidRPr="00A74CDF">
        <w:rPr>
          <w:rFonts w:ascii="Times New Roman" w:hAnsi="Times New Roman" w:cs="Times New Roman"/>
          <w:lang w:eastAsia="ko-KR"/>
        </w:rPr>
        <w:t xml:space="preserve">hypertension </w:t>
      </w:r>
      <w:r w:rsidR="00C00449" w:rsidRPr="00A74CDF">
        <w:rPr>
          <w:rFonts w:ascii="Times New Roman" w:hAnsi="Times New Roman" w:cs="Times New Roman"/>
          <w:lang w:eastAsia="ko-KR"/>
        </w:rPr>
        <w:t xml:space="preserve">and </w:t>
      </w:r>
      <w:r w:rsidRPr="00A74CDF">
        <w:rPr>
          <w:rFonts w:ascii="Times New Roman" w:hAnsi="Times New Roman" w:cs="Times New Roman"/>
          <w:lang w:eastAsia="ko-KR"/>
        </w:rPr>
        <w:t>ischemic stroke. NOAC</w:t>
      </w:r>
      <w:r w:rsidR="004D2F7F" w:rsidRPr="00A74CDF">
        <w:rPr>
          <w:rFonts w:ascii="Times New Roman" w:hAnsi="Times New Roman" w:cs="Times New Roman"/>
          <w:lang w:eastAsia="ko-KR"/>
        </w:rPr>
        <w:t>s</w:t>
      </w:r>
      <w:r w:rsidRPr="00A74CDF">
        <w:rPr>
          <w:rFonts w:ascii="Times New Roman" w:hAnsi="Times New Roman" w:cs="Times New Roman"/>
          <w:lang w:eastAsia="ko-KR"/>
        </w:rPr>
        <w:t xml:space="preserve"> </w:t>
      </w:r>
      <w:r w:rsidR="00FF7E7F" w:rsidRPr="00A74CDF">
        <w:rPr>
          <w:rFonts w:ascii="Times New Roman" w:hAnsi="Times New Roman" w:cs="Times New Roman"/>
          <w:lang w:eastAsia="ko-KR"/>
        </w:rPr>
        <w:t xml:space="preserve">had </w:t>
      </w:r>
      <w:r w:rsidRPr="00A74CDF">
        <w:rPr>
          <w:rFonts w:ascii="Times New Roman" w:hAnsi="Times New Roman" w:cs="Times New Roman"/>
          <w:lang w:eastAsia="ko-KR"/>
        </w:rPr>
        <w:t xml:space="preserve">a lower risk of </w:t>
      </w:r>
      <w:r w:rsidRPr="00A74CDF">
        <w:rPr>
          <w:rFonts w:ascii="Times New Roman" w:hAnsi="Times New Roman" w:cs="Times New Roman"/>
          <w:lang w:eastAsia="ko-KR"/>
        </w:rPr>
        <w:lastRenderedPageBreak/>
        <w:t>composite outcome</w:t>
      </w:r>
      <w:r w:rsidR="00C00449" w:rsidRPr="00A74CDF">
        <w:rPr>
          <w:rFonts w:ascii="Times New Roman" w:hAnsi="Times New Roman" w:cs="Times New Roman"/>
          <w:lang w:eastAsia="ko-KR"/>
        </w:rPr>
        <w:t>s</w:t>
      </w:r>
      <w:r w:rsidRPr="00A74CDF">
        <w:rPr>
          <w:rFonts w:ascii="Times New Roman" w:hAnsi="Times New Roman" w:cs="Times New Roman"/>
          <w:lang w:eastAsia="ko-KR"/>
        </w:rPr>
        <w:t xml:space="preserve"> </w:t>
      </w:r>
      <w:r w:rsidR="004D2F7F" w:rsidRPr="00A74CDF">
        <w:rPr>
          <w:rFonts w:ascii="Times New Roman" w:hAnsi="Times New Roman" w:cs="Times New Roman"/>
          <w:lang w:eastAsia="ko-KR"/>
        </w:rPr>
        <w:t xml:space="preserve">compared with </w:t>
      </w:r>
      <w:r w:rsidRPr="00A74CDF">
        <w:rPr>
          <w:rFonts w:ascii="Times New Roman" w:hAnsi="Times New Roman" w:cs="Times New Roman"/>
          <w:lang w:eastAsia="ko-KR"/>
        </w:rPr>
        <w:t xml:space="preserve">warfarin irrespective of concomitant drug usage, including antiplatelet agents, NSAIDs, and PPI. </w:t>
      </w:r>
    </w:p>
    <w:p w14:paraId="4F962448" w14:textId="77777777" w:rsidR="005B3F87" w:rsidRPr="00A74CDF" w:rsidRDefault="005B3F87" w:rsidP="00BB1388">
      <w:pPr>
        <w:pStyle w:val="TableofContents"/>
        <w:spacing w:before="0" w:after="0"/>
        <w:ind w:firstLineChars="200" w:firstLine="480"/>
        <w:contextualSpacing/>
        <w:jc w:val="both"/>
        <w:rPr>
          <w:rFonts w:ascii="Times New Roman" w:hAnsi="Times New Roman" w:cs="Times New Roman"/>
          <w:lang w:eastAsia="ko-KR"/>
        </w:rPr>
      </w:pPr>
    </w:p>
    <w:p w14:paraId="4DFAAB7B" w14:textId="77777777" w:rsidR="005B3F87" w:rsidRPr="00A74CDF" w:rsidRDefault="005B3F87" w:rsidP="00BB1388">
      <w:pPr>
        <w:pStyle w:val="TableofContents"/>
        <w:spacing w:before="0" w:after="0"/>
        <w:contextualSpacing/>
        <w:jc w:val="both"/>
        <w:rPr>
          <w:rFonts w:ascii="Times New Roman" w:hAnsi="Times New Roman" w:cs="Times New Roman"/>
          <w:lang w:eastAsia="ko-KR"/>
        </w:rPr>
      </w:pPr>
      <w:r w:rsidRPr="00A74CDF">
        <w:rPr>
          <w:rFonts w:ascii="Times New Roman" w:hAnsi="Times New Roman" w:cs="Times New Roman"/>
          <w:i/>
          <w:iCs/>
          <w:lang w:eastAsia="ko-KR"/>
        </w:rPr>
        <w:t>(c) Sensitivity analysis</w:t>
      </w:r>
    </w:p>
    <w:p w14:paraId="249178E8" w14:textId="2A5D5133" w:rsidR="005B3F87" w:rsidRPr="00A74CDF" w:rsidRDefault="005B3F87" w:rsidP="00BB1388">
      <w:pPr>
        <w:pStyle w:val="TableofContents"/>
        <w:spacing w:before="0" w:after="0"/>
        <w:ind w:firstLineChars="200" w:firstLine="480"/>
        <w:contextualSpacing/>
        <w:jc w:val="both"/>
        <w:rPr>
          <w:rFonts w:ascii="Times New Roman" w:hAnsi="Times New Roman" w:cs="Times New Roman"/>
          <w:lang w:eastAsia="ko-KR"/>
        </w:rPr>
      </w:pPr>
      <w:r w:rsidRPr="00A74CDF">
        <w:rPr>
          <w:rFonts w:ascii="Times New Roman" w:hAnsi="Times New Roman" w:cs="Times New Roman"/>
          <w:lang w:eastAsia="ko-KR"/>
        </w:rPr>
        <w:t xml:space="preserve">We further evaluated patients </w:t>
      </w:r>
      <w:r w:rsidR="004D2F7F" w:rsidRPr="00A74CDF">
        <w:rPr>
          <w:rFonts w:ascii="Times New Roman" w:hAnsi="Times New Roman" w:cs="Times New Roman"/>
          <w:lang w:eastAsia="ko-KR"/>
        </w:rPr>
        <w:t>on</w:t>
      </w:r>
      <w:r w:rsidRPr="00A74CDF">
        <w:rPr>
          <w:rFonts w:ascii="Times New Roman" w:hAnsi="Times New Roman" w:cs="Times New Roman"/>
          <w:lang w:eastAsia="ko-KR"/>
        </w:rPr>
        <w:t xml:space="preserve"> regular dose</w:t>
      </w:r>
      <w:r w:rsidR="004D2F7F" w:rsidRPr="00A74CDF">
        <w:rPr>
          <w:rFonts w:ascii="Times New Roman" w:hAnsi="Times New Roman" w:cs="Times New Roman"/>
          <w:lang w:eastAsia="ko-KR"/>
        </w:rPr>
        <w:t>s</w:t>
      </w:r>
      <w:r w:rsidRPr="00A74CDF">
        <w:rPr>
          <w:rFonts w:ascii="Times New Roman" w:hAnsi="Times New Roman" w:cs="Times New Roman"/>
          <w:lang w:eastAsia="ko-KR"/>
        </w:rPr>
        <w:t xml:space="preserve"> of NOAC</w:t>
      </w:r>
      <w:r w:rsidR="004D2F7F" w:rsidRPr="00A74CDF">
        <w:rPr>
          <w:rFonts w:ascii="Times New Roman" w:hAnsi="Times New Roman" w:cs="Times New Roman"/>
          <w:lang w:eastAsia="ko-KR"/>
        </w:rPr>
        <w:t>s</w:t>
      </w:r>
      <w:r w:rsidRPr="00A74CDF">
        <w:rPr>
          <w:rFonts w:ascii="Times New Roman" w:hAnsi="Times New Roman" w:cs="Times New Roman"/>
          <w:lang w:eastAsia="ko-KR"/>
        </w:rPr>
        <w:t xml:space="preserve"> </w:t>
      </w:r>
      <w:r w:rsidR="004D2F7F" w:rsidRPr="00A74CDF">
        <w:rPr>
          <w:rFonts w:ascii="Times New Roman" w:hAnsi="Times New Roman" w:cs="Times New Roman"/>
          <w:lang w:eastAsia="ko-KR"/>
        </w:rPr>
        <w:t xml:space="preserve">that </w:t>
      </w:r>
      <w:r w:rsidRPr="00A74CDF">
        <w:rPr>
          <w:rFonts w:ascii="Times New Roman" w:hAnsi="Times New Roman" w:cs="Times New Roman"/>
          <w:lang w:eastAsia="ko-KR"/>
        </w:rPr>
        <w:t xml:space="preserve">were mostly </w:t>
      </w:r>
      <w:r w:rsidR="004D2F7F" w:rsidRPr="00A74CDF">
        <w:rPr>
          <w:rFonts w:ascii="Times New Roman" w:hAnsi="Times New Roman" w:cs="Times New Roman"/>
          <w:lang w:eastAsia="ko-KR"/>
        </w:rPr>
        <w:t xml:space="preserve">for </w:t>
      </w:r>
      <w:r w:rsidRPr="00A74CDF">
        <w:rPr>
          <w:rFonts w:ascii="Times New Roman" w:hAnsi="Times New Roman" w:cs="Times New Roman"/>
          <w:lang w:eastAsia="ko-KR"/>
        </w:rPr>
        <w:t xml:space="preserve">on-label use. Baseline characteristics between </w:t>
      </w:r>
      <w:r w:rsidR="004D2F7F" w:rsidRPr="00A74CDF">
        <w:rPr>
          <w:rFonts w:ascii="Times New Roman" w:hAnsi="Times New Roman" w:cs="Times New Roman"/>
          <w:lang w:eastAsia="ko-KR"/>
        </w:rPr>
        <w:t xml:space="preserve">users of </w:t>
      </w:r>
      <w:r w:rsidRPr="00A74CDF">
        <w:rPr>
          <w:rFonts w:ascii="Times New Roman" w:hAnsi="Times New Roman" w:cs="Times New Roman"/>
          <w:lang w:eastAsia="ko-KR"/>
        </w:rPr>
        <w:t>regular dose</w:t>
      </w:r>
      <w:r w:rsidR="004D2F7F" w:rsidRPr="00A74CDF">
        <w:rPr>
          <w:rFonts w:ascii="Times New Roman" w:hAnsi="Times New Roman" w:cs="Times New Roman"/>
          <w:lang w:eastAsia="ko-KR"/>
        </w:rPr>
        <w:t>s</w:t>
      </w:r>
      <w:r w:rsidRPr="00A74CDF">
        <w:rPr>
          <w:rFonts w:ascii="Times New Roman" w:hAnsi="Times New Roman" w:cs="Times New Roman"/>
          <w:lang w:eastAsia="ko-KR"/>
        </w:rPr>
        <w:t xml:space="preserve"> of NOAC</w:t>
      </w:r>
      <w:r w:rsidR="00FD16A4" w:rsidRPr="00A74CDF">
        <w:rPr>
          <w:rFonts w:ascii="Times New Roman" w:hAnsi="Times New Roman" w:cs="Times New Roman"/>
          <w:lang w:eastAsia="ko-KR"/>
        </w:rPr>
        <w:t>s</w:t>
      </w:r>
      <w:r w:rsidRPr="00A74CDF">
        <w:rPr>
          <w:rFonts w:ascii="Times New Roman" w:hAnsi="Times New Roman" w:cs="Times New Roman"/>
          <w:lang w:eastAsia="ko-KR"/>
        </w:rPr>
        <w:t xml:space="preserve"> and warfarin are compared in </w:t>
      </w:r>
      <w:r w:rsidRPr="00A74CDF">
        <w:rPr>
          <w:rFonts w:ascii="Times New Roman" w:hAnsi="Times New Roman" w:cs="Times New Roman"/>
          <w:b/>
          <w:bCs/>
          <w:lang w:eastAsia="ko-KR"/>
        </w:rPr>
        <w:t xml:space="preserve">Table </w:t>
      </w:r>
      <w:r w:rsidR="002B1526" w:rsidRPr="00A74CDF">
        <w:rPr>
          <w:rFonts w:ascii="Times New Roman" w:hAnsi="Times New Roman" w:cs="Times New Roman"/>
          <w:b/>
          <w:bCs/>
          <w:lang w:eastAsia="ko-KR"/>
        </w:rPr>
        <w:t>X in the Data Supplement</w:t>
      </w:r>
      <w:r w:rsidRPr="00A74CDF">
        <w:rPr>
          <w:rFonts w:ascii="Times New Roman" w:hAnsi="Times New Roman" w:cs="Times New Roman"/>
          <w:lang w:eastAsia="ko-KR"/>
        </w:rPr>
        <w:t>.</w:t>
      </w:r>
      <w:r w:rsidRPr="00A74CDF" w:rsidDel="00E85F85">
        <w:rPr>
          <w:rFonts w:ascii="Times New Roman" w:hAnsi="Times New Roman" w:cs="Times New Roman"/>
          <w:lang w:eastAsia="ko-KR"/>
        </w:rPr>
        <w:t xml:space="preserve"> </w:t>
      </w:r>
      <w:r w:rsidRPr="00A74CDF">
        <w:rPr>
          <w:rFonts w:ascii="Times New Roman" w:hAnsi="Times New Roman" w:cs="Times New Roman"/>
        </w:rPr>
        <w:t xml:space="preserve">Compared </w:t>
      </w:r>
      <w:r w:rsidR="004D2F7F" w:rsidRPr="00A74CDF">
        <w:rPr>
          <w:rFonts w:ascii="Times New Roman" w:hAnsi="Times New Roman" w:cs="Times New Roman"/>
        </w:rPr>
        <w:t xml:space="preserve">with </w:t>
      </w:r>
      <w:r w:rsidRPr="00A74CDF">
        <w:rPr>
          <w:rFonts w:ascii="Times New Roman" w:hAnsi="Times New Roman" w:cs="Times New Roman"/>
        </w:rPr>
        <w:t>warfarin users, regular dose NOAC users had a lower mean HAS-BLED score (4.0</w:t>
      </w:r>
      <w:r w:rsidRPr="00A74CDF">
        <w:rPr>
          <w:rFonts w:ascii="Times New Roman" w:eastAsia="맑은 고딕" w:hAnsi="Times New Roman" w:cs="Times New Roman"/>
        </w:rPr>
        <w:t>±1.2 versus 4.2±1.2)</w:t>
      </w:r>
      <w:r w:rsidR="004D2F7F" w:rsidRPr="00A74CDF">
        <w:rPr>
          <w:rFonts w:ascii="Times New Roman" w:eastAsia="맑은 고딕" w:hAnsi="Times New Roman" w:cs="Times New Roman"/>
        </w:rPr>
        <w:t>;</w:t>
      </w:r>
      <w:r w:rsidRPr="00A74CDF">
        <w:rPr>
          <w:rFonts w:ascii="Times New Roman" w:eastAsia="맑은 고딕" w:hAnsi="Times New Roman" w:cs="Times New Roman"/>
        </w:rPr>
        <w:t xml:space="preserve"> a lower mean Charlson comorbidity index (4.2±2.5 versus 4.6±2.7</w:t>
      </w:r>
      <w:r w:rsidR="004D2F7F" w:rsidRPr="00A74CDF">
        <w:rPr>
          <w:rFonts w:ascii="Times New Roman" w:eastAsia="맑은 고딕" w:hAnsi="Times New Roman" w:cs="Times New Roman"/>
        </w:rPr>
        <w:t xml:space="preserve">); and </w:t>
      </w:r>
      <w:r w:rsidRPr="00A74CDF">
        <w:rPr>
          <w:rFonts w:ascii="Times New Roman" w:eastAsia="맑은 고딕" w:hAnsi="Times New Roman" w:cs="Times New Roman"/>
        </w:rPr>
        <w:t>lower proportions of renal disease (11.4% versus 17.6%), COPD (9.4% versus 12.8%), and concomitant antiplatelet agents (19.4% ver</w:t>
      </w:r>
      <w:r w:rsidRPr="00A74CDF">
        <w:rPr>
          <w:rFonts w:ascii="Times New Roman" w:eastAsia="맑은 고딕" w:hAnsi="Times New Roman" w:cs="Times New Roman"/>
          <w:lang w:eastAsia="ko-KR"/>
        </w:rPr>
        <w:t>s</w:t>
      </w:r>
      <w:r w:rsidRPr="00A74CDF">
        <w:rPr>
          <w:rFonts w:ascii="Times New Roman" w:eastAsia="맑은 고딕" w:hAnsi="Times New Roman" w:cs="Times New Roman"/>
        </w:rPr>
        <w:t>us 41.3% for aspirin</w:t>
      </w:r>
      <w:r w:rsidR="004D2F7F" w:rsidRPr="00A74CDF">
        <w:rPr>
          <w:rFonts w:ascii="Times New Roman" w:eastAsia="맑은 고딕" w:hAnsi="Times New Roman" w:cs="Times New Roman"/>
        </w:rPr>
        <w:t>,</w:t>
      </w:r>
      <w:r w:rsidRPr="00A74CDF">
        <w:rPr>
          <w:rFonts w:ascii="Times New Roman" w:eastAsia="맑은 고딕" w:hAnsi="Times New Roman" w:cs="Times New Roman"/>
        </w:rPr>
        <w:t xml:space="preserve"> and 11.0% versus 18.6% for clopidogrel). In IPTW analysis, regular dose</w:t>
      </w:r>
      <w:r w:rsidR="00953EEB" w:rsidRPr="00A74CDF">
        <w:rPr>
          <w:rFonts w:ascii="Times New Roman" w:eastAsia="맑은 고딕" w:hAnsi="Times New Roman" w:cs="Times New Roman"/>
        </w:rPr>
        <w:t>s</w:t>
      </w:r>
      <w:r w:rsidRPr="00A74CDF">
        <w:rPr>
          <w:rFonts w:ascii="Times New Roman" w:eastAsia="맑은 고딕" w:hAnsi="Times New Roman" w:cs="Times New Roman"/>
        </w:rPr>
        <w:t xml:space="preserve"> of NOAC</w:t>
      </w:r>
      <w:r w:rsidR="00FD16A4" w:rsidRPr="00A74CDF">
        <w:rPr>
          <w:rFonts w:ascii="Times New Roman" w:eastAsia="맑은 고딕" w:hAnsi="Times New Roman" w:cs="Times New Roman"/>
        </w:rPr>
        <w:t>s</w:t>
      </w:r>
      <w:r w:rsidRPr="00A74CDF">
        <w:rPr>
          <w:rFonts w:ascii="Times New Roman" w:eastAsia="맑은 고딕" w:hAnsi="Times New Roman" w:cs="Times New Roman"/>
        </w:rPr>
        <w:t xml:space="preserve"> w</w:t>
      </w:r>
      <w:r w:rsidR="00953EEB" w:rsidRPr="00A74CDF">
        <w:rPr>
          <w:rFonts w:ascii="Times New Roman" w:eastAsia="맑은 고딕" w:hAnsi="Times New Roman" w:cs="Times New Roman"/>
        </w:rPr>
        <w:t>ere</w:t>
      </w:r>
      <w:r w:rsidRPr="00A74CDF">
        <w:rPr>
          <w:rFonts w:ascii="Times New Roman" w:eastAsia="맑은 고딕" w:hAnsi="Times New Roman" w:cs="Times New Roman"/>
        </w:rPr>
        <w:t xml:space="preserve"> associated with lower risks of </w:t>
      </w:r>
      <w:r w:rsidRPr="00A74CDF">
        <w:rPr>
          <w:rFonts w:ascii="Times New Roman" w:eastAsia="맑은 고딕" w:hAnsi="Times New Roman" w:cs="Times New Roman"/>
          <w:lang w:eastAsia="ko-KR"/>
        </w:rPr>
        <w:t>all</w:t>
      </w:r>
      <w:r w:rsidRPr="00A74CDF">
        <w:rPr>
          <w:rFonts w:ascii="Times New Roman" w:eastAsia="맑은 고딕" w:hAnsi="Times New Roman" w:cs="Times New Roman"/>
        </w:rPr>
        <w:t xml:space="preserve"> primary and secondary outcomes except fatal GIB (</w:t>
      </w:r>
      <w:r w:rsidRPr="00A74CDF">
        <w:rPr>
          <w:rFonts w:ascii="Times New Roman" w:eastAsia="맑은 고딕" w:hAnsi="Times New Roman" w:cs="Times New Roman"/>
          <w:b/>
          <w:bCs/>
        </w:rPr>
        <w:t xml:space="preserve">Table </w:t>
      </w:r>
      <w:r w:rsidR="002B1526" w:rsidRPr="00A74CDF">
        <w:rPr>
          <w:rFonts w:ascii="Times New Roman" w:eastAsia="맑은 고딕" w:hAnsi="Times New Roman" w:cs="Times New Roman"/>
          <w:b/>
          <w:bCs/>
        </w:rPr>
        <w:t>XI in the Data Supplement</w:t>
      </w:r>
      <w:r w:rsidRPr="00A74CDF">
        <w:rPr>
          <w:rFonts w:ascii="Times New Roman" w:eastAsia="맑은 고딕" w:hAnsi="Times New Roman" w:cs="Times New Roman"/>
        </w:rPr>
        <w:t xml:space="preserve">). Regarding the duration of follow-up, both </w:t>
      </w:r>
      <w:r w:rsidR="004D2F7F" w:rsidRPr="00A74CDF">
        <w:rPr>
          <w:rFonts w:ascii="Times New Roman" w:hAnsi="Times New Roman" w:cs="Times New Roman"/>
          <w:lang w:eastAsia="ko-KR"/>
        </w:rPr>
        <w:t>one</w:t>
      </w:r>
      <w:r w:rsidRPr="00A74CDF">
        <w:rPr>
          <w:rFonts w:ascii="Times New Roman" w:hAnsi="Times New Roman" w:cs="Times New Roman"/>
          <w:lang w:eastAsia="ko-KR"/>
        </w:rPr>
        <w:t xml:space="preserve">-year </w:t>
      </w:r>
      <w:r w:rsidR="004D2F7F" w:rsidRPr="00A74CDF">
        <w:rPr>
          <w:rFonts w:ascii="Times New Roman" w:hAnsi="Times New Roman" w:cs="Times New Roman"/>
          <w:lang w:eastAsia="ko-KR"/>
        </w:rPr>
        <w:t>and</w:t>
      </w:r>
      <w:r w:rsidRPr="00A74CDF">
        <w:rPr>
          <w:rFonts w:ascii="Times New Roman" w:hAnsi="Times New Roman" w:cs="Times New Roman"/>
          <w:lang w:eastAsia="ko-KR"/>
        </w:rPr>
        <w:t xml:space="preserve"> </w:t>
      </w:r>
      <w:r w:rsidR="004D2F7F" w:rsidRPr="00A74CDF">
        <w:rPr>
          <w:rFonts w:ascii="Times New Roman" w:hAnsi="Times New Roman" w:cs="Times New Roman"/>
          <w:lang w:eastAsia="ko-KR"/>
        </w:rPr>
        <w:t>six-</w:t>
      </w:r>
      <w:r w:rsidRPr="00A74CDF">
        <w:rPr>
          <w:rFonts w:ascii="Times New Roman" w:hAnsi="Times New Roman" w:cs="Times New Roman"/>
          <w:lang w:eastAsia="ko-KR"/>
        </w:rPr>
        <w:t>month follow-up duration</w:t>
      </w:r>
      <w:r w:rsidR="006C30E1" w:rsidRPr="00A74CDF">
        <w:rPr>
          <w:rFonts w:ascii="Times New Roman" w:hAnsi="Times New Roman" w:cs="Times New Roman"/>
          <w:lang w:eastAsia="ko-KR"/>
        </w:rPr>
        <w:t>s</w:t>
      </w:r>
      <w:r w:rsidRPr="00A74CDF">
        <w:rPr>
          <w:rFonts w:ascii="Times New Roman" w:hAnsi="Times New Roman" w:cs="Times New Roman"/>
          <w:lang w:eastAsia="ko-KR"/>
        </w:rPr>
        <w:t xml:space="preserve"> showed results </w:t>
      </w:r>
      <w:r w:rsidR="006C30E1" w:rsidRPr="00A74CDF">
        <w:rPr>
          <w:rFonts w:ascii="Times New Roman" w:hAnsi="Times New Roman" w:cs="Times New Roman"/>
          <w:lang w:eastAsia="ko-KR"/>
        </w:rPr>
        <w:t xml:space="preserve">similar </w:t>
      </w:r>
      <w:r w:rsidRPr="00A74CDF">
        <w:rPr>
          <w:rFonts w:ascii="Times New Roman" w:hAnsi="Times New Roman" w:cs="Times New Roman"/>
          <w:lang w:eastAsia="ko-KR"/>
        </w:rPr>
        <w:t>to the primary analysis (</w:t>
      </w:r>
      <w:r w:rsidRPr="00A74CDF">
        <w:rPr>
          <w:rFonts w:ascii="Times New Roman" w:hAnsi="Times New Roman" w:cs="Times New Roman"/>
          <w:b/>
          <w:bCs/>
          <w:lang w:eastAsia="ko-KR"/>
        </w:rPr>
        <w:t xml:space="preserve">Table </w:t>
      </w:r>
      <w:r w:rsidR="002B1526" w:rsidRPr="00A74CDF">
        <w:rPr>
          <w:rFonts w:ascii="Times New Roman" w:hAnsi="Times New Roman" w:cs="Times New Roman"/>
          <w:b/>
          <w:bCs/>
          <w:lang w:eastAsia="ko-KR"/>
        </w:rPr>
        <w:t>XII</w:t>
      </w:r>
      <w:r w:rsidRPr="00A74CDF">
        <w:rPr>
          <w:rFonts w:ascii="Times New Roman" w:hAnsi="Times New Roman" w:cs="Times New Roman"/>
          <w:lang w:eastAsia="ko-KR"/>
        </w:rPr>
        <w:t xml:space="preserve"> an </w:t>
      </w:r>
      <w:r w:rsidRPr="00A74CDF">
        <w:rPr>
          <w:rFonts w:ascii="Times New Roman" w:hAnsi="Times New Roman" w:cs="Times New Roman"/>
          <w:b/>
          <w:bCs/>
          <w:lang w:eastAsia="ko-KR"/>
        </w:rPr>
        <w:t xml:space="preserve">Table </w:t>
      </w:r>
      <w:r w:rsidR="002B1526" w:rsidRPr="00A74CDF">
        <w:rPr>
          <w:rFonts w:ascii="Times New Roman" w:hAnsi="Times New Roman" w:cs="Times New Roman"/>
          <w:b/>
          <w:bCs/>
          <w:lang w:eastAsia="ko-KR"/>
        </w:rPr>
        <w:t>XIII in the Data Supplement</w:t>
      </w:r>
      <w:r w:rsidRPr="00A74CDF">
        <w:rPr>
          <w:rFonts w:ascii="Times New Roman" w:hAnsi="Times New Roman" w:cs="Times New Roman"/>
          <w:lang w:eastAsia="ko-KR"/>
        </w:rPr>
        <w:t xml:space="preserve">). </w:t>
      </w:r>
      <w:r w:rsidR="00A224BB" w:rsidRPr="00A74CDF">
        <w:rPr>
          <w:rFonts w:ascii="Times New Roman" w:hAnsi="Times New Roman" w:cs="Times New Roman"/>
          <w:lang w:eastAsia="ko-KR"/>
        </w:rPr>
        <w:t>Also, the results of competing risk analysis were in line with the primary analysis (</w:t>
      </w:r>
      <w:r w:rsidR="00A224BB" w:rsidRPr="00A74CDF">
        <w:rPr>
          <w:rFonts w:ascii="Times New Roman" w:hAnsi="Times New Roman" w:cs="Times New Roman"/>
          <w:b/>
          <w:bCs/>
          <w:lang w:eastAsia="ko-KR"/>
        </w:rPr>
        <w:t>Table XIV in the Data Supplement</w:t>
      </w:r>
      <w:r w:rsidR="00A224BB" w:rsidRPr="00A74CDF">
        <w:rPr>
          <w:rFonts w:ascii="Times New Roman" w:hAnsi="Times New Roman" w:cs="Times New Roman"/>
          <w:lang w:eastAsia="ko-KR"/>
        </w:rPr>
        <w:t>).</w:t>
      </w:r>
      <w:r w:rsidR="001E27FD" w:rsidRPr="00A74CDF">
        <w:rPr>
          <w:rFonts w:ascii="Times New Roman" w:hAnsi="Times New Roman" w:cs="Times New Roman"/>
          <w:lang w:eastAsia="ko-KR"/>
        </w:rPr>
        <w:t xml:space="preserve"> I</w:t>
      </w:r>
      <w:r w:rsidR="00934B95" w:rsidRPr="00A74CDF">
        <w:rPr>
          <w:rFonts w:ascii="Times New Roman" w:hAnsi="Times New Roman" w:cs="Times New Roman"/>
          <w:lang w:eastAsia="ko-KR"/>
        </w:rPr>
        <w:t>n those with more than 6 months of follow-up</w:t>
      </w:r>
      <w:r w:rsidR="001E27FD" w:rsidRPr="00A74CDF">
        <w:rPr>
          <w:rFonts w:ascii="Times New Roman" w:hAnsi="Times New Roman" w:cs="Times New Roman"/>
          <w:lang w:eastAsia="ko-KR"/>
        </w:rPr>
        <w:t xml:space="preserve">, the results were </w:t>
      </w:r>
      <w:r w:rsidR="00934B95" w:rsidRPr="00A74CDF">
        <w:rPr>
          <w:rFonts w:ascii="Times New Roman" w:hAnsi="Times New Roman" w:cs="Times New Roman"/>
          <w:lang w:eastAsia="ko-KR"/>
        </w:rPr>
        <w:t>consistent with the primary analysis</w:t>
      </w:r>
      <w:r w:rsidR="001E27FD" w:rsidRPr="00A74CDF">
        <w:rPr>
          <w:rFonts w:ascii="Times New Roman" w:hAnsi="Times New Roman" w:cs="Times New Roman"/>
          <w:lang w:eastAsia="ko-KR"/>
        </w:rPr>
        <w:t xml:space="preserve"> (</w:t>
      </w:r>
      <w:r w:rsidR="001E27FD" w:rsidRPr="00A74CDF">
        <w:rPr>
          <w:rFonts w:ascii="Times New Roman" w:hAnsi="Times New Roman" w:cs="Times New Roman"/>
          <w:b/>
          <w:bCs/>
          <w:lang w:eastAsia="ko-KR"/>
        </w:rPr>
        <w:t>Table XV in the Data Supplement</w:t>
      </w:r>
      <w:r w:rsidR="001E27FD" w:rsidRPr="00A74CDF">
        <w:rPr>
          <w:rFonts w:ascii="Times New Roman" w:hAnsi="Times New Roman" w:cs="Times New Roman"/>
          <w:lang w:eastAsia="ko-KR"/>
        </w:rPr>
        <w:t>).</w:t>
      </w:r>
    </w:p>
    <w:p w14:paraId="76FF10E9" w14:textId="77777777" w:rsidR="00545882" w:rsidRPr="00A74CDF" w:rsidRDefault="00545882" w:rsidP="00BB1388">
      <w:pPr>
        <w:pStyle w:val="TableofContents"/>
        <w:spacing w:before="0" w:after="0"/>
        <w:ind w:firstLineChars="200" w:firstLine="480"/>
        <w:contextualSpacing/>
        <w:jc w:val="both"/>
        <w:rPr>
          <w:rFonts w:ascii="Times New Roman" w:hAnsi="Times New Roman" w:cs="Times New Roman"/>
          <w:lang w:eastAsia="ko-KR"/>
        </w:rPr>
      </w:pPr>
    </w:p>
    <w:p w14:paraId="3036B9B8" w14:textId="3548D708" w:rsidR="005B3F87" w:rsidRPr="00A74CDF" w:rsidRDefault="005B3F87" w:rsidP="00BB1388">
      <w:pPr>
        <w:pStyle w:val="1"/>
        <w:spacing w:before="0" w:after="0"/>
        <w:contextualSpacing/>
        <w:jc w:val="both"/>
        <w:rPr>
          <w:rFonts w:ascii="Times New Roman" w:hAnsi="Times New Roman" w:cs="Times New Roman"/>
          <w:b/>
          <w:lang w:eastAsia="ko-KR"/>
        </w:rPr>
      </w:pPr>
      <w:r w:rsidRPr="00A74CDF">
        <w:rPr>
          <w:rFonts w:ascii="Times New Roman" w:hAnsi="Times New Roman" w:cs="Times New Roman"/>
          <w:b/>
          <w:lang w:eastAsia="ko-KR"/>
        </w:rPr>
        <w:t>Discussion</w:t>
      </w:r>
    </w:p>
    <w:p w14:paraId="3E7FA056" w14:textId="4B526D30" w:rsidR="005B3F87" w:rsidRPr="00A74CDF" w:rsidRDefault="005B3F87" w:rsidP="00BB1388">
      <w:pPr>
        <w:pStyle w:val="1"/>
        <w:spacing w:before="0" w:after="0"/>
        <w:ind w:firstLineChars="200" w:firstLine="480"/>
        <w:contextualSpacing/>
        <w:jc w:val="both"/>
        <w:rPr>
          <w:rFonts w:ascii="Times New Roman" w:hAnsi="Times New Roman" w:cs="Times New Roman"/>
          <w:bCs/>
          <w:lang w:eastAsia="ko-KR"/>
        </w:rPr>
      </w:pPr>
      <w:r w:rsidRPr="00A74CDF">
        <w:rPr>
          <w:rFonts w:ascii="Times New Roman" w:hAnsi="Times New Roman" w:cs="Times New Roman"/>
          <w:bCs/>
          <w:lang w:eastAsia="ko-KR"/>
        </w:rPr>
        <w:t>To the best of our best knowledge, this is the first study to</w:t>
      </w:r>
      <w:r w:rsidR="003A07B0" w:rsidRPr="00A74CDF">
        <w:rPr>
          <w:rFonts w:ascii="Times New Roman" w:hAnsi="Times New Roman" w:cs="Times New Roman"/>
          <w:bCs/>
          <w:lang w:eastAsia="ko-KR"/>
        </w:rPr>
        <w:t xml:space="preserve"> comprehensively</w:t>
      </w:r>
      <w:r w:rsidRPr="00A74CDF">
        <w:rPr>
          <w:rFonts w:ascii="Times New Roman" w:hAnsi="Times New Roman" w:cs="Times New Roman"/>
          <w:bCs/>
          <w:lang w:eastAsia="ko-KR"/>
        </w:rPr>
        <w:t xml:space="preserve"> compare NOAC</w:t>
      </w:r>
      <w:r w:rsidR="006C30E1" w:rsidRPr="00A74CDF">
        <w:rPr>
          <w:rFonts w:ascii="Times New Roman" w:hAnsi="Times New Roman" w:cs="Times New Roman"/>
          <w:bCs/>
          <w:lang w:eastAsia="ko-KR"/>
        </w:rPr>
        <w:t>s</w:t>
      </w:r>
      <w:r w:rsidRPr="00A74CDF">
        <w:rPr>
          <w:rFonts w:ascii="Times New Roman" w:hAnsi="Times New Roman" w:cs="Times New Roman"/>
          <w:bCs/>
          <w:lang w:eastAsia="ko-KR"/>
        </w:rPr>
        <w:t xml:space="preserve"> </w:t>
      </w:r>
      <w:r w:rsidR="006C30E1" w:rsidRPr="00A74CDF">
        <w:rPr>
          <w:rFonts w:ascii="Times New Roman" w:hAnsi="Times New Roman" w:cs="Times New Roman"/>
          <w:bCs/>
          <w:lang w:eastAsia="ko-KR"/>
        </w:rPr>
        <w:t>with</w:t>
      </w:r>
      <w:r w:rsidRPr="00A74CDF">
        <w:rPr>
          <w:rFonts w:ascii="Times New Roman" w:hAnsi="Times New Roman" w:cs="Times New Roman"/>
          <w:bCs/>
          <w:lang w:eastAsia="ko-KR"/>
        </w:rPr>
        <w:t xml:space="preserve"> warfarin in patients with AF and prior GIB. </w:t>
      </w:r>
      <w:r w:rsidR="003A07B0" w:rsidRPr="00A74CDF">
        <w:rPr>
          <w:rFonts w:ascii="Times New Roman" w:hAnsi="Times New Roman" w:cs="Times New Roman"/>
          <w:bCs/>
          <w:lang w:eastAsia="ko-KR"/>
        </w:rPr>
        <w:t xml:space="preserve">Our </w:t>
      </w:r>
      <w:r w:rsidRPr="00A74CDF">
        <w:rPr>
          <w:rFonts w:ascii="Times New Roman" w:hAnsi="Times New Roman" w:cs="Times New Roman"/>
          <w:bCs/>
          <w:lang w:eastAsia="ko-KR"/>
        </w:rPr>
        <w:t>key findings are as follows: (1) NOAC</w:t>
      </w:r>
      <w:r w:rsidR="002B31A3" w:rsidRPr="00A74CDF">
        <w:rPr>
          <w:rFonts w:ascii="Times New Roman" w:hAnsi="Times New Roman" w:cs="Times New Roman"/>
          <w:bCs/>
          <w:lang w:eastAsia="ko-KR"/>
        </w:rPr>
        <w:t>s</w:t>
      </w:r>
      <w:r w:rsidRPr="00A74CDF">
        <w:rPr>
          <w:rFonts w:ascii="Times New Roman" w:hAnsi="Times New Roman" w:cs="Times New Roman"/>
          <w:bCs/>
          <w:lang w:eastAsia="ko-KR"/>
        </w:rPr>
        <w:t xml:space="preserve"> showed better results in lowering the risks </w:t>
      </w:r>
      <w:r w:rsidR="002B31A3" w:rsidRPr="00A74CDF">
        <w:rPr>
          <w:rFonts w:ascii="Times New Roman" w:hAnsi="Times New Roman" w:cs="Times New Roman"/>
          <w:bCs/>
          <w:lang w:eastAsia="ko-KR"/>
        </w:rPr>
        <w:t>for</w:t>
      </w:r>
      <w:r w:rsidRPr="00A74CDF">
        <w:rPr>
          <w:rFonts w:ascii="Times New Roman" w:hAnsi="Times New Roman" w:cs="Times New Roman"/>
          <w:bCs/>
          <w:lang w:eastAsia="ko-KR"/>
        </w:rPr>
        <w:t xml:space="preserve"> ischemic stroke, major bleeding, and </w:t>
      </w:r>
      <w:r w:rsidR="003A07B0" w:rsidRPr="00A74CDF">
        <w:rPr>
          <w:rFonts w:ascii="Times New Roman" w:hAnsi="Times New Roman" w:cs="Times New Roman"/>
          <w:bCs/>
          <w:lang w:eastAsia="ko-KR"/>
        </w:rPr>
        <w:t xml:space="preserve">the </w:t>
      </w:r>
      <w:r w:rsidRPr="00A74CDF">
        <w:rPr>
          <w:rFonts w:ascii="Times New Roman" w:hAnsi="Times New Roman" w:cs="Times New Roman"/>
          <w:bCs/>
          <w:lang w:eastAsia="ko-KR"/>
        </w:rPr>
        <w:t xml:space="preserve">composite outcome compared </w:t>
      </w:r>
      <w:r w:rsidR="004D2F7F" w:rsidRPr="00A74CDF">
        <w:rPr>
          <w:rFonts w:ascii="Times New Roman" w:hAnsi="Times New Roman" w:cs="Times New Roman"/>
          <w:bCs/>
          <w:lang w:eastAsia="ko-KR"/>
        </w:rPr>
        <w:t>with</w:t>
      </w:r>
      <w:r w:rsidRPr="00A74CDF">
        <w:rPr>
          <w:rFonts w:ascii="Times New Roman" w:hAnsi="Times New Roman" w:cs="Times New Roman"/>
          <w:bCs/>
          <w:lang w:eastAsia="ko-KR"/>
        </w:rPr>
        <w:t xml:space="preserve"> warfarin in AF patients with prior GIB; (2) NOAC</w:t>
      </w:r>
      <w:r w:rsidR="002B31A3" w:rsidRPr="00A74CDF">
        <w:rPr>
          <w:rFonts w:ascii="Times New Roman" w:hAnsi="Times New Roman" w:cs="Times New Roman"/>
          <w:bCs/>
          <w:lang w:eastAsia="ko-KR"/>
        </w:rPr>
        <w:t>s</w:t>
      </w:r>
      <w:r w:rsidRPr="00A74CDF">
        <w:rPr>
          <w:rFonts w:ascii="Times New Roman" w:hAnsi="Times New Roman" w:cs="Times New Roman"/>
          <w:bCs/>
          <w:lang w:eastAsia="ko-KR"/>
        </w:rPr>
        <w:t xml:space="preserve"> w</w:t>
      </w:r>
      <w:r w:rsidR="002B31A3" w:rsidRPr="00A74CDF">
        <w:rPr>
          <w:rFonts w:ascii="Times New Roman" w:hAnsi="Times New Roman" w:cs="Times New Roman"/>
          <w:bCs/>
          <w:lang w:eastAsia="ko-KR"/>
        </w:rPr>
        <w:t>ere</w:t>
      </w:r>
      <w:r w:rsidRPr="00A74CDF">
        <w:rPr>
          <w:rFonts w:ascii="Times New Roman" w:hAnsi="Times New Roman" w:cs="Times New Roman"/>
          <w:bCs/>
          <w:lang w:eastAsia="ko-KR"/>
        </w:rPr>
        <w:t xml:space="preserve"> associated with </w:t>
      </w:r>
      <w:r w:rsidRPr="00A74CDF">
        <w:rPr>
          <w:rFonts w:ascii="Times New Roman" w:hAnsi="Times New Roman" w:cs="Times New Roman"/>
          <w:bCs/>
          <w:lang w:eastAsia="ko-KR"/>
        </w:rPr>
        <w:lastRenderedPageBreak/>
        <w:t xml:space="preserve">lower risk of fatal clinical outcomes except for fatal GIB; and (3) </w:t>
      </w:r>
      <w:r w:rsidR="00FD16A4" w:rsidRPr="00A74CDF">
        <w:rPr>
          <w:rFonts w:ascii="Times New Roman" w:hAnsi="Times New Roman" w:cs="Times New Roman"/>
          <w:bCs/>
          <w:lang w:eastAsia="ko-KR"/>
        </w:rPr>
        <w:t xml:space="preserve">several </w:t>
      </w:r>
      <w:r w:rsidRPr="00A74CDF">
        <w:rPr>
          <w:rFonts w:ascii="Times New Roman" w:hAnsi="Times New Roman" w:cs="Times New Roman"/>
          <w:bCs/>
          <w:lang w:eastAsia="ko-KR"/>
        </w:rPr>
        <w:t>subgroup analyses, including NOAC types and dos</w:t>
      </w:r>
      <w:r w:rsidR="004D2F7F" w:rsidRPr="00A74CDF">
        <w:rPr>
          <w:rFonts w:ascii="Times New Roman" w:hAnsi="Times New Roman" w:cs="Times New Roman"/>
          <w:bCs/>
          <w:lang w:eastAsia="ko-KR"/>
        </w:rPr>
        <w:t>ag</w:t>
      </w:r>
      <w:r w:rsidRPr="00A74CDF">
        <w:rPr>
          <w:rFonts w:ascii="Times New Roman" w:hAnsi="Times New Roman" w:cs="Times New Roman"/>
          <w:bCs/>
          <w:lang w:eastAsia="ko-KR"/>
        </w:rPr>
        <w:t xml:space="preserve">e, showed results </w:t>
      </w:r>
      <w:r w:rsidR="002B31A3" w:rsidRPr="00A74CDF">
        <w:rPr>
          <w:rFonts w:ascii="Times New Roman" w:hAnsi="Times New Roman" w:cs="Times New Roman"/>
          <w:bCs/>
          <w:lang w:eastAsia="ko-KR"/>
        </w:rPr>
        <w:t xml:space="preserve">consistent </w:t>
      </w:r>
      <w:r w:rsidRPr="00A74CDF">
        <w:rPr>
          <w:rFonts w:ascii="Times New Roman" w:hAnsi="Times New Roman" w:cs="Times New Roman"/>
          <w:bCs/>
          <w:lang w:eastAsia="ko-KR"/>
        </w:rPr>
        <w:t>with the main analysis.</w:t>
      </w:r>
    </w:p>
    <w:p w14:paraId="4136CA93" w14:textId="671AE3D4" w:rsidR="005B3F87" w:rsidRPr="00A74CDF" w:rsidRDefault="005B3F87">
      <w:pPr>
        <w:pStyle w:val="1"/>
        <w:spacing w:before="0" w:after="0"/>
        <w:ind w:firstLineChars="200" w:firstLine="480"/>
        <w:contextualSpacing/>
        <w:jc w:val="both"/>
        <w:rPr>
          <w:rFonts w:ascii="Times New Roman" w:hAnsi="Times New Roman" w:cs="Times New Roman"/>
          <w:bCs/>
          <w:lang w:eastAsia="ko-KR"/>
        </w:rPr>
      </w:pPr>
      <w:r w:rsidRPr="00A74CDF">
        <w:rPr>
          <w:rFonts w:ascii="Times New Roman" w:hAnsi="Times New Roman" w:cs="Times New Roman"/>
          <w:bCs/>
          <w:color w:val="auto"/>
          <w:lang w:eastAsia="ko-KR"/>
        </w:rPr>
        <w:t xml:space="preserve">The risk of bleeding during OAC treatment </w:t>
      </w:r>
      <w:r w:rsidR="004D2F7F" w:rsidRPr="00A74CDF">
        <w:rPr>
          <w:rFonts w:ascii="Times New Roman" w:hAnsi="Times New Roman" w:cs="Times New Roman"/>
          <w:bCs/>
          <w:color w:val="auto"/>
          <w:lang w:eastAsia="ko-KR"/>
        </w:rPr>
        <w:t xml:space="preserve">can </w:t>
      </w:r>
      <w:r w:rsidRPr="00A74CDF">
        <w:rPr>
          <w:rFonts w:ascii="Times New Roman" w:hAnsi="Times New Roman" w:cs="Times New Roman"/>
          <w:bCs/>
          <w:color w:val="auto"/>
          <w:lang w:eastAsia="ko-KR"/>
        </w:rPr>
        <w:t xml:space="preserve">be assessed using bleeding risk </w:t>
      </w:r>
      <w:r w:rsidR="00E44B26" w:rsidRPr="00A74CDF">
        <w:rPr>
          <w:rFonts w:ascii="Times New Roman" w:hAnsi="Times New Roman" w:cs="Times New Roman"/>
          <w:bCs/>
          <w:color w:val="auto"/>
          <w:lang w:eastAsia="ko-KR"/>
        </w:rPr>
        <w:t>scores</w:t>
      </w:r>
      <w:r w:rsidRPr="00A74CDF">
        <w:rPr>
          <w:rFonts w:ascii="Times New Roman" w:hAnsi="Times New Roman" w:cs="Times New Roman"/>
          <w:bCs/>
          <w:color w:val="auto"/>
          <w:lang w:eastAsia="ko-KR"/>
        </w:rPr>
        <w:t xml:space="preserve">, such as </w:t>
      </w:r>
      <w:r w:rsidR="00E44B26" w:rsidRPr="00A74CDF">
        <w:rPr>
          <w:rFonts w:ascii="Times New Roman" w:hAnsi="Times New Roman" w:cs="Times New Roman"/>
          <w:bCs/>
          <w:color w:val="auto"/>
          <w:lang w:eastAsia="ko-KR"/>
        </w:rPr>
        <w:t xml:space="preserve">the </w:t>
      </w:r>
      <w:r w:rsidRPr="00A74CDF">
        <w:rPr>
          <w:rFonts w:ascii="Times New Roman" w:hAnsi="Times New Roman" w:cs="Times New Roman"/>
          <w:bCs/>
          <w:color w:val="auto"/>
          <w:lang w:eastAsia="ko-KR"/>
        </w:rPr>
        <w:t>HAS-BLED</w:t>
      </w:r>
      <w:r w:rsidR="00264EF7" w:rsidRPr="00A74CDF">
        <w:rPr>
          <w:rFonts w:ascii="Times New Roman" w:hAnsi="Times New Roman" w:cs="Times New Roman"/>
          <w:bCs/>
          <w:color w:val="auto"/>
          <w:lang w:eastAsia="ko-KR"/>
        </w:rPr>
        <w:t>.</w:t>
      </w:r>
      <w:r w:rsidR="00D21B90" w:rsidRPr="00A74CDF">
        <w:rPr>
          <w:rFonts w:ascii="Times New Roman" w:hAnsi="Times New Roman" w:cs="Times New Roman"/>
          <w:bCs/>
          <w:color w:val="auto"/>
          <w:vertAlign w:val="superscript"/>
          <w:lang w:eastAsia="ko-KR"/>
        </w:rPr>
        <w:t>19,</w:t>
      </w:r>
      <w:r w:rsidR="009E7C03" w:rsidRPr="00A74CDF">
        <w:rPr>
          <w:rFonts w:ascii="Times New Roman" w:hAnsi="Times New Roman" w:cs="Times New Roman"/>
          <w:bCs/>
          <w:color w:val="auto"/>
          <w:vertAlign w:val="superscript"/>
          <w:lang w:eastAsia="ko-KR"/>
        </w:rPr>
        <w:t>3</w:t>
      </w:r>
      <w:r w:rsidR="00A2363F">
        <w:rPr>
          <w:rFonts w:ascii="Times New Roman" w:hAnsi="Times New Roman" w:cs="Times New Roman"/>
          <w:bCs/>
          <w:color w:val="auto"/>
          <w:vertAlign w:val="superscript"/>
          <w:lang w:eastAsia="ko-KR"/>
        </w:rPr>
        <w:t>2</w:t>
      </w:r>
      <w:r w:rsidRPr="00A74CDF">
        <w:rPr>
          <w:rFonts w:ascii="Times New Roman" w:hAnsi="Times New Roman" w:cs="Times New Roman"/>
          <w:bCs/>
          <w:color w:val="auto"/>
          <w:lang w:eastAsia="ko-KR"/>
        </w:rPr>
        <w:t xml:space="preserve"> </w:t>
      </w:r>
      <w:r w:rsidR="00ED03D4" w:rsidRPr="00A74CDF">
        <w:rPr>
          <w:rFonts w:ascii="Times New Roman" w:hAnsi="Times New Roman" w:cs="Times New Roman"/>
          <w:bCs/>
          <w:color w:val="auto"/>
          <w:lang w:eastAsia="ko-KR"/>
        </w:rPr>
        <w:t>P</w:t>
      </w:r>
      <w:r w:rsidRPr="00A74CDF">
        <w:rPr>
          <w:rFonts w:ascii="Times New Roman" w:hAnsi="Times New Roman" w:cs="Times New Roman"/>
          <w:bCs/>
          <w:color w:val="auto"/>
          <w:lang w:eastAsia="ko-KR"/>
        </w:rPr>
        <w:t xml:space="preserve">hysicians </w:t>
      </w:r>
      <w:r w:rsidRPr="00A74CDF">
        <w:rPr>
          <w:rFonts w:ascii="Times New Roman" w:hAnsi="Times New Roman" w:cs="Times New Roman"/>
          <w:bCs/>
          <w:lang w:eastAsia="ko-KR"/>
        </w:rPr>
        <w:t xml:space="preserve">tend to avoid </w:t>
      </w:r>
      <w:r w:rsidR="004D2F7F" w:rsidRPr="00A74CDF">
        <w:rPr>
          <w:rFonts w:ascii="Times New Roman" w:hAnsi="Times New Roman" w:cs="Times New Roman"/>
          <w:bCs/>
          <w:lang w:eastAsia="ko-KR"/>
        </w:rPr>
        <w:t xml:space="preserve">prescribing or resuming </w:t>
      </w:r>
      <w:r w:rsidRPr="00A74CDF">
        <w:rPr>
          <w:rFonts w:ascii="Times New Roman" w:hAnsi="Times New Roman" w:cs="Times New Roman"/>
          <w:bCs/>
          <w:lang w:eastAsia="ko-KR"/>
        </w:rPr>
        <w:t>OAC</w:t>
      </w:r>
      <w:r w:rsidR="004D2F7F" w:rsidRPr="00A74CDF">
        <w:rPr>
          <w:rFonts w:ascii="Times New Roman" w:hAnsi="Times New Roman" w:cs="Times New Roman"/>
          <w:bCs/>
          <w:lang w:eastAsia="ko-KR"/>
        </w:rPr>
        <w:t>s</w:t>
      </w:r>
      <w:r w:rsidRPr="00A74CDF">
        <w:rPr>
          <w:rFonts w:ascii="Times New Roman" w:hAnsi="Times New Roman" w:cs="Times New Roman"/>
          <w:bCs/>
          <w:lang w:eastAsia="ko-KR"/>
        </w:rPr>
        <w:t xml:space="preserve"> after major bleeding episodes, which increase</w:t>
      </w:r>
      <w:r w:rsidR="004D2F7F" w:rsidRPr="00A74CDF">
        <w:rPr>
          <w:rFonts w:ascii="Times New Roman" w:hAnsi="Times New Roman" w:cs="Times New Roman"/>
          <w:bCs/>
          <w:lang w:eastAsia="ko-KR"/>
        </w:rPr>
        <w:t>s</w:t>
      </w:r>
      <w:r w:rsidRPr="00A74CDF">
        <w:rPr>
          <w:rFonts w:ascii="Times New Roman" w:hAnsi="Times New Roman" w:cs="Times New Roman"/>
          <w:bCs/>
          <w:lang w:eastAsia="ko-KR"/>
        </w:rPr>
        <w:t xml:space="preserve"> the risk of thromboembolism and all-cause mortality compared </w:t>
      </w:r>
      <w:r w:rsidR="004D2F7F" w:rsidRPr="00A74CDF">
        <w:rPr>
          <w:rFonts w:ascii="Times New Roman" w:hAnsi="Times New Roman" w:cs="Times New Roman"/>
          <w:bCs/>
          <w:lang w:eastAsia="ko-KR"/>
        </w:rPr>
        <w:t>with</w:t>
      </w:r>
      <w:r w:rsidRPr="00A74CDF">
        <w:rPr>
          <w:rFonts w:ascii="Times New Roman" w:hAnsi="Times New Roman" w:cs="Times New Roman"/>
          <w:bCs/>
          <w:lang w:eastAsia="ko-KR"/>
        </w:rPr>
        <w:t xml:space="preserve"> those who </w:t>
      </w:r>
      <w:r w:rsidRPr="00A74CDF">
        <w:rPr>
          <w:rFonts w:ascii="Times New Roman" w:hAnsi="Times New Roman" w:cs="Times New Roman"/>
          <w:shd w:val="clear" w:color="auto" w:fill="FFFFFF"/>
        </w:rPr>
        <w:t>subsequent</w:t>
      </w:r>
      <w:r w:rsidR="004D2F7F" w:rsidRPr="00A74CDF">
        <w:rPr>
          <w:rFonts w:ascii="Times New Roman" w:hAnsi="Times New Roman" w:cs="Times New Roman"/>
          <w:shd w:val="clear" w:color="auto" w:fill="FFFFFF"/>
        </w:rPr>
        <w:t>ly</w:t>
      </w:r>
      <w:r w:rsidRPr="00A74CDF">
        <w:rPr>
          <w:rFonts w:ascii="Times New Roman" w:hAnsi="Times New Roman" w:cs="Times New Roman"/>
          <w:shd w:val="clear" w:color="auto" w:fill="FFFFFF"/>
        </w:rPr>
        <w:t xml:space="preserve"> restart OAC therapy</w:t>
      </w:r>
      <w:r w:rsidR="00264EF7" w:rsidRPr="00A74CDF">
        <w:rPr>
          <w:rFonts w:ascii="Times New Roman" w:hAnsi="Times New Roman" w:cs="Times New Roman"/>
          <w:shd w:val="clear" w:color="auto" w:fill="FFFFFF"/>
        </w:rPr>
        <w:t>.</w:t>
      </w:r>
      <w:r w:rsidRPr="00A74CDF">
        <w:rPr>
          <w:rFonts w:ascii="Times New Roman" w:hAnsi="Times New Roman" w:cs="Times New Roman"/>
          <w:bCs/>
          <w:vertAlign w:val="superscript"/>
          <w:lang w:eastAsia="ko-KR"/>
        </w:rPr>
        <w:t>11</w:t>
      </w:r>
      <w:r w:rsidRPr="00A74CDF">
        <w:rPr>
          <w:rFonts w:ascii="Times New Roman" w:hAnsi="Times New Roman" w:cs="Times New Roman"/>
          <w:bCs/>
          <w:lang w:eastAsia="ko-KR"/>
        </w:rPr>
        <w:t xml:space="preserve"> Therefore, current guidelines recommend resuming OAC therapy once the source of bleeding is corrected</w:t>
      </w:r>
      <w:r w:rsidR="00264EF7"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16,17</w:t>
      </w:r>
      <w:r w:rsidR="00A51234" w:rsidRPr="00A74CDF">
        <w:rPr>
          <w:rFonts w:ascii="Times New Roman" w:hAnsi="Times New Roman" w:cs="Times New Roman"/>
          <w:bCs/>
          <w:vertAlign w:val="superscript"/>
          <w:lang w:eastAsia="ko-KR"/>
        </w:rPr>
        <w:t>,</w:t>
      </w:r>
      <w:r w:rsidR="00040719"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3</w:t>
      </w:r>
    </w:p>
    <w:p w14:paraId="15D3E4CE" w14:textId="52B0EDD4" w:rsidR="00795F32" w:rsidRPr="00A74CDF" w:rsidRDefault="005B3F87" w:rsidP="00F370C0">
      <w:pPr>
        <w:pStyle w:val="1"/>
        <w:spacing w:before="0" w:after="0"/>
        <w:ind w:firstLineChars="200" w:firstLine="480"/>
        <w:contextualSpacing/>
        <w:jc w:val="both"/>
        <w:rPr>
          <w:rFonts w:ascii="Times New Roman" w:hAnsi="Times New Roman" w:cs="Times New Roman"/>
          <w:bCs/>
          <w:lang w:eastAsia="ko-KR"/>
        </w:rPr>
      </w:pPr>
      <w:r w:rsidRPr="00A74CDF">
        <w:rPr>
          <w:rFonts w:ascii="Times New Roman" w:hAnsi="Times New Roman" w:cs="Times New Roman"/>
          <w:bCs/>
          <w:lang w:eastAsia="ko-KR"/>
        </w:rPr>
        <w:t xml:space="preserve">GIB is the bleeding event </w:t>
      </w:r>
      <w:r w:rsidR="00501756" w:rsidRPr="00A74CDF">
        <w:rPr>
          <w:rFonts w:ascii="Times New Roman" w:hAnsi="Times New Roman" w:cs="Times New Roman"/>
          <w:bCs/>
          <w:lang w:eastAsia="ko-KR"/>
        </w:rPr>
        <w:t xml:space="preserve">most frequently </w:t>
      </w:r>
      <w:r w:rsidRPr="00A74CDF">
        <w:rPr>
          <w:rFonts w:ascii="Times New Roman" w:hAnsi="Times New Roman" w:cs="Times New Roman"/>
          <w:bCs/>
          <w:lang w:eastAsia="ko-KR"/>
        </w:rPr>
        <w:t>associated with OAC therapy</w:t>
      </w:r>
      <w:r w:rsidR="000D07A8" w:rsidRPr="00A74CDF">
        <w:rPr>
          <w:rFonts w:ascii="Times New Roman" w:hAnsi="Times New Roman" w:cs="Times New Roman"/>
          <w:bCs/>
          <w:lang w:eastAsia="ko-KR"/>
        </w:rPr>
        <w:t>, and it</w:t>
      </w:r>
      <w:r w:rsidRPr="00A74CDF">
        <w:rPr>
          <w:rFonts w:ascii="Times New Roman" w:hAnsi="Times New Roman" w:cs="Times New Roman"/>
          <w:bCs/>
          <w:lang w:eastAsia="ko-KR"/>
        </w:rPr>
        <w:t xml:space="preserve"> increase</w:t>
      </w:r>
      <w:r w:rsidR="004D2F7F" w:rsidRPr="00A74CDF">
        <w:rPr>
          <w:rFonts w:ascii="Times New Roman" w:hAnsi="Times New Roman" w:cs="Times New Roman"/>
          <w:bCs/>
          <w:lang w:eastAsia="ko-KR"/>
        </w:rPr>
        <w:t>s</w:t>
      </w:r>
      <w:r w:rsidR="000D07A8" w:rsidRPr="00A74CDF">
        <w:rPr>
          <w:rFonts w:ascii="Times New Roman" w:hAnsi="Times New Roman" w:cs="Times New Roman"/>
          <w:bCs/>
          <w:lang w:eastAsia="ko-KR"/>
        </w:rPr>
        <w:t xml:space="preserve"> both a</w:t>
      </w:r>
      <w:r w:rsidRPr="00A74CDF">
        <w:rPr>
          <w:rFonts w:ascii="Times New Roman" w:hAnsi="Times New Roman" w:cs="Times New Roman"/>
          <w:bCs/>
          <w:lang w:eastAsia="ko-KR"/>
        </w:rPr>
        <w:t xml:space="preserve"> </w:t>
      </w:r>
      <w:r w:rsidR="004D2F7F" w:rsidRPr="00A74CDF">
        <w:rPr>
          <w:rFonts w:ascii="Times New Roman" w:hAnsi="Times New Roman" w:cs="Times New Roman"/>
          <w:bCs/>
          <w:lang w:eastAsia="ko-KR"/>
        </w:rPr>
        <w:t xml:space="preserve">risk </w:t>
      </w:r>
      <w:r w:rsidR="000D07A8" w:rsidRPr="00A74CDF">
        <w:rPr>
          <w:rFonts w:ascii="Times New Roman" w:hAnsi="Times New Roman" w:cs="Times New Roman"/>
          <w:bCs/>
          <w:lang w:eastAsia="ko-KR"/>
        </w:rPr>
        <w:t xml:space="preserve">of mortality </w:t>
      </w:r>
      <w:r w:rsidRPr="00A74CDF">
        <w:rPr>
          <w:rFonts w:ascii="Times New Roman" w:hAnsi="Times New Roman" w:cs="Times New Roman"/>
          <w:bCs/>
          <w:lang w:eastAsia="ko-KR"/>
        </w:rPr>
        <w:t>and health care burden</w:t>
      </w:r>
      <w:r w:rsidR="00264EF7" w:rsidRPr="00A74CDF">
        <w:rPr>
          <w:rFonts w:ascii="Times New Roman" w:hAnsi="Times New Roman" w:cs="Times New Roman"/>
          <w:bCs/>
          <w:lang w:eastAsia="ko-KR"/>
        </w:rPr>
        <w:t>.</w:t>
      </w:r>
      <w:r w:rsidR="00040719"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4</w:t>
      </w:r>
      <w:r w:rsidRPr="00A74CDF">
        <w:rPr>
          <w:rFonts w:ascii="Times New Roman" w:hAnsi="Times New Roman" w:cs="Times New Roman"/>
          <w:bCs/>
          <w:lang w:eastAsia="ko-KR"/>
        </w:rPr>
        <w:t xml:space="preserve"> Although NOAC</w:t>
      </w:r>
      <w:r w:rsidR="004D2F7F" w:rsidRPr="00A74CDF">
        <w:rPr>
          <w:rFonts w:ascii="Times New Roman" w:hAnsi="Times New Roman" w:cs="Times New Roman"/>
          <w:bCs/>
          <w:lang w:eastAsia="ko-KR"/>
        </w:rPr>
        <w:t>s</w:t>
      </w:r>
      <w:r w:rsidRPr="00A74CDF">
        <w:rPr>
          <w:rFonts w:ascii="Times New Roman" w:hAnsi="Times New Roman" w:cs="Times New Roman"/>
          <w:bCs/>
          <w:lang w:eastAsia="ko-KR"/>
        </w:rPr>
        <w:t xml:space="preserve"> showed favorable outcomes, especially in </w:t>
      </w:r>
      <w:r w:rsidR="00501756" w:rsidRPr="00A74CDF">
        <w:rPr>
          <w:rFonts w:ascii="Times New Roman" w:hAnsi="Times New Roman" w:cs="Times New Roman"/>
          <w:bCs/>
          <w:lang w:eastAsia="ko-KR"/>
        </w:rPr>
        <w:t>cases with ICH</w:t>
      </w:r>
      <w:r w:rsidRPr="00A74CDF">
        <w:rPr>
          <w:rFonts w:ascii="Times New Roman" w:hAnsi="Times New Roman" w:cs="Times New Roman"/>
          <w:bCs/>
          <w:lang w:eastAsia="ko-KR"/>
        </w:rPr>
        <w:t>, pivotal RCT</w:t>
      </w:r>
      <w:r w:rsidR="00566820" w:rsidRPr="00A74CDF">
        <w:rPr>
          <w:rFonts w:ascii="Times New Roman" w:hAnsi="Times New Roman" w:cs="Times New Roman"/>
          <w:bCs/>
          <w:lang w:eastAsia="ko-KR"/>
        </w:rPr>
        <w:t>s</w:t>
      </w:r>
      <w:r w:rsidRPr="00A74CDF">
        <w:rPr>
          <w:rFonts w:ascii="Times New Roman" w:hAnsi="Times New Roman" w:cs="Times New Roman"/>
          <w:bCs/>
          <w:lang w:eastAsia="ko-KR"/>
        </w:rPr>
        <w:t xml:space="preserve"> </w:t>
      </w:r>
      <w:r w:rsidR="003E033C" w:rsidRPr="00A74CDF">
        <w:rPr>
          <w:rFonts w:ascii="Times New Roman" w:hAnsi="Times New Roman" w:cs="Times New Roman"/>
          <w:bCs/>
          <w:lang w:eastAsia="ko-KR"/>
        </w:rPr>
        <w:t xml:space="preserve">and their meta-analyses </w:t>
      </w:r>
      <w:r w:rsidR="00566820" w:rsidRPr="00A74CDF">
        <w:rPr>
          <w:rFonts w:ascii="Times New Roman" w:hAnsi="Times New Roman" w:cs="Times New Roman"/>
          <w:bCs/>
          <w:lang w:eastAsia="ko-KR"/>
        </w:rPr>
        <w:t xml:space="preserve">have </w:t>
      </w:r>
      <w:r w:rsidRPr="00A74CDF">
        <w:rPr>
          <w:rFonts w:ascii="Times New Roman" w:hAnsi="Times New Roman" w:cs="Times New Roman"/>
          <w:bCs/>
          <w:lang w:eastAsia="ko-KR"/>
        </w:rPr>
        <w:t xml:space="preserve">reported an increased risk of GIB </w:t>
      </w:r>
      <w:r w:rsidR="004D2F7F" w:rsidRPr="00A74CDF">
        <w:rPr>
          <w:rFonts w:ascii="Times New Roman" w:hAnsi="Times New Roman" w:cs="Times New Roman"/>
          <w:bCs/>
          <w:lang w:eastAsia="ko-KR"/>
        </w:rPr>
        <w:t xml:space="preserve">associated with </w:t>
      </w:r>
      <w:r w:rsidR="00ED03D4" w:rsidRPr="00A74CDF">
        <w:rPr>
          <w:rFonts w:ascii="Times New Roman" w:hAnsi="Times New Roman" w:cs="Times New Roman"/>
          <w:bCs/>
          <w:lang w:eastAsia="ko-KR"/>
        </w:rPr>
        <w:t xml:space="preserve">some </w:t>
      </w:r>
      <w:r w:rsidR="004D2F7F" w:rsidRPr="00A74CDF">
        <w:rPr>
          <w:rFonts w:ascii="Times New Roman" w:hAnsi="Times New Roman" w:cs="Times New Roman"/>
          <w:bCs/>
          <w:lang w:eastAsia="ko-KR"/>
        </w:rPr>
        <w:t xml:space="preserve">NOACs </w:t>
      </w:r>
      <w:r w:rsidRPr="00A74CDF">
        <w:rPr>
          <w:rFonts w:ascii="Times New Roman" w:hAnsi="Times New Roman" w:cs="Times New Roman"/>
          <w:bCs/>
          <w:lang w:eastAsia="ko-KR"/>
        </w:rPr>
        <w:t xml:space="preserve">compared </w:t>
      </w:r>
      <w:r w:rsidR="004D2F7F" w:rsidRPr="00A74CDF">
        <w:rPr>
          <w:rFonts w:ascii="Times New Roman" w:hAnsi="Times New Roman" w:cs="Times New Roman"/>
          <w:bCs/>
          <w:lang w:eastAsia="ko-KR"/>
        </w:rPr>
        <w:t xml:space="preserve">with </w:t>
      </w:r>
      <w:r w:rsidRPr="00A74CDF">
        <w:rPr>
          <w:rFonts w:ascii="Times New Roman" w:hAnsi="Times New Roman" w:cs="Times New Roman"/>
          <w:bCs/>
          <w:lang w:eastAsia="ko-KR"/>
        </w:rPr>
        <w:t>warfarin</w:t>
      </w:r>
      <w:r w:rsidR="00264EF7"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1</w:t>
      </w:r>
      <w:r w:rsidR="003E033C" w:rsidRPr="00A74CDF">
        <w:rPr>
          <w:rFonts w:ascii="Times New Roman" w:hAnsi="Times New Roman" w:cs="Times New Roman"/>
          <w:bCs/>
          <w:vertAlign w:val="superscript"/>
          <w:lang w:eastAsia="ko-KR"/>
        </w:rPr>
        <w:t>,</w:t>
      </w:r>
      <w:r w:rsidRPr="00A74CDF">
        <w:rPr>
          <w:rFonts w:ascii="Times New Roman" w:hAnsi="Times New Roman" w:cs="Times New Roman"/>
          <w:bCs/>
          <w:vertAlign w:val="superscript"/>
          <w:lang w:eastAsia="ko-KR"/>
        </w:rPr>
        <w:t>8-10,3</w:t>
      </w:r>
      <w:r w:rsidR="00A2363F">
        <w:rPr>
          <w:rFonts w:ascii="Times New Roman" w:hAnsi="Times New Roman" w:cs="Times New Roman"/>
          <w:bCs/>
          <w:vertAlign w:val="superscript"/>
          <w:lang w:eastAsia="ko-KR"/>
        </w:rPr>
        <w:t>5</w:t>
      </w:r>
      <w:r w:rsidRPr="00A74CDF">
        <w:rPr>
          <w:rFonts w:ascii="Times New Roman" w:hAnsi="Times New Roman" w:cs="Times New Roman"/>
          <w:bCs/>
          <w:lang w:eastAsia="ko-KR"/>
        </w:rPr>
        <w:t xml:space="preserve"> </w:t>
      </w:r>
      <w:r w:rsidR="004D2F7F" w:rsidRPr="00A74CDF">
        <w:rPr>
          <w:rFonts w:ascii="Times New Roman" w:hAnsi="Times New Roman" w:cs="Times New Roman"/>
          <w:bCs/>
          <w:lang w:eastAsia="ko-KR"/>
        </w:rPr>
        <w:t>D</w:t>
      </w:r>
      <w:r w:rsidRPr="00A74CDF">
        <w:rPr>
          <w:rFonts w:ascii="Times New Roman" w:hAnsi="Times New Roman" w:cs="Times New Roman"/>
          <w:bCs/>
          <w:lang w:eastAsia="ko-KR"/>
        </w:rPr>
        <w:t xml:space="preserve">uration </w:t>
      </w:r>
      <w:r w:rsidR="00FD16A4" w:rsidRPr="00A74CDF">
        <w:rPr>
          <w:rFonts w:ascii="Times New Roman" w:hAnsi="Times New Roman" w:cs="Times New Roman"/>
          <w:bCs/>
          <w:lang w:eastAsia="ko-KR"/>
        </w:rPr>
        <w:t xml:space="preserve">of treatment </w:t>
      </w:r>
      <w:r w:rsidRPr="00A74CDF">
        <w:rPr>
          <w:rFonts w:ascii="Times New Roman" w:hAnsi="Times New Roman" w:cs="Times New Roman"/>
          <w:bCs/>
          <w:lang w:eastAsia="ko-KR"/>
        </w:rPr>
        <w:t>or dosage effect</w:t>
      </w:r>
      <w:r w:rsidR="00FD16A4" w:rsidRPr="00A74CDF">
        <w:rPr>
          <w:rFonts w:ascii="Times New Roman" w:hAnsi="Times New Roman" w:cs="Times New Roman"/>
          <w:bCs/>
          <w:lang w:eastAsia="ko-KR"/>
        </w:rPr>
        <w:t>s</w:t>
      </w:r>
      <w:r w:rsidRPr="00A74CDF">
        <w:rPr>
          <w:rFonts w:ascii="Times New Roman" w:hAnsi="Times New Roman" w:cs="Times New Roman"/>
          <w:bCs/>
          <w:lang w:eastAsia="ko-KR"/>
        </w:rPr>
        <w:t xml:space="preserve"> of NOACs could </w:t>
      </w:r>
      <w:r w:rsidR="00ED03D4" w:rsidRPr="00A74CDF">
        <w:rPr>
          <w:rFonts w:ascii="Times New Roman" w:hAnsi="Times New Roman" w:cs="Times New Roman"/>
          <w:bCs/>
          <w:lang w:eastAsia="ko-KR"/>
        </w:rPr>
        <w:t xml:space="preserve">partly </w:t>
      </w:r>
      <w:r w:rsidRPr="00A74CDF">
        <w:rPr>
          <w:rFonts w:ascii="Times New Roman" w:hAnsi="Times New Roman" w:cs="Times New Roman"/>
          <w:bCs/>
          <w:lang w:eastAsia="ko-KR"/>
        </w:rPr>
        <w:t xml:space="preserve">explain the difference in risk of GIB among different indications. </w:t>
      </w:r>
      <w:r w:rsidR="00ED03D4" w:rsidRPr="00A74CDF">
        <w:rPr>
          <w:rFonts w:ascii="Times New Roman" w:hAnsi="Times New Roman" w:cs="Times New Roman"/>
          <w:bCs/>
          <w:lang w:eastAsia="ko-KR"/>
        </w:rPr>
        <w:t>Indeed, t</w:t>
      </w:r>
      <w:r w:rsidR="0066571A" w:rsidRPr="00A74CDF">
        <w:rPr>
          <w:rFonts w:ascii="Times New Roman" w:hAnsi="Times New Roman" w:cs="Times New Roman"/>
          <w:bCs/>
          <w:lang w:eastAsia="ko-KR"/>
        </w:rPr>
        <w:t>he</w:t>
      </w:r>
      <w:r w:rsidRPr="00A74CDF">
        <w:rPr>
          <w:rFonts w:ascii="Times New Roman" w:hAnsi="Times New Roman" w:cs="Times New Roman"/>
          <w:bCs/>
          <w:lang w:eastAsia="ko-KR"/>
        </w:rPr>
        <w:t xml:space="preserve"> most recent meta-analysis combining both pivotal RCTs and high-quality real-world studies reported that there was no significant difference in risk of major GIB between NOAC</w:t>
      </w:r>
      <w:r w:rsidR="0066571A" w:rsidRPr="00A74CDF">
        <w:rPr>
          <w:rFonts w:ascii="Times New Roman" w:hAnsi="Times New Roman" w:cs="Times New Roman"/>
          <w:bCs/>
          <w:lang w:eastAsia="ko-KR"/>
        </w:rPr>
        <w:t>s</w:t>
      </w:r>
      <w:r w:rsidRPr="00A74CDF">
        <w:rPr>
          <w:rFonts w:ascii="Times New Roman" w:hAnsi="Times New Roman" w:cs="Times New Roman"/>
          <w:bCs/>
          <w:lang w:eastAsia="ko-KR"/>
        </w:rPr>
        <w:t xml:space="preserve"> and conventional treatment</w:t>
      </w:r>
      <w:r w:rsidR="00264EF7"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9</w:t>
      </w:r>
      <w:r w:rsidRPr="00A74CDF">
        <w:rPr>
          <w:rFonts w:ascii="Times New Roman" w:hAnsi="Times New Roman" w:cs="Times New Roman"/>
          <w:bCs/>
          <w:lang w:eastAsia="ko-KR"/>
        </w:rPr>
        <w:t xml:space="preserve"> </w:t>
      </w:r>
      <w:r w:rsidR="00F370C0" w:rsidRPr="00A74CDF">
        <w:rPr>
          <w:rFonts w:ascii="Times New Roman" w:hAnsi="Times New Roman" w:cs="Times New Roman"/>
          <w:bCs/>
          <w:lang w:eastAsia="ko-KR"/>
        </w:rPr>
        <w:t>Such a discrepancy between RCTs a</w:t>
      </w:r>
      <w:r w:rsidR="00DE697C" w:rsidRPr="00A74CDF">
        <w:rPr>
          <w:rFonts w:ascii="Times New Roman" w:hAnsi="Times New Roman" w:cs="Times New Roman"/>
          <w:bCs/>
          <w:lang w:eastAsia="ko-KR"/>
        </w:rPr>
        <w:t>n</w:t>
      </w:r>
      <w:r w:rsidR="00F370C0" w:rsidRPr="00A74CDF">
        <w:rPr>
          <w:rFonts w:ascii="Times New Roman" w:hAnsi="Times New Roman" w:cs="Times New Roman"/>
          <w:bCs/>
          <w:lang w:eastAsia="ko-KR"/>
        </w:rPr>
        <w:t xml:space="preserve">d real-world studies may lie in the </w:t>
      </w:r>
      <w:r w:rsidRPr="00A74CDF">
        <w:rPr>
          <w:rFonts w:ascii="Times New Roman" w:hAnsi="Times New Roman" w:cs="Times New Roman"/>
          <w:bCs/>
          <w:lang w:eastAsia="ko-KR"/>
        </w:rPr>
        <w:t xml:space="preserve">strict inclusion and exclusion criteria of RCTs, </w:t>
      </w:r>
      <w:r w:rsidR="00C84FB7" w:rsidRPr="00A74CDF">
        <w:rPr>
          <w:rFonts w:ascii="Times New Roman" w:hAnsi="Times New Roman" w:cs="Times New Roman"/>
          <w:bCs/>
          <w:lang w:eastAsia="ko-KR"/>
        </w:rPr>
        <w:t xml:space="preserve">such that </w:t>
      </w:r>
      <w:r w:rsidRPr="00A74CDF">
        <w:rPr>
          <w:rFonts w:ascii="Times New Roman" w:hAnsi="Times New Roman" w:cs="Times New Roman"/>
          <w:bCs/>
          <w:lang w:eastAsia="ko-KR"/>
        </w:rPr>
        <w:t>patients with relatively low</w:t>
      </w:r>
      <w:r w:rsidR="00FD16A4" w:rsidRPr="00A74CDF">
        <w:rPr>
          <w:rFonts w:ascii="Times New Roman" w:hAnsi="Times New Roman" w:cs="Times New Roman"/>
          <w:bCs/>
          <w:lang w:eastAsia="ko-KR"/>
        </w:rPr>
        <w:t xml:space="preserve"> </w:t>
      </w:r>
      <w:r w:rsidRPr="00A74CDF">
        <w:rPr>
          <w:rFonts w:ascii="Times New Roman" w:hAnsi="Times New Roman" w:cs="Times New Roman"/>
          <w:bCs/>
          <w:lang w:eastAsia="ko-KR"/>
        </w:rPr>
        <w:t xml:space="preserve">risk of GIB </w:t>
      </w:r>
      <w:r w:rsidR="0066571A" w:rsidRPr="00A74CDF">
        <w:rPr>
          <w:rFonts w:ascii="Times New Roman" w:hAnsi="Times New Roman" w:cs="Times New Roman"/>
          <w:bCs/>
          <w:lang w:eastAsia="ko-KR"/>
        </w:rPr>
        <w:t xml:space="preserve">likely are </w:t>
      </w:r>
      <w:r w:rsidRPr="00A74CDF">
        <w:rPr>
          <w:rFonts w:ascii="Times New Roman" w:hAnsi="Times New Roman" w:cs="Times New Roman"/>
          <w:bCs/>
          <w:lang w:eastAsia="ko-KR"/>
        </w:rPr>
        <w:t>included</w:t>
      </w:r>
      <w:r w:rsidR="009B7109" w:rsidRPr="00A74CDF">
        <w:rPr>
          <w:rFonts w:ascii="Times New Roman" w:hAnsi="Times New Roman" w:cs="Times New Roman"/>
          <w:bCs/>
          <w:lang w:eastAsia="ko-KR"/>
        </w:rPr>
        <w:t xml:space="preserve"> in such RCTs</w:t>
      </w:r>
      <w:r w:rsidRPr="00A74CDF">
        <w:rPr>
          <w:rFonts w:ascii="Times New Roman" w:hAnsi="Times New Roman" w:cs="Times New Roman"/>
          <w:bCs/>
          <w:lang w:eastAsia="ko-KR"/>
        </w:rPr>
        <w:t xml:space="preserve">. In line with pivotal RCTs, a recent meta-analysis based on high-quality real-world studies showed that the risk of GIB was </w:t>
      </w:r>
      <w:r w:rsidR="004D2F7F" w:rsidRPr="00A74CDF">
        <w:rPr>
          <w:rFonts w:ascii="Times New Roman" w:hAnsi="Times New Roman" w:cs="Times New Roman"/>
          <w:bCs/>
          <w:lang w:eastAsia="ko-KR"/>
        </w:rPr>
        <w:t xml:space="preserve">the </w:t>
      </w:r>
      <w:r w:rsidR="00ED03D4" w:rsidRPr="00A74CDF">
        <w:rPr>
          <w:rFonts w:ascii="Times New Roman" w:hAnsi="Times New Roman" w:cs="Times New Roman"/>
          <w:bCs/>
          <w:lang w:eastAsia="ko-KR"/>
        </w:rPr>
        <w:t xml:space="preserve">similar </w:t>
      </w:r>
      <w:r w:rsidRPr="00A74CDF">
        <w:rPr>
          <w:rFonts w:ascii="Times New Roman" w:hAnsi="Times New Roman" w:cs="Times New Roman"/>
          <w:bCs/>
          <w:lang w:eastAsia="ko-KR"/>
        </w:rPr>
        <w:t>between NOAC</w:t>
      </w:r>
      <w:r w:rsidR="00FD16A4" w:rsidRPr="00A74CDF">
        <w:rPr>
          <w:rFonts w:ascii="Times New Roman" w:hAnsi="Times New Roman" w:cs="Times New Roman"/>
          <w:bCs/>
          <w:lang w:eastAsia="ko-KR"/>
        </w:rPr>
        <w:t>s</w:t>
      </w:r>
      <w:r w:rsidRPr="00A74CDF">
        <w:rPr>
          <w:rFonts w:ascii="Times New Roman" w:hAnsi="Times New Roman" w:cs="Times New Roman"/>
          <w:bCs/>
          <w:lang w:eastAsia="ko-KR"/>
        </w:rPr>
        <w:t xml:space="preserve"> and warfarin in patients with AF</w:t>
      </w:r>
      <w:r w:rsidR="00264EF7"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9</w:t>
      </w:r>
      <w:r w:rsidRPr="00A74CDF">
        <w:rPr>
          <w:rFonts w:ascii="Times New Roman" w:hAnsi="Times New Roman" w:cs="Times New Roman"/>
          <w:bCs/>
          <w:lang w:eastAsia="ko-KR"/>
        </w:rPr>
        <w:t xml:space="preserve"> </w:t>
      </w:r>
    </w:p>
    <w:p w14:paraId="6E06403E" w14:textId="0A020565" w:rsidR="005B3F87" w:rsidRPr="00A74CDF" w:rsidRDefault="00795F32">
      <w:pPr>
        <w:pStyle w:val="1"/>
        <w:spacing w:before="0" w:after="0"/>
        <w:ind w:firstLineChars="200" w:firstLine="480"/>
        <w:contextualSpacing/>
        <w:jc w:val="both"/>
        <w:rPr>
          <w:rFonts w:ascii="Times New Roman" w:hAnsi="Times New Roman" w:cs="Times New Roman"/>
          <w:bCs/>
          <w:lang w:eastAsia="ko-KR"/>
        </w:rPr>
      </w:pPr>
      <w:r w:rsidRPr="00A74CDF">
        <w:rPr>
          <w:rFonts w:ascii="Times New Roman" w:hAnsi="Times New Roman" w:cs="Times New Roman"/>
          <w:bCs/>
          <w:lang w:eastAsia="ko-KR"/>
        </w:rPr>
        <w:t xml:space="preserve">Also, Asians may exhibit difference responses to NOACs in regarding the risk of GIB. </w:t>
      </w:r>
      <w:r w:rsidR="00D743F4" w:rsidRPr="00A74CDF">
        <w:rPr>
          <w:rFonts w:ascii="Times New Roman" w:hAnsi="Times New Roman" w:cs="Times New Roman"/>
          <w:bCs/>
          <w:lang w:eastAsia="ko-KR"/>
        </w:rPr>
        <w:t xml:space="preserve">Compared with warfarin, </w:t>
      </w:r>
      <w:r w:rsidR="005B3F87" w:rsidRPr="00A74CDF">
        <w:rPr>
          <w:rFonts w:ascii="Times New Roman" w:hAnsi="Times New Roman" w:cs="Times New Roman"/>
          <w:bCs/>
          <w:lang w:eastAsia="ko-KR"/>
        </w:rPr>
        <w:t xml:space="preserve">NOACs </w:t>
      </w:r>
      <w:r w:rsidR="00DE6063" w:rsidRPr="00A74CDF">
        <w:rPr>
          <w:rFonts w:ascii="Times New Roman" w:hAnsi="Times New Roman" w:cs="Times New Roman"/>
          <w:bCs/>
          <w:lang w:eastAsia="ko-KR"/>
        </w:rPr>
        <w:t xml:space="preserve">have generally </w:t>
      </w:r>
      <w:r w:rsidR="005B3F87" w:rsidRPr="00A74CDF">
        <w:rPr>
          <w:rFonts w:ascii="Times New Roman" w:hAnsi="Times New Roman" w:cs="Times New Roman"/>
          <w:bCs/>
          <w:lang w:eastAsia="ko-KR"/>
        </w:rPr>
        <w:t>better efficacy and safety in Asian</w:t>
      </w:r>
      <w:r w:rsidR="00DE6063" w:rsidRPr="00A74CDF">
        <w:rPr>
          <w:rFonts w:ascii="Times New Roman" w:hAnsi="Times New Roman" w:cs="Times New Roman"/>
          <w:bCs/>
          <w:lang w:eastAsia="ko-KR"/>
        </w:rPr>
        <w:t xml:space="preserve"> patients</w:t>
      </w:r>
      <w:r w:rsidR="005B3F87" w:rsidRPr="00A74CDF">
        <w:rPr>
          <w:rFonts w:ascii="Times New Roman" w:hAnsi="Times New Roman" w:cs="Times New Roman"/>
          <w:bCs/>
          <w:lang w:eastAsia="ko-KR"/>
        </w:rPr>
        <w:t xml:space="preserve"> than in non-Asians</w:t>
      </w:r>
      <w:r w:rsidR="003E3031" w:rsidRPr="00A74CDF">
        <w:rPr>
          <w:rFonts w:ascii="Times New Roman" w:hAnsi="Times New Roman" w:cs="Times New Roman"/>
          <w:bCs/>
          <w:lang w:eastAsia="ko-KR"/>
        </w:rPr>
        <w:t xml:space="preserve"> </w:t>
      </w:r>
      <w:r w:rsidR="00DE6063" w:rsidRPr="00A74CDF">
        <w:rPr>
          <w:rFonts w:ascii="Times New Roman" w:hAnsi="Times New Roman" w:cs="Times New Roman"/>
          <w:bCs/>
          <w:lang w:eastAsia="ko-KR"/>
        </w:rPr>
        <w:t>in the RCTs</w:t>
      </w:r>
      <w:r w:rsidR="00264EF7" w:rsidRPr="00A74CDF">
        <w:rPr>
          <w:rFonts w:ascii="Times New Roman" w:hAnsi="Times New Roman" w:cs="Times New Roman"/>
          <w:bCs/>
          <w:lang w:eastAsia="ko-KR"/>
        </w:rPr>
        <w:t>.</w:t>
      </w:r>
      <w:r w:rsidR="005B3F87"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6</w:t>
      </w:r>
      <w:r w:rsidR="005B3F87"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7</w:t>
      </w:r>
      <w:r w:rsidR="005B3F87" w:rsidRPr="00A74CDF">
        <w:rPr>
          <w:rFonts w:ascii="Times New Roman" w:hAnsi="Times New Roman" w:cs="Times New Roman"/>
          <w:bCs/>
          <w:lang w:eastAsia="ko-KR"/>
        </w:rPr>
        <w:t xml:space="preserve"> Although the risk of ICH was higher </w:t>
      </w:r>
      <w:r w:rsidR="00D743F4" w:rsidRPr="00A74CDF">
        <w:rPr>
          <w:rFonts w:ascii="Times New Roman" w:hAnsi="Times New Roman" w:cs="Times New Roman"/>
          <w:bCs/>
          <w:lang w:eastAsia="ko-KR"/>
        </w:rPr>
        <w:t xml:space="preserve">for </w:t>
      </w:r>
      <w:r w:rsidR="005B3F87" w:rsidRPr="00A74CDF">
        <w:rPr>
          <w:rFonts w:ascii="Times New Roman" w:hAnsi="Times New Roman" w:cs="Times New Roman"/>
          <w:bCs/>
          <w:lang w:eastAsia="ko-KR"/>
        </w:rPr>
        <w:t>Asians</w:t>
      </w:r>
      <w:r w:rsidR="00934499" w:rsidRPr="00A74CDF">
        <w:rPr>
          <w:rFonts w:ascii="Times New Roman" w:hAnsi="Times New Roman" w:cs="Times New Roman"/>
          <w:bCs/>
          <w:lang w:eastAsia="ko-KR"/>
        </w:rPr>
        <w:t xml:space="preserve"> on warfarin</w:t>
      </w:r>
      <w:r w:rsidR="005B3F87" w:rsidRPr="00A74CDF">
        <w:rPr>
          <w:rFonts w:ascii="Times New Roman" w:hAnsi="Times New Roman" w:cs="Times New Roman"/>
          <w:bCs/>
          <w:lang w:eastAsia="ko-KR"/>
        </w:rPr>
        <w:t xml:space="preserve">, the risk of GIB was </w:t>
      </w:r>
      <w:r w:rsidR="00DE6063" w:rsidRPr="00A74CDF">
        <w:rPr>
          <w:rFonts w:ascii="Times New Roman" w:hAnsi="Times New Roman" w:cs="Times New Roman"/>
          <w:bCs/>
          <w:lang w:eastAsia="ko-KR"/>
        </w:rPr>
        <w:t xml:space="preserve">broadly </w:t>
      </w:r>
      <w:r w:rsidR="005B3F87" w:rsidRPr="00A74CDF">
        <w:rPr>
          <w:rFonts w:ascii="Times New Roman" w:hAnsi="Times New Roman" w:cs="Times New Roman"/>
          <w:bCs/>
          <w:lang w:eastAsia="ko-KR"/>
        </w:rPr>
        <w:t>similar in Asians and non-Asians</w:t>
      </w:r>
      <w:r w:rsidR="00264EF7" w:rsidRPr="00A74CDF">
        <w:rPr>
          <w:rFonts w:ascii="Times New Roman" w:hAnsi="Times New Roman" w:cs="Times New Roman"/>
          <w:bCs/>
          <w:lang w:eastAsia="ko-KR"/>
        </w:rPr>
        <w:t>.</w:t>
      </w:r>
      <w:r w:rsidR="005B3F87"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7</w:t>
      </w:r>
      <w:r w:rsidR="005B3F87" w:rsidRPr="00A74CDF">
        <w:rPr>
          <w:rFonts w:ascii="Times New Roman" w:hAnsi="Times New Roman" w:cs="Times New Roman"/>
          <w:bCs/>
          <w:lang w:eastAsia="ko-KR"/>
        </w:rPr>
        <w:t xml:space="preserve"> In</w:t>
      </w:r>
      <w:r w:rsidR="00DE6063" w:rsidRPr="00A74CDF">
        <w:rPr>
          <w:rFonts w:ascii="Times New Roman" w:hAnsi="Times New Roman" w:cs="Times New Roman"/>
          <w:bCs/>
          <w:lang w:eastAsia="ko-KR"/>
        </w:rPr>
        <w:t>deed,</w:t>
      </w:r>
      <w:r w:rsidR="005B3F87" w:rsidRPr="00A74CDF">
        <w:rPr>
          <w:rFonts w:ascii="Times New Roman" w:hAnsi="Times New Roman" w:cs="Times New Roman"/>
          <w:bCs/>
          <w:lang w:eastAsia="ko-KR"/>
        </w:rPr>
        <w:t xml:space="preserve"> real-world data of Asians</w:t>
      </w:r>
      <w:r w:rsidR="00DE6063" w:rsidRPr="00A74CDF">
        <w:rPr>
          <w:rFonts w:ascii="Times New Roman" w:hAnsi="Times New Roman" w:cs="Times New Roman"/>
          <w:bCs/>
          <w:lang w:eastAsia="ko-KR"/>
        </w:rPr>
        <w:t xml:space="preserve"> </w:t>
      </w:r>
      <w:r w:rsidR="00DE6063" w:rsidRPr="00A74CDF">
        <w:rPr>
          <w:rFonts w:ascii="Times New Roman" w:hAnsi="Times New Roman" w:cs="Times New Roman"/>
          <w:bCs/>
          <w:lang w:eastAsia="ko-KR"/>
        </w:rPr>
        <w:lastRenderedPageBreak/>
        <w:t xml:space="preserve">show that </w:t>
      </w:r>
      <w:r w:rsidR="005B3F87" w:rsidRPr="00A74CDF">
        <w:rPr>
          <w:rFonts w:ascii="Times New Roman" w:hAnsi="Times New Roman" w:cs="Times New Roman"/>
          <w:bCs/>
          <w:lang w:eastAsia="ko-KR"/>
        </w:rPr>
        <w:t>NOAC</w:t>
      </w:r>
      <w:r w:rsidR="00D743F4" w:rsidRPr="00A74CDF">
        <w:rPr>
          <w:rFonts w:ascii="Times New Roman" w:hAnsi="Times New Roman" w:cs="Times New Roman"/>
          <w:bCs/>
          <w:lang w:eastAsia="ko-KR"/>
        </w:rPr>
        <w:t>s</w:t>
      </w:r>
      <w:r w:rsidR="005B3F87" w:rsidRPr="00A74CDF">
        <w:rPr>
          <w:rFonts w:ascii="Times New Roman" w:hAnsi="Times New Roman" w:cs="Times New Roman"/>
          <w:bCs/>
          <w:lang w:eastAsia="ko-KR"/>
        </w:rPr>
        <w:t xml:space="preserve"> </w:t>
      </w:r>
      <w:r w:rsidR="00DE6063" w:rsidRPr="00A74CDF">
        <w:rPr>
          <w:rFonts w:ascii="Times New Roman" w:hAnsi="Times New Roman" w:cs="Times New Roman"/>
          <w:bCs/>
          <w:lang w:eastAsia="ko-KR"/>
        </w:rPr>
        <w:t xml:space="preserve">had </w:t>
      </w:r>
      <w:r w:rsidR="005B3F87" w:rsidRPr="00A74CDF">
        <w:rPr>
          <w:rFonts w:ascii="Times New Roman" w:hAnsi="Times New Roman" w:cs="Times New Roman"/>
          <w:bCs/>
          <w:lang w:eastAsia="ko-KR"/>
        </w:rPr>
        <w:t xml:space="preserve">a lower risk of GIB compared </w:t>
      </w:r>
      <w:r w:rsidR="00D743F4" w:rsidRPr="00A74CDF">
        <w:rPr>
          <w:rFonts w:ascii="Times New Roman" w:hAnsi="Times New Roman" w:cs="Times New Roman"/>
          <w:bCs/>
          <w:lang w:eastAsia="ko-KR"/>
        </w:rPr>
        <w:t xml:space="preserve">with </w:t>
      </w:r>
      <w:r w:rsidR="005B3F87" w:rsidRPr="00A74CDF">
        <w:rPr>
          <w:rFonts w:ascii="Times New Roman" w:hAnsi="Times New Roman" w:cs="Times New Roman"/>
          <w:bCs/>
          <w:lang w:eastAsia="ko-KR"/>
        </w:rPr>
        <w:t>warfarin</w:t>
      </w:r>
      <w:r w:rsidR="00264EF7" w:rsidRPr="00A74CDF">
        <w:rPr>
          <w:rFonts w:ascii="Times New Roman" w:hAnsi="Times New Roman" w:cs="Times New Roman"/>
          <w:bCs/>
          <w:lang w:eastAsia="ko-KR"/>
        </w:rPr>
        <w:t>.</w:t>
      </w:r>
      <w:r w:rsidR="005B3F87" w:rsidRPr="00A74CDF">
        <w:rPr>
          <w:rFonts w:ascii="Times New Roman" w:hAnsi="Times New Roman" w:cs="Times New Roman"/>
          <w:bCs/>
          <w:vertAlign w:val="superscript"/>
          <w:lang w:eastAsia="ko-KR"/>
        </w:rPr>
        <w:t>2,3</w:t>
      </w:r>
      <w:r w:rsidR="00A2363F">
        <w:rPr>
          <w:rFonts w:ascii="Times New Roman" w:hAnsi="Times New Roman" w:cs="Times New Roman"/>
          <w:bCs/>
          <w:vertAlign w:val="superscript"/>
          <w:lang w:eastAsia="ko-KR"/>
        </w:rPr>
        <w:t>8</w:t>
      </w:r>
      <w:r w:rsidR="005B3F87" w:rsidRPr="00A74CDF">
        <w:rPr>
          <w:rFonts w:ascii="Times New Roman" w:hAnsi="Times New Roman" w:cs="Times New Roman"/>
          <w:bCs/>
          <w:lang w:eastAsia="ko-KR"/>
        </w:rPr>
        <w:t xml:space="preserve"> In </w:t>
      </w:r>
      <w:r w:rsidR="00D743F4" w:rsidRPr="00A74CDF">
        <w:rPr>
          <w:rFonts w:ascii="Times New Roman" w:hAnsi="Times New Roman" w:cs="Times New Roman"/>
          <w:bCs/>
          <w:lang w:eastAsia="ko-KR"/>
        </w:rPr>
        <w:t xml:space="preserve">a </w:t>
      </w:r>
      <w:r w:rsidR="005B3F87" w:rsidRPr="00A74CDF">
        <w:rPr>
          <w:rFonts w:ascii="Times New Roman" w:hAnsi="Times New Roman" w:cs="Times New Roman"/>
          <w:bCs/>
          <w:lang w:eastAsia="ko-KR"/>
        </w:rPr>
        <w:t>recent meta-analysis compar</w:t>
      </w:r>
      <w:r w:rsidR="00D743F4" w:rsidRPr="00A74CDF">
        <w:rPr>
          <w:rFonts w:ascii="Times New Roman" w:hAnsi="Times New Roman" w:cs="Times New Roman"/>
          <w:bCs/>
          <w:lang w:eastAsia="ko-KR"/>
        </w:rPr>
        <w:t>ing</w:t>
      </w:r>
      <w:r w:rsidR="005B3F87" w:rsidRPr="00A74CDF">
        <w:rPr>
          <w:rFonts w:ascii="Times New Roman" w:hAnsi="Times New Roman" w:cs="Times New Roman"/>
          <w:bCs/>
          <w:lang w:eastAsia="ko-KR"/>
        </w:rPr>
        <w:t xml:space="preserve"> Asians and non-Asians, NOAC</w:t>
      </w:r>
      <w:r w:rsidR="00D743F4" w:rsidRPr="00A74CDF">
        <w:rPr>
          <w:rFonts w:ascii="Times New Roman" w:hAnsi="Times New Roman" w:cs="Times New Roman"/>
          <w:bCs/>
          <w:lang w:eastAsia="ko-KR"/>
        </w:rPr>
        <w:t>s</w:t>
      </w:r>
      <w:r w:rsidR="005B3F87" w:rsidRPr="00A74CDF">
        <w:rPr>
          <w:rFonts w:ascii="Times New Roman" w:hAnsi="Times New Roman" w:cs="Times New Roman"/>
          <w:bCs/>
          <w:lang w:eastAsia="ko-KR"/>
        </w:rPr>
        <w:t xml:space="preserve"> reduced the risk of ischemic stroke in both </w:t>
      </w:r>
      <w:r w:rsidR="00FD16A4" w:rsidRPr="00A74CDF">
        <w:rPr>
          <w:rFonts w:ascii="Times New Roman" w:hAnsi="Times New Roman" w:cs="Times New Roman"/>
          <w:bCs/>
          <w:lang w:eastAsia="ko-KR"/>
        </w:rPr>
        <w:t>populations</w:t>
      </w:r>
      <w:r w:rsidR="00DE6063" w:rsidRPr="00A74CDF">
        <w:rPr>
          <w:rFonts w:ascii="Times New Roman" w:hAnsi="Times New Roman" w:cs="Times New Roman"/>
          <w:bCs/>
          <w:lang w:eastAsia="ko-KR"/>
        </w:rPr>
        <w:t xml:space="preserve"> </w:t>
      </w:r>
      <w:r w:rsidR="005B3F87" w:rsidRPr="00A74CDF">
        <w:rPr>
          <w:rFonts w:ascii="Times New Roman" w:hAnsi="Times New Roman" w:cs="Times New Roman"/>
          <w:bCs/>
          <w:lang w:eastAsia="ko-KR"/>
        </w:rPr>
        <w:t xml:space="preserve">but showed an increased risk of GIB </w:t>
      </w:r>
      <w:r w:rsidR="00D743F4" w:rsidRPr="00A74CDF">
        <w:rPr>
          <w:rFonts w:ascii="Times New Roman" w:hAnsi="Times New Roman" w:cs="Times New Roman"/>
          <w:bCs/>
          <w:lang w:eastAsia="ko-KR"/>
        </w:rPr>
        <w:t>for</w:t>
      </w:r>
      <w:r w:rsidR="005B3F87" w:rsidRPr="00A74CDF">
        <w:rPr>
          <w:rFonts w:ascii="Times New Roman" w:hAnsi="Times New Roman" w:cs="Times New Roman"/>
          <w:bCs/>
          <w:lang w:eastAsia="ko-KR"/>
        </w:rPr>
        <w:t xml:space="preserve"> non-Asians</w:t>
      </w:r>
      <w:r w:rsidR="00471782" w:rsidRPr="00A74CDF">
        <w:rPr>
          <w:rFonts w:ascii="Times New Roman" w:hAnsi="Times New Roman" w:cs="Times New Roman"/>
          <w:bCs/>
          <w:lang w:eastAsia="ko-KR"/>
        </w:rPr>
        <w:t xml:space="preserve"> only</w:t>
      </w:r>
      <w:r w:rsidR="00844C3B" w:rsidRPr="00A74CDF">
        <w:rPr>
          <w:rFonts w:ascii="Times New Roman" w:hAnsi="Times New Roman" w:cs="Times New Roman"/>
          <w:bCs/>
          <w:lang w:eastAsia="ko-KR"/>
        </w:rPr>
        <w:t>.</w:t>
      </w:r>
      <w:r w:rsidR="005B3F87"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6</w:t>
      </w:r>
    </w:p>
    <w:p w14:paraId="71BA20DC" w14:textId="0F7C7F39" w:rsidR="00682568" w:rsidRPr="00A74CDF" w:rsidRDefault="005B3F87" w:rsidP="00BB1388">
      <w:pPr>
        <w:pStyle w:val="1"/>
        <w:spacing w:before="0" w:after="0"/>
        <w:ind w:firstLineChars="200" w:firstLine="480"/>
        <w:contextualSpacing/>
        <w:jc w:val="both"/>
        <w:rPr>
          <w:rFonts w:ascii="Times New Roman" w:hAnsi="Times New Roman" w:cs="Times New Roman"/>
          <w:bCs/>
          <w:lang w:eastAsia="ko-KR"/>
        </w:rPr>
      </w:pPr>
      <w:r w:rsidRPr="00A74CDF">
        <w:rPr>
          <w:rFonts w:ascii="Times New Roman" w:hAnsi="Times New Roman" w:cs="Times New Roman"/>
          <w:bCs/>
          <w:lang w:eastAsia="ko-KR"/>
        </w:rPr>
        <w:t>Regarding individual NOAC</w:t>
      </w:r>
      <w:r w:rsidR="00471782" w:rsidRPr="00A74CDF">
        <w:rPr>
          <w:rFonts w:ascii="Times New Roman" w:hAnsi="Times New Roman" w:cs="Times New Roman"/>
          <w:bCs/>
          <w:lang w:eastAsia="ko-KR"/>
        </w:rPr>
        <w:t>s</w:t>
      </w:r>
      <w:r w:rsidRPr="00A74CDF">
        <w:rPr>
          <w:rFonts w:ascii="Times New Roman" w:hAnsi="Times New Roman" w:cs="Times New Roman"/>
          <w:bCs/>
          <w:lang w:eastAsia="ko-KR"/>
        </w:rPr>
        <w:t xml:space="preserve">, there are controversial results on the risk of GIB, especially for dabigatran and rivaroxaban. </w:t>
      </w:r>
      <w:r w:rsidR="00471782" w:rsidRPr="00A74CDF">
        <w:rPr>
          <w:rFonts w:ascii="Times New Roman" w:hAnsi="Times New Roman" w:cs="Times New Roman"/>
          <w:bCs/>
          <w:lang w:eastAsia="ko-KR"/>
        </w:rPr>
        <w:t xml:space="preserve">In meta-analyses, </w:t>
      </w:r>
      <w:r w:rsidRPr="00A74CDF">
        <w:rPr>
          <w:rFonts w:ascii="Times New Roman" w:hAnsi="Times New Roman" w:cs="Times New Roman"/>
          <w:bCs/>
          <w:lang w:eastAsia="ko-KR"/>
        </w:rPr>
        <w:t xml:space="preserve">AF patients </w:t>
      </w:r>
      <w:r w:rsidR="00471782" w:rsidRPr="00A74CDF">
        <w:rPr>
          <w:rFonts w:ascii="Times New Roman" w:hAnsi="Times New Roman" w:cs="Times New Roman"/>
          <w:bCs/>
          <w:lang w:eastAsia="ko-KR"/>
        </w:rPr>
        <w:t xml:space="preserve">on </w:t>
      </w:r>
      <w:r w:rsidRPr="00A74CDF">
        <w:rPr>
          <w:rFonts w:ascii="Times New Roman" w:hAnsi="Times New Roman" w:cs="Times New Roman"/>
          <w:bCs/>
          <w:lang w:eastAsia="ko-KR"/>
        </w:rPr>
        <w:t xml:space="preserve">dabigatran showed increased or similar risk </w:t>
      </w:r>
      <w:r w:rsidR="00934499" w:rsidRPr="00A74CDF">
        <w:rPr>
          <w:rFonts w:ascii="Times New Roman" w:hAnsi="Times New Roman" w:cs="Times New Roman"/>
          <w:bCs/>
          <w:lang w:eastAsia="ko-KR"/>
        </w:rPr>
        <w:t xml:space="preserve">of GIB </w:t>
      </w:r>
      <w:r w:rsidRPr="00A74CDF">
        <w:rPr>
          <w:rFonts w:ascii="Times New Roman" w:hAnsi="Times New Roman" w:cs="Times New Roman"/>
          <w:bCs/>
          <w:lang w:eastAsia="ko-KR"/>
        </w:rPr>
        <w:t xml:space="preserve">compared </w:t>
      </w:r>
      <w:r w:rsidR="00471782" w:rsidRPr="00A74CDF">
        <w:rPr>
          <w:rFonts w:ascii="Times New Roman" w:hAnsi="Times New Roman" w:cs="Times New Roman"/>
          <w:bCs/>
          <w:lang w:eastAsia="ko-KR"/>
        </w:rPr>
        <w:t>with</w:t>
      </w:r>
      <w:r w:rsidRPr="00A74CDF">
        <w:rPr>
          <w:rFonts w:ascii="Times New Roman" w:hAnsi="Times New Roman" w:cs="Times New Roman"/>
          <w:bCs/>
          <w:lang w:eastAsia="ko-KR"/>
        </w:rPr>
        <w:t xml:space="preserve"> warfarin</w:t>
      </w:r>
      <w:r w:rsidR="00844C3B"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9,10</w:t>
      </w:r>
      <w:r w:rsidRPr="00A74CDF">
        <w:rPr>
          <w:rFonts w:ascii="Times New Roman" w:hAnsi="Times New Roman" w:cs="Times New Roman"/>
          <w:bCs/>
          <w:lang w:eastAsia="ko-KR"/>
        </w:rPr>
        <w:t xml:space="preserve"> </w:t>
      </w:r>
      <w:r w:rsidR="004D56B6" w:rsidRPr="00A74CDF">
        <w:rPr>
          <w:rFonts w:ascii="Times New Roman" w:hAnsi="Times New Roman" w:cs="Times New Roman"/>
          <w:bCs/>
          <w:lang w:eastAsia="ko-KR"/>
        </w:rPr>
        <w:t xml:space="preserve">A possible </w:t>
      </w:r>
      <w:r w:rsidRPr="00A74CDF">
        <w:rPr>
          <w:rFonts w:ascii="Times New Roman" w:hAnsi="Times New Roman" w:cs="Times New Roman"/>
          <w:bCs/>
          <w:lang w:eastAsia="ko-KR"/>
        </w:rPr>
        <w:t>mechanism of GIB might be related to tartaric acid in dabigatran, which causes direct caustic injury and inhibits mucosal healing</w:t>
      </w:r>
      <w:r w:rsidR="00844C3B"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9</w:t>
      </w:r>
      <w:r w:rsidRPr="00A74CDF">
        <w:rPr>
          <w:rFonts w:ascii="Times New Roman" w:hAnsi="Times New Roman" w:cs="Times New Roman"/>
          <w:bCs/>
          <w:lang w:eastAsia="ko-KR"/>
        </w:rPr>
        <w:t xml:space="preserve"> Conversely, </w:t>
      </w:r>
      <w:r w:rsidR="00471782" w:rsidRPr="00A74CDF">
        <w:rPr>
          <w:rFonts w:ascii="Times New Roman" w:hAnsi="Times New Roman" w:cs="Times New Roman"/>
          <w:bCs/>
          <w:lang w:eastAsia="ko-KR"/>
        </w:rPr>
        <w:t xml:space="preserve">a standard dose (20 mg daily) of </w:t>
      </w:r>
      <w:r w:rsidRPr="00A74CDF">
        <w:rPr>
          <w:rFonts w:ascii="Times New Roman" w:hAnsi="Times New Roman" w:cs="Times New Roman"/>
          <w:bCs/>
          <w:lang w:eastAsia="ko-KR"/>
        </w:rPr>
        <w:t>rivaroxaban was associated with an increased risk of GIB in several meta-analyses</w:t>
      </w:r>
      <w:r w:rsidR="00844C3B"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9,10</w:t>
      </w:r>
      <w:r w:rsidRPr="00A74CDF">
        <w:rPr>
          <w:rFonts w:ascii="Times New Roman" w:hAnsi="Times New Roman" w:cs="Times New Roman"/>
          <w:bCs/>
          <w:lang w:eastAsia="ko-KR"/>
        </w:rPr>
        <w:t xml:space="preserve"> Apixaban </w:t>
      </w:r>
      <w:r w:rsidR="00471782" w:rsidRPr="00A74CDF">
        <w:rPr>
          <w:rFonts w:ascii="Times New Roman" w:hAnsi="Times New Roman" w:cs="Times New Roman"/>
          <w:bCs/>
          <w:lang w:eastAsia="ko-KR"/>
        </w:rPr>
        <w:t xml:space="preserve">consistently </w:t>
      </w:r>
      <w:r w:rsidRPr="00A74CDF">
        <w:rPr>
          <w:rFonts w:ascii="Times New Roman" w:hAnsi="Times New Roman" w:cs="Times New Roman"/>
          <w:bCs/>
          <w:lang w:eastAsia="ko-KR"/>
        </w:rPr>
        <w:t>showed a lower risk of GIB in RCT</w:t>
      </w:r>
      <w:r w:rsidR="00471782" w:rsidRPr="00A74CDF">
        <w:rPr>
          <w:rFonts w:ascii="Times New Roman" w:hAnsi="Times New Roman" w:cs="Times New Roman"/>
          <w:bCs/>
          <w:lang w:eastAsia="ko-KR"/>
        </w:rPr>
        <w:t>s</w:t>
      </w:r>
      <w:r w:rsidRPr="00A74CDF">
        <w:rPr>
          <w:rFonts w:ascii="Times New Roman" w:hAnsi="Times New Roman" w:cs="Times New Roman"/>
          <w:bCs/>
          <w:lang w:eastAsia="ko-KR"/>
        </w:rPr>
        <w:t xml:space="preserve"> and real-world registries</w:t>
      </w:r>
      <w:r w:rsidR="00844C3B"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7,9</w:t>
      </w:r>
      <w:r w:rsidRPr="00A74CDF">
        <w:rPr>
          <w:rFonts w:ascii="Times New Roman" w:hAnsi="Times New Roman" w:cs="Times New Roman"/>
          <w:bCs/>
          <w:lang w:eastAsia="ko-KR"/>
        </w:rPr>
        <w:t xml:space="preserve"> Although high-dose edoxaban showed an increased risk of GIB compared with warfarin in non-East Asian patients </w:t>
      </w:r>
      <w:r w:rsidR="00934499" w:rsidRPr="00A74CDF">
        <w:rPr>
          <w:rFonts w:ascii="Times New Roman" w:hAnsi="Times New Roman" w:cs="Times New Roman"/>
          <w:bCs/>
          <w:lang w:eastAsia="ko-KR"/>
        </w:rPr>
        <w:t xml:space="preserve">enrolled </w:t>
      </w:r>
      <w:r w:rsidRPr="00A74CDF">
        <w:rPr>
          <w:rFonts w:ascii="Times New Roman" w:hAnsi="Times New Roman" w:cs="Times New Roman"/>
          <w:bCs/>
          <w:lang w:eastAsia="ko-KR"/>
        </w:rPr>
        <w:t xml:space="preserve">in </w:t>
      </w:r>
      <w:r w:rsidR="00934499" w:rsidRPr="00A74CDF">
        <w:rPr>
          <w:rFonts w:ascii="Times New Roman" w:hAnsi="Times New Roman" w:cs="Times New Roman"/>
          <w:bCs/>
          <w:lang w:eastAsia="ko-KR"/>
        </w:rPr>
        <w:t xml:space="preserve">the </w:t>
      </w:r>
      <w:r w:rsidRPr="00A74CDF">
        <w:rPr>
          <w:rFonts w:ascii="Times New Roman" w:hAnsi="Times New Roman" w:cs="Times New Roman"/>
          <w:bCs/>
          <w:lang w:eastAsia="ko-KR"/>
        </w:rPr>
        <w:t>ENGAGE AF-TIMI 48</w:t>
      </w:r>
      <w:r w:rsidR="00934499" w:rsidRPr="00A74CDF">
        <w:rPr>
          <w:rFonts w:ascii="Times New Roman" w:hAnsi="Times New Roman" w:cs="Times New Roman"/>
          <w:bCs/>
          <w:lang w:eastAsia="ko-KR"/>
        </w:rPr>
        <w:t xml:space="preserve"> study</w:t>
      </w:r>
      <w:r w:rsidRPr="00A74CDF">
        <w:rPr>
          <w:rFonts w:ascii="Times New Roman" w:hAnsi="Times New Roman" w:cs="Times New Roman"/>
          <w:bCs/>
          <w:lang w:eastAsia="ko-KR"/>
        </w:rPr>
        <w:t xml:space="preserve">, East Asian patients showed no significant difference </w:t>
      </w:r>
      <w:r w:rsidR="00471782" w:rsidRPr="00A74CDF">
        <w:rPr>
          <w:rFonts w:ascii="Times New Roman" w:hAnsi="Times New Roman" w:cs="Times New Roman"/>
          <w:bCs/>
          <w:lang w:eastAsia="ko-KR"/>
        </w:rPr>
        <w:t xml:space="preserve">in GIB </w:t>
      </w:r>
      <w:r w:rsidRPr="00A74CDF">
        <w:rPr>
          <w:rFonts w:ascii="Times New Roman" w:hAnsi="Times New Roman" w:cs="Times New Roman"/>
          <w:bCs/>
          <w:lang w:eastAsia="ko-KR"/>
        </w:rPr>
        <w:t>between warfarin and either dose regimen of edoxaban</w:t>
      </w:r>
      <w:r w:rsidR="00844C3B" w:rsidRPr="00A74CDF">
        <w:rPr>
          <w:rFonts w:ascii="Times New Roman" w:hAnsi="Times New Roman" w:cs="Times New Roman"/>
          <w:bCs/>
          <w:lang w:eastAsia="ko-KR"/>
        </w:rPr>
        <w:t>.</w:t>
      </w:r>
      <w:r w:rsidR="00A2363F">
        <w:rPr>
          <w:rFonts w:ascii="Times New Roman" w:hAnsi="Times New Roman" w:cs="Times New Roman"/>
          <w:bCs/>
          <w:vertAlign w:val="superscript"/>
          <w:lang w:eastAsia="ko-KR"/>
        </w:rPr>
        <w:t>40</w:t>
      </w:r>
      <w:r w:rsidRPr="00A74CDF">
        <w:rPr>
          <w:rFonts w:ascii="Times New Roman" w:hAnsi="Times New Roman" w:cs="Times New Roman"/>
          <w:bCs/>
          <w:lang w:eastAsia="ko-KR"/>
        </w:rPr>
        <w:t xml:space="preserve"> Also, </w:t>
      </w:r>
      <w:r w:rsidR="00471782" w:rsidRPr="00A74CDF">
        <w:rPr>
          <w:rFonts w:ascii="Times New Roman" w:hAnsi="Times New Roman" w:cs="Times New Roman"/>
          <w:bCs/>
          <w:lang w:eastAsia="ko-KR"/>
        </w:rPr>
        <w:t xml:space="preserve">a </w:t>
      </w:r>
      <w:r w:rsidRPr="00A74CDF">
        <w:rPr>
          <w:rFonts w:ascii="Times New Roman" w:hAnsi="Times New Roman" w:cs="Times New Roman"/>
          <w:bCs/>
          <w:lang w:eastAsia="ko-KR"/>
        </w:rPr>
        <w:t xml:space="preserve">recent network analysis showed edoxaban was associated with a lower risk of GIB compared </w:t>
      </w:r>
      <w:r w:rsidR="00471782" w:rsidRPr="00A74CDF">
        <w:rPr>
          <w:rFonts w:ascii="Times New Roman" w:hAnsi="Times New Roman" w:cs="Times New Roman"/>
          <w:bCs/>
          <w:lang w:eastAsia="ko-KR"/>
        </w:rPr>
        <w:t>with</w:t>
      </w:r>
      <w:r w:rsidRPr="00A74CDF">
        <w:rPr>
          <w:rFonts w:ascii="Times New Roman" w:hAnsi="Times New Roman" w:cs="Times New Roman"/>
          <w:bCs/>
          <w:lang w:eastAsia="ko-KR"/>
        </w:rPr>
        <w:t xml:space="preserve"> dabigatran</w:t>
      </w:r>
      <w:r w:rsidR="00844C3B"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8,</w:t>
      </w:r>
      <w:r w:rsidR="00A2363F">
        <w:rPr>
          <w:rFonts w:ascii="Times New Roman" w:hAnsi="Times New Roman" w:cs="Times New Roman"/>
          <w:bCs/>
          <w:vertAlign w:val="superscript"/>
          <w:lang w:eastAsia="ko-KR"/>
        </w:rPr>
        <w:t>41</w:t>
      </w:r>
      <w:r w:rsidRPr="00A74CDF">
        <w:rPr>
          <w:rFonts w:ascii="Times New Roman" w:hAnsi="Times New Roman" w:cs="Times New Roman"/>
          <w:bCs/>
          <w:lang w:eastAsia="ko-KR"/>
        </w:rPr>
        <w:t xml:space="preserve"> In a recent real-world study, edoxaban showed a 40% lower risk of hospitalization for GIB compared </w:t>
      </w:r>
      <w:r w:rsidR="00471782" w:rsidRPr="00A74CDF">
        <w:rPr>
          <w:rFonts w:ascii="Times New Roman" w:hAnsi="Times New Roman" w:cs="Times New Roman"/>
          <w:bCs/>
          <w:lang w:eastAsia="ko-KR"/>
        </w:rPr>
        <w:t xml:space="preserve">with </w:t>
      </w:r>
      <w:r w:rsidRPr="00A74CDF">
        <w:rPr>
          <w:rFonts w:ascii="Times New Roman" w:hAnsi="Times New Roman" w:cs="Times New Roman"/>
          <w:bCs/>
          <w:lang w:eastAsia="ko-KR"/>
        </w:rPr>
        <w:t>warfarin</w:t>
      </w:r>
      <w:r w:rsidR="00844C3B" w:rsidRPr="00A74CDF">
        <w:rPr>
          <w:rFonts w:ascii="Times New Roman" w:hAnsi="Times New Roman" w:cs="Times New Roman"/>
          <w:bCs/>
          <w:lang w:eastAsia="ko-KR"/>
        </w:rPr>
        <w:t>.</w:t>
      </w:r>
      <w:r w:rsidRPr="00A74CDF">
        <w:rPr>
          <w:rFonts w:ascii="Times New Roman" w:hAnsi="Times New Roman" w:cs="Times New Roman"/>
          <w:bCs/>
          <w:vertAlign w:val="superscript"/>
          <w:lang w:eastAsia="ko-KR"/>
        </w:rPr>
        <w:t>2</w:t>
      </w:r>
      <w:r w:rsidR="00040719" w:rsidRPr="00A74CDF">
        <w:rPr>
          <w:rFonts w:ascii="Times New Roman" w:hAnsi="Times New Roman" w:cs="Times New Roman"/>
          <w:bCs/>
          <w:vertAlign w:val="superscript"/>
          <w:lang w:eastAsia="ko-KR"/>
        </w:rPr>
        <w:t>5</w:t>
      </w:r>
    </w:p>
    <w:p w14:paraId="00DB785F" w14:textId="58A2C86A" w:rsidR="005B3F87" w:rsidRPr="00A74CDF" w:rsidRDefault="005B3F87" w:rsidP="00BB1388">
      <w:pPr>
        <w:pStyle w:val="1"/>
        <w:spacing w:before="0" w:after="0"/>
        <w:ind w:firstLineChars="200" w:firstLine="480"/>
        <w:contextualSpacing/>
        <w:jc w:val="both"/>
        <w:rPr>
          <w:rFonts w:ascii="Times New Roman" w:hAnsi="Times New Roman" w:cs="Times New Roman"/>
          <w:bCs/>
          <w:lang w:eastAsia="ko-KR"/>
        </w:rPr>
      </w:pPr>
      <w:r w:rsidRPr="00A74CDF">
        <w:rPr>
          <w:rFonts w:ascii="Times New Roman" w:hAnsi="Times New Roman" w:cs="Times New Roman"/>
          <w:bCs/>
          <w:lang w:eastAsia="ko-KR"/>
        </w:rPr>
        <w:t>A</w:t>
      </w:r>
      <w:r w:rsidR="0066073C" w:rsidRPr="00A74CDF">
        <w:rPr>
          <w:rFonts w:ascii="Times New Roman" w:hAnsi="Times New Roman" w:cs="Times New Roman"/>
          <w:bCs/>
          <w:lang w:eastAsia="ko-KR"/>
        </w:rPr>
        <w:t>dditionally</w:t>
      </w:r>
      <w:r w:rsidRPr="00A74CDF">
        <w:rPr>
          <w:rFonts w:ascii="Times New Roman" w:hAnsi="Times New Roman" w:cs="Times New Roman"/>
          <w:bCs/>
          <w:lang w:eastAsia="ko-KR"/>
        </w:rPr>
        <w:t xml:space="preserve">, most contemporary Asian real-world data show all NOACs have a lower risk of GIB compared </w:t>
      </w:r>
      <w:r w:rsidR="00471782" w:rsidRPr="00A74CDF">
        <w:rPr>
          <w:rFonts w:ascii="Times New Roman" w:hAnsi="Times New Roman" w:cs="Times New Roman"/>
          <w:bCs/>
          <w:lang w:eastAsia="ko-KR"/>
        </w:rPr>
        <w:t>with</w:t>
      </w:r>
      <w:r w:rsidRPr="00A74CDF">
        <w:rPr>
          <w:rFonts w:ascii="Times New Roman" w:hAnsi="Times New Roman" w:cs="Times New Roman"/>
          <w:bCs/>
          <w:lang w:eastAsia="ko-KR"/>
        </w:rPr>
        <w:t xml:space="preserve"> warfarin, whereas a</w:t>
      </w:r>
      <w:r w:rsidRPr="00A74CDF">
        <w:rPr>
          <w:rFonts w:ascii="Times New Roman" w:hAnsi="Times New Roman" w:cs="Times New Roman"/>
          <w:shd w:val="clear" w:color="auto" w:fill="FFFFFF"/>
        </w:rPr>
        <w:t>pixaban, dabigatran, and edoxaban ha</w:t>
      </w:r>
      <w:r w:rsidR="00471782" w:rsidRPr="00A74CDF">
        <w:rPr>
          <w:rFonts w:ascii="Times New Roman" w:hAnsi="Times New Roman" w:cs="Times New Roman"/>
          <w:shd w:val="clear" w:color="auto" w:fill="FFFFFF"/>
        </w:rPr>
        <w:t>ve</w:t>
      </w:r>
      <w:r w:rsidRPr="00A74CDF">
        <w:rPr>
          <w:rFonts w:ascii="Times New Roman" w:hAnsi="Times New Roman" w:cs="Times New Roman"/>
          <w:shd w:val="clear" w:color="auto" w:fill="FFFFFF"/>
        </w:rPr>
        <w:t xml:space="preserve"> a lower </w:t>
      </w:r>
      <w:r w:rsidR="00934499" w:rsidRPr="00A74CDF">
        <w:rPr>
          <w:rFonts w:ascii="Times New Roman" w:hAnsi="Times New Roman" w:cs="Times New Roman"/>
          <w:shd w:val="clear" w:color="auto" w:fill="FFFFFF"/>
        </w:rPr>
        <w:t xml:space="preserve">risk </w:t>
      </w:r>
      <w:r w:rsidRPr="00A74CDF">
        <w:rPr>
          <w:rFonts w:ascii="Times New Roman" w:hAnsi="Times New Roman" w:cs="Times New Roman"/>
          <w:shd w:val="clear" w:color="auto" w:fill="FFFFFF"/>
        </w:rPr>
        <w:t>of GIB compared with rivaroxaban</w:t>
      </w:r>
      <w:r w:rsidR="00844C3B" w:rsidRPr="00A74CDF">
        <w:rPr>
          <w:rFonts w:ascii="Times New Roman" w:hAnsi="Times New Roman" w:cs="Times New Roman"/>
          <w:shd w:val="clear" w:color="auto" w:fill="FFFFFF"/>
        </w:rPr>
        <w:t>.</w:t>
      </w:r>
      <w:r w:rsidRPr="00A74CDF">
        <w:rPr>
          <w:rFonts w:ascii="Times New Roman" w:hAnsi="Times New Roman" w:cs="Times New Roman"/>
          <w:bCs/>
          <w:vertAlign w:val="superscript"/>
          <w:lang w:eastAsia="ko-KR"/>
        </w:rPr>
        <w:t>2</w:t>
      </w:r>
      <w:r w:rsidRPr="00A74CDF">
        <w:rPr>
          <w:rFonts w:ascii="Times New Roman" w:hAnsi="Times New Roman" w:cs="Times New Roman"/>
          <w:bCs/>
          <w:lang w:eastAsia="ko-KR"/>
        </w:rPr>
        <w:t xml:space="preserve"> In </w:t>
      </w:r>
      <w:r w:rsidR="00471782" w:rsidRPr="00A74CDF">
        <w:rPr>
          <w:rFonts w:ascii="Times New Roman" w:hAnsi="Times New Roman" w:cs="Times New Roman"/>
          <w:bCs/>
          <w:lang w:eastAsia="ko-KR"/>
        </w:rPr>
        <w:t xml:space="preserve">a </w:t>
      </w:r>
      <w:r w:rsidRPr="00A74CDF">
        <w:rPr>
          <w:rFonts w:ascii="Times New Roman" w:hAnsi="Times New Roman" w:cs="Times New Roman"/>
          <w:bCs/>
          <w:lang w:eastAsia="ko-KR"/>
        </w:rPr>
        <w:t>Taiwan</w:t>
      </w:r>
      <w:r w:rsidR="00471782" w:rsidRPr="00A74CDF">
        <w:rPr>
          <w:rFonts w:ascii="Times New Roman" w:hAnsi="Times New Roman" w:cs="Times New Roman"/>
          <w:bCs/>
          <w:lang w:eastAsia="ko-KR"/>
        </w:rPr>
        <w:t>ese</w:t>
      </w:r>
      <w:r w:rsidRPr="00A74CDF">
        <w:rPr>
          <w:rFonts w:ascii="Times New Roman" w:hAnsi="Times New Roman" w:cs="Times New Roman"/>
          <w:bCs/>
          <w:lang w:eastAsia="ko-KR"/>
        </w:rPr>
        <w:t xml:space="preserve"> nationwide population study, apixaban and edoxaban were associated with a lower risk of major GIB, whereas </w:t>
      </w:r>
      <w:r w:rsidRPr="00A74CDF">
        <w:rPr>
          <w:rFonts w:ascii="Times New Roman" w:eastAsiaTheme="minorEastAsia" w:hAnsi="Times New Roman" w:cs="Times New Roman"/>
          <w:lang w:eastAsia="ko-KR"/>
        </w:rPr>
        <w:t>the risk of major bleeding was comparable</w:t>
      </w:r>
      <w:r w:rsidR="00844C3B" w:rsidRPr="00A74CDF">
        <w:rPr>
          <w:rFonts w:ascii="Times New Roman" w:eastAsiaTheme="minorEastAsia" w:hAnsi="Times New Roman" w:cs="Times New Roman"/>
          <w:lang w:eastAsia="ko-KR"/>
        </w:rPr>
        <w:t>.</w:t>
      </w:r>
      <w:r w:rsidRPr="00A74CDF">
        <w:rPr>
          <w:rFonts w:ascii="Times New Roman" w:hAnsi="Times New Roman" w:cs="Times New Roman"/>
          <w:bCs/>
          <w:vertAlign w:val="superscript"/>
          <w:lang w:eastAsia="ko-KR"/>
        </w:rPr>
        <w:t>3</w:t>
      </w:r>
      <w:r w:rsidR="00A2363F">
        <w:rPr>
          <w:rFonts w:ascii="Times New Roman" w:hAnsi="Times New Roman" w:cs="Times New Roman"/>
          <w:bCs/>
          <w:vertAlign w:val="superscript"/>
          <w:lang w:eastAsia="ko-KR"/>
        </w:rPr>
        <w:t>9</w:t>
      </w:r>
      <w:r w:rsidRPr="00A74CDF">
        <w:rPr>
          <w:rFonts w:ascii="Times New Roman" w:hAnsi="Times New Roman" w:cs="Times New Roman"/>
          <w:bCs/>
          <w:lang w:eastAsia="ko-KR"/>
        </w:rPr>
        <w:t xml:space="preserve"> The high prevalence of reduced</w:t>
      </w:r>
      <w:r w:rsidR="00471782" w:rsidRPr="00A74CDF">
        <w:rPr>
          <w:rFonts w:ascii="Times New Roman" w:hAnsi="Times New Roman" w:cs="Times New Roman"/>
          <w:bCs/>
          <w:lang w:eastAsia="ko-KR"/>
        </w:rPr>
        <w:t>-</w:t>
      </w:r>
      <w:r w:rsidRPr="00A74CDF">
        <w:rPr>
          <w:rFonts w:ascii="Times New Roman" w:hAnsi="Times New Roman" w:cs="Times New Roman"/>
          <w:bCs/>
          <w:lang w:eastAsia="ko-KR"/>
        </w:rPr>
        <w:t>dose prescription</w:t>
      </w:r>
      <w:r w:rsidR="00471782" w:rsidRPr="00A74CDF">
        <w:rPr>
          <w:rFonts w:ascii="Times New Roman" w:hAnsi="Times New Roman" w:cs="Times New Roman"/>
          <w:bCs/>
          <w:lang w:eastAsia="ko-KR"/>
        </w:rPr>
        <w:t>s</w:t>
      </w:r>
      <w:r w:rsidRPr="00A74CDF">
        <w:rPr>
          <w:rFonts w:ascii="Times New Roman" w:hAnsi="Times New Roman" w:cs="Times New Roman"/>
          <w:bCs/>
          <w:lang w:eastAsia="ko-KR"/>
        </w:rPr>
        <w:t xml:space="preserve"> of NOAC</w:t>
      </w:r>
      <w:r w:rsidR="00471782" w:rsidRPr="00A74CDF">
        <w:rPr>
          <w:rFonts w:ascii="Times New Roman" w:hAnsi="Times New Roman" w:cs="Times New Roman"/>
          <w:bCs/>
          <w:lang w:eastAsia="ko-KR"/>
        </w:rPr>
        <w:t>s and</w:t>
      </w:r>
      <w:r w:rsidRPr="00A74CDF">
        <w:rPr>
          <w:rFonts w:ascii="Times New Roman" w:hAnsi="Times New Roman" w:cs="Times New Roman"/>
          <w:bCs/>
          <w:lang w:eastAsia="ko-KR"/>
        </w:rPr>
        <w:t xml:space="preserve"> poor control of warfarin in Asians </w:t>
      </w:r>
      <w:r w:rsidR="00FD16A4" w:rsidRPr="00A74CDF">
        <w:rPr>
          <w:rFonts w:ascii="Times New Roman" w:hAnsi="Times New Roman" w:cs="Times New Roman"/>
          <w:bCs/>
          <w:lang w:eastAsia="ko-KR"/>
        </w:rPr>
        <w:t xml:space="preserve">may justify </w:t>
      </w:r>
      <w:r w:rsidRPr="00A74CDF">
        <w:rPr>
          <w:rFonts w:ascii="Times New Roman" w:hAnsi="Times New Roman" w:cs="Times New Roman"/>
          <w:bCs/>
          <w:lang w:eastAsia="ko-KR"/>
        </w:rPr>
        <w:t>the benefit of NOAC</w:t>
      </w:r>
      <w:r w:rsidR="00471782" w:rsidRPr="00A74CDF">
        <w:rPr>
          <w:rFonts w:ascii="Times New Roman" w:hAnsi="Times New Roman" w:cs="Times New Roman"/>
          <w:bCs/>
          <w:lang w:eastAsia="ko-KR"/>
        </w:rPr>
        <w:t>s</w:t>
      </w:r>
      <w:r w:rsidRPr="00A74CDF">
        <w:rPr>
          <w:rFonts w:ascii="Times New Roman" w:hAnsi="Times New Roman" w:cs="Times New Roman"/>
          <w:bCs/>
          <w:lang w:eastAsia="ko-KR"/>
        </w:rPr>
        <w:t xml:space="preserve"> </w:t>
      </w:r>
      <w:r w:rsidR="00471782" w:rsidRPr="00A74CDF">
        <w:rPr>
          <w:rFonts w:ascii="Times New Roman" w:hAnsi="Times New Roman" w:cs="Times New Roman"/>
          <w:bCs/>
          <w:lang w:eastAsia="ko-KR"/>
        </w:rPr>
        <w:t>to</w:t>
      </w:r>
      <w:r w:rsidRPr="00A74CDF">
        <w:rPr>
          <w:rFonts w:ascii="Times New Roman" w:hAnsi="Times New Roman" w:cs="Times New Roman"/>
          <w:bCs/>
          <w:lang w:eastAsia="ko-KR"/>
        </w:rPr>
        <w:t xml:space="preserve"> GIB, especially in the Asian population. In line with previous studies, we </w:t>
      </w:r>
      <w:r w:rsidR="00682568" w:rsidRPr="00A74CDF">
        <w:rPr>
          <w:rFonts w:ascii="Times New Roman" w:hAnsi="Times New Roman" w:cs="Times New Roman"/>
          <w:bCs/>
          <w:lang w:eastAsia="ko-KR"/>
        </w:rPr>
        <w:t xml:space="preserve">also </w:t>
      </w:r>
      <w:r w:rsidRPr="00A74CDF">
        <w:rPr>
          <w:rFonts w:ascii="Times New Roman" w:hAnsi="Times New Roman" w:cs="Times New Roman"/>
          <w:bCs/>
          <w:lang w:eastAsia="ko-KR"/>
        </w:rPr>
        <w:t xml:space="preserve">found that apixaban, dabigatran, and edoxaban </w:t>
      </w:r>
      <w:r w:rsidR="00682568" w:rsidRPr="00A74CDF">
        <w:rPr>
          <w:rFonts w:ascii="Times New Roman" w:hAnsi="Times New Roman" w:cs="Times New Roman"/>
          <w:bCs/>
          <w:lang w:eastAsia="ko-KR"/>
        </w:rPr>
        <w:t xml:space="preserve">were associated with </w:t>
      </w:r>
      <w:r w:rsidRPr="00A74CDF">
        <w:rPr>
          <w:rFonts w:ascii="Times New Roman" w:hAnsi="Times New Roman" w:cs="Times New Roman"/>
          <w:bCs/>
          <w:lang w:eastAsia="ko-KR"/>
        </w:rPr>
        <w:t xml:space="preserve">a lower risk of clinical events than rivaroxaban in AF patients with prior GIB. However, there </w:t>
      </w:r>
      <w:r w:rsidR="004E5351" w:rsidRPr="00A74CDF">
        <w:rPr>
          <w:rFonts w:ascii="Times New Roman" w:hAnsi="Times New Roman" w:cs="Times New Roman"/>
          <w:bCs/>
          <w:lang w:eastAsia="ko-KR"/>
        </w:rPr>
        <w:t>are</w:t>
      </w:r>
      <w:r w:rsidRPr="00A74CDF">
        <w:rPr>
          <w:rFonts w:ascii="Times New Roman" w:hAnsi="Times New Roman" w:cs="Times New Roman"/>
          <w:bCs/>
          <w:lang w:eastAsia="ko-KR"/>
        </w:rPr>
        <w:t xml:space="preserve"> no direct head-to-head </w:t>
      </w:r>
      <w:r w:rsidR="00682568" w:rsidRPr="00A74CDF">
        <w:rPr>
          <w:rFonts w:ascii="Times New Roman" w:hAnsi="Times New Roman" w:cs="Times New Roman"/>
          <w:bCs/>
          <w:lang w:eastAsia="ko-KR"/>
        </w:rPr>
        <w:t xml:space="preserve">clinical trial </w:t>
      </w:r>
      <w:r w:rsidRPr="00A74CDF">
        <w:rPr>
          <w:rFonts w:ascii="Times New Roman" w:hAnsi="Times New Roman" w:cs="Times New Roman"/>
          <w:bCs/>
          <w:lang w:eastAsia="ko-KR"/>
        </w:rPr>
        <w:t>comparison</w:t>
      </w:r>
      <w:r w:rsidR="004E5351" w:rsidRPr="00A74CDF">
        <w:rPr>
          <w:rFonts w:ascii="Times New Roman" w:hAnsi="Times New Roman" w:cs="Times New Roman"/>
          <w:bCs/>
          <w:lang w:eastAsia="ko-KR"/>
        </w:rPr>
        <w:t>s</w:t>
      </w:r>
      <w:r w:rsidRPr="00A74CDF">
        <w:rPr>
          <w:rFonts w:ascii="Times New Roman" w:hAnsi="Times New Roman" w:cs="Times New Roman"/>
          <w:bCs/>
          <w:lang w:eastAsia="ko-KR"/>
        </w:rPr>
        <w:t xml:space="preserve"> </w:t>
      </w:r>
      <w:r w:rsidR="00934499" w:rsidRPr="00A74CDF">
        <w:rPr>
          <w:rFonts w:ascii="Times New Roman" w:hAnsi="Times New Roman" w:cs="Times New Roman"/>
          <w:bCs/>
          <w:lang w:eastAsia="ko-KR"/>
        </w:rPr>
        <w:t xml:space="preserve">among </w:t>
      </w:r>
      <w:r w:rsidRPr="00A74CDF">
        <w:rPr>
          <w:rFonts w:ascii="Times New Roman" w:hAnsi="Times New Roman" w:cs="Times New Roman"/>
          <w:bCs/>
          <w:lang w:eastAsia="ko-KR"/>
        </w:rPr>
        <w:t xml:space="preserve">NOACs to compare the risk of GIB, so it is difficult to </w:t>
      </w:r>
      <w:r w:rsidR="004E5351" w:rsidRPr="00A74CDF">
        <w:rPr>
          <w:rFonts w:ascii="Times New Roman" w:hAnsi="Times New Roman" w:cs="Times New Roman"/>
          <w:bCs/>
          <w:lang w:eastAsia="ko-KR"/>
        </w:rPr>
        <w:t xml:space="preserve">draw </w:t>
      </w:r>
      <w:r w:rsidRPr="00A74CDF">
        <w:rPr>
          <w:rFonts w:ascii="Times New Roman" w:hAnsi="Times New Roman" w:cs="Times New Roman"/>
          <w:bCs/>
          <w:lang w:eastAsia="ko-KR"/>
        </w:rPr>
        <w:t xml:space="preserve">a conclusion </w:t>
      </w:r>
      <w:r w:rsidR="004E5351" w:rsidRPr="00A74CDF">
        <w:rPr>
          <w:rFonts w:ascii="Times New Roman" w:hAnsi="Times New Roman" w:cs="Times New Roman"/>
          <w:bCs/>
          <w:lang w:eastAsia="ko-KR"/>
        </w:rPr>
        <w:t xml:space="preserve">about </w:t>
      </w:r>
      <w:r w:rsidRPr="00A74CDF">
        <w:rPr>
          <w:rFonts w:ascii="Times New Roman" w:hAnsi="Times New Roman" w:cs="Times New Roman"/>
          <w:bCs/>
          <w:lang w:eastAsia="ko-KR"/>
        </w:rPr>
        <w:t>which NOACs have the lowest risk of GIB. Also, most previous studies have limitations on the selection of OAC</w:t>
      </w:r>
      <w:r w:rsidR="004E5351" w:rsidRPr="00A74CDF">
        <w:rPr>
          <w:rFonts w:ascii="Times New Roman" w:hAnsi="Times New Roman" w:cs="Times New Roman"/>
          <w:bCs/>
          <w:lang w:eastAsia="ko-KR"/>
        </w:rPr>
        <w:t>s</w:t>
      </w:r>
      <w:r w:rsidRPr="00A74CDF">
        <w:rPr>
          <w:rFonts w:ascii="Times New Roman" w:hAnsi="Times New Roman" w:cs="Times New Roman"/>
          <w:bCs/>
          <w:lang w:eastAsia="ko-KR"/>
        </w:rPr>
        <w:t xml:space="preserve"> and when OAC treatment </w:t>
      </w:r>
      <w:r w:rsidR="003F7DE8" w:rsidRPr="00A74CDF">
        <w:rPr>
          <w:rFonts w:ascii="Times New Roman" w:hAnsi="Times New Roman" w:cs="Times New Roman"/>
          <w:bCs/>
          <w:lang w:eastAsia="ko-KR"/>
        </w:rPr>
        <w:t xml:space="preserve">is resumed </w:t>
      </w:r>
      <w:r w:rsidRPr="00A74CDF">
        <w:rPr>
          <w:rFonts w:ascii="Times New Roman" w:hAnsi="Times New Roman" w:cs="Times New Roman"/>
          <w:bCs/>
          <w:lang w:eastAsia="ko-KR"/>
        </w:rPr>
        <w:t>in patients with prior GIB.</w:t>
      </w:r>
    </w:p>
    <w:p w14:paraId="7EA59313" w14:textId="77777777" w:rsidR="005B3F87" w:rsidRPr="00A74CDF" w:rsidRDefault="005B3F87" w:rsidP="00BB1388">
      <w:pPr>
        <w:pStyle w:val="1"/>
        <w:spacing w:before="0" w:after="0"/>
        <w:ind w:firstLineChars="200" w:firstLine="480"/>
        <w:contextualSpacing/>
        <w:jc w:val="both"/>
        <w:rPr>
          <w:rFonts w:ascii="Times New Roman" w:hAnsi="Times New Roman" w:cs="Times New Roman"/>
          <w:bCs/>
          <w:lang w:eastAsia="ko-KR"/>
        </w:rPr>
      </w:pPr>
    </w:p>
    <w:p w14:paraId="31083372" w14:textId="77777777" w:rsidR="005B3F87" w:rsidRPr="00A74CDF" w:rsidRDefault="005B3F87" w:rsidP="00BB1388">
      <w:pPr>
        <w:pStyle w:val="1"/>
        <w:spacing w:before="0" w:after="0"/>
        <w:contextualSpacing/>
        <w:jc w:val="both"/>
        <w:rPr>
          <w:rFonts w:ascii="Times New Roman" w:hAnsi="Times New Roman" w:cs="Times New Roman"/>
          <w:i/>
          <w:iCs/>
          <w:lang w:eastAsia="ko-KR"/>
        </w:rPr>
      </w:pPr>
      <w:r w:rsidRPr="00A74CDF">
        <w:rPr>
          <w:rFonts w:ascii="Times New Roman" w:hAnsi="Times New Roman" w:cs="Times New Roman"/>
          <w:i/>
          <w:iCs/>
          <w:lang w:eastAsia="ko-KR"/>
        </w:rPr>
        <w:t>Limitations</w:t>
      </w:r>
    </w:p>
    <w:p w14:paraId="25FE5AFA" w14:textId="2D4BF95C" w:rsidR="00BB1388" w:rsidRPr="00A74CDF" w:rsidRDefault="005B3F87" w:rsidP="00A72667">
      <w:pPr>
        <w:pStyle w:val="1"/>
        <w:ind w:firstLineChars="200" w:firstLine="480"/>
        <w:contextualSpacing/>
        <w:jc w:val="both"/>
        <w:rPr>
          <w:rFonts w:ascii="Times New Roman" w:hAnsi="Times New Roman" w:cs="Times New Roman"/>
          <w:lang w:eastAsia="ko-KR"/>
        </w:rPr>
      </w:pPr>
      <w:r w:rsidRPr="00A74CDF">
        <w:rPr>
          <w:rFonts w:ascii="Times New Roman" w:hAnsi="Times New Roman" w:cs="Times New Roman"/>
          <w:lang w:eastAsia="ko-KR"/>
        </w:rPr>
        <w:t xml:space="preserve">Several limitations of the study should be </w:t>
      </w:r>
      <w:r w:rsidR="004E5351" w:rsidRPr="00A74CDF">
        <w:rPr>
          <w:rFonts w:ascii="Times New Roman" w:hAnsi="Times New Roman" w:cs="Times New Roman"/>
          <w:lang w:eastAsia="ko-KR"/>
        </w:rPr>
        <w:t>noted</w:t>
      </w:r>
      <w:r w:rsidRPr="00A74CDF">
        <w:rPr>
          <w:rFonts w:ascii="Times New Roman" w:hAnsi="Times New Roman" w:cs="Times New Roman"/>
          <w:lang w:eastAsia="ko-KR"/>
        </w:rPr>
        <w:t xml:space="preserve">. </w:t>
      </w:r>
      <w:r w:rsidR="00C246C4" w:rsidRPr="00A74CDF">
        <w:rPr>
          <w:rFonts w:ascii="Times New Roman" w:hAnsi="Times New Roman" w:cs="Times New Roman"/>
          <w:lang w:eastAsia="ko-KR"/>
        </w:rPr>
        <w:t xml:space="preserve">First, due to the nature of retrospective observational cohort studies, our results cannot provide causal relationships, and the conclusions reflect associations that should not be overstated. Although we tried to minimize the difference between the two groups with IPTW using given 20 covariates, there might be remaining possibilities for residual confounding. Since this study was not a prospective or a controlled randomized trial, there should be some caution in interpreting the results. </w:t>
      </w:r>
      <w:r w:rsidR="00A72667" w:rsidRPr="00A74CDF">
        <w:rPr>
          <w:rFonts w:ascii="Times New Roman" w:hAnsi="Times New Roman" w:cs="Times New Roman"/>
          <w:lang w:eastAsia="ko-KR"/>
        </w:rPr>
        <w:t>Second, since the HIRA claims database does not offer any laboratory data, the quality of anticoagulation control amongst those prescribed warfarin cannot be evaluated.</w:t>
      </w:r>
      <w:r w:rsidR="00A72667" w:rsidRPr="00A74CDF">
        <w:rPr>
          <w:rFonts w:ascii="Times New Roman" w:hAnsi="Times New Roman" w:cs="Times New Roman"/>
          <w:vertAlign w:val="superscript"/>
          <w:lang w:eastAsia="ko-KR"/>
        </w:rPr>
        <w:t>4</w:t>
      </w:r>
      <w:r w:rsidR="00A2363F">
        <w:rPr>
          <w:rFonts w:ascii="Times New Roman" w:hAnsi="Times New Roman" w:cs="Times New Roman"/>
          <w:vertAlign w:val="superscript"/>
          <w:lang w:eastAsia="ko-KR"/>
        </w:rPr>
        <w:t>2</w:t>
      </w:r>
      <w:r w:rsidR="00A72667" w:rsidRPr="00A74CDF">
        <w:rPr>
          <w:rFonts w:ascii="Times New Roman" w:hAnsi="Times New Roman" w:cs="Times New Roman"/>
          <w:lang w:eastAsia="ko-KR"/>
        </w:rPr>
        <w:t xml:space="preserve"> Of note, the proportion of time in therapeutic range (TTR) amongst warfarin users is substantially lower in Asian countries than other regions of the world.</w:t>
      </w:r>
      <w:r w:rsidR="00A72667" w:rsidRPr="00A74CDF">
        <w:rPr>
          <w:rFonts w:ascii="Times New Roman" w:hAnsi="Times New Roman" w:cs="Times New Roman"/>
          <w:vertAlign w:val="superscript"/>
          <w:lang w:eastAsia="ko-KR"/>
        </w:rPr>
        <w:t>4</w:t>
      </w:r>
      <w:r w:rsidR="00A2363F">
        <w:rPr>
          <w:rFonts w:ascii="Times New Roman" w:hAnsi="Times New Roman" w:cs="Times New Roman"/>
          <w:vertAlign w:val="superscript"/>
          <w:lang w:eastAsia="ko-KR"/>
        </w:rPr>
        <w:t>3</w:t>
      </w:r>
      <w:r w:rsidR="00A72667" w:rsidRPr="00A74CDF">
        <w:rPr>
          <w:rFonts w:ascii="Times New Roman" w:hAnsi="Times New Roman" w:cs="Times New Roman"/>
          <w:lang w:eastAsia="ko-KR"/>
        </w:rPr>
        <w:t xml:space="preserve"> Indeed, Hong et al. have reported that the mean TTR of Koreans with both AF and stroke was only 49.1% (95% CI 47.9-50.3%).</w:t>
      </w:r>
      <w:r w:rsidR="00A72667" w:rsidRPr="00A74CDF">
        <w:rPr>
          <w:rFonts w:ascii="Times New Roman" w:hAnsi="Times New Roman" w:cs="Times New Roman"/>
          <w:vertAlign w:val="superscript"/>
          <w:lang w:eastAsia="ko-KR"/>
        </w:rPr>
        <w:t>4</w:t>
      </w:r>
      <w:r w:rsidR="00A2363F">
        <w:rPr>
          <w:rFonts w:ascii="Times New Roman" w:hAnsi="Times New Roman" w:cs="Times New Roman"/>
          <w:vertAlign w:val="superscript"/>
          <w:lang w:eastAsia="ko-KR"/>
        </w:rPr>
        <w:t>4</w:t>
      </w:r>
      <w:r w:rsidR="00A72667" w:rsidRPr="00A74CDF">
        <w:rPr>
          <w:rFonts w:ascii="Times New Roman" w:hAnsi="Times New Roman" w:cs="Times New Roman"/>
          <w:lang w:eastAsia="ko-KR"/>
        </w:rPr>
        <w:t xml:space="preserve"> Such a suboptimal quality of anticoagulation therapy can add to the disadvantages of warfarin compared to NOAC.</w:t>
      </w:r>
      <w:r w:rsidR="00712CDC" w:rsidRPr="00A74CDF">
        <w:rPr>
          <w:rFonts w:ascii="Times New Roman" w:hAnsi="Times New Roman" w:cs="Times New Roman"/>
          <w:lang w:eastAsia="ko-KR"/>
        </w:rPr>
        <w:t xml:space="preserve"> </w:t>
      </w:r>
      <w:r w:rsidR="005F5885" w:rsidRPr="00A74CDF">
        <w:rPr>
          <w:rFonts w:ascii="Times New Roman" w:hAnsi="Times New Roman" w:cs="Times New Roman"/>
          <w:lang w:eastAsia="ko-KR"/>
        </w:rPr>
        <w:t>Third, 60.7% of NOAC users received reduced doses, but label adherence could not be investigated due to lack of relevant information (e.g., body weight and serum creatinine levels) in the HIRA database. Such a high proportion of reduced doses of NOAC among Asians has been previously reported in various other studies.</w:t>
      </w:r>
      <w:r w:rsidR="005F5885" w:rsidRPr="00A74CDF">
        <w:rPr>
          <w:rFonts w:ascii="Times New Roman" w:hAnsi="Times New Roman" w:cs="Times New Roman"/>
          <w:vertAlign w:val="superscript"/>
          <w:lang w:eastAsia="ko-KR"/>
        </w:rPr>
        <w:t>4</w:t>
      </w:r>
      <w:r w:rsidR="00A2363F">
        <w:rPr>
          <w:rFonts w:ascii="Times New Roman" w:hAnsi="Times New Roman" w:cs="Times New Roman"/>
          <w:vertAlign w:val="superscript"/>
          <w:lang w:eastAsia="ko-KR"/>
        </w:rPr>
        <w:t>5</w:t>
      </w:r>
      <w:r w:rsidR="005F5885" w:rsidRPr="00A74CDF">
        <w:rPr>
          <w:rFonts w:ascii="Times New Roman" w:hAnsi="Times New Roman" w:cs="Times New Roman"/>
          <w:vertAlign w:val="superscript"/>
          <w:lang w:eastAsia="ko-KR"/>
        </w:rPr>
        <w:t>,4</w:t>
      </w:r>
      <w:r w:rsidR="00A2363F">
        <w:rPr>
          <w:rFonts w:ascii="Times New Roman" w:hAnsi="Times New Roman" w:cs="Times New Roman"/>
          <w:vertAlign w:val="superscript"/>
          <w:lang w:eastAsia="ko-KR"/>
        </w:rPr>
        <w:t>6</w:t>
      </w:r>
      <w:r w:rsidR="005F5885" w:rsidRPr="00A74CDF">
        <w:rPr>
          <w:rFonts w:ascii="Times New Roman" w:hAnsi="Times New Roman" w:cs="Times New Roman"/>
          <w:lang w:eastAsia="ko-KR"/>
        </w:rPr>
        <w:t xml:space="preserve"> Some explanations for this trend are that Asians have a lower body mass and a higher risk of ICH than the Western population, and some physicians prefer reduced-dose prescriptions because of concerns about a higher bleeding risk in older patients. Nonetheless, according to our previous report, 95% of the prescriptions of </w:t>
      </w:r>
      <w:r w:rsidR="005F5885" w:rsidRPr="00A74CDF">
        <w:rPr>
          <w:rFonts w:ascii="Times New Roman" w:hAnsi="Times New Roman" w:cs="Times New Roman"/>
          <w:i/>
          <w:lang w:eastAsia="ko-KR"/>
        </w:rPr>
        <w:t>regular</w:t>
      </w:r>
      <w:r w:rsidR="005F5885" w:rsidRPr="00A74CDF">
        <w:rPr>
          <w:rFonts w:ascii="Times New Roman" w:hAnsi="Times New Roman" w:cs="Times New Roman"/>
          <w:lang w:eastAsia="ko-KR"/>
        </w:rPr>
        <w:t xml:space="preserve"> doses of NOAC were shown to adhere to the Korean approved drug label.</w:t>
      </w:r>
      <w:r w:rsidR="005F5885" w:rsidRPr="00A74CDF">
        <w:rPr>
          <w:rFonts w:ascii="Times New Roman" w:hAnsi="Times New Roman" w:cs="Times New Roman"/>
          <w:vertAlign w:val="superscript"/>
          <w:lang w:eastAsia="ko-KR"/>
        </w:rPr>
        <w:t>4</w:t>
      </w:r>
      <w:r w:rsidR="00A2363F">
        <w:rPr>
          <w:rFonts w:ascii="Times New Roman" w:hAnsi="Times New Roman" w:cs="Times New Roman"/>
          <w:vertAlign w:val="superscript"/>
          <w:lang w:eastAsia="ko-KR"/>
        </w:rPr>
        <w:t>5</w:t>
      </w:r>
      <w:r w:rsidR="005F5885" w:rsidRPr="00A74CDF">
        <w:rPr>
          <w:rFonts w:ascii="Times New Roman" w:hAnsi="Times New Roman" w:cs="Times New Roman"/>
          <w:lang w:eastAsia="ko-KR"/>
        </w:rPr>
        <w:t xml:space="preserve"> This finding suggests, compared to reduced doses, the majority of regular doses can be regarded to be label adherent. Given the above limitations of the claims database, we performed a sensitivity analysis for those with regular doses of NOAC only to focus on label-adhered data (</w:t>
      </w:r>
      <w:r w:rsidR="005F5885" w:rsidRPr="00A74CDF">
        <w:rPr>
          <w:rFonts w:ascii="Times New Roman" w:hAnsi="Times New Roman" w:cs="Times New Roman"/>
          <w:b/>
          <w:lang w:eastAsia="ko-KR"/>
        </w:rPr>
        <w:t>Table XI in the Data Supplement</w:t>
      </w:r>
      <w:r w:rsidR="005F5885" w:rsidRPr="00A74CDF">
        <w:rPr>
          <w:rFonts w:ascii="Times New Roman" w:hAnsi="Times New Roman" w:cs="Times New Roman"/>
          <w:lang w:eastAsia="ko-KR"/>
        </w:rPr>
        <w:t>), and the results were in line with the primary analysis. These results suggest that regular doses, which are considered to be mostly on-label, would be safe and effective compared to warfarin in AF patients with a previous history of GIB. However, this finding does not guarantee that off-label doses can be considered equivalent to on-label doses for AF patients with prior GIB. For example, Yu et al. have reported that off-label reduced doses may not offer safety benefits compared to on-label doses.</w:t>
      </w:r>
      <w:r w:rsidR="005F5885" w:rsidRPr="00A74CDF">
        <w:rPr>
          <w:rFonts w:ascii="Times New Roman" w:hAnsi="Times New Roman" w:cs="Times New Roman"/>
          <w:vertAlign w:val="superscript"/>
          <w:lang w:eastAsia="ko-KR"/>
        </w:rPr>
        <w:t>4</w:t>
      </w:r>
      <w:r w:rsidR="00A2363F">
        <w:rPr>
          <w:rFonts w:ascii="Times New Roman" w:hAnsi="Times New Roman" w:cs="Times New Roman"/>
          <w:vertAlign w:val="superscript"/>
          <w:lang w:eastAsia="ko-KR"/>
        </w:rPr>
        <w:t>6</w:t>
      </w:r>
      <w:r w:rsidR="005F5885" w:rsidRPr="00A74CDF">
        <w:rPr>
          <w:rFonts w:ascii="Times New Roman" w:hAnsi="Times New Roman" w:cs="Times New Roman"/>
          <w:lang w:eastAsia="ko-KR"/>
        </w:rPr>
        <w:t xml:space="preserve"> Therefore, further studies are needed to investigate the association of label adherence of NOAC and clinical outcomes among AF patients with prior GIB. </w:t>
      </w:r>
      <w:r w:rsidRPr="00A74CDF">
        <w:rPr>
          <w:rFonts w:ascii="Times New Roman" w:hAnsi="Times New Roman" w:cs="Times New Roman"/>
          <w:lang w:eastAsia="ko-KR"/>
        </w:rPr>
        <w:t xml:space="preserve">Fourth, the location of GIB was not identified, so it is unknown whether newly developed GIB events originated </w:t>
      </w:r>
      <w:r w:rsidR="004E5351" w:rsidRPr="00A74CDF">
        <w:rPr>
          <w:rFonts w:ascii="Times New Roman" w:hAnsi="Times New Roman" w:cs="Times New Roman"/>
          <w:lang w:eastAsia="ko-KR"/>
        </w:rPr>
        <w:t xml:space="preserve">in </w:t>
      </w:r>
      <w:r w:rsidRPr="00A74CDF">
        <w:rPr>
          <w:rFonts w:ascii="Times New Roman" w:hAnsi="Times New Roman" w:cs="Times New Roman"/>
          <w:lang w:eastAsia="ko-KR"/>
        </w:rPr>
        <w:t xml:space="preserve">the same or different sites. </w:t>
      </w:r>
      <w:r w:rsidR="00927B41" w:rsidRPr="00A74CDF">
        <w:rPr>
          <w:rFonts w:ascii="Times New Roman" w:hAnsi="Times New Roman" w:cs="Times New Roman"/>
          <w:lang w:eastAsia="ko-KR"/>
        </w:rPr>
        <w:t>Fifth</w:t>
      </w:r>
      <w:r w:rsidRPr="00A74CDF">
        <w:rPr>
          <w:rFonts w:ascii="Times New Roman" w:hAnsi="Times New Roman" w:cs="Times New Roman"/>
          <w:lang w:eastAsia="ko-KR"/>
        </w:rPr>
        <w:t xml:space="preserve">, the average time interval from GIB events </w:t>
      </w:r>
      <w:r w:rsidR="003F7DE8" w:rsidRPr="00A74CDF">
        <w:rPr>
          <w:rFonts w:ascii="Times New Roman" w:hAnsi="Times New Roman" w:cs="Times New Roman"/>
          <w:lang w:eastAsia="ko-KR"/>
        </w:rPr>
        <w:t xml:space="preserve">to </w:t>
      </w:r>
      <w:r w:rsidRPr="00A74CDF">
        <w:rPr>
          <w:rFonts w:ascii="Times New Roman" w:hAnsi="Times New Roman" w:cs="Times New Roman"/>
          <w:lang w:eastAsia="ko-KR"/>
        </w:rPr>
        <w:t xml:space="preserve">OAC treatment was about </w:t>
      </w:r>
      <w:r w:rsidR="00FD16A4" w:rsidRPr="00A74CDF">
        <w:rPr>
          <w:rFonts w:ascii="Times New Roman" w:hAnsi="Times New Roman" w:cs="Times New Roman"/>
          <w:lang w:eastAsia="ko-KR"/>
        </w:rPr>
        <w:t>three</w:t>
      </w:r>
      <w:r w:rsidRPr="00A74CDF">
        <w:rPr>
          <w:rFonts w:ascii="Times New Roman" w:hAnsi="Times New Roman" w:cs="Times New Roman"/>
          <w:lang w:eastAsia="ko-KR"/>
        </w:rPr>
        <w:t xml:space="preserve"> years, so the results </w:t>
      </w:r>
      <w:r w:rsidR="00682568" w:rsidRPr="00A74CDF">
        <w:rPr>
          <w:rFonts w:ascii="Times New Roman" w:hAnsi="Times New Roman" w:cs="Times New Roman"/>
          <w:lang w:eastAsia="ko-KR"/>
        </w:rPr>
        <w:t>can</w:t>
      </w:r>
      <w:r w:rsidRPr="00A74CDF">
        <w:rPr>
          <w:rFonts w:ascii="Times New Roman" w:hAnsi="Times New Roman" w:cs="Times New Roman"/>
          <w:lang w:eastAsia="ko-KR"/>
        </w:rPr>
        <w:t xml:space="preserve">not provide evidence for </w:t>
      </w:r>
      <w:r w:rsidR="009733A6" w:rsidRPr="00A74CDF">
        <w:rPr>
          <w:rFonts w:ascii="Times New Roman" w:hAnsi="Times New Roman" w:cs="Times New Roman"/>
          <w:lang w:eastAsia="ko-KR"/>
        </w:rPr>
        <w:t xml:space="preserve">patients </w:t>
      </w:r>
      <w:r w:rsidRPr="00A74CDF">
        <w:rPr>
          <w:rFonts w:ascii="Times New Roman" w:hAnsi="Times New Roman" w:cs="Times New Roman"/>
          <w:lang w:eastAsia="ko-KR"/>
        </w:rPr>
        <w:t>who started OAC therapy within several weeks.</w:t>
      </w:r>
      <w:r w:rsidR="002F0A25" w:rsidRPr="00A74CDF">
        <w:rPr>
          <w:rFonts w:ascii="Times New Roman" w:hAnsi="Times New Roman" w:cs="Times New Roman" w:hint="eastAsia"/>
          <w:lang w:eastAsia="ko-KR"/>
        </w:rPr>
        <w:t xml:space="preserve"> </w:t>
      </w:r>
      <w:r w:rsidR="00927B41" w:rsidRPr="00A74CDF">
        <w:rPr>
          <w:rFonts w:ascii="Times New Roman" w:hAnsi="Times New Roman" w:cs="Times New Roman"/>
          <w:lang w:eastAsia="ko-KR"/>
        </w:rPr>
        <w:t>Lastly, since this study mainly focused on the Asians, extrapolation of the study results to non-Asian AF patients would be cautiously managed.</w:t>
      </w:r>
    </w:p>
    <w:p w14:paraId="340A0662" w14:textId="77777777" w:rsidR="00BB1388" w:rsidRPr="00A74CDF" w:rsidRDefault="00BB1388" w:rsidP="00BB1388">
      <w:pPr>
        <w:pStyle w:val="1"/>
        <w:spacing w:before="0" w:after="0"/>
        <w:ind w:firstLineChars="200" w:firstLine="480"/>
        <w:contextualSpacing/>
        <w:jc w:val="both"/>
        <w:rPr>
          <w:rFonts w:ascii="Times New Roman" w:hAnsi="Times New Roman" w:cs="Times New Roman"/>
          <w:lang w:eastAsia="ko-KR"/>
        </w:rPr>
      </w:pPr>
    </w:p>
    <w:p w14:paraId="44B61343" w14:textId="42AAC67D" w:rsidR="00BB1388" w:rsidRPr="00A74CDF" w:rsidRDefault="005B3F87" w:rsidP="00BB1388">
      <w:pPr>
        <w:pStyle w:val="1"/>
        <w:spacing w:before="0" w:after="0"/>
        <w:contextualSpacing/>
        <w:jc w:val="both"/>
        <w:rPr>
          <w:rFonts w:ascii="Times New Roman" w:hAnsi="Times New Roman" w:cs="Times New Roman"/>
          <w:b/>
          <w:bCs/>
          <w:lang w:eastAsia="ko-KR"/>
        </w:rPr>
      </w:pPr>
      <w:r w:rsidRPr="00A74CDF">
        <w:rPr>
          <w:rFonts w:ascii="Times New Roman" w:hAnsi="Times New Roman" w:cs="Times New Roman"/>
          <w:b/>
          <w:bCs/>
          <w:lang w:eastAsia="ko-KR"/>
        </w:rPr>
        <w:t>Conclusion</w:t>
      </w:r>
      <w:r w:rsidR="00E82365" w:rsidRPr="00A74CDF">
        <w:rPr>
          <w:rFonts w:ascii="Times New Roman" w:hAnsi="Times New Roman" w:cs="Times New Roman" w:hint="eastAsia"/>
          <w:b/>
          <w:bCs/>
          <w:lang w:eastAsia="ko-KR"/>
        </w:rPr>
        <w:t>s</w:t>
      </w:r>
    </w:p>
    <w:p w14:paraId="1DF9EC3E" w14:textId="77777777" w:rsidR="00BB1388" w:rsidRPr="00A74CDF" w:rsidRDefault="005B3F87" w:rsidP="00BB1388">
      <w:pPr>
        <w:pStyle w:val="1"/>
        <w:spacing w:before="0" w:after="0"/>
        <w:ind w:firstLineChars="200" w:firstLine="480"/>
        <w:contextualSpacing/>
        <w:jc w:val="both"/>
        <w:rPr>
          <w:rFonts w:ascii="Times New Roman" w:eastAsia="맑은 고딕" w:hAnsi="Times New Roman" w:cs="Times New Roman"/>
          <w:color w:val="000000" w:themeColor="text1"/>
          <w:lang w:eastAsia="ko-KR"/>
        </w:rPr>
      </w:pPr>
      <w:r w:rsidRPr="00A74CDF">
        <w:rPr>
          <w:rFonts w:ascii="Times New Roman" w:hAnsi="Times New Roman" w:cs="Times New Roman"/>
          <w:lang w:eastAsia="ko-KR"/>
        </w:rPr>
        <w:t xml:space="preserve">In this nationwide cohort study, </w:t>
      </w:r>
      <w:r w:rsidR="001D593C" w:rsidRPr="00A74CDF">
        <w:rPr>
          <w:rFonts w:ascii="Times New Roman" w:eastAsia="맑은 고딕" w:hAnsi="Times New Roman" w:cs="Times New Roman"/>
          <w:color w:val="000000" w:themeColor="text1"/>
          <w:lang w:eastAsia="ko-KR"/>
        </w:rPr>
        <w:t>NOACs were associated with lower risks of ischemic stroke and major bleeding than warfarin among AF patients with prior GIB. NOACs were also associated with a lower rate of fatalities from each clinical outcome compared with warfarin. NOACs may be a better option than warfarin for stroke prevention in AF patients with prior GIB.</w:t>
      </w:r>
    </w:p>
    <w:p w14:paraId="59C0BACE" w14:textId="77777777" w:rsidR="00BB1388" w:rsidRPr="00A74CDF" w:rsidRDefault="00BB1388" w:rsidP="00BB1388">
      <w:pPr>
        <w:pStyle w:val="1"/>
        <w:spacing w:before="0" w:after="0"/>
        <w:ind w:firstLineChars="200" w:firstLine="480"/>
        <w:contextualSpacing/>
        <w:jc w:val="both"/>
        <w:rPr>
          <w:rFonts w:ascii="Times New Roman" w:eastAsia="맑은 고딕" w:hAnsi="Times New Roman" w:cs="Times New Roman"/>
          <w:b/>
          <w:lang w:eastAsia="ko-KR"/>
        </w:rPr>
      </w:pPr>
    </w:p>
    <w:p w14:paraId="7F3BDDAC" w14:textId="77777777" w:rsidR="00BB1388" w:rsidRPr="00A74CDF" w:rsidRDefault="00BB1388" w:rsidP="00BB1388">
      <w:pPr>
        <w:pStyle w:val="1"/>
        <w:spacing w:before="0" w:after="0"/>
        <w:contextualSpacing/>
        <w:jc w:val="both"/>
        <w:rPr>
          <w:rFonts w:ascii="Times New Roman" w:eastAsia="맑은 고딕" w:hAnsi="Times New Roman" w:cs="Times New Roman"/>
          <w:b/>
          <w:lang w:eastAsia="ko-KR"/>
        </w:rPr>
      </w:pPr>
      <w:r w:rsidRPr="00A74CDF">
        <w:rPr>
          <w:rFonts w:ascii="Times New Roman" w:eastAsia="맑은 고딕" w:hAnsi="Times New Roman" w:cs="Times New Roman"/>
          <w:b/>
          <w:lang w:eastAsia="ko-KR"/>
        </w:rPr>
        <w:t>Acknowledgments</w:t>
      </w:r>
    </w:p>
    <w:p w14:paraId="51226446" w14:textId="77777777" w:rsidR="00BB1388" w:rsidRPr="00A74CDF" w:rsidRDefault="00BB1388" w:rsidP="00BB1388">
      <w:pPr>
        <w:pStyle w:val="1"/>
        <w:spacing w:before="0" w:after="0"/>
        <w:ind w:firstLineChars="200" w:firstLine="480"/>
        <w:contextualSpacing/>
        <w:jc w:val="both"/>
        <w:rPr>
          <w:rFonts w:ascii="Times New Roman" w:eastAsia="맑은 고딕" w:hAnsi="Times New Roman" w:cs="Times New Roman"/>
          <w:lang w:eastAsia="ko-KR"/>
        </w:rPr>
      </w:pPr>
      <w:r w:rsidRPr="00A74CDF">
        <w:rPr>
          <w:rFonts w:ascii="Times New Roman" w:eastAsia="맑은 고딕" w:hAnsi="Times New Roman" w:cs="Times New Roman"/>
          <w:lang w:eastAsia="ko-KR"/>
        </w:rPr>
        <w:t>None.</w:t>
      </w:r>
    </w:p>
    <w:p w14:paraId="1EDFD5C4" w14:textId="77777777" w:rsidR="00BB1388" w:rsidRPr="00A74CDF" w:rsidRDefault="00BB1388" w:rsidP="00BB1388">
      <w:pPr>
        <w:pStyle w:val="1"/>
        <w:spacing w:before="0" w:after="0"/>
        <w:ind w:firstLineChars="200" w:firstLine="480"/>
        <w:contextualSpacing/>
        <w:jc w:val="both"/>
        <w:rPr>
          <w:rFonts w:ascii="Times New Roman" w:eastAsia="맑은 고딕" w:hAnsi="Times New Roman" w:cs="Times New Roman"/>
          <w:lang w:eastAsia="ko-KR"/>
        </w:rPr>
      </w:pPr>
    </w:p>
    <w:p w14:paraId="216E0822" w14:textId="77777777" w:rsidR="00BB1388" w:rsidRPr="00A74CDF" w:rsidRDefault="00BB1388" w:rsidP="00BB1388">
      <w:pPr>
        <w:pStyle w:val="1"/>
        <w:spacing w:before="0" w:after="0"/>
        <w:contextualSpacing/>
        <w:jc w:val="both"/>
        <w:rPr>
          <w:rFonts w:ascii="Times New Roman" w:eastAsia="맑은 고딕" w:hAnsi="Times New Roman" w:cs="Times New Roman"/>
          <w:b/>
        </w:rPr>
      </w:pPr>
      <w:r w:rsidRPr="00A74CDF">
        <w:rPr>
          <w:rFonts w:ascii="Times New Roman" w:eastAsia="맑은 고딕" w:hAnsi="Times New Roman" w:cs="Times New Roman"/>
          <w:b/>
        </w:rPr>
        <w:t xml:space="preserve">Sources of </w:t>
      </w:r>
      <w:r w:rsidRPr="00A74CDF">
        <w:rPr>
          <w:rFonts w:ascii="Times New Roman" w:eastAsia="맑은 고딕" w:hAnsi="Times New Roman" w:cs="Times New Roman"/>
          <w:b/>
          <w:lang w:eastAsia="ko-KR"/>
        </w:rPr>
        <w:t>F</w:t>
      </w:r>
      <w:r w:rsidRPr="00A74CDF">
        <w:rPr>
          <w:rFonts w:ascii="Times New Roman" w:eastAsia="맑은 고딕" w:hAnsi="Times New Roman" w:cs="Times New Roman"/>
          <w:b/>
        </w:rPr>
        <w:t>unding</w:t>
      </w:r>
    </w:p>
    <w:p w14:paraId="06CC6962" w14:textId="21C190F0" w:rsidR="00BB1388" w:rsidRPr="00A74CDF" w:rsidRDefault="00BB1388" w:rsidP="00BB1388">
      <w:pPr>
        <w:pStyle w:val="1"/>
        <w:spacing w:before="0" w:after="0"/>
        <w:ind w:firstLineChars="200" w:firstLine="480"/>
        <w:contextualSpacing/>
        <w:jc w:val="both"/>
        <w:rPr>
          <w:rFonts w:ascii="Times New Roman" w:hAnsi="Times New Roman" w:cs="Times New Roman"/>
        </w:rPr>
      </w:pPr>
      <w:r w:rsidRPr="00E50E5B">
        <w:rPr>
          <w:rFonts w:ascii="Times New Roman" w:hAnsi="Times New Roman" w:cs="Times New Roman"/>
          <w:highlight w:val="yellow"/>
        </w:rPr>
        <w:t>This study was sponsored by Daiich</w:t>
      </w:r>
      <w:r w:rsidR="004F20C5" w:rsidRPr="00E50E5B">
        <w:rPr>
          <w:rFonts w:ascii="Times New Roman" w:hAnsi="Times New Roman" w:cs="Times New Roman"/>
          <w:highlight w:val="yellow"/>
        </w:rPr>
        <w:t>i Sankyo Co, Ltd (Tokyo, Japan), and the sponsor has no roles in designing, analyzing, and publishing the study.</w:t>
      </w:r>
    </w:p>
    <w:p w14:paraId="196AF374" w14:textId="77777777" w:rsidR="00BB1388" w:rsidRPr="00A74CDF" w:rsidRDefault="00BB1388" w:rsidP="00BB1388">
      <w:pPr>
        <w:pStyle w:val="1"/>
        <w:spacing w:before="0" w:after="0"/>
        <w:ind w:firstLineChars="200" w:firstLine="480"/>
        <w:contextualSpacing/>
        <w:jc w:val="both"/>
        <w:rPr>
          <w:rFonts w:ascii="Times New Roman" w:hAnsi="Times New Roman" w:cs="Times New Roman"/>
        </w:rPr>
      </w:pPr>
    </w:p>
    <w:p w14:paraId="23A12A4C" w14:textId="77777777" w:rsidR="00BB1388" w:rsidRPr="00A74CDF" w:rsidRDefault="00BB1388" w:rsidP="00BB1388">
      <w:pPr>
        <w:pStyle w:val="1"/>
        <w:spacing w:before="0" w:after="0"/>
        <w:contextualSpacing/>
        <w:jc w:val="both"/>
        <w:rPr>
          <w:rFonts w:ascii="Times New Roman" w:eastAsia="맑은 고딕" w:hAnsi="Times New Roman" w:cs="Times New Roman"/>
          <w:b/>
        </w:rPr>
      </w:pPr>
      <w:r w:rsidRPr="00A74CDF">
        <w:rPr>
          <w:rFonts w:ascii="Times New Roman" w:eastAsia="맑은 고딕" w:hAnsi="Times New Roman" w:cs="Times New Roman"/>
          <w:b/>
        </w:rPr>
        <w:t>Disclosures</w:t>
      </w:r>
    </w:p>
    <w:p w14:paraId="6C97E38D" w14:textId="77777777" w:rsidR="00D85A93" w:rsidRDefault="00BB1388" w:rsidP="00FC54B8">
      <w:pPr>
        <w:pStyle w:val="1"/>
        <w:spacing w:before="0" w:after="0"/>
        <w:ind w:firstLineChars="200" w:firstLine="480"/>
        <w:contextualSpacing/>
        <w:jc w:val="both"/>
        <w:rPr>
          <w:rFonts w:ascii="Times New Roman" w:hAnsi="Times New Roman" w:cs="Times New Roman"/>
        </w:rPr>
      </w:pPr>
      <w:r w:rsidRPr="00A74CDF">
        <w:rPr>
          <w:rFonts w:ascii="Times New Roman" w:hAnsi="Times New Roman" w:cs="Times New Roman"/>
        </w:rPr>
        <w:t>SK, SRL, EL, JHJ, KH, MJC, SO: None to disclose. EKC: Research grant from Sanofi-Aventis, Chong Kun Dang, Daiichi-Sankyo, BMS/Pfizer, Biosense Webster, and Skylabs.</w:t>
      </w:r>
      <w:r w:rsidRPr="00A74CDF" w:rsidDel="00285CA4">
        <w:rPr>
          <w:rFonts w:ascii="Times New Roman" w:hAnsi="Times New Roman" w:cs="Times New Roman"/>
        </w:rPr>
        <w:t xml:space="preserve"> </w:t>
      </w:r>
      <w:r w:rsidRPr="00A74CDF">
        <w:rPr>
          <w:rFonts w:ascii="Times New Roman" w:hAnsi="Times New Roman" w:cs="Times New Roman"/>
        </w:rPr>
        <w:t>GYHL: Consultant for Bayer/Janssen, BMS/Pfizer, Medtronic, Boehringer Ingelheim, Novartis, Verseon and Daiichi-Sankyo. Speaker for Bayer, BMS/Pfizer, Medtronic, Boehringer Ingelheim, and Daiichi-Sankyo. No fees are received personally.</w:t>
      </w:r>
    </w:p>
    <w:p w14:paraId="6F134F13" w14:textId="77777777" w:rsidR="00D85A93" w:rsidRDefault="00D85A93" w:rsidP="00D85A93">
      <w:pPr>
        <w:pStyle w:val="1"/>
        <w:spacing w:before="0" w:after="0"/>
        <w:contextualSpacing/>
        <w:jc w:val="both"/>
        <w:rPr>
          <w:rFonts w:ascii="Times New Roman" w:hAnsi="Times New Roman" w:cs="Times New Roman"/>
        </w:rPr>
      </w:pPr>
    </w:p>
    <w:p w14:paraId="0B06DC33" w14:textId="78C4308D" w:rsidR="00D85A93" w:rsidRPr="00D25190" w:rsidRDefault="00D85A93" w:rsidP="00D85A93">
      <w:pPr>
        <w:pStyle w:val="1"/>
        <w:spacing w:before="0" w:after="0"/>
        <w:contextualSpacing/>
        <w:jc w:val="both"/>
        <w:rPr>
          <w:rFonts w:ascii="Times New Roman" w:hAnsi="Times New Roman" w:cs="Times New Roman"/>
          <w:b/>
          <w:highlight w:val="yellow"/>
          <w:lang w:eastAsia="ko-KR"/>
        </w:rPr>
      </w:pPr>
      <w:r w:rsidRPr="00D25190">
        <w:rPr>
          <w:rFonts w:ascii="Times New Roman" w:hAnsi="Times New Roman" w:cs="Times New Roman" w:hint="eastAsia"/>
          <w:b/>
          <w:highlight w:val="yellow"/>
          <w:lang w:eastAsia="ko-KR"/>
        </w:rPr>
        <w:t>Supplemental Materials</w:t>
      </w:r>
    </w:p>
    <w:p w14:paraId="0383F7C0" w14:textId="2774C6E9" w:rsidR="00D85A93" w:rsidRPr="00D25190" w:rsidRDefault="00D85A93" w:rsidP="00D85A93">
      <w:pPr>
        <w:pStyle w:val="1"/>
        <w:spacing w:before="0" w:after="0"/>
        <w:contextualSpacing/>
        <w:jc w:val="both"/>
        <w:rPr>
          <w:rFonts w:ascii="Times New Roman" w:hAnsi="Times New Roman" w:cs="Times New Roman"/>
          <w:highlight w:val="yellow"/>
          <w:lang w:eastAsia="ko-KR"/>
        </w:rPr>
      </w:pPr>
      <w:r w:rsidRPr="00D25190">
        <w:rPr>
          <w:rFonts w:ascii="Times New Roman" w:hAnsi="Times New Roman" w:cs="Times New Roman"/>
          <w:highlight w:val="yellow"/>
          <w:lang w:eastAsia="ko-KR"/>
        </w:rPr>
        <w:t>Online Figures I-V</w:t>
      </w:r>
    </w:p>
    <w:p w14:paraId="01A88A23" w14:textId="499C3F21" w:rsidR="00D85A93" w:rsidRDefault="00D85A93" w:rsidP="00D85A93">
      <w:pPr>
        <w:pStyle w:val="1"/>
        <w:spacing w:before="0" w:after="0"/>
        <w:contextualSpacing/>
        <w:jc w:val="both"/>
        <w:rPr>
          <w:rFonts w:ascii="Times New Roman" w:hAnsi="Times New Roman" w:cs="Times New Roman"/>
        </w:rPr>
      </w:pPr>
      <w:r w:rsidRPr="00D25190">
        <w:rPr>
          <w:rFonts w:ascii="Times New Roman" w:hAnsi="Times New Roman" w:cs="Times New Roman"/>
          <w:highlight w:val="yellow"/>
          <w:lang w:eastAsia="ko-KR"/>
        </w:rPr>
        <w:t>Online Tables I-XV</w:t>
      </w:r>
    </w:p>
    <w:p w14:paraId="3D8FB6DD" w14:textId="1A019AC0" w:rsidR="001524A3" w:rsidRPr="00A74CDF" w:rsidRDefault="001524A3" w:rsidP="00D85A93">
      <w:pPr>
        <w:pStyle w:val="1"/>
        <w:spacing w:before="0" w:after="0"/>
        <w:contextualSpacing/>
        <w:jc w:val="both"/>
        <w:rPr>
          <w:rFonts w:ascii="Times New Roman" w:hAnsi="Times New Roman" w:cs="Times New Roman"/>
        </w:rPr>
      </w:pPr>
      <w:r w:rsidRPr="00A74CDF">
        <w:rPr>
          <w:rFonts w:eastAsia="맑은 고딕"/>
          <w:color w:val="000000" w:themeColor="text1"/>
          <w:lang w:eastAsia="ko-KR"/>
        </w:rPr>
        <w:br w:type="page"/>
      </w:r>
    </w:p>
    <w:p w14:paraId="64615C45" w14:textId="77777777" w:rsidR="00940D4E" w:rsidRPr="00A74CDF" w:rsidRDefault="00940D4E" w:rsidP="00BB1388">
      <w:pPr>
        <w:pStyle w:val="1"/>
        <w:spacing w:before="0" w:after="0"/>
        <w:contextualSpacing/>
        <w:jc w:val="both"/>
        <w:rPr>
          <w:rFonts w:ascii="Times New Roman" w:hAnsi="Times New Roman" w:cs="Times New Roman"/>
          <w:b/>
          <w:bCs/>
          <w:lang w:eastAsia="ko-KR"/>
        </w:rPr>
      </w:pPr>
      <w:r w:rsidRPr="00A74CDF">
        <w:rPr>
          <w:rFonts w:ascii="Times New Roman" w:hAnsi="Times New Roman" w:cs="Times New Roman"/>
          <w:b/>
          <w:bCs/>
          <w:lang w:eastAsia="ko-KR"/>
        </w:rPr>
        <w:t>References</w:t>
      </w:r>
    </w:p>
    <w:p w14:paraId="3D675F11"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w:t>
      </w:r>
      <w:r w:rsidRPr="00A74CDF">
        <w:rPr>
          <w:rFonts w:ascii="Times New Roman" w:hAnsi="Times New Roman" w:cs="Times New Roman"/>
          <w:lang w:eastAsia="ko-KR"/>
        </w:rPr>
        <w:tab/>
        <w:t>Ruff CT, Giugliano RP, Braunwald E, Hoffman EB, Deenadayalu N, Ezekowitz MD, et al. Comparison of the efficacy and safety of new oral anticoagulants with warfarin in patients with atrial fibrillation: A meta-analysis of randomised trials. Lancet. 2014;383:955-962</w:t>
      </w:r>
    </w:p>
    <w:p w14:paraId="41B6E472"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w:t>
      </w:r>
      <w:r w:rsidRPr="00A74CDF">
        <w:rPr>
          <w:rFonts w:ascii="Times New Roman" w:hAnsi="Times New Roman" w:cs="Times New Roman"/>
          <w:lang w:eastAsia="ko-KR"/>
        </w:rPr>
        <w:tab/>
        <w:t>Lee SR, Choi EK, Kwon S, Han KD, Jung JH, Cha MJ, et al. Effectiveness and safety of contemporary oral anticoagulants among asians with nonvalvular atrial fibrillation. Stroke. 2019:STROKEAHA119025536</w:t>
      </w:r>
    </w:p>
    <w:p w14:paraId="2066B804"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Pr="00A74CDF">
        <w:rPr>
          <w:rFonts w:ascii="Times New Roman" w:hAnsi="Times New Roman" w:cs="Times New Roman"/>
          <w:lang w:eastAsia="ko-KR"/>
        </w:rPr>
        <w:tab/>
        <w:t>Alnsasra H, Haim M, Senderey AB, Reges O, Leventer-Roberts M, Arnson Y, et al. Net clinical benefit of anticoagulant treatments in elderly patients with nonvalvular atrial fibrillation: Experience from the real world. Heart Rhythm. 2019;16:31-37</w:t>
      </w:r>
    </w:p>
    <w:p w14:paraId="1FAE39B0"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4.</w:t>
      </w:r>
      <w:r w:rsidRPr="00A74CDF">
        <w:rPr>
          <w:rFonts w:ascii="Times New Roman" w:hAnsi="Times New Roman" w:cs="Times New Roman"/>
          <w:lang w:eastAsia="ko-KR"/>
        </w:rPr>
        <w:tab/>
        <w:t>Lee SR, Lee HJ, Choi EK, Han KD, Jung JH, Cha MJ, et al. Direct oral anticoagulants in patients with atrial fibrillation and liver disease. J Am Coll Cardiol. 2019;73:3295-3308</w:t>
      </w:r>
    </w:p>
    <w:p w14:paraId="79E7CC4E"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5.</w:t>
      </w:r>
      <w:r w:rsidRPr="00A74CDF">
        <w:rPr>
          <w:rFonts w:ascii="Times New Roman" w:hAnsi="Times New Roman" w:cs="Times New Roman"/>
          <w:lang w:eastAsia="ko-KR"/>
        </w:rPr>
        <w:tab/>
        <w:t>Sabbag A, Yao X, Siontis KC, Noseworthy PA. Anticoagulation for stroke prevention in older adults with atrial fibrillation and comorbidity: Current evidence and treatment challenges. Korean Circ J. 2018;48:873-889</w:t>
      </w:r>
    </w:p>
    <w:p w14:paraId="4C95D574" w14:textId="451A6766"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6.</w:t>
      </w:r>
      <w:r w:rsidRPr="00A74CDF">
        <w:rPr>
          <w:rFonts w:ascii="Times New Roman" w:hAnsi="Times New Roman" w:cs="Times New Roman"/>
          <w:lang w:eastAsia="ko-KR"/>
        </w:rPr>
        <w:tab/>
        <w:t xml:space="preserve">Ramagopalan SV, Samnaliev M, Weir S, Sammon CJ, Carroll R, Alikhan R. Costs of gastrointestinal bleeding events in atrial fibrillation: A </w:t>
      </w:r>
      <w:r w:rsidR="00EC7D9D" w:rsidRPr="00A74CDF">
        <w:rPr>
          <w:rFonts w:ascii="Times New Roman" w:hAnsi="Times New Roman" w:cs="Times New Roman" w:hint="eastAsia"/>
          <w:lang w:eastAsia="ko-KR"/>
        </w:rPr>
        <w:t>U</w:t>
      </w:r>
      <w:r w:rsidR="00EC7D9D" w:rsidRPr="00A74CDF">
        <w:rPr>
          <w:rFonts w:ascii="Times New Roman" w:hAnsi="Times New Roman" w:cs="Times New Roman"/>
          <w:lang w:eastAsia="ko-KR"/>
        </w:rPr>
        <w:t>K</w:t>
      </w:r>
      <w:r w:rsidRPr="00A74CDF">
        <w:rPr>
          <w:rFonts w:ascii="Times New Roman" w:hAnsi="Times New Roman" w:cs="Times New Roman"/>
          <w:lang w:eastAsia="ko-KR"/>
        </w:rPr>
        <w:t xml:space="preserve"> clinical practice research datalink study. Future Cardiol. 2019;15:367-375</w:t>
      </w:r>
    </w:p>
    <w:p w14:paraId="2B2AAC91"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7.</w:t>
      </w:r>
      <w:r w:rsidRPr="00A74CDF">
        <w:rPr>
          <w:rFonts w:ascii="Times New Roman" w:hAnsi="Times New Roman" w:cs="Times New Roman"/>
          <w:lang w:eastAsia="ko-KR"/>
        </w:rPr>
        <w:tab/>
        <w:t>Abraham NS, Noseworthy PA, Yao X, Sangaralingham LR, Shah ND. Gastrointestinal safety of direct oral anticoagulants: A large population-based study. Gastroenterology. 2017;152:1014-1022 e1011</w:t>
      </w:r>
    </w:p>
    <w:p w14:paraId="1F2AFFF5"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8.</w:t>
      </w:r>
      <w:r w:rsidRPr="00A74CDF">
        <w:rPr>
          <w:rFonts w:ascii="Times New Roman" w:hAnsi="Times New Roman" w:cs="Times New Roman"/>
          <w:lang w:eastAsia="ko-KR"/>
        </w:rPr>
        <w:tab/>
        <w:t>Burr N, Lummis K, Sood R, Kane JS, Corp A, Subramanian V. Risk of gastrointestinal bleeding with direct oral anticoagulants: A systematic review and network meta-analysis. Lancet Gastroenterol Hepatol. 2017;2:85-93</w:t>
      </w:r>
    </w:p>
    <w:p w14:paraId="4FAA2635"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9.</w:t>
      </w:r>
      <w:r w:rsidRPr="00A74CDF">
        <w:rPr>
          <w:rFonts w:ascii="Times New Roman" w:hAnsi="Times New Roman" w:cs="Times New Roman"/>
          <w:lang w:eastAsia="ko-KR"/>
        </w:rPr>
        <w:tab/>
        <w:t>Gu ZC, Wei AH, Zhang C, Wang XH, Zhang L, Shen L, et al. Risk of major gastrointestinal bleeding with new vs conventional oral anticoagulants: A systematic review and meta-analysis. Clin Gastroenterol Hepatol. 2019</w:t>
      </w:r>
    </w:p>
    <w:p w14:paraId="4D888EAD"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10.</w:t>
      </w:r>
      <w:r w:rsidRPr="00A74CDF">
        <w:rPr>
          <w:rFonts w:ascii="Times New Roman" w:hAnsi="Times New Roman" w:cs="Times New Roman"/>
          <w:lang w:eastAsia="ko-KR"/>
        </w:rPr>
        <w:tab/>
        <w:t>Holster IL, Valkhoff VE, Kuipers EJ, Tjwa E. New oral anticoagulants increase risk for gastrointestinal bleeding: A systematic review and meta-analysis. Gastroenterology. 2013;145:105-112 e115</w:t>
      </w:r>
    </w:p>
    <w:p w14:paraId="0AD6715F"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11.</w:t>
      </w:r>
      <w:r w:rsidRPr="00A74CDF">
        <w:rPr>
          <w:rFonts w:ascii="Times New Roman" w:hAnsi="Times New Roman" w:cs="Times New Roman"/>
          <w:lang w:eastAsia="ko-KR"/>
        </w:rPr>
        <w:tab/>
        <w:t>Staerk L, Lip GY, Olesen JB, Fosbol EL, Pallisgaard JL, Bonde AN, et al. Stroke and recurrent haemorrhage associated with antithrombotic treatment after gastrointestinal bleeding in patients with atrial fibrillation: Nationwide cohort study. BMJ. 2015;351:h5876</w:t>
      </w:r>
    </w:p>
    <w:p w14:paraId="5FC7F9EA"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12.</w:t>
      </w:r>
      <w:r w:rsidRPr="00A74CDF">
        <w:rPr>
          <w:rFonts w:ascii="Times New Roman" w:hAnsi="Times New Roman" w:cs="Times New Roman"/>
          <w:lang w:eastAsia="ko-KR"/>
        </w:rPr>
        <w:tab/>
        <w:t>Qureshi W, Mittal C, Patsias I, Garikapati K, Kuchipudi A, Cheema G, et al. Restarting anticoagulation and outcomes after major gastrointestinal bleeding in atrial fibrillation. Am J Cardiol. 2014;113:662-668</w:t>
      </w:r>
    </w:p>
    <w:p w14:paraId="15CB6CE3"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13.</w:t>
      </w:r>
      <w:r w:rsidRPr="00A74CDF">
        <w:rPr>
          <w:rFonts w:ascii="Times New Roman" w:hAnsi="Times New Roman" w:cs="Times New Roman"/>
          <w:lang w:eastAsia="ko-KR"/>
        </w:rPr>
        <w:tab/>
        <w:t>Sung JJ, Fung E. Use of direct oral anticoagulant in atrial fibrillation with gastrointestinal bleeding: Balancing gastrointestinal safety and cardiovascular risks. J Gastroenterol Hepatol. 2019;34:959-960</w:t>
      </w:r>
    </w:p>
    <w:p w14:paraId="381D0301"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14.</w:t>
      </w:r>
      <w:r w:rsidRPr="00A74CDF">
        <w:rPr>
          <w:rFonts w:ascii="Times New Roman" w:hAnsi="Times New Roman" w:cs="Times New Roman"/>
          <w:lang w:eastAsia="ko-KR"/>
        </w:rPr>
        <w:tab/>
        <w:t>Proietti M, Romiti GF, Romanazzi I, Farcomeni A, Staerk L, Nielsen PB, et al. Restarting oral anticoagulant therapy after major bleeding in atrial fibrillation: A systematic review and meta-analysis. Int J Cardiol. 2018;261:84-91</w:t>
      </w:r>
    </w:p>
    <w:p w14:paraId="4C08FC3A"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15.</w:t>
      </w:r>
      <w:r w:rsidRPr="00A74CDF">
        <w:rPr>
          <w:rFonts w:ascii="Times New Roman" w:hAnsi="Times New Roman" w:cs="Times New Roman"/>
          <w:lang w:eastAsia="ko-KR"/>
        </w:rPr>
        <w:tab/>
        <w:t>Abraham NS, Singh S, Alexander GC, Heien H, Haas LR, Crown W, et al. Comparative risk of gastrointestinal bleeding with dabigatran, rivaroxaban, and warfarin: Population based cohort study. BMJ. 2015;350:h1857</w:t>
      </w:r>
    </w:p>
    <w:p w14:paraId="0FC1261F" w14:textId="20FD8188"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16.</w:t>
      </w:r>
      <w:r w:rsidRPr="00A74CDF">
        <w:rPr>
          <w:rFonts w:ascii="Times New Roman" w:hAnsi="Times New Roman" w:cs="Times New Roman"/>
          <w:lang w:eastAsia="ko-KR"/>
        </w:rPr>
        <w:tab/>
        <w:t xml:space="preserve">Kirchhof P, Benussi S, Kotecha D, Ahlsson A, Atar D, Casadei B, et al. 2016 </w:t>
      </w:r>
      <w:r w:rsidR="00EC7D9D" w:rsidRPr="00A74CDF">
        <w:rPr>
          <w:rFonts w:ascii="Times New Roman" w:hAnsi="Times New Roman" w:cs="Times New Roman"/>
          <w:lang w:eastAsia="ko-KR"/>
        </w:rPr>
        <w:t>ESC</w:t>
      </w:r>
      <w:r w:rsidRPr="00A74CDF">
        <w:rPr>
          <w:rFonts w:ascii="Times New Roman" w:hAnsi="Times New Roman" w:cs="Times New Roman"/>
          <w:lang w:eastAsia="ko-KR"/>
        </w:rPr>
        <w:t xml:space="preserve"> guidelines for the management of atrial fibrillation developed in collaboration with eacts. Eur Heart J. 2016;37:2893-2962</w:t>
      </w:r>
    </w:p>
    <w:p w14:paraId="7FE0400F" w14:textId="385F1134"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17.</w:t>
      </w:r>
      <w:r w:rsidRPr="00A74CDF">
        <w:rPr>
          <w:rFonts w:ascii="Times New Roman" w:hAnsi="Times New Roman" w:cs="Times New Roman"/>
          <w:lang w:eastAsia="ko-KR"/>
        </w:rPr>
        <w:tab/>
        <w:t xml:space="preserve">January CT, Wann LS, Alpert JS, Calkins H, Cigarroa JE, Cleveland JC, Jr., et al. 2014 </w:t>
      </w:r>
      <w:r w:rsidR="00EC7D9D" w:rsidRPr="00A74CDF">
        <w:rPr>
          <w:rFonts w:ascii="Times New Roman" w:hAnsi="Times New Roman" w:cs="Times New Roman"/>
          <w:lang w:eastAsia="ko-KR"/>
        </w:rPr>
        <w:t>AHA/ACC/HRS</w:t>
      </w:r>
      <w:r w:rsidRPr="00A74CDF">
        <w:rPr>
          <w:rFonts w:ascii="Times New Roman" w:hAnsi="Times New Roman" w:cs="Times New Roman"/>
          <w:lang w:eastAsia="ko-KR"/>
        </w:rPr>
        <w:t xml:space="preserve"> guideline for the management of patients with atrial fibrillation: Executive summary: A report of the american college of cardiology/american heart association task force on practice guidelines and the heart rhythm society. Circulation. 2014;130:2071-2104</w:t>
      </w:r>
    </w:p>
    <w:p w14:paraId="5906869E"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18.</w:t>
      </w:r>
      <w:r w:rsidRPr="00A74CDF">
        <w:rPr>
          <w:rFonts w:ascii="Times New Roman" w:hAnsi="Times New Roman" w:cs="Times New Roman"/>
          <w:lang w:eastAsia="ko-KR"/>
        </w:rPr>
        <w:tab/>
        <w:t>Barkun AN, Almadi M, Kuipers EJ, Laine L, Sung J, Tse F, et al. Management of nonvariceal upper gastrointestinal bleeding: Guideline recommendations from the international consensus group. Ann Intern Med. 2019</w:t>
      </w:r>
    </w:p>
    <w:p w14:paraId="6A674F4F"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19.</w:t>
      </w:r>
      <w:r w:rsidRPr="00A74CDF">
        <w:rPr>
          <w:rFonts w:ascii="Times New Roman" w:hAnsi="Times New Roman" w:cs="Times New Roman"/>
          <w:lang w:eastAsia="ko-KR"/>
        </w:rPr>
        <w:tab/>
        <w:t>Lip GYH, Banerjee A, Boriani G, Chiang CE, Fargo R, Freedman B, et al. Antithrombotic therapy for atrial fibrillation: Chest guideline and expert panel report. Chest. 2018;154:1121-1201</w:t>
      </w:r>
    </w:p>
    <w:p w14:paraId="185A89D4"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20.</w:t>
      </w:r>
      <w:r w:rsidRPr="00A74CDF">
        <w:rPr>
          <w:rFonts w:ascii="Times New Roman" w:hAnsi="Times New Roman" w:cs="Times New Roman"/>
          <w:lang w:eastAsia="ko-KR"/>
        </w:rPr>
        <w:tab/>
        <w:t>Ko YJ, Kim S, Park K, Kim M, Yang BR, Kim MS, et al. Impact of the health insurance coverage policy on oral anticoagulant prescription among patients with atrial fibrillation in korea from 2014 to 2016. J Korean Med Sci. 2018;33:e163</w:t>
      </w:r>
    </w:p>
    <w:p w14:paraId="646654B8" w14:textId="74E179C5"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21.</w:t>
      </w:r>
      <w:r w:rsidRPr="00A74CDF">
        <w:rPr>
          <w:rFonts w:ascii="Times New Roman" w:hAnsi="Times New Roman" w:cs="Times New Roman"/>
          <w:lang w:eastAsia="ko-KR"/>
        </w:rPr>
        <w:tab/>
        <w:t xml:space="preserve">Lee SR, Choi EK, Han KD, Cha MJ, Oh S. Trends in the incidence and prevalence of atrial fibrillation and estimated thromboembolic risk using the </w:t>
      </w:r>
      <w:r w:rsidR="00EC7D9D" w:rsidRPr="00A74CDF">
        <w:rPr>
          <w:rFonts w:ascii="Times New Roman" w:hAnsi="Times New Roman" w:cs="Times New Roman"/>
          <w:lang w:eastAsia="ko-KR"/>
        </w:rPr>
        <w:t>CHA</w:t>
      </w:r>
      <w:r w:rsidR="00EC7D9D" w:rsidRPr="00A74CDF">
        <w:rPr>
          <w:rFonts w:ascii="Times New Roman" w:hAnsi="Times New Roman" w:cs="Times New Roman"/>
          <w:vertAlign w:val="subscript"/>
          <w:lang w:eastAsia="ko-KR"/>
        </w:rPr>
        <w:t>2</w:t>
      </w:r>
      <w:r w:rsidR="00EC7D9D" w:rsidRPr="00A74CDF">
        <w:rPr>
          <w:rFonts w:ascii="Times New Roman" w:hAnsi="Times New Roman" w:cs="Times New Roman"/>
          <w:lang w:eastAsia="ko-KR"/>
        </w:rPr>
        <w:t>DS</w:t>
      </w:r>
      <w:r w:rsidR="00EC7D9D" w:rsidRPr="00A74CDF">
        <w:rPr>
          <w:rFonts w:ascii="Times New Roman" w:hAnsi="Times New Roman" w:cs="Times New Roman"/>
          <w:vertAlign w:val="subscript"/>
          <w:lang w:eastAsia="ko-KR"/>
        </w:rPr>
        <w:t>2</w:t>
      </w:r>
      <w:r w:rsidR="00EC7D9D" w:rsidRPr="00A74CDF">
        <w:rPr>
          <w:rFonts w:ascii="Times New Roman" w:hAnsi="Times New Roman" w:cs="Times New Roman"/>
          <w:lang w:eastAsia="ko-KR"/>
        </w:rPr>
        <w:t>-VASc</w:t>
      </w:r>
      <w:r w:rsidRPr="00A74CDF">
        <w:rPr>
          <w:rFonts w:ascii="Times New Roman" w:hAnsi="Times New Roman" w:cs="Times New Roman"/>
          <w:lang w:eastAsia="ko-KR"/>
        </w:rPr>
        <w:t xml:space="preserve"> score in the entire </w:t>
      </w:r>
      <w:r w:rsidR="00EC7D9D" w:rsidRPr="00A74CDF">
        <w:rPr>
          <w:rFonts w:ascii="Times New Roman" w:hAnsi="Times New Roman" w:cs="Times New Roman"/>
          <w:lang w:eastAsia="ko-KR"/>
        </w:rPr>
        <w:t>K</w:t>
      </w:r>
      <w:r w:rsidRPr="00A74CDF">
        <w:rPr>
          <w:rFonts w:ascii="Times New Roman" w:hAnsi="Times New Roman" w:cs="Times New Roman"/>
          <w:lang w:eastAsia="ko-KR"/>
        </w:rPr>
        <w:t>orean population. Int J Cardiol. 2017;236:226-231</w:t>
      </w:r>
    </w:p>
    <w:p w14:paraId="44CCF45B"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22.</w:t>
      </w:r>
      <w:r w:rsidRPr="00A74CDF">
        <w:rPr>
          <w:rFonts w:ascii="Times New Roman" w:hAnsi="Times New Roman" w:cs="Times New Roman"/>
          <w:lang w:eastAsia="ko-KR"/>
        </w:rPr>
        <w:tab/>
        <w:t>Charlson ME, Pompei P, Ales KL, MacKenzie CR. A new method of classifying prognostic comorbidity in longitudinal studies: Development and validation. J Chronic Dis. 1987;40:373-383</w:t>
      </w:r>
    </w:p>
    <w:p w14:paraId="05C714EA" w14:textId="0BEEE7C1"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23.</w:t>
      </w:r>
      <w:r w:rsidRPr="00A74CDF">
        <w:rPr>
          <w:rFonts w:ascii="Times New Roman" w:hAnsi="Times New Roman" w:cs="Times New Roman"/>
          <w:lang w:eastAsia="ko-KR"/>
        </w:rPr>
        <w:tab/>
        <w:t xml:space="preserve">Lip GYH, Nieuwlaat R, Pisters R, Lane DA, Crijns HJ. Refining clinical risk stratification for predicting stroke and thromboembolism in atrial fibrillation using a novel risk factor-based approach: The </w:t>
      </w:r>
      <w:r w:rsidR="003B2986" w:rsidRPr="00A74CDF">
        <w:rPr>
          <w:rFonts w:ascii="Times New Roman" w:hAnsi="Times New Roman" w:cs="Times New Roman"/>
          <w:lang w:eastAsia="ko-KR"/>
        </w:rPr>
        <w:t>E</w:t>
      </w:r>
      <w:r w:rsidRPr="00A74CDF">
        <w:rPr>
          <w:rFonts w:ascii="Times New Roman" w:hAnsi="Times New Roman" w:cs="Times New Roman"/>
          <w:lang w:eastAsia="ko-KR"/>
        </w:rPr>
        <w:t xml:space="preserve">uro </w:t>
      </w:r>
      <w:r w:rsidR="003B2986" w:rsidRPr="00A74CDF">
        <w:rPr>
          <w:rFonts w:ascii="Times New Roman" w:hAnsi="Times New Roman" w:cs="Times New Roman"/>
          <w:lang w:eastAsia="ko-KR"/>
        </w:rPr>
        <w:t>H</w:t>
      </w:r>
      <w:r w:rsidRPr="00A74CDF">
        <w:rPr>
          <w:rFonts w:ascii="Times New Roman" w:hAnsi="Times New Roman" w:cs="Times New Roman"/>
          <w:lang w:eastAsia="ko-KR"/>
        </w:rPr>
        <w:t xml:space="preserve">eart </w:t>
      </w:r>
      <w:r w:rsidR="003B2986" w:rsidRPr="00A74CDF">
        <w:rPr>
          <w:rFonts w:ascii="Times New Roman" w:hAnsi="Times New Roman" w:cs="Times New Roman"/>
          <w:lang w:eastAsia="ko-KR"/>
        </w:rPr>
        <w:t>S</w:t>
      </w:r>
      <w:r w:rsidRPr="00A74CDF">
        <w:rPr>
          <w:rFonts w:ascii="Times New Roman" w:hAnsi="Times New Roman" w:cs="Times New Roman"/>
          <w:lang w:eastAsia="ko-KR"/>
        </w:rPr>
        <w:t>urvey on atrial fibrillation. Chest. 2010;137:263-272</w:t>
      </w:r>
    </w:p>
    <w:p w14:paraId="4179FDEB" w14:textId="7777777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24.</w:t>
      </w:r>
      <w:r w:rsidRPr="00A74CDF">
        <w:rPr>
          <w:rFonts w:ascii="Times New Roman" w:hAnsi="Times New Roman" w:cs="Times New Roman"/>
          <w:lang w:eastAsia="ko-KR"/>
        </w:rPr>
        <w:tab/>
        <w:t>Lip GYH, Keshishian A, Li X, Hamilton M, Masseria C, Gupta K, et al. Effectiveness and safety of oral anticoagulants among nonvalvular atrial fibrillation patients. Stroke. 2018;49:2933-2944</w:t>
      </w:r>
    </w:p>
    <w:p w14:paraId="000F00F5" w14:textId="32BACCE5"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25.</w:t>
      </w:r>
      <w:r w:rsidRPr="00A74CDF">
        <w:rPr>
          <w:rFonts w:ascii="Times New Roman" w:hAnsi="Times New Roman" w:cs="Times New Roman"/>
          <w:lang w:eastAsia="ko-KR"/>
        </w:rPr>
        <w:tab/>
        <w:t>Lee SR, Choi EK, Han KD, Jung JH, Oh S, Lip GYH. Edoxaban in asian patients with atrial fibrillation: Effectiveness and safety. J Am Coll Cardiol. 2018;72:838-853</w:t>
      </w:r>
    </w:p>
    <w:p w14:paraId="38449A2B" w14:textId="673D86B1" w:rsidR="009E7C03" w:rsidRPr="00A74CDF" w:rsidRDefault="009E7C03"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26.</w:t>
      </w:r>
      <w:r w:rsidRPr="00A74CDF">
        <w:rPr>
          <w:rFonts w:ascii="Times New Roman" w:hAnsi="Times New Roman" w:cs="Times New Roman"/>
          <w:lang w:eastAsia="ko-KR"/>
        </w:rPr>
        <w:tab/>
        <w:t>Fine JP, Gray RJ. A proportional hazards model</w:t>
      </w:r>
      <w:r w:rsidRPr="00A74CDF">
        <w:rPr>
          <w:rFonts w:ascii="Times New Roman" w:hAnsi="Times New Roman" w:cs="Times New Roman" w:hint="eastAsia"/>
          <w:lang w:eastAsia="ko-KR"/>
        </w:rPr>
        <w:t xml:space="preserve"> </w:t>
      </w:r>
      <w:r w:rsidRPr="00A74CDF">
        <w:rPr>
          <w:rFonts w:ascii="Times New Roman" w:hAnsi="Times New Roman" w:cs="Times New Roman"/>
          <w:lang w:eastAsia="ko-KR"/>
        </w:rPr>
        <w:t>for the subdistribution of a competing risk. J Am</w:t>
      </w:r>
      <w:r w:rsidRPr="00A74CDF">
        <w:rPr>
          <w:rFonts w:ascii="Times New Roman" w:hAnsi="Times New Roman" w:cs="Times New Roman" w:hint="eastAsia"/>
          <w:lang w:eastAsia="ko-KR"/>
        </w:rPr>
        <w:t xml:space="preserve"> </w:t>
      </w:r>
      <w:r w:rsidRPr="00A74CDF">
        <w:rPr>
          <w:rFonts w:ascii="Times New Roman" w:hAnsi="Times New Roman" w:cs="Times New Roman"/>
          <w:lang w:eastAsia="ko-KR"/>
        </w:rPr>
        <w:t>Stat Assoc</w:t>
      </w:r>
      <w:r w:rsidR="00017761" w:rsidRPr="00A74CDF">
        <w:rPr>
          <w:rFonts w:ascii="Times New Roman" w:hAnsi="Times New Roman" w:cs="Times New Roman"/>
          <w:lang w:eastAsia="ko-KR"/>
        </w:rPr>
        <w:t>.</w:t>
      </w:r>
      <w:r w:rsidRPr="00A74CDF">
        <w:rPr>
          <w:rFonts w:ascii="Times New Roman" w:hAnsi="Times New Roman" w:cs="Times New Roman"/>
          <w:lang w:eastAsia="ko-KR"/>
        </w:rPr>
        <w:t xml:space="preserve"> 1999;94:496–509.</w:t>
      </w:r>
    </w:p>
    <w:p w14:paraId="5AA46FA6" w14:textId="47D3561E"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w:t>
      </w:r>
      <w:r w:rsidR="009E7C03" w:rsidRPr="00A74CDF">
        <w:rPr>
          <w:rFonts w:ascii="Times New Roman" w:hAnsi="Times New Roman" w:cs="Times New Roman"/>
          <w:lang w:eastAsia="ko-KR"/>
        </w:rPr>
        <w:t>7</w:t>
      </w:r>
      <w:r w:rsidRPr="00A74CDF">
        <w:rPr>
          <w:rFonts w:ascii="Times New Roman" w:hAnsi="Times New Roman" w:cs="Times New Roman"/>
          <w:lang w:eastAsia="ko-KR"/>
        </w:rPr>
        <w:t>.</w:t>
      </w:r>
      <w:r w:rsidRPr="00A74CDF">
        <w:rPr>
          <w:rFonts w:ascii="Times New Roman" w:hAnsi="Times New Roman" w:cs="Times New Roman"/>
          <w:lang w:eastAsia="ko-KR"/>
        </w:rPr>
        <w:tab/>
        <w:t>Austin PC, Stuart EA. Moving towards best practice when using inverse probability of treatment weighting (</w:t>
      </w:r>
      <w:r w:rsidR="003B2986" w:rsidRPr="00A74CDF">
        <w:rPr>
          <w:rFonts w:ascii="Times New Roman" w:hAnsi="Times New Roman" w:cs="Times New Roman"/>
          <w:lang w:eastAsia="ko-KR"/>
        </w:rPr>
        <w:t>IPTW</w:t>
      </w:r>
      <w:r w:rsidRPr="00A74CDF">
        <w:rPr>
          <w:rFonts w:ascii="Times New Roman" w:hAnsi="Times New Roman" w:cs="Times New Roman"/>
          <w:lang w:eastAsia="ko-KR"/>
        </w:rPr>
        <w:t>) using the propensity score to estimate causal treatment effects in observational studies. Stat Med. 2015;34:3661-3679</w:t>
      </w:r>
    </w:p>
    <w:p w14:paraId="715C196E" w14:textId="01FAEE36" w:rsidR="004F463B"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2</w:t>
      </w:r>
      <w:r w:rsidR="009E7C03" w:rsidRPr="00A74CDF">
        <w:rPr>
          <w:rFonts w:ascii="Times New Roman" w:hAnsi="Times New Roman" w:cs="Times New Roman"/>
          <w:lang w:eastAsia="ko-KR"/>
        </w:rPr>
        <w:t>8</w:t>
      </w:r>
      <w:r w:rsidRPr="00A74CDF">
        <w:rPr>
          <w:rFonts w:ascii="Times New Roman" w:hAnsi="Times New Roman" w:cs="Times New Roman"/>
          <w:lang w:eastAsia="ko-KR"/>
        </w:rPr>
        <w:t>.</w:t>
      </w:r>
      <w:r w:rsidRPr="00A74CDF">
        <w:rPr>
          <w:rFonts w:ascii="Times New Roman" w:hAnsi="Times New Roman" w:cs="Times New Roman"/>
          <w:lang w:eastAsia="ko-KR"/>
        </w:rPr>
        <w:tab/>
        <w:t>Austin PC. The use of propensity score methods with survival or time-to-event outcomes: Reporting measures of effect similar to those used in randomized experiments. Stat Med. 2014;33:1242-1258</w:t>
      </w:r>
    </w:p>
    <w:p w14:paraId="550A592F" w14:textId="0A63D376" w:rsidR="00285F01" w:rsidRPr="00285F01" w:rsidRDefault="00285F01" w:rsidP="00285F01">
      <w:pPr>
        <w:pStyle w:val="1"/>
        <w:contextualSpacing/>
        <w:jc w:val="both"/>
        <w:rPr>
          <w:rFonts w:ascii="Times New Roman" w:hAnsi="Times New Roman" w:cs="Times New Roman"/>
          <w:highlight w:val="yellow"/>
          <w:lang w:eastAsia="ko-KR"/>
        </w:rPr>
      </w:pPr>
      <w:r w:rsidRPr="00285F01">
        <w:rPr>
          <w:rFonts w:ascii="Times New Roman" w:hAnsi="Times New Roman" w:cs="Times New Roman"/>
          <w:highlight w:val="yellow"/>
          <w:lang w:eastAsia="ko-KR"/>
        </w:rPr>
        <w:t>2</w:t>
      </w:r>
      <w:r>
        <w:rPr>
          <w:rFonts w:ascii="Times New Roman" w:hAnsi="Times New Roman" w:cs="Times New Roman"/>
          <w:highlight w:val="yellow"/>
          <w:lang w:eastAsia="ko-KR"/>
        </w:rPr>
        <w:t>9</w:t>
      </w:r>
      <w:r w:rsidRPr="00285F01">
        <w:rPr>
          <w:rFonts w:ascii="Times New Roman" w:hAnsi="Times New Roman" w:cs="Times New Roman"/>
          <w:highlight w:val="yellow"/>
          <w:lang w:eastAsia="ko-KR"/>
        </w:rPr>
        <w:t>.</w:t>
      </w:r>
      <w:r w:rsidRPr="00285F01">
        <w:rPr>
          <w:rFonts w:ascii="Times New Roman" w:hAnsi="Times New Roman" w:cs="Times New Roman"/>
          <w:highlight w:val="yellow"/>
          <w:lang w:eastAsia="ko-KR"/>
        </w:rPr>
        <w:tab/>
      </w:r>
      <w:r>
        <w:rPr>
          <w:rFonts w:ascii="Times New Roman" w:hAnsi="Times New Roman" w:cs="Times New Roman"/>
          <w:highlight w:val="yellow"/>
          <w:lang w:eastAsia="ko-KR"/>
        </w:rPr>
        <w:t xml:space="preserve">Elze MC, Gregson J, Baber U, Williamson E, Sartori </w:t>
      </w:r>
      <w:r w:rsidRPr="00285F01">
        <w:rPr>
          <w:rFonts w:ascii="Times New Roman" w:hAnsi="Times New Roman" w:cs="Times New Roman"/>
          <w:highlight w:val="yellow"/>
          <w:lang w:eastAsia="ko-KR"/>
        </w:rPr>
        <w:t>S, Mehran R, Nichols M, Stone GW, Pocock SJ. Comparison of Propensity Score Methods and Covariate Adjustment: Evaluation in 4 Cardiovascular Studies. J Am Coll Cardiol. 2017;69:345-357</w:t>
      </w:r>
    </w:p>
    <w:p w14:paraId="20FC3EFF" w14:textId="25646496" w:rsidR="00285F01" w:rsidRDefault="00285F01" w:rsidP="00285F01">
      <w:pPr>
        <w:pStyle w:val="1"/>
        <w:contextualSpacing/>
        <w:jc w:val="both"/>
        <w:rPr>
          <w:rFonts w:ascii="Times New Roman" w:hAnsi="Times New Roman" w:cs="Times New Roman"/>
          <w:lang w:eastAsia="ko-KR"/>
        </w:rPr>
      </w:pPr>
      <w:r w:rsidRPr="00EE4FDD">
        <w:rPr>
          <w:rFonts w:ascii="Times New Roman" w:hAnsi="Times New Roman" w:cs="Times New Roman"/>
          <w:highlight w:val="yellow"/>
          <w:lang w:eastAsia="ko-KR"/>
        </w:rPr>
        <w:t>30.</w:t>
      </w:r>
      <w:r w:rsidRPr="00EE4FDD">
        <w:rPr>
          <w:rFonts w:ascii="Times New Roman" w:hAnsi="Times New Roman" w:cs="Times New Roman"/>
          <w:highlight w:val="yellow"/>
          <w:lang w:eastAsia="ko-KR"/>
        </w:rPr>
        <w:tab/>
      </w:r>
      <w:r w:rsidR="00EE4FDD" w:rsidRPr="00EE4FDD">
        <w:rPr>
          <w:rFonts w:ascii="Times New Roman" w:hAnsi="Times New Roman" w:cs="Times New Roman"/>
          <w:highlight w:val="yellow"/>
          <w:lang w:eastAsia="ko-KR"/>
        </w:rPr>
        <w:t>Robins JM, Hernán, MA, Brumback B</w:t>
      </w:r>
      <w:r w:rsidRPr="00EE4FDD">
        <w:rPr>
          <w:rFonts w:ascii="Times New Roman" w:hAnsi="Times New Roman" w:cs="Times New Roman"/>
          <w:highlight w:val="yellow"/>
          <w:lang w:eastAsia="ko-KR"/>
        </w:rPr>
        <w:t xml:space="preserve">. </w:t>
      </w:r>
      <w:r w:rsidR="00EE4FDD" w:rsidRPr="00EE4FDD">
        <w:rPr>
          <w:rFonts w:ascii="Times New Roman" w:hAnsi="Times New Roman" w:cs="Times New Roman"/>
          <w:highlight w:val="yellow"/>
          <w:lang w:eastAsia="ko-KR"/>
        </w:rPr>
        <w:t>Marginal structural models and causal inference in epidemiology</w:t>
      </w:r>
      <w:r w:rsidRPr="00EE4FDD">
        <w:rPr>
          <w:rFonts w:ascii="Times New Roman" w:hAnsi="Times New Roman" w:cs="Times New Roman"/>
          <w:highlight w:val="yellow"/>
          <w:lang w:eastAsia="ko-KR"/>
        </w:rPr>
        <w:t xml:space="preserve">. </w:t>
      </w:r>
      <w:r w:rsidR="00EE4FDD" w:rsidRPr="00EE4FDD">
        <w:rPr>
          <w:rFonts w:ascii="Times New Roman" w:hAnsi="Times New Roman" w:cs="Times New Roman"/>
          <w:highlight w:val="yellow"/>
          <w:lang w:eastAsia="ko-KR"/>
        </w:rPr>
        <w:t>Epidemiology</w:t>
      </w:r>
      <w:r w:rsidRPr="00EE4FDD">
        <w:rPr>
          <w:rFonts w:ascii="Times New Roman" w:hAnsi="Times New Roman" w:cs="Times New Roman"/>
          <w:highlight w:val="yellow"/>
          <w:lang w:eastAsia="ko-KR"/>
        </w:rPr>
        <w:t>. 20</w:t>
      </w:r>
      <w:r w:rsidR="00EE4FDD" w:rsidRPr="00EE4FDD">
        <w:rPr>
          <w:rFonts w:ascii="Times New Roman" w:hAnsi="Times New Roman" w:cs="Times New Roman"/>
          <w:highlight w:val="yellow"/>
          <w:lang w:eastAsia="ko-KR"/>
        </w:rPr>
        <w:t>00</w:t>
      </w:r>
      <w:r w:rsidRPr="00EE4FDD">
        <w:rPr>
          <w:rFonts w:ascii="Times New Roman" w:hAnsi="Times New Roman" w:cs="Times New Roman"/>
          <w:highlight w:val="yellow"/>
          <w:lang w:eastAsia="ko-KR"/>
        </w:rPr>
        <w:t>;</w:t>
      </w:r>
      <w:r w:rsidR="00EE4FDD" w:rsidRPr="00EE4FDD">
        <w:rPr>
          <w:rFonts w:ascii="Times New Roman" w:hAnsi="Times New Roman" w:cs="Times New Roman"/>
          <w:highlight w:val="yellow"/>
          <w:lang w:eastAsia="ko-KR"/>
        </w:rPr>
        <w:t>11</w:t>
      </w:r>
      <w:r w:rsidRPr="00EE4FDD">
        <w:rPr>
          <w:rFonts w:ascii="Times New Roman" w:hAnsi="Times New Roman" w:cs="Times New Roman"/>
          <w:highlight w:val="yellow"/>
          <w:lang w:eastAsia="ko-KR"/>
        </w:rPr>
        <w:t>:</w:t>
      </w:r>
      <w:r w:rsidR="00EE4FDD" w:rsidRPr="00EE4FDD">
        <w:rPr>
          <w:rFonts w:ascii="Times New Roman" w:hAnsi="Times New Roman" w:cs="Times New Roman"/>
          <w:highlight w:val="yellow"/>
          <w:lang w:eastAsia="ko-KR"/>
        </w:rPr>
        <w:t>550-560</w:t>
      </w:r>
    </w:p>
    <w:p w14:paraId="75488E8A" w14:textId="2C3E6BBE" w:rsidR="004F463B" w:rsidRPr="00A74CDF" w:rsidRDefault="00285F01" w:rsidP="004F463B">
      <w:pPr>
        <w:pStyle w:val="1"/>
        <w:contextualSpacing/>
        <w:jc w:val="both"/>
        <w:rPr>
          <w:rFonts w:ascii="Times New Roman" w:hAnsi="Times New Roman" w:cs="Times New Roman"/>
          <w:lang w:eastAsia="ko-KR"/>
        </w:rPr>
      </w:pPr>
      <w:r>
        <w:rPr>
          <w:rFonts w:ascii="Times New Roman" w:hAnsi="Times New Roman" w:cs="Times New Roman"/>
          <w:lang w:eastAsia="ko-KR"/>
        </w:rPr>
        <w:t>31</w:t>
      </w:r>
      <w:r w:rsidR="004F463B" w:rsidRPr="00A74CDF">
        <w:rPr>
          <w:rFonts w:ascii="Times New Roman" w:hAnsi="Times New Roman" w:cs="Times New Roman"/>
          <w:lang w:eastAsia="ko-KR"/>
        </w:rPr>
        <w:t>.</w:t>
      </w:r>
      <w:r w:rsidR="004F463B" w:rsidRPr="00A74CDF">
        <w:rPr>
          <w:rFonts w:ascii="Times New Roman" w:hAnsi="Times New Roman" w:cs="Times New Roman"/>
          <w:lang w:eastAsia="ko-KR"/>
        </w:rPr>
        <w:tab/>
        <w:t>Austin PC. Balance diagnostics for comparing the distribution of baseline covariates between treatment groups in propensity-score matched samples. Stat Med. 2009;28:3083-3107</w:t>
      </w:r>
    </w:p>
    <w:p w14:paraId="7B912E74" w14:textId="3B092E24" w:rsidR="004F463B" w:rsidRPr="00A74CDF" w:rsidRDefault="009E7C03"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2</w:t>
      </w:r>
      <w:r w:rsidR="004F463B" w:rsidRPr="00A74CDF">
        <w:rPr>
          <w:rFonts w:ascii="Times New Roman" w:hAnsi="Times New Roman" w:cs="Times New Roman"/>
          <w:lang w:eastAsia="ko-KR"/>
        </w:rPr>
        <w:t>.</w:t>
      </w:r>
      <w:r w:rsidR="004F463B" w:rsidRPr="00A74CDF">
        <w:rPr>
          <w:rFonts w:ascii="Times New Roman" w:hAnsi="Times New Roman" w:cs="Times New Roman"/>
          <w:lang w:eastAsia="ko-KR"/>
        </w:rPr>
        <w:tab/>
        <w:t>Borre ED, Goode A, Raitz G, Shah B, Lowenstern A, Chatterjee R, et al. Predicting thromboembolic and bleeding event risk in patients with non-valvular atrial fibrillation: A systematic review. Thromb Haemost. 2018;118:2171-2187</w:t>
      </w:r>
    </w:p>
    <w:p w14:paraId="0BB00EC1" w14:textId="391B8C6C"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3</w:t>
      </w:r>
      <w:r w:rsidRPr="00A74CDF">
        <w:rPr>
          <w:rFonts w:ascii="Times New Roman" w:hAnsi="Times New Roman" w:cs="Times New Roman"/>
          <w:lang w:eastAsia="ko-KR"/>
        </w:rPr>
        <w:t>.</w:t>
      </w:r>
      <w:r w:rsidRPr="00A74CDF">
        <w:rPr>
          <w:rFonts w:ascii="Times New Roman" w:hAnsi="Times New Roman" w:cs="Times New Roman"/>
          <w:lang w:eastAsia="ko-KR"/>
        </w:rPr>
        <w:tab/>
        <w:t xml:space="preserve">Steffel J, Verhamme P, Potpara TS, Albaladejo P, Antz M, Desteghe L, et al. The 2018 </w:t>
      </w:r>
      <w:r w:rsidR="003B2986" w:rsidRPr="00A74CDF">
        <w:rPr>
          <w:rFonts w:ascii="Times New Roman" w:hAnsi="Times New Roman" w:cs="Times New Roman"/>
          <w:lang w:eastAsia="ko-KR"/>
        </w:rPr>
        <w:t>E</w:t>
      </w:r>
      <w:r w:rsidRPr="00A74CDF">
        <w:rPr>
          <w:rFonts w:ascii="Times New Roman" w:hAnsi="Times New Roman" w:cs="Times New Roman"/>
          <w:lang w:eastAsia="ko-KR"/>
        </w:rPr>
        <w:t xml:space="preserve">uropean </w:t>
      </w:r>
      <w:r w:rsidR="003B2986" w:rsidRPr="00A74CDF">
        <w:rPr>
          <w:rFonts w:ascii="Times New Roman" w:hAnsi="Times New Roman" w:cs="Times New Roman"/>
          <w:lang w:eastAsia="ko-KR"/>
        </w:rPr>
        <w:t>H</w:t>
      </w:r>
      <w:r w:rsidRPr="00A74CDF">
        <w:rPr>
          <w:rFonts w:ascii="Times New Roman" w:hAnsi="Times New Roman" w:cs="Times New Roman"/>
          <w:lang w:eastAsia="ko-KR"/>
        </w:rPr>
        <w:t xml:space="preserve">eart </w:t>
      </w:r>
      <w:r w:rsidR="003B2986" w:rsidRPr="00A74CDF">
        <w:rPr>
          <w:rFonts w:ascii="Times New Roman" w:hAnsi="Times New Roman" w:cs="Times New Roman"/>
          <w:lang w:eastAsia="ko-KR"/>
        </w:rPr>
        <w:t>R</w:t>
      </w:r>
      <w:r w:rsidRPr="00A74CDF">
        <w:rPr>
          <w:rFonts w:ascii="Times New Roman" w:hAnsi="Times New Roman" w:cs="Times New Roman"/>
          <w:lang w:eastAsia="ko-KR"/>
        </w:rPr>
        <w:t xml:space="preserve">hythm </w:t>
      </w:r>
      <w:r w:rsidR="003B2986" w:rsidRPr="00A74CDF">
        <w:rPr>
          <w:rFonts w:ascii="Times New Roman" w:hAnsi="Times New Roman" w:cs="Times New Roman"/>
          <w:lang w:eastAsia="ko-KR"/>
        </w:rPr>
        <w:t>A</w:t>
      </w:r>
      <w:r w:rsidRPr="00A74CDF">
        <w:rPr>
          <w:rFonts w:ascii="Times New Roman" w:hAnsi="Times New Roman" w:cs="Times New Roman"/>
          <w:lang w:eastAsia="ko-KR"/>
        </w:rPr>
        <w:t xml:space="preserve">ssociation practical guide on the use of non-vitamin </w:t>
      </w:r>
      <w:r w:rsidR="003B2986" w:rsidRPr="00A74CDF">
        <w:rPr>
          <w:rFonts w:ascii="Times New Roman" w:hAnsi="Times New Roman" w:cs="Times New Roman"/>
          <w:lang w:eastAsia="ko-KR"/>
        </w:rPr>
        <w:t>K</w:t>
      </w:r>
      <w:r w:rsidRPr="00A74CDF">
        <w:rPr>
          <w:rFonts w:ascii="Times New Roman" w:hAnsi="Times New Roman" w:cs="Times New Roman"/>
          <w:lang w:eastAsia="ko-KR"/>
        </w:rPr>
        <w:t xml:space="preserve"> antagonist oral anticoagulants in patients with atrial fibrillation. Eur Heart J. 2018;39:1330-1393</w:t>
      </w:r>
    </w:p>
    <w:p w14:paraId="7C32CA44" w14:textId="1E5B6939"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4</w:t>
      </w:r>
      <w:r w:rsidRPr="00A74CDF">
        <w:rPr>
          <w:rFonts w:ascii="Times New Roman" w:hAnsi="Times New Roman" w:cs="Times New Roman"/>
          <w:lang w:eastAsia="ko-KR"/>
        </w:rPr>
        <w:t>.</w:t>
      </w:r>
      <w:r w:rsidRPr="00A74CDF">
        <w:rPr>
          <w:rFonts w:ascii="Times New Roman" w:hAnsi="Times New Roman" w:cs="Times New Roman"/>
          <w:lang w:eastAsia="ko-KR"/>
        </w:rPr>
        <w:tab/>
        <w:t>Lanas A, Garcia-Rodriguez LA, Polo-Tomas M, Ponce M, Alonso-Abreu I, Perez-Aisa MA, et al. Time trends and impact of upper and lower gastrointestinal bleeding and perforation in clinical practice. Am J Gastroenterol. 2009;104:1633-1641</w:t>
      </w:r>
    </w:p>
    <w:p w14:paraId="43868FD5" w14:textId="5A1CE357"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5</w:t>
      </w:r>
      <w:r w:rsidRPr="00A74CDF">
        <w:rPr>
          <w:rFonts w:ascii="Times New Roman" w:hAnsi="Times New Roman" w:cs="Times New Roman"/>
          <w:lang w:eastAsia="ko-KR"/>
        </w:rPr>
        <w:t>.</w:t>
      </w:r>
      <w:r w:rsidRPr="00A74CDF">
        <w:rPr>
          <w:rFonts w:ascii="Times New Roman" w:hAnsi="Times New Roman" w:cs="Times New Roman"/>
          <w:lang w:eastAsia="ko-KR"/>
        </w:rPr>
        <w:tab/>
        <w:t>Caldeira D, Barra M, Ferreira A, Rocha A, Augusto A, Pinto FJ, et al. Systematic review with meta-analysis: The risk of major gastrointestinal bleeding with non-vitamin k antagonist oral anticoagulants. Aliment Pharmacol Ther. 2015;42:1239-1249</w:t>
      </w:r>
    </w:p>
    <w:p w14:paraId="1C48C568" w14:textId="21E3A1A5"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6</w:t>
      </w:r>
      <w:r w:rsidRPr="00A74CDF">
        <w:rPr>
          <w:rFonts w:ascii="Times New Roman" w:hAnsi="Times New Roman" w:cs="Times New Roman"/>
          <w:lang w:eastAsia="ko-KR"/>
        </w:rPr>
        <w:t>.</w:t>
      </w:r>
      <w:r w:rsidRPr="00A74CDF">
        <w:rPr>
          <w:rFonts w:ascii="Times New Roman" w:hAnsi="Times New Roman" w:cs="Times New Roman"/>
          <w:lang w:eastAsia="ko-KR"/>
        </w:rPr>
        <w:tab/>
        <w:t xml:space="preserve">Wang KL, Lip GY, Lin SJ, Chiang CE. Non-vitamin </w:t>
      </w:r>
      <w:r w:rsidR="003B2986" w:rsidRPr="00A74CDF">
        <w:rPr>
          <w:rFonts w:ascii="Times New Roman" w:hAnsi="Times New Roman" w:cs="Times New Roman"/>
          <w:lang w:eastAsia="ko-KR"/>
        </w:rPr>
        <w:t>K</w:t>
      </w:r>
      <w:r w:rsidRPr="00A74CDF">
        <w:rPr>
          <w:rFonts w:ascii="Times New Roman" w:hAnsi="Times New Roman" w:cs="Times New Roman"/>
          <w:lang w:eastAsia="ko-KR"/>
        </w:rPr>
        <w:t xml:space="preserve"> antagonist oral anticoagulants for stroke prevention in asian patients with nonvalvular atrial fibrillation: Meta-analysis. Stroke. 2015;46:2555-2561</w:t>
      </w:r>
    </w:p>
    <w:p w14:paraId="2EC9F741" w14:textId="429144DB"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7</w:t>
      </w:r>
      <w:r w:rsidRPr="00A74CDF">
        <w:rPr>
          <w:rFonts w:ascii="Times New Roman" w:hAnsi="Times New Roman" w:cs="Times New Roman"/>
          <w:lang w:eastAsia="ko-KR"/>
        </w:rPr>
        <w:t>.</w:t>
      </w:r>
      <w:r w:rsidRPr="00A74CDF">
        <w:rPr>
          <w:rFonts w:ascii="Times New Roman" w:hAnsi="Times New Roman" w:cs="Times New Roman"/>
          <w:lang w:eastAsia="ko-KR"/>
        </w:rPr>
        <w:tab/>
        <w:t>Li YG, Lee SR, Choi EK, Lip GY. Stroke prevention in atrial fibrillation: Focus on asian patients. Korean Circ J. 2018;48:665-684</w:t>
      </w:r>
    </w:p>
    <w:p w14:paraId="151F559A" w14:textId="57D44D6D"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8</w:t>
      </w:r>
      <w:r w:rsidRPr="00A74CDF">
        <w:rPr>
          <w:rFonts w:ascii="Times New Roman" w:hAnsi="Times New Roman" w:cs="Times New Roman"/>
          <w:lang w:eastAsia="ko-KR"/>
        </w:rPr>
        <w:t>.</w:t>
      </w:r>
      <w:r w:rsidRPr="00A74CDF">
        <w:rPr>
          <w:rFonts w:ascii="Times New Roman" w:hAnsi="Times New Roman" w:cs="Times New Roman"/>
          <w:lang w:eastAsia="ko-KR"/>
        </w:rPr>
        <w:tab/>
        <w:t>Chan YH, Lee HF, See LC, Tu HT, Chao TF, Yeh YH, et al. Effectiveness and safety of four direct oral anticoagulants in asian patients with nonvalvular atrial fibrillation. Chest. 2019;156:529-543</w:t>
      </w:r>
    </w:p>
    <w:p w14:paraId="6E23B861" w14:textId="3B09F45E" w:rsidR="004F463B" w:rsidRPr="00A74CDF" w:rsidRDefault="004F463B" w:rsidP="004F463B">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3</w:t>
      </w:r>
      <w:r w:rsidR="00285F01">
        <w:rPr>
          <w:rFonts w:ascii="Times New Roman" w:hAnsi="Times New Roman" w:cs="Times New Roman"/>
          <w:lang w:eastAsia="ko-KR"/>
        </w:rPr>
        <w:t>9</w:t>
      </w:r>
      <w:r w:rsidRPr="00A74CDF">
        <w:rPr>
          <w:rFonts w:ascii="Times New Roman" w:hAnsi="Times New Roman" w:cs="Times New Roman"/>
          <w:lang w:eastAsia="ko-KR"/>
        </w:rPr>
        <w:t>.</w:t>
      </w:r>
      <w:r w:rsidRPr="00A74CDF">
        <w:rPr>
          <w:rFonts w:ascii="Times New Roman" w:hAnsi="Times New Roman" w:cs="Times New Roman"/>
          <w:lang w:eastAsia="ko-KR"/>
        </w:rPr>
        <w:tab/>
        <w:t>Cheung KS, Leung WK. Gastrointestinal bleeding in patients on novel oral anticoagulants: Risk, prevention and management. World J Gastroenterol. 2017;23:1954-1963</w:t>
      </w:r>
    </w:p>
    <w:p w14:paraId="6B654D5C" w14:textId="4BD23571" w:rsidR="004F463B" w:rsidRPr="00A74CDF" w:rsidRDefault="00285F01" w:rsidP="004F463B">
      <w:pPr>
        <w:pStyle w:val="1"/>
        <w:contextualSpacing/>
        <w:jc w:val="both"/>
        <w:rPr>
          <w:rFonts w:ascii="Times New Roman" w:hAnsi="Times New Roman" w:cs="Times New Roman"/>
          <w:lang w:eastAsia="ko-KR"/>
        </w:rPr>
      </w:pPr>
      <w:r>
        <w:rPr>
          <w:rFonts w:ascii="Times New Roman" w:hAnsi="Times New Roman" w:cs="Times New Roman"/>
          <w:lang w:eastAsia="ko-KR"/>
        </w:rPr>
        <w:t>40</w:t>
      </w:r>
      <w:r w:rsidR="004F463B" w:rsidRPr="00A74CDF">
        <w:rPr>
          <w:rFonts w:ascii="Times New Roman" w:hAnsi="Times New Roman" w:cs="Times New Roman"/>
          <w:lang w:eastAsia="ko-KR"/>
        </w:rPr>
        <w:t>.</w:t>
      </w:r>
      <w:r w:rsidR="004F463B" w:rsidRPr="00A74CDF">
        <w:rPr>
          <w:rFonts w:ascii="Times New Roman" w:hAnsi="Times New Roman" w:cs="Times New Roman"/>
          <w:lang w:eastAsia="ko-KR"/>
        </w:rPr>
        <w:tab/>
        <w:t xml:space="preserve">Yamashita T, Koretsune Y, Yang Y, Chen SA, Chung N, Shimada YJ, et al. Edoxaban vs. Warfarin in </w:t>
      </w:r>
      <w:r w:rsidR="003B2986" w:rsidRPr="00A74CDF">
        <w:rPr>
          <w:rFonts w:ascii="Times New Roman" w:hAnsi="Times New Roman" w:cs="Times New Roman"/>
          <w:lang w:eastAsia="ko-KR"/>
        </w:rPr>
        <w:t>E</w:t>
      </w:r>
      <w:r w:rsidR="004F463B" w:rsidRPr="00A74CDF">
        <w:rPr>
          <w:rFonts w:ascii="Times New Roman" w:hAnsi="Times New Roman" w:cs="Times New Roman"/>
          <w:lang w:eastAsia="ko-KR"/>
        </w:rPr>
        <w:t xml:space="preserve">ast </w:t>
      </w:r>
      <w:r w:rsidR="003B2986" w:rsidRPr="00A74CDF">
        <w:rPr>
          <w:rFonts w:ascii="Times New Roman" w:hAnsi="Times New Roman" w:cs="Times New Roman"/>
          <w:lang w:eastAsia="ko-KR"/>
        </w:rPr>
        <w:t>A</w:t>
      </w:r>
      <w:r w:rsidR="004F463B" w:rsidRPr="00A74CDF">
        <w:rPr>
          <w:rFonts w:ascii="Times New Roman" w:hAnsi="Times New Roman" w:cs="Times New Roman"/>
          <w:lang w:eastAsia="ko-KR"/>
        </w:rPr>
        <w:t>sian patients with atrial fibrillation</w:t>
      </w:r>
      <w:r w:rsidR="003B2986" w:rsidRPr="00A74CDF">
        <w:rPr>
          <w:rFonts w:ascii="Times New Roman" w:hAnsi="Times New Roman" w:cs="Times New Roman"/>
          <w:lang w:eastAsia="ko-KR"/>
        </w:rPr>
        <w:t xml:space="preserve"> </w:t>
      </w:r>
      <w:r w:rsidR="004F463B" w:rsidRPr="00A74CDF">
        <w:rPr>
          <w:rFonts w:ascii="Times New Roman" w:hAnsi="Times New Roman" w:cs="Times New Roman"/>
          <w:lang w:eastAsia="ko-KR"/>
        </w:rPr>
        <w:t xml:space="preserve">- </w:t>
      </w:r>
      <w:r w:rsidR="003B2986" w:rsidRPr="00A74CDF">
        <w:rPr>
          <w:rFonts w:ascii="Times New Roman" w:hAnsi="Times New Roman" w:cs="Times New Roman"/>
          <w:lang w:eastAsia="ko-KR"/>
        </w:rPr>
        <w:t>A</w:t>
      </w:r>
      <w:r w:rsidR="004F463B" w:rsidRPr="00A74CDF">
        <w:rPr>
          <w:rFonts w:ascii="Times New Roman" w:hAnsi="Times New Roman" w:cs="Times New Roman"/>
          <w:lang w:eastAsia="ko-KR"/>
        </w:rPr>
        <w:t xml:space="preserve">n </w:t>
      </w:r>
      <w:r w:rsidR="003B2986" w:rsidRPr="00A74CDF">
        <w:rPr>
          <w:rFonts w:ascii="Times New Roman" w:hAnsi="Times New Roman" w:cs="Times New Roman"/>
          <w:lang w:eastAsia="ko-KR"/>
        </w:rPr>
        <w:t>ENGAGE AF-TIMI</w:t>
      </w:r>
      <w:r w:rsidR="004F463B" w:rsidRPr="00A74CDF">
        <w:rPr>
          <w:rFonts w:ascii="Times New Roman" w:hAnsi="Times New Roman" w:cs="Times New Roman"/>
          <w:lang w:eastAsia="ko-KR"/>
        </w:rPr>
        <w:t xml:space="preserve"> 48 subanalysis. Circ J. 2016;80:860-869</w:t>
      </w:r>
    </w:p>
    <w:p w14:paraId="2855A075" w14:textId="787FC43F" w:rsidR="004F463B" w:rsidRPr="00A74CDF" w:rsidRDefault="00285F01" w:rsidP="004F463B">
      <w:pPr>
        <w:pStyle w:val="1"/>
        <w:contextualSpacing/>
        <w:jc w:val="both"/>
        <w:rPr>
          <w:rFonts w:ascii="Times New Roman" w:hAnsi="Times New Roman" w:cs="Times New Roman"/>
          <w:lang w:eastAsia="ko-KR"/>
        </w:rPr>
      </w:pPr>
      <w:r>
        <w:rPr>
          <w:rFonts w:ascii="Times New Roman" w:hAnsi="Times New Roman" w:cs="Times New Roman"/>
          <w:lang w:eastAsia="ko-KR"/>
        </w:rPr>
        <w:t>41</w:t>
      </w:r>
      <w:r w:rsidR="004F463B" w:rsidRPr="00A74CDF">
        <w:rPr>
          <w:rFonts w:ascii="Times New Roman" w:hAnsi="Times New Roman" w:cs="Times New Roman"/>
          <w:lang w:eastAsia="ko-KR"/>
        </w:rPr>
        <w:t>.</w:t>
      </w:r>
      <w:r w:rsidR="004F463B" w:rsidRPr="00A74CDF">
        <w:rPr>
          <w:rFonts w:ascii="Times New Roman" w:hAnsi="Times New Roman" w:cs="Times New Roman"/>
          <w:lang w:eastAsia="ko-KR"/>
        </w:rPr>
        <w:tab/>
        <w:t>Giugliano RP, Ruff CT, Braunwald E, Murphy SA, Wiviott SD, Halperin JL, et al. Edoxaban versus warfarin in patients with atrial fibrillation. N Engl J Med. 2013;369:2093-2104</w:t>
      </w:r>
    </w:p>
    <w:p w14:paraId="5B5D6F94" w14:textId="19C0C02F" w:rsidR="00B94A5A" w:rsidRPr="00A74CDF" w:rsidRDefault="00B94A5A" w:rsidP="004F463B">
      <w:pPr>
        <w:pStyle w:val="1"/>
        <w:contextualSpacing/>
        <w:jc w:val="both"/>
        <w:rPr>
          <w:rFonts w:ascii="Times New Roman" w:hAnsi="Times New Roman" w:cs="Times New Roman"/>
          <w:b/>
          <w:bCs/>
          <w:lang w:eastAsia="ko-KR"/>
        </w:rPr>
      </w:pPr>
      <w:r w:rsidRPr="00A74CDF">
        <w:rPr>
          <w:rFonts w:ascii="Times New Roman" w:hAnsi="Times New Roman" w:cs="Times New Roman"/>
          <w:lang w:eastAsia="ko-KR"/>
        </w:rPr>
        <w:t>4</w:t>
      </w:r>
      <w:r w:rsidR="00285F01">
        <w:rPr>
          <w:rFonts w:ascii="Times New Roman" w:hAnsi="Times New Roman" w:cs="Times New Roman"/>
          <w:lang w:eastAsia="ko-KR"/>
        </w:rPr>
        <w:t>2</w:t>
      </w:r>
      <w:r w:rsidRPr="00A74CDF">
        <w:rPr>
          <w:rFonts w:ascii="Times New Roman" w:hAnsi="Times New Roman" w:cs="Times New Roman"/>
          <w:lang w:eastAsia="ko-KR"/>
        </w:rPr>
        <w:t>.</w:t>
      </w:r>
      <w:r w:rsidRPr="00A74CDF">
        <w:rPr>
          <w:rFonts w:ascii="Times New Roman" w:hAnsi="Times New Roman" w:cs="Times New Roman"/>
          <w:lang w:eastAsia="ko-KR"/>
        </w:rPr>
        <w:tab/>
        <w:t>Choi EK. Cardiovascular Research Using the Korean National Health Information Database. Korean Circ J. 2020;50(9):e90</w:t>
      </w:r>
    </w:p>
    <w:p w14:paraId="77FAE0B1" w14:textId="4981ACA8" w:rsidR="00712CDC" w:rsidRPr="00A74CDF" w:rsidRDefault="009E7C03" w:rsidP="00712CDC">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4</w:t>
      </w:r>
      <w:r w:rsidR="00285F01">
        <w:rPr>
          <w:rFonts w:ascii="Times New Roman" w:hAnsi="Times New Roman" w:cs="Times New Roman"/>
          <w:lang w:eastAsia="ko-KR"/>
        </w:rPr>
        <w:t>3</w:t>
      </w:r>
      <w:r w:rsidR="00712CDC" w:rsidRPr="00A74CDF">
        <w:rPr>
          <w:rFonts w:ascii="Times New Roman" w:hAnsi="Times New Roman" w:cs="Times New Roman"/>
          <w:lang w:eastAsia="ko-KR"/>
        </w:rPr>
        <w:t>.</w:t>
      </w:r>
      <w:r w:rsidR="00712CDC" w:rsidRPr="00A74CDF">
        <w:rPr>
          <w:rFonts w:ascii="Times New Roman" w:hAnsi="Times New Roman" w:cs="Times New Roman"/>
          <w:lang w:eastAsia="ko-KR"/>
        </w:rPr>
        <w:tab/>
        <w:t xml:space="preserve">Oh S, Goto S, Accetta G, Angchaisuksiri P, Camm AJ, Cools F, et al. Vitamin </w:t>
      </w:r>
      <w:r w:rsidR="00AC4232" w:rsidRPr="00A74CDF">
        <w:rPr>
          <w:rFonts w:ascii="Times New Roman" w:hAnsi="Times New Roman" w:cs="Times New Roman"/>
          <w:lang w:eastAsia="ko-KR"/>
        </w:rPr>
        <w:t>K</w:t>
      </w:r>
      <w:r w:rsidR="00712CDC" w:rsidRPr="00A74CDF">
        <w:rPr>
          <w:rFonts w:ascii="Times New Roman" w:hAnsi="Times New Roman" w:cs="Times New Roman"/>
          <w:lang w:eastAsia="ko-KR"/>
        </w:rPr>
        <w:t xml:space="preserve"> antagonist control in patients with atrial fibrillation in asia compared with other regions of the world: Real-world data from the </w:t>
      </w:r>
      <w:r w:rsidR="00AC4232" w:rsidRPr="00A74CDF">
        <w:rPr>
          <w:rFonts w:ascii="Times New Roman" w:hAnsi="Times New Roman" w:cs="Times New Roman"/>
          <w:lang w:eastAsia="ko-KR"/>
        </w:rPr>
        <w:t>GARFIELD-AF</w:t>
      </w:r>
      <w:r w:rsidR="00712CDC" w:rsidRPr="00A74CDF">
        <w:rPr>
          <w:rFonts w:ascii="Times New Roman" w:hAnsi="Times New Roman" w:cs="Times New Roman"/>
          <w:lang w:eastAsia="ko-KR"/>
        </w:rPr>
        <w:t xml:space="preserve"> registry. Int J Cardiol. 2016;223:543-547</w:t>
      </w:r>
    </w:p>
    <w:p w14:paraId="6E8AE9DF" w14:textId="639E336B" w:rsidR="00712CDC" w:rsidRPr="00A74CDF" w:rsidRDefault="00712CDC" w:rsidP="00712CDC">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4</w:t>
      </w:r>
      <w:r w:rsidR="00285F01">
        <w:rPr>
          <w:rFonts w:ascii="Times New Roman" w:hAnsi="Times New Roman" w:cs="Times New Roman"/>
          <w:lang w:eastAsia="ko-KR"/>
        </w:rPr>
        <w:t>4</w:t>
      </w:r>
      <w:r w:rsidRPr="00A74CDF">
        <w:rPr>
          <w:rFonts w:ascii="Times New Roman" w:hAnsi="Times New Roman" w:cs="Times New Roman"/>
          <w:lang w:eastAsia="ko-KR"/>
        </w:rPr>
        <w:t>.</w:t>
      </w:r>
      <w:r w:rsidRPr="00A74CDF">
        <w:rPr>
          <w:rFonts w:ascii="Times New Roman" w:hAnsi="Times New Roman" w:cs="Times New Roman"/>
          <w:lang w:eastAsia="ko-KR"/>
        </w:rPr>
        <w:tab/>
        <w:t xml:space="preserve">Hong KS, Kim YK, Bae HJ, Nam HS, Kwon SU, Bang OY, et al. Quality of anticoagulation with warfarin in </w:t>
      </w:r>
      <w:r w:rsidR="00974988" w:rsidRPr="00A74CDF">
        <w:rPr>
          <w:rFonts w:ascii="Times New Roman" w:hAnsi="Times New Roman" w:cs="Times New Roman"/>
          <w:lang w:eastAsia="ko-KR"/>
        </w:rPr>
        <w:t>K</w:t>
      </w:r>
      <w:r w:rsidRPr="00A74CDF">
        <w:rPr>
          <w:rFonts w:ascii="Times New Roman" w:hAnsi="Times New Roman" w:cs="Times New Roman"/>
          <w:lang w:eastAsia="ko-KR"/>
        </w:rPr>
        <w:t>orean patients with atrial fibrillation and prior stroke: A multicenter retrospective observational study. J Clin Neurol. 2017;13:273-280</w:t>
      </w:r>
    </w:p>
    <w:p w14:paraId="5D9224DE" w14:textId="0DE738B9" w:rsidR="00233148" w:rsidRPr="00A74CDF" w:rsidRDefault="00233148" w:rsidP="00233148">
      <w:pPr>
        <w:pStyle w:val="1"/>
        <w:contextualSpacing/>
        <w:jc w:val="both"/>
        <w:rPr>
          <w:rFonts w:ascii="Times New Roman" w:hAnsi="Times New Roman" w:cs="Times New Roman"/>
          <w:lang w:eastAsia="ko-KR"/>
        </w:rPr>
      </w:pPr>
      <w:r w:rsidRPr="00A74CDF">
        <w:rPr>
          <w:rFonts w:ascii="Times New Roman" w:hAnsi="Times New Roman" w:cs="Times New Roman"/>
          <w:lang w:eastAsia="ko-KR"/>
        </w:rPr>
        <w:t>4</w:t>
      </w:r>
      <w:r w:rsidR="00285F01">
        <w:rPr>
          <w:rFonts w:ascii="Times New Roman" w:hAnsi="Times New Roman" w:cs="Times New Roman"/>
          <w:lang w:eastAsia="ko-KR"/>
        </w:rPr>
        <w:t>5</w:t>
      </w:r>
      <w:r w:rsidRPr="00A74CDF">
        <w:rPr>
          <w:rFonts w:ascii="Times New Roman" w:hAnsi="Times New Roman" w:cs="Times New Roman"/>
          <w:lang w:eastAsia="ko-KR"/>
        </w:rPr>
        <w:t>.</w:t>
      </w:r>
      <w:r w:rsidRPr="00A74CDF">
        <w:rPr>
          <w:rFonts w:ascii="Times New Roman" w:hAnsi="Times New Roman" w:cs="Times New Roman"/>
          <w:lang w:eastAsia="ko-KR"/>
        </w:rPr>
        <w:tab/>
        <w:t xml:space="preserve">Lee SR, Lee YS, Park JS, Cha MJ, Kim TH, Park J, et al. Label adherence for non-vitamin </w:t>
      </w:r>
      <w:r w:rsidR="00343A41" w:rsidRPr="00A74CDF">
        <w:rPr>
          <w:rFonts w:ascii="Times New Roman" w:hAnsi="Times New Roman" w:cs="Times New Roman"/>
          <w:lang w:eastAsia="ko-KR"/>
        </w:rPr>
        <w:t>K</w:t>
      </w:r>
      <w:r w:rsidRPr="00A74CDF">
        <w:rPr>
          <w:rFonts w:ascii="Times New Roman" w:hAnsi="Times New Roman" w:cs="Times New Roman"/>
          <w:lang w:eastAsia="ko-KR"/>
        </w:rPr>
        <w:t xml:space="preserve"> antagonist oral anticoagulants in a prospective cohort of asian patients with atrial fibrillation. Yonsei Med J. 2019;60:277-284</w:t>
      </w:r>
    </w:p>
    <w:p w14:paraId="7D654593" w14:textId="7977E673" w:rsidR="00940D4E" w:rsidRPr="00A74CDF" w:rsidRDefault="00233148" w:rsidP="00233148">
      <w:pPr>
        <w:pStyle w:val="1"/>
        <w:spacing w:before="0" w:after="0"/>
        <w:contextualSpacing/>
        <w:jc w:val="both"/>
        <w:rPr>
          <w:rFonts w:ascii="Times New Roman" w:hAnsi="Times New Roman" w:cs="Times New Roman"/>
          <w:lang w:eastAsia="ko-KR"/>
        </w:rPr>
      </w:pPr>
      <w:r w:rsidRPr="00A74CDF">
        <w:rPr>
          <w:rFonts w:ascii="Times New Roman" w:hAnsi="Times New Roman" w:cs="Times New Roman"/>
          <w:lang w:eastAsia="ko-KR"/>
        </w:rPr>
        <w:t>4</w:t>
      </w:r>
      <w:r w:rsidR="00285F01">
        <w:rPr>
          <w:rFonts w:ascii="Times New Roman" w:hAnsi="Times New Roman" w:cs="Times New Roman"/>
          <w:lang w:eastAsia="ko-KR"/>
        </w:rPr>
        <w:t>6</w:t>
      </w:r>
      <w:r w:rsidRPr="00A74CDF">
        <w:rPr>
          <w:rFonts w:ascii="Times New Roman" w:hAnsi="Times New Roman" w:cs="Times New Roman"/>
          <w:lang w:eastAsia="ko-KR"/>
        </w:rPr>
        <w:t>.</w:t>
      </w:r>
      <w:r w:rsidRPr="00A74CDF">
        <w:rPr>
          <w:rFonts w:ascii="Times New Roman" w:hAnsi="Times New Roman" w:cs="Times New Roman"/>
          <w:lang w:eastAsia="ko-KR"/>
        </w:rPr>
        <w:tab/>
        <w:t xml:space="preserve">Yu HT, Yang PS, Jang E, Kim TH, Uhm JS, Kim JY, et al. Label adherence of direct oral </w:t>
      </w:r>
      <w:r w:rsidR="00B94A5A" w:rsidRPr="00A74CDF">
        <w:rPr>
          <w:rFonts w:ascii="Times New Roman" w:hAnsi="Times New Roman" w:cs="Times New Roman"/>
          <w:lang w:eastAsia="ko-KR"/>
        </w:rPr>
        <w:t>4</w:t>
      </w:r>
      <w:r w:rsidRPr="00A74CDF">
        <w:rPr>
          <w:rFonts w:ascii="Times New Roman" w:hAnsi="Times New Roman" w:cs="Times New Roman"/>
          <w:lang w:eastAsia="ko-KR"/>
        </w:rPr>
        <w:t>anticoagulants dosing and clinical outcomes in patients with atrial fibrillation. J Am Heart Assoc. 2020;9:e014177</w:t>
      </w:r>
    </w:p>
    <w:p w14:paraId="312B171B" w14:textId="77777777" w:rsidR="00940D4E" w:rsidRPr="00A74CDF" w:rsidRDefault="00940D4E" w:rsidP="00BB1388">
      <w:pPr>
        <w:spacing w:line="480" w:lineRule="auto"/>
        <w:contextualSpacing/>
        <w:jc w:val="both"/>
        <w:rPr>
          <w:b/>
          <w:bCs/>
          <w:color w:val="000000"/>
          <w:lang w:eastAsia="ko-KR"/>
        </w:rPr>
      </w:pPr>
      <w:r w:rsidRPr="00A74CDF">
        <w:rPr>
          <w:b/>
          <w:bCs/>
          <w:lang w:eastAsia="ko-KR"/>
        </w:rPr>
        <w:br w:type="page"/>
      </w:r>
    </w:p>
    <w:p w14:paraId="5D2246A4" w14:textId="49644D20" w:rsidR="00940D4E" w:rsidRPr="00A74CDF" w:rsidRDefault="00940D4E" w:rsidP="00BB1388">
      <w:pPr>
        <w:pStyle w:val="1"/>
        <w:spacing w:before="0" w:after="0"/>
        <w:contextualSpacing/>
        <w:jc w:val="both"/>
        <w:rPr>
          <w:rFonts w:ascii="Times New Roman" w:hAnsi="Times New Roman" w:cs="Times New Roman"/>
          <w:b/>
          <w:bCs/>
          <w:lang w:eastAsia="ko-KR"/>
        </w:rPr>
      </w:pPr>
      <w:r w:rsidRPr="00A74CDF">
        <w:rPr>
          <w:rFonts w:ascii="Times New Roman" w:hAnsi="Times New Roman" w:cs="Times New Roman"/>
          <w:b/>
          <w:bCs/>
          <w:lang w:eastAsia="ko-KR"/>
        </w:rPr>
        <w:t xml:space="preserve">Figure </w:t>
      </w:r>
      <w:r w:rsidR="00E85218" w:rsidRPr="00A74CDF">
        <w:rPr>
          <w:rFonts w:ascii="Times New Roman" w:hAnsi="Times New Roman" w:cs="Times New Roman"/>
          <w:b/>
          <w:bCs/>
          <w:lang w:eastAsia="ko-KR"/>
        </w:rPr>
        <w:t>L</w:t>
      </w:r>
      <w:r w:rsidRPr="00A74CDF">
        <w:rPr>
          <w:rFonts w:ascii="Times New Roman" w:hAnsi="Times New Roman" w:cs="Times New Roman"/>
          <w:b/>
          <w:bCs/>
          <w:lang w:eastAsia="ko-KR"/>
        </w:rPr>
        <w:t>egends</w:t>
      </w:r>
    </w:p>
    <w:p w14:paraId="06FCE7A2" w14:textId="3C4091B3" w:rsidR="00940D4E" w:rsidRPr="00A74CDF" w:rsidRDefault="00940D4E" w:rsidP="00BB1388">
      <w:pPr>
        <w:pStyle w:val="1"/>
        <w:spacing w:before="0" w:after="0"/>
        <w:contextualSpacing/>
        <w:jc w:val="both"/>
        <w:rPr>
          <w:rFonts w:ascii="Times New Roman" w:hAnsi="Times New Roman" w:cs="Times New Roman"/>
          <w:b/>
          <w:bCs/>
          <w:lang w:eastAsia="ko-KR"/>
        </w:rPr>
      </w:pPr>
    </w:p>
    <w:p w14:paraId="2F4EF477" w14:textId="121DF86F" w:rsidR="00940D4E" w:rsidRPr="00A74CDF" w:rsidRDefault="00940D4E" w:rsidP="00BB1388">
      <w:pPr>
        <w:pStyle w:val="1"/>
        <w:spacing w:before="0" w:after="0"/>
        <w:contextualSpacing/>
        <w:jc w:val="both"/>
        <w:rPr>
          <w:rFonts w:ascii="Times New Roman" w:hAnsi="Times New Roman" w:cs="Times New Roman"/>
          <w:b/>
          <w:bCs/>
          <w:lang w:eastAsia="ko-KR"/>
        </w:rPr>
      </w:pPr>
      <w:r w:rsidRPr="00A74CDF">
        <w:rPr>
          <w:rFonts w:ascii="Times New Roman" w:hAnsi="Times New Roman" w:cs="Times New Roman"/>
          <w:b/>
          <w:bCs/>
          <w:lang w:eastAsia="ko-KR"/>
        </w:rPr>
        <w:t xml:space="preserve">Figure </w:t>
      </w:r>
      <w:r w:rsidR="003A7441" w:rsidRPr="00A74CDF">
        <w:rPr>
          <w:rFonts w:ascii="Times New Roman" w:hAnsi="Times New Roman" w:cs="Times New Roman"/>
          <w:b/>
          <w:bCs/>
          <w:lang w:eastAsia="ko-KR"/>
        </w:rPr>
        <w:t>I</w:t>
      </w:r>
      <w:r w:rsidRPr="00A74CDF">
        <w:rPr>
          <w:rFonts w:ascii="Times New Roman" w:hAnsi="Times New Roman" w:cs="Times New Roman"/>
          <w:b/>
          <w:bCs/>
          <w:lang w:eastAsia="ko-KR"/>
        </w:rPr>
        <w:t>. The flowchart of the study population</w:t>
      </w:r>
    </w:p>
    <w:p w14:paraId="03053F11" w14:textId="77777777" w:rsidR="00940D4E" w:rsidRPr="00A74CDF" w:rsidRDefault="00940D4E" w:rsidP="00BB1388">
      <w:pPr>
        <w:pStyle w:val="1"/>
        <w:spacing w:before="0" w:after="0"/>
        <w:contextualSpacing/>
        <w:jc w:val="both"/>
        <w:rPr>
          <w:rFonts w:ascii="Times New Roman" w:hAnsi="Times New Roman" w:cs="Times New Roman"/>
          <w:lang w:eastAsia="ko-KR"/>
        </w:rPr>
      </w:pPr>
      <w:r w:rsidRPr="00A74CDF">
        <w:rPr>
          <w:rFonts w:ascii="Times New Roman" w:hAnsi="Times New Roman" w:cs="Times New Roman"/>
          <w:lang w:eastAsia="ko-KR"/>
        </w:rPr>
        <w:t>Abbreviations: AF, atrial fibrillation; DVT, deep vein thrombosis; ESRD, end stage renal disease; GIB, gastrointestinal bleeding; NOAC, non-vitamin K oral anticoagulant; OAC; oral anticoagulant; PE, pulmonary thromboembolism.</w:t>
      </w:r>
    </w:p>
    <w:p w14:paraId="7B512DBD" w14:textId="77777777" w:rsidR="00940D4E" w:rsidRPr="00A74CDF" w:rsidRDefault="00940D4E" w:rsidP="00BB1388">
      <w:pPr>
        <w:pStyle w:val="1"/>
        <w:spacing w:before="0" w:after="0"/>
        <w:contextualSpacing/>
        <w:jc w:val="both"/>
        <w:rPr>
          <w:rFonts w:ascii="Times New Roman" w:hAnsi="Times New Roman" w:cs="Times New Roman"/>
          <w:lang w:eastAsia="ko-KR"/>
        </w:rPr>
      </w:pPr>
    </w:p>
    <w:p w14:paraId="74549F33" w14:textId="22D06569" w:rsidR="00940D4E" w:rsidRPr="00A74CDF" w:rsidRDefault="00940D4E" w:rsidP="00BB1388">
      <w:pPr>
        <w:pStyle w:val="1"/>
        <w:spacing w:before="0" w:after="0"/>
        <w:contextualSpacing/>
        <w:jc w:val="both"/>
        <w:rPr>
          <w:rFonts w:ascii="Times New Roman" w:hAnsi="Times New Roman" w:cs="Times New Roman"/>
          <w:b/>
          <w:bCs/>
          <w:lang w:eastAsia="ko-KR"/>
        </w:rPr>
      </w:pPr>
      <w:r w:rsidRPr="00A74CDF">
        <w:rPr>
          <w:rFonts w:ascii="Times New Roman" w:hAnsi="Times New Roman" w:cs="Times New Roman"/>
          <w:b/>
          <w:bCs/>
          <w:lang w:eastAsia="ko-KR"/>
        </w:rPr>
        <w:t xml:space="preserve">Figure </w:t>
      </w:r>
      <w:r w:rsidR="003A7441" w:rsidRPr="00A74CDF">
        <w:rPr>
          <w:rFonts w:ascii="Times New Roman" w:hAnsi="Times New Roman" w:cs="Times New Roman"/>
          <w:b/>
          <w:bCs/>
          <w:lang w:eastAsia="ko-KR"/>
        </w:rPr>
        <w:t>II</w:t>
      </w:r>
      <w:r w:rsidRPr="00A74CDF">
        <w:rPr>
          <w:rFonts w:ascii="Times New Roman" w:hAnsi="Times New Roman" w:cs="Times New Roman"/>
          <w:b/>
          <w:bCs/>
          <w:lang w:eastAsia="ko-KR"/>
        </w:rPr>
        <w:t>. Weighted cumulative incidence curves of clinical outcomes in warfarin and NOAC groups</w:t>
      </w:r>
    </w:p>
    <w:p w14:paraId="6D6C5BE3" w14:textId="77777777" w:rsidR="00940D4E" w:rsidRPr="00A74CDF" w:rsidRDefault="00940D4E" w:rsidP="00BB1388">
      <w:pPr>
        <w:pStyle w:val="1"/>
        <w:spacing w:before="0" w:after="0"/>
        <w:contextualSpacing/>
        <w:jc w:val="both"/>
        <w:rPr>
          <w:rFonts w:ascii="Times New Roman" w:hAnsi="Times New Roman" w:cs="Times New Roman"/>
          <w:lang w:eastAsia="ko-KR"/>
        </w:rPr>
      </w:pPr>
      <w:r w:rsidRPr="00A74CDF">
        <w:rPr>
          <w:rFonts w:ascii="Times New Roman" w:hAnsi="Times New Roman" w:cs="Times New Roman"/>
          <w:lang w:eastAsia="ko-KR"/>
        </w:rPr>
        <w:t>Abbreviations: NOAC, non-vitamin K oral anticoagulant.</w:t>
      </w:r>
    </w:p>
    <w:p w14:paraId="710E171C" w14:textId="74CD821D" w:rsidR="00940D4E" w:rsidRPr="00A74CDF" w:rsidRDefault="00940D4E" w:rsidP="00BB1388">
      <w:pPr>
        <w:pStyle w:val="1"/>
        <w:spacing w:before="0" w:after="0"/>
        <w:contextualSpacing/>
        <w:jc w:val="both"/>
        <w:rPr>
          <w:rFonts w:ascii="Times New Roman" w:hAnsi="Times New Roman" w:cs="Times New Roman"/>
          <w:lang w:eastAsia="ko-KR"/>
        </w:rPr>
      </w:pPr>
    </w:p>
    <w:p w14:paraId="6F73B30F" w14:textId="2FCF31A1" w:rsidR="00586ABA" w:rsidRPr="00A74CDF" w:rsidRDefault="00586ABA" w:rsidP="00586ABA">
      <w:pPr>
        <w:pStyle w:val="1"/>
        <w:spacing w:before="0" w:after="0"/>
        <w:contextualSpacing/>
        <w:jc w:val="both"/>
        <w:rPr>
          <w:rFonts w:ascii="Times New Roman" w:hAnsi="Times New Roman" w:cs="Times New Roman"/>
          <w:b/>
          <w:bCs/>
          <w:lang w:eastAsia="ko-KR"/>
        </w:rPr>
      </w:pPr>
      <w:r w:rsidRPr="00A74CDF">
        <w:rPr>
          <w:rFonts w:ascii="Times New Roman" w:hAnsi="Times New Roman" w:cs="Times New Roman"/>
          <w:b/>
          <w:bCs/>
          <w:lang w:eastAsia="ko-KR"/>
        </w:rPr>
        <w:t xml:space="preserve">Figure </w:t>
      </w:r>
      <w:r w:rsidR="003A7441" w:rsidRPr="00A74CDF">
        <w:rPr>
          <w:rFonts w:ascii="Times New Roman" w:hAnsi="Times New Roman" w:cs="Times New Roman"/>
          <w:b/>
          <w:bCs/>
          <w:lang w:eastAsia="ko-KR"/>
        </w:rPr>
        <w:t>III</w:t>
      </w:r>
      <w:r w:rsidRPr="00A74CDF">
        <w:rPr>
          <w:rFonts w:ascii="Times New Roman" w:hAnsi="Times New Roman" w:cs="Times New Roman"/>
          <w:b/>
          <w:bCs/>
          <w:lang w:eastAsia="ko-KR"/>
        </w:rPr>
        <w:t>. Hazard ratios of clinical outcomes in warfarin and NOAC groups</w:t>
      </w:r>
    </w:p>
    <w:p w14:paraId="44A94813" w14:textId="54664FE8" w:rsidR="00217781" w:rsidRPr="00A74CDF" w:rsidRDefault="00586ABA" w:rsidP="00586ABA">
      <w:pPr>
        <w:pStyle w:val="1"/>
        <w:spacing w:before="0" w:after="0"/>
        <w:contextualSpacing/>
        <w:jc w:val="both"/>
        <w:rPr>
          <w:rFonts w:ascii="Times New Roman" w:hAnsi="Times New Roman" w:cs="Times New Roman"/>
          <w:lang w:eastAsia="ko-KR"/>
        </w:rPr>
      </w:pPr>
      <w:r w:rsidRPr="00A74CDF">
        <w:rPr>
          <w:rFonts w:ascii="Times New Roman" w:hAnsi="Times New Roman" w:cs="Times New Roman"/>
          <w:lang w:eastAsia="ko-KR"/>
        </w:rPr>
        <w:t>Abbreviations: CI, confidence interval; HR, weighted hazard ratio; MB, major bleeding; NOAC, non-vitamin K oral anticoagulant; WFR, warfarin.</w:t>
      </w:r>
    </w:p>
    <w:p w14:paraId="415B2978" w14:textId="3AAFC814" w:rsidR="00B54801" w:rsidRPr="00A74CDF" w:rsidRDefault="00B54801" w:rsidP="00586ABA">
      <w:pPr>
        <w:pStyle w:val="1"/>
        <w:spacing w:before="0" w:after="0"/>
        <w:contextualSpacing/>
        <w:jc w:val="both"/>
        <w:rPr>
          <w:rFonts w:ascii="Times New Roman" w:hAnsi="Times New Roman" w:cs="Times New Roman"/>
          <w:lang w:eastAsia="ko-KR"/>
        </w:rPr>
      </w:pPr>
    </w:p>
    <w:p w14:paraId="7377BD51" w14:textId="049B71E6" w:rsidR="00B54801" w:rsidRPr="00A74CDF" w:rsidRDefault="00B54801" w:rsidP="00586ABA">
      <w:pPr>
        <w:pStyle w:val="1"/>
        <w:spacing w:before="0" w:after="0"/>
        <w:contextualSpacing/>
        <w:jc w:val="both"/>
        <w:rPr>
          <w:rFonts w:ascii="Times New Roman" w:hAnsi="Times New Roman" w:cs="Times New Roman"/>
          <w:b/>
          <w:bCs/>
          <w:color w:val="000000" w:themeColor="text1"/>
        </w:rPr>
      </w:pPr>
      <w:r w:rsidRPr="00A74CDF">
        <w:rPr>
          <w:rFonts w:ascii="Times New Roman" w:hAnsi="Times New Roman" w:cs="Times New Roman"/>
          <w:b/>
          <w:lang w:eastAsia="ko-KR"/>
        </w:rPr>
        <w:t xml:space="preserve">Figure </w:t>
      </w:r>
      <w:r w:rsidR="000F4913" w:rsidRPr="00A74CDF">
        <w:rPr>
          <w:rFonts w:ascii="Times New Roman" w:hAnsi="Times New Roman" w:cs="Times New Roman"/>
          <w:b/>
          <w:lang w:eastAsia="ko-KR"/>
        </w:rPr>
        <w:t>I</w:t>
      </w:r>
      <w:r w:rsidR="003A7441" w:rsidRPr="00A74CDF">
        <w:rPr>
          <w:rFonts w:ascii="Times New Roman" w:hAnsi="Times New Roman" w:cs="Times New Roman"/>
          <w:b/>
          <w:lang w:eastAsia="ko-KR"/>
        </w:rPr>
        <w:t>V</w:t>
      </w:r>
      <w:r w:rsidRPr="00A74CDF">
        <w:rPr>
          <w:rFonts w:ascii="Times New Roman" w:hAnsi="Times New Roman" w:cs="Times New Roman"/>
          <w:b/>
          <w:lang w:eastAsia="ko-KR"/>
        </w:rPr>
        <w:t xml:space="preserve">. </w:t>
      </w:r>
      <w:r w:rsidRPr="00A74CDF">
        <w:rPr>
          <w:rFonts w:ascii="Times New Roman" w:hAnsi="Times New Roman" w:cs="Times New Roman"/>
          <w:b/>
          <w:bCs/>
          <w:color w:val="000000" w:themeColor="text1"/>
        </w:rPr>
        <w:t>Hazard ratios by causes of major bleeding in warfarin and NOAC groups</w:t>
      </w:r>
    </w:p>
    <w:p w14:paraId="741458E9" w14:textId="5A6D34BB" w:rsidR="00217781" w:rsidRPr="00A74CDF" w:rsidRDefault="00B54801" w:rsidP="00A72667">
      <w:pPr>
        <w:pStyle w:val="1"/>
        <w:spacing w:before="0" w:after="0"/>
        <w:contextualSpacing/>
        <w:jc w:val="both"/>
        <w:rPr>
          <w:lang w:eastAsia="ko-KR"/>
        </w:rPr>
      </w:pPr>
      <w:r w:rsidRPr="00A74CDF">
        <w:rPr>
          <w:lang w:eastAsia="ko-KR"/>
        </w:rPr>
        <w:t>Abbreviations: CI, confidence interval; GI, gastrointestinal; HR, weighted hazard ratio; ICH, intracranial hemorrhage; NOAC, non-vitamin K oral anticoagulant; WFR, warfarin.</w:t>
      </w:r>
      <w:r w:rsidR="00217781" w:rsidRPr="00A74CDF">
        <w:rPr>
          <w:lang w:eastAsia="ko-KR"/>
        </w:rPr>
        <w:br w:type="page"/>
      </w:r>
    </w:p>
    <w:p w14:paraId="55FD3B48" w14:textId="4BA3D67C" w:rsidR="00857499" w:rsidRPr="00A74CDF" w:rsidRDefault="00857499" w:rsidP="00BB1388">
      <w:pPr>
        <w:spacing w:after="200" w:line="480" w:lineRule="auto"/>
        <w:sectPr w:rsidR="00857499" w:rsidRPr="00A74CDF" w:rsidSect="00A72667">
          <w:headerReference w:type="default" r:id="rId8"/>
          <w:footerReference w:type="default" r:id="rId9"/>
          <w:pgSz w:w="12240" w:h="15840"/>
          <w:pgMar w:top="1440" w:right="1440" w:bottom="1440" w:left="1440" w:header="720" w:footer="720" w:gutter="0"/>
          <w:lnNumType w:countBy="1"/>
          <w:cols w:space="720"/>
          <w:docGrid w:linePitch="360"/>
        </w:sectPr>
      </w:pPr>
    </w:p>
    <w:p w14:paraId="5A86D3BC" w14:textId="2A8CE245" w:rsidR="00857499" w:rsidRPr="00A74CDF" w:rsidRDefault="00857499" w:rsidP="00BB1388">
      <w:pPr>
        <w:spacing w:line="480" w:lineRule="auto"/>
        <w:contextualSpacing/>
        <w:rPr>
          <w:rFonts w:eastAsia="맑은 고딕"/>
          <w:b/>
        </w:rPr>
      </w:pPr>
      <w:r w:rsidRPr="00A74CDF">
        <w:rPr>
          <w:b/>
        </w:rPr>
        <w:t xml:space="preserve">Table </w:t>
      </w:r>
      <w:r w:rsidR="003A7441" w:rsidRPr="00A74CDF">
        <w:rPr>
          <w:b/>
        </w:rPr>
        <w:t>I</w:t>
      </w:r>
      <w:r w:rsidRPr="00A74CDF">
        <w:rPr>
          <w:b/>
        </w:rPr>
        <w:t>. Baseline characteristics of warfarin and NOAC groups</w:t>
      </w:r>
      <w:r w:rsidRPr="00A74CDF">
        <w:rPr>
          <w:rFonts w:eastAsia="맑은 고딕"/>
          <w:b/>
        </w:rPr>
        <w:t>: before and after IPTW</w:t>
      </w:r>
    </w:p>
    <w:p w14:paraId="0175B24F" w14:textId="77777777" w:rsidR="00857499" w:rsidRPr="00A74CDF" w:rsidRDefault="00857499" w:rsidP="00BB1388">
      <w:pPr>
        <w:spacing w:line="480" w:lineRule="auto"/>
        <w:contextualSpacing/>
        <w:rPr>
          <w:b/>
        </w:rPr>
      </w:pPr>
    </w:p>
    <w:tbl>
      <w:tblPr>
        <w:tblW w:w="5000" w:type="pct"/>
        <w:tblCellMar>
          <w:left w:w="99" w:type="dxa"/>
          <w:right w:w="99" w:type="dxa"/>
        </w:tblCellMar>
        <w:tblLook w:val="04A0" w:firstRow="1" w:lastRow="0" w:firstColumn="1" w:lastColumn="0" w:noHBand="0" w:noVBand="1"/>
      </w:tblPr>
      <w:tblGrid>
        <w:gridCol w:w="3536"/>
        <w:gridCol w:w="1696"/>
        <w:gridCol w:w="1695"/>
        <w:gridCol w:w="1166"/>
        <w:gridCol w:w="311"/>
        <w:gridCol w:w="1695"/>
        <w:gridCol w:w="1695"/>
        <w:gridCol w:w="1166"/>
      </w:tblGrid>
      <w:tr w:rsidR="00857499" w:rsidRPr="00A74CDF" w14:paraId="3CEA5FB7" w14:textId="77777777" w:rsidTr="001325F4">
        <w:trPr>
          <w:trHeight w:val="340"/>
        </w:trPr>
        <w:tc>
          <w:tcPr>
            <w:tcW w:w="1364" w:type="pct"/>
            <w:tcBorders>
              <w:top w:val="single" w:sz="4" w:space="0" w:color="auto"/>
              <w:left w:val="nil"/>
              <w:bottom w:val="single" w:sz="8" w:space="0" w:color="auto"/>
              <w:right w:val="nil"/>
            </w:tcBorders>
            <w:shd w:val="clear" w:color="auto" w:fill="auto"/>
            <w:vAlign w:val="center"/>
            <w:hideMark/>
          </w:tcPr>
          <w:p w14:paraId="1B464077"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 xml:space="preserve">　</w:t>
            </w:r>
          </w:p>
        </w:tc>
        <w:tc>
          <w:tcPr>
            <w:tcW w:w="654" w:type="pct"/>
            <w:tcBorders>
              <w:top w:val="single" w:sz="4" w:space="0" w:color="auto"/>
              <w:left w:val="nil"/>
              <w:bottom w:val="single" w:sz="8" w:space="0" w:color="auto"/>
              <w:right w:val="nil"/>
            </w:tcBorders>
            <w:shd w:val="clear" w:color="auto" w:fill="auto"/>
            <w:vAlign w:val="center"/>
            <w:hideMark/>
          </w:tcPr>
          <w:p w14:paraId="7123DECF"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w:t>
            </w:r>
          </w:p>
        </w:tc>
        <w:tc>
          <w:tcPr>
            <w:tcW w:w="654" w:type="pct"/>
            <w:tcBorders>
              <w:top w:val="single" w:sz="4" w:space="0" w:color="auto"/>
              <w:left w:val="nil"/>
              <w:bottom w:val="single" w:sz="8" w:space="0" w:color="auto"/>
              <w:right w:val="nil"/>
            </w:tcBorders>
            <w:shd w:val="clear" w:color="auto" w:fill="auto"/>
            <w:vAlign w:val="center"/>
            <w:hideMark/>
          </w:tcPr>
          <w:p w14:paraId="08279EC8"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Before IPTW</w:t>
            </w:r>
          </w:p>
        </w:tc>
        <w:tc>
          <w:tcPr>
            <w:tcW w:w="450" w:type="pct"/>
            <w:tcBorders>
              <w:top w:val="single" w:sz="4" w:space="0" w:color="auto"/>
              <w:left w:val="nil"/>
              <w:bottom w:val="single" w:sz="8" w:space="0" w:color="auto"/>
              <w:right w:val="nil"/>
            </w:tcBorders>
            <w:shd w:val="clear" w:color="auto" w:fill="auto"/>
            <w:vAlign w:val="center"/>
            <w:hideMark/>
          </w:tcPr>
          <w:p w14:paraId="730305FE"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w:t>
            </w:r>
          </w:p>
        </w:tc>
        <w:tc>
          <w:tcPr>
            <w:tcW w:w="120" w:type="pct"/>
            <w:tcBorders>
              <w:top w:val="single" w:sz="4" w:space="0" w:color="auto"/>
              <w:left w:val="nil"/>
              <w:bottom w:val="nil"/>
              <w:right w:val="nil"/>
            </w:tcBorders>
            <w:shd w:val="clear" w:color="auto" w:fill="auto"/>
            <w:vAlign w:val="center"/>
            <w:hideMark/>
          </w:tcPr>
          <w:p w14:paraId="5609C8F9" w14:textId="77777777" w:rsidR="00857499" w:rsidRPr="00A74CDF" w:rsidRDefault="00857499" w:rsidP="00BB1388">
            <w:pPr>
              <w:spacing w:line="480" w:lineRule="auto"/>
              <w:contextualSpacing/>
              <w:rPr>
                <w:rFonts w:eastAsia="맑은 고딕"/>
                <w:b/>
                <w:bCs/>
                <w:color w:val="000000"/>
              </w:rPr>
            </w:pPr>
          </w:p>
        </w:tc>
        <w:tc>
          <w:tcPr>
            <w:tcW w:w="654" w:type="pct"/>
            <w:tcBorders>
              <w:top w:val="single" w:sz="4" w:space="0" w:color="auto"/>
              <w:left w:val="nil"/>
              <w:bottom w:val="single" w:sz="8" w:space="0" w:color="auto"/>
              <w:right w:val="nil"/>
            </w:tcBorders>
            <w:shd w:val="clear" w:color="auto" w:fill="auto"/>
            <w:vAlign w:val="center"/>
            <w:hideMark/>
          </w:tcPr>
          <w:p w14:paraId="506FE148"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w:t>
            </w:r>
          </w:p>
        </w:tc>
        <w:tc>
          <w:tcPr>
            <w:tcW w:w="654" w:type="pct"/>
            <w:tcBorders>
              <w:top w:val="single" w:sz="4" w:space="0" w:color="auto"/>
              <w:left w:val="nil"/>
              <w:bottom w:val="single" w:sz="8" w:space="0" w:color="auto"/>
              <w:right w:val="nil"/>
            </w:tcBorders>
            <w:shd w:val="clear" w:color="auto" w:fill="auto"/>
            <w:vAlign w:val="center"/>
            <w:hideMark/>
          </w:tcPr>
          <w:p w14:paraId="6F22656A"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After IPTW</w:t>
            </w:r>
          </w:p>
        </w:tc>
        <w:tc>
          <w:tcPr>
            <w:tcW w:w="450" w:type="pct"/>
            <w:tcBorders>
              <w:top w:val="single" w:sz="4" w:space="0" w:color="auto"/>
              <w:left w:val="nil"/>
              <w:bottom w:val="single" w:sz="8" w:space="0" w:color="auto"/>
              <w:right w:val="nil"/>
            </w:tcBorders>
            <w:shd w:val="clear" w:color="auto" w:fill="auto"/>
            <w:vAlign w:val="center"/>
            <w:hideMark/>
          </w:tcPr>
          <w:p w14:paraId="159980AE"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w:t>
            </w:r>
          </w:p>
        </w:tc>
      </w:tr>
      <w:tr w:rsidR="00857499" w:rsidRPr="00A74CDF" w14:paraId="31831524" w14:textId="77777777" w:rsidTr="001325F4">
        <w:trPr>
          <w:trHeight w:val="340"/>
        </w:trPr>
        <w:tc>
          <w:tcPr>
            <w:tcW w:w="1364" w:type="pct"/>
            <w:vMerge w:val="restart"/>
            <w:tcBorders>
              <w:top w:val="nil"/>
              <w:left w:val="nil"/>
              <w:bottom w:val="single" w:sz="8" w:space="0" w:color="000000"/>
              <w:right w:val="nil"/>
            </w:tcBorders>
            <w:shd w:val="clear" w:color="auto" w:fill="auto"/>
            <w:vAlign w:val="center"/>
            <w:hideMark/>
          </w:tcPr>
          <w:p w14:paraId="0666B46B"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 xml:space="preserve">　</w:t>
            </w:r>
          </w:p>
        </w:tc>
        <w:tc>
          <w:tcPr>
            <w:tcW w:w="654" w:type="pct"/>
            <w:vMerge w:val="restart"/>
            <w:tcBorders>
              <w:top w:val="nil"/>
              <w:left w:val="nil"/>
              <w:right w:val="nil"/>
            </w:tcBorders>
            <w:shd w:val="clear" w:color="auto" w:fill="auto"/>
            <w:vAlign w:val="center"/>
            <w:hideMark/>
          </w:tcPr>
          <w:p w14:paraId="2D24248B"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Warfarin</w:t>
            </w:r>
          </w:p>
          <w:p w14:paraId="5E9AC0C3"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(n=17,267)</w:t>
            </w:r>
          </w:p>
        </w:tc>
        <w:tc>
          <w:tcPr>
            <w:tcW w:w="654" w:type="pct"/>
            <w:vMerge w:val="restart"/>
            <w:tcBorders>
              <w:top w:val="nil"/>
              <w:left w:val="nil"/>
              <w:right w:val="nil"/>
            </w:tcBorders>
            <w:shd w:val="clear" w:color="auto" w:fill="auto"/>
            <w:vAlign w:val="center"/>
            <w:hideMark/>
          </w:tcPr>
          <w:p w14:paraId="71E1D1A1"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Pooled NOAC</w:t>
            </w:r>
          </w:p>
          <w:p w14:paraId="7F33F0B1"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(n=24,781)</w:t>
            </w:r>
          </w:p>
        </w:tc>
        <w:tc>
          <w:tcPr>
            <w:tcW w:w="450" w:type="pct"/>
            <w:vMerge w:val="restart"/>
            <w:tcBorders>
              <w:top w:val="nil"/>
              <w:left w:val="nil"/>
              <w:bottom w:val="single" w:sz="8" w:space="0" w:color="000000"/>
              <w:right w:val="nil"/>
            </w:tcBorders>
            <w:shd w:val="clear" w:color="auto" w:fill="auto"/>
            <w:vAlign w:val="center"/>
            <w:hideMark/>
          </w:tcPr>
          <w:p w14:paraId="06A5A307"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ASD</w:t>
            </w:r>
          </w:p>
        </w:tc>
        <w:tc>
          <w:tcPr>
            <w:tcW w:w="120" w:type="pct"/>
            <w:tcBorders>
              <w:top w:val="nil"/>
              <w:left w:val="nil"/>
              <w:bottom w:val="nil"/>
              <w:right w:val="nil"/>
            </w:tcBorders>
            <w:shd w:val="clear" w:color="auto" w:fill="auto"/>
            <w:vAlign w:val="center"/>
            <w:hideMark/>
          </w:tcPr>
          <w:p w14:paraId="1B6BE63D" w14:textId="77777777" w:rsidR="00857499" w:rsidRPr="00A74CDF" w:rsidRDefault="00857499" w:rsidP="00BB1388">
            <w:pPr>
              <w:spacing w:line="480" w:lineRule="auto"/>
              <w:contextualSpacing/>
              <w:jc w:val="center"/>
              <w:rPr>
                <w:rFonts w:eastAsia="맑은 고딕"/>
                <w:b/>
                <w:bCs/>
                <w:color w:val="000000"/>
              </w:rPr>
            </w:pPr>
          </w:p>
        </w:tc>
        <w:tc>
          <w:tcPr>
            <w:tcW w:w="654" w:type="pct"/>
            <w:vMerge w:val="restart"/>
            <w:tcBorders>
              <w:top w:val="nil"/>
              <w:left w:val="nil"/>
              <w:bottom w:val="single" w:sz="8" w:space="0" w:color="000000"/>
              <w:right w:val="nil"/>
            </w:tcBorders>
            <w:shd w:val="clear" w:color="auto" w:fill="auto"/>
            <w:vAlign w:val="center"/>
            <w:hideMark/>
          </w:tcPr>
          <w:p w14:paraId="156C6976"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Warfarin</w:t>
            </w:r>
          </w:p>
          <w:p w14:paraId="7B16894A"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(n=17,232)</w:t>
            </w:r>
          </w:p>
        </w:tc>
        <w:tc>
          <w:tcPr>
            <w:tcW w:w="654" w:type="pct"/>
            <w:vMerge w:val="restart"/>
            <w:tcBorders>
              <w:top w:val="nil"/>
              <w:left w:val="nil"/>
              <w:bottom w:val="single" w:sz="8" w:space="0" w:color="000000"/>
              <w:right w:val="nil"/>
            </w:tcBorders>
            <w:shd w:val="clear" w:color="auto" w:fill="auto"/>
            <w:vAlign w:val="center"/>
            <w:hideMark/>
          </w:tcPr>
          <w:p w14:paraId="2A9DC948"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Pooled NOAC</w:t>
            </w:r>
          </w:p>
          <w:p w14:paraId="023F8A21"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(n=24,731)</w:t>
            </w:r>
          </w:p>
        </w:tc>
        <w:tc>
          <w:tcPr>
            <w:tcW w:w="450" w:type="pct"/>
            <w:vMerge w:val="restart"/>
            <w:tcBorders>
              <w:top w:val="nil"/>
              <w:left w:val="nil"/>
              <w:bottom w:val="single" w:sz="8" w:space="0" w:color="000000"/>
              <w:right w:val="nil"/>
            </w:tcBorders>
            <w:shd w:val="clear" w:color="auto" w:fill="auto"/>
            <w:vAlign w:val="center"/>
            <w:hideMark/>
          </w:tcPr>
          <w:p w14:paraId="5AA2C597" w14:textId="77777777" w:rsidR="00857499" w:rsidRPr="00A74CDF" w:rsidRDefault="00857499" w:rsidP="00BB1388">
            <w:pPr>
              <w:spacing w:line="480" w:lineRule="auto"/>
              <w:contextualSpacing/>
              <w:jc w:val="center"/>
              <w:rPr>
                <w:rFonts w:eastAsia="맑은 고딕"/>
                <w:b/>
                <w:bCs/>
                <w:color w:val="000000"/>
              </w:rPr>
            </w:pPr>
            <w:r w:rsidRPr="00A74CDF">
              <w:rPr>
                <w:rFonts w:eastAsia="맑은 고딕"/>
                <w:b/>
                <w:bCs/>
                <w:color w:val="000000"/>
              </w:rPr>
              <w:t>ASD</w:t>
            </w:r>
          </w:p>
        </w:tc>
      </w:tr>
      <w:tr w:rsidR="00857499" w:rsidRPr="00A74CDF" w14:paraId="382F3555" w14:textId="77777777" w:rsidTr="001325F4">
        <w:trPr>
          <w:trHeight w:val="360"/>
        </w:trPr>
        <w:tc>
          <w:tcPr>
            <w:tcW w:w="1364" w:type="pct"/>
            <w:vMerge/>
            <w:tcBorders>
              <w:top w:val="nil"/>
              <w:left w:val="nil"/>
              <w:bottom w:val="single" w:sz="8" w:space="0" w:color="000000"/>
              <w:right w:val="nil"/>
            </w:tcBorders>
            <w:vAlign w:val="center"/>
            <w:hideMark/>
          </w:tcPr>
          <w:p w14:paraId="0CCEC40C" w14:textId="77777777" w:rsidR="00857499" w:rsidRPr="00A74CDF" w:rsidRDefault="00857499" w:rsidP="00BB1388">
            <w:pPr>
              <w:spacing w:line="480" w:lineRule="auto"/>
              <w:contextualSpacing/>
              <w:rPr>
                <w:rFonts w:eastAsia="맑은 고딕"/>
                <w:b/>
                <w:bCs/>
                <w:color w:val="000000"/>
              </w:rPr>
            </w:pPr>
          </w:p>
        </w:tc>
        <w:tc>
          <w:tcPr>
            <w:tcW w:w="654" w:type="pct"/>
            <w:vMerge/>
            <w:tcBorders>
              <w:left w:val="nil"/>
              <w:bottom w:val="single" w:sz="8" w:space="0" w:color="auto"/>
              <w:right w:val="nil"/>
            </w:tcBorders>
            <w:shd w:val="clear" w:color="auto" w:fill="auto"/>
            <w:vAlign w:val="center"/>
            <w:hideMark/>
          </w:tcPr>
          <w:p w14:paraId="7343BC26" w14:textId="77777777" w:rsidR="00857499" w:rsidRPr="00A74CDF" w:rsidRDefault="00857499" w:rsidP="00BB1388">
            <w:pPr>
              <w:spacing w:line="480" w:lineRule="auto"/>
              <w:contextualSpacing/>
              <w:jc w:val="center"/>
              <w:rPr>
                <w:rFonts w:eastAsia="맑은 고딕"/>
                <w:b/>
                <w:bCs/>
                <w:color w:val="000000"/>
              </w:rPr>
            </w:pPr>
          </w:p>
        </w:tc>
        <w:tc>
          <w:tcPr>
            <w:tcW w:w="654" w:type="pct"/>
            <w:vMerge/>
            <w:tcBorders>
              <w:left w:val="nil"/>
              <w:bottom w:val="single" w:sz="8" w:space="0" w:color="auto"/>
              <w:right w:val="nil"/>
            </w:tcBorders>
            <w:shd w:val="clear" w:color="auto" w:fill="auto"/>
            <w:vAlign w:val="center"/>
            <w:hideMark/>
          </w:tcPr>
          <w:p w14:paraId="0895FC10" w14:textId="77777777" w:rsidR="00857499" w:rsidRPr="00A74CDF" w:rsidRDefault="00857499" w:rsidP="00BB1388">
            <w:pPr>
              <w:spacing w:line="480" w:lineRule="auto"/>
              <w:contextualSpacing/>
              <w:jc w:val="center"/>
              <w:rPr>
                <w:rFonts w:eastAsia="맑은 고딕"/>
                <w:b/>
                <w:bCs/>
                <w:color w:val="000000"/>
              </w:rPr>
            </w:pPr>
          </w:p>
        </w:tc>
        <w:tc>
          <w:tcPr>
            <w:tcW w:w="450" w:type="pct"/>
            <w:vMerge/>
            <w:tcBorders>
              <w:top w:val="nil"/>
              <w:left w:val="nil"/>
              <w:bottom w:val="single" w:sz="8" w:space="0" w:color="000000"/>
              <w:right w:val="nil"/>
            </w:tcBorders>
            <w:vAlign w:val="center"/>
            <w:hideMark/>
          </w:tcPr>
          <w:p w14:paraId="7CF3A7D5" w14:textId="77777777" w:rsidR="00857499" w:rsidRPr="00A74CDF" w:rsidRDefault="00857499" w:rsidP="00BB1388">
            <w:pPr>
              <w:spacing w:line="480" w:lineRule="auto"/>
              <w:contextualSpacing/>
              <w:rPr>
                <w:rFonts w:eastAsia="맑은 고딕"/>
                <w:b/>
                <w:bCs/>
                <w:color w:val="000000"/>
              </w:rPr>
            </w:pPr>
          </w:p>
        </w:tc>
        <w:tc>
          <w:tcPr>
            <w:tcW w:w="120" w:type="pct"/>
            <w:tcBorders>
              <w:top w:val="nil"/>
              <w:left w:val="nil"/>
              <w:bottom w:val="nil"/>
              <w:right w:val="nil"/>
            </w:tcBorders>
            <w:shd w:val="clear" w:color="auto" w:fill="auto"/>
            <w:vAlign w:val="center"/>
            <w:hideMark/>
          </w:tcPr>
          <w:p w14:paraId="2A7A9529" w14:textId="77777777" w:rsidR="00857499" w:rsidRPr="00A74CDF" w:rsidRDefault="00857499" w:rsidP="00BB1388">
            <w:pPr>
              <w:spacing w:line="480" w:lineRule="auto"/>
              <w:contextualSpacing/>
              <w:jc w:val="center"/>
              <w:rPr>
                <w:rFonts w:eastAsia="맑은 고딕"/>
                <w:b/>
                <w:bCs/>
                <w:color w:val="000000"/>
              </w:rPr>
            </w:pPr>
          </w:p>
        </w:tc>
        <w:tc>
          <w:tcPr>
            <w:tcW w:w="654" w:type="pct"/>
            <w:vMerge/>
            <w:tcBorders>
              <w:top w:val="nil"/>
              <w:left w:val="nil"/>
              <w:bottom w:val="single" w:sz="8" w:space="0" w:color="000000"/>
              <w:right w:val="nil"/>
            </w:tcBorders>
            <w:vAlign w:val="center"/>
            <w:hideMark/>
          </w:tcPr>
          <w:p w14:paraId="3BB90642" w14:textId="77777777" w:rsidR="00857499" w:rsidRPr="00A74CDF" w:rsidRDefault="00857499" w:rsidP="00BB1388">
            <w:pPr>
              <w:spacing w:line="480" w:lineRule="auto"/>
              <w:contextualSpacing/>
              <w:rPr>
                <w:rFonts w:eastAsia="맑은 고딕"/>
                <w:b/>
                <w:bCs/>
                <w:color w:val="000000"/>
              </w:rPr>
            </w:pPr>
          </w:p>
        </w:tc>
        <w:tc>
          <w:tcPr>
            <w:tcW w:w="654" w:type="pct"/>
            <w:vMerge/>
            <w:tcBorders>
              <w:top w:val="nil"/>
              <w:left w:val="nil"/>
              <w:bottom w:val="single" w:sz="8" w:space="0" w:color="000000"/>
              <w:right w:val="nil"/>
            </w:tcBorders>
            <w:vAlign w:val="center"/>
            <w:hideMark/>
          </w:tcPr>
          <w:p w14:paraId="4431ECF1" w14:textId="77777777" w:rsidR="00857499" w:rsidRPr="00A74CDF" w:rsidRDefault="00857499" w:rsidP="00BB1388">
            <w:pPr>
              <w:spacing w:line="480" w:lineRule="auto"/>
              <w:contextualSpacing/>
              <w:rPr>
                <w:rFonts w:eastAsia="맑은 고딕"/>
                <w:b/>
                <w:bCs/>
                <w:color w:val="000000"/>
              </w:rPr>
            </w:pPr>
          </w:p>
        </w:tc>
        <w:tc>
          <w:tcPr>
            <w:tcW w:w="450" w:type="pct"/>
            <w:vMerge/>
            <w:tcBorders>
              <w:top w:val="nil"/>
              <w:left w:val="nil"/>
              <w:bottom w:val="single" w:sz="8" w:space="0" w:color="000000"/>
              <w:right w:val="nil"/>
            </w:tcBorders>
            <w:vAlign w:val="center"/>
            <w:hideMark/>
          </w:tcPr>
          <w:p w14:paraId="4A5BA0A8" w14:textId="77777777" w:rsidR="00857499" w:rsidRPr="00A74CDF" w:rsidRDefault="00857499" w:rsidP="00BB1388">
            <w:pPr>
              <w:spacing w:line="480" w:lineRule="auto"/>
              <w:contextualSpacing/>
              <w:rPr>
                <w:rFonts w:eastAsia="맑은 고딕"/>
                <w:b/>
                <w:bCs/>
                <w:color w:val="000000"/>
              </w:rPr>
            </w:pPr>
          </w:p>
        </w:tc>
      </w:tr>
      <w:tr w:rsidR="00857499" w:rsidRPr="00A74CDF" w14:paraId="1EC2DF52" w14:textId="77777777" w:rsidTr="001325F4">
        <w:trPr>
          <w:trHeight w:val="340"/>
        </w:trPr>
        <w:tc>
          <w:tcPr>
            <w:tcW w:w="1364" w:type="pct"/>
            <w:tcBorders>
              <w:top w:val="nil"/>
              <w:left w:val="nil"/>
              <w:bottom w:val="nil"/>
              <w:right w:val="nil"/>
            </w:tcBorders>
            <w:shd w:val="clear" w:color="auto" w:fill="auto"/>
            <w:vAlign w:val="center"/>
            <w:hideMark/>
          </w:tcPr>
          <w:p w14:paraId="061DD1BA"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Age, years</w:t>
            </w:r>
          </w:p>
        </w:tc>
        <w:tc>
          <w:tcPr>
            <w:tcW w:w="654" w:type="pct"/>
            <w:tcBorders>
              <w:top w:val="nil"/>
              <w:left w:val="nil"/>
              <w:bottom w:val="nil"/>
              <w:right w:val="nil"/>
            </w:tcBorders>
            <w:shd w:val="clear" w:color="auto" w:fill="auto"/>
            <w:noWrap/>
            <w:vAlign w:val="center"/>
            <w:hideMark/>
          </w:tcPr>
          <w:p w14:paraId="410389DD" w14:textId="77777777" w:rsidR="00857499" w:rsidRPr="00A74CDF" w:rsidRDefault="00857499" w:rsidP="00BB1388">
            <w:pPr>
              <w:spacing w:line="480" w:lineRule="auto"/>
              <w:contextualSpacing/>
              <w:rPr>
                <w:rFonts w:eastAsia="맑은 고딕"/>
                <w:b/>
                <w:bCs/>
                <w:color w:val="000000"/>
              </w:rPr>
            </w:pPr>
          </w:p>
        </w:tc>
        <w:tc>
          <w:tcPr>
            <w:tcW w:w="654" w:type="pct"/>
            <w:tcBorders>
              <w:top w:val="nil"/>
              <w:left w:val="nil"/>
              <w:bottom w:val="nil"/>
              <w:right w:val="nil"/>
            </w:tcBorders>
            <w:shd w:val="clear" w:color="auto" w:fill="auto"/>
            <w:noWrap/>
            <w:vAlign w:val="center"/>
            <w:hideMark/>
          </w:tcPr>
          <w:p w14:paraId="3FCCAD17"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2A1921F9" w14:textId="77777777" w:rsidR="00857499" w:rsidRPr="00A74CDF" w:rsidRDefault="00857499" w:rsidP="00BB1388">
            <w:pPr>
              <w:spacing w:line="480" w:lineRule="auto"/>
              <w:contextualSpacing/>
              <w:jc w:val="center"/>
            </w:pPr>
          </w:p>
        </w:tc>
        <w:tc>
          <w:tcPr>
            <w:tcW w:w="120" w:type="pct"/>
            <w:tcBorders>
              <w:top w:val="nil"/>
              <w:left w:val="nil"/>
              <w:bottom w:val="nil"/>
              <w:right w:val="nil"/>
            </w:tcBorders>
            <w:shd w:val="clear" w:color="auto" w:fill="auto"/>
            <w:noWrap/>
            <w:vAlign w:val="center"/>
            <w:hideMark/>
          </w:tcPr>
          <w:p w14:paraId="21392666"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2882E1D6"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401E8CDC"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6F0E9DA6" w14:textId="77777777" w:rsidR="00857499" w:rsidRPr="00A74CDF" w:rsidRDefault="00857499" w:rsidP="00BB1388">
            <w:pPr>
              <w:spacing w:line="480" w:lineRule="auto"/>
              <w:contextualSpacing/>
              <w:jc w:val="center"/>
            </w:pPr>
          </w:p>
        </w:tc>
      </w:tr>
      <w:tr w:rsidR="00857499" w:rsidRPr="00A74CDF" w14:paraId="159DCE4C" w14:textId="77777777" w:rsidTr="001325F4">
        <w:trPr>
          <w:trHeight w:val="340"/>
        </w:trPr>
        <w:tc>
          <w:tcPr>
            <w:tcW w:w="1364" w:type="pct"/>
            <w:tcBorders>
              <w:top w:val="nil"/>
              <w:left w:val="nil"/>
              <w:bottom w:val="nil"/>
              <w:right w:val="nil"/>
            </w:tcBorders>
            <w:shd w:val="clear" w:color="auto" w:fill="auto"/>
            <w:vAlign w:val="center"/>
            <w:hideMark/>
          </w:tcPr>
          <w:p w14:paraId="34FE0390"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Mean±SD</w:t>
            </w:r>
          </w:p>
        </w:tc>
        <w:tc>
          <w:tcPr>
            <w:tcW w:w="654" w:type="pct"/>
            <w:tcBorders>
              <w:top w:val="nil"/>
              <w:left w:val="nil"/>
              <w:bottom w:val="nil"/>
              <w:right w:val="nil"/>
            </w:tcBorders>
            <w:shd w:val="clear" w:color="auto" w:fill="auto"/>
            <w:vAlign w:val="center"/>
            <w:hideMark/>
          </w:tcPr>
          <w:p w14:paraId="0FDB7CB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69.7±11.0</w:t>
            </w:r>
          </w:p>
        </w:tc>
        <w:tc>
          <w:tcPr>
            <w:tcW w:w="654" w:type="pct"/>
            <w:tcBorders>
              <w:top w:val="nil"/>
              <w:left w:val="nil"/>
              <w:bottom w:val="nil"/>
              <w:right w:val="nil"/>
            </w:tcBorders>
            <w:shd w:val="clear" w:color="auto" w:fill="auto"/>
            <w:vAlign w:val="center"/>
            <w:hideMark/>
          </w:tcPr>
          <w:p w14:paraId="724B297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72.9±9.4</w:t>
            </w:r>
          </w:p>
        </w:tc>
        <w:tc>
          <w:tcPr>
            <w:tcW w:w="450" w:type="pct"/>
            <w:tcBorders>
              <w:top w:val="nil"/>
              <w:left w:val="nil"/>
              <w:bottom w:val="nil"/>
              <w:right w:val="nil"/>
            </w:tcBorders>
            <w:shd w:val="clear" w:color="auto" w:fill="auto"/>
            <w:vAlign w:val="center"/>
            <w:hideMark/>
          </w:tcPr>
          <w:p w14:paraId="488225DA"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0.310</w:t>
            </w:r>
          </w:p>
        </w:tc>
        <w:tc>
          <w:tcPr>
            <w:tcW w:w="120" w:type="pct"/>
            <w:tcBorders>
              <w:top w:val="nil"/>
              <w:left w:val="nil"/>
              <w:bottom w:val="nil"/>
              <w:right w:val="nil"/>
            </w:tcBorders>
            <w:shd w:val="clear" w:color="auto" w:fill="auto"/>
            <w:vAlign w:val="center"/>
            <w:hideMark/>
          </w:tcPr>
          <w:p w14:paraId="43F2E673" w14:textId="77777777" w:rsidR="00857499" w:rsidRPr="00A74CDF" w:rsidRDefault="00857499" w:rsidP="00BB1388">
            <w:pPr>
              <w:spacing w:line="480" w:lineRule="auto"/>
              <w:contextualSpacing/>
              <w:jc w:val="center"/>
              <w:rPr>
                <w:rFonts w:eastAsia="맑은 고딕"/>
                <w:color w:val="FF0000"/>
              </w:rPr>
            </w:pPr>
          </w:p>
        </w:tc>
        <w:tc>
          <w:tcPr>
            <w:tcW w:w="654" w:type="pct"/>
            <w:tcBorders>
              <w:top w:val="nil"/>
              <w:left w:val="nil"/>
              <w:bottom w:val="nil"/>
              <w:right w:val="nil"/>
            </w:tcBorders>
            <w:shd w:val="clear" w:color="auto" w:fill="auto"/>
            <w:hideMark/>
          </w:tcPr>
          <w:p w14:paraId="587FA3D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71.8±10.4</w:t>
            </w:r>
          </w:p>
        </w:tc>
        <w:tc>
          <w:tcPr>
            <w:tcW w:w="654" w:type="pct"/>
            <w:tcBorders>
              <w:top w:val="nil"/>
              <w:left w:val="nil"/>
              <w:bottom w:val="nil"/>
              <w:right w:val="nil"/>
            </w:tcBorders>
            <w:shd w:val="clear" w:color="auto" w:fill="auto"/>
            <w:hideMark/>
          </w:tcPr>
          <w:p w14:paraId="33BD55A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71.8±9.9</w:t>
            </w:r>
          </w:p>
        </w:tc>
        <w:tc>
          <w:tcPr>
            <w:tcW w:w="450" w:type="pct"/>
            <w:tcBorders>
              <w:top w:val="nil"/>
              <w:left w:val="nil"/>
              <w:bottom w:val="nil"/>
              <w:right w:val="nil"/>
            </w:tcBorders>
            <w:shd w:val="clear" w:color="auto" w:fill="auto"/>
            <w:hideMark/>
          </w:tcPr>
          <w:p w14:paraId="018CE79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0.001</w:t>
            </w:r>
          </w:p>
        </w:tc>
      </w:tr>
      <w:tr w:rsidR="00857499" w:rsidRPr="00A74CDF" w14:paraId="0088440A" w14:textId="77777777" w:rsidTr="001325F4">
        <w:trPr>
          <w:trHeight w:val="340"/>
        </w:trPr>
        <w:tc>
          <w:tcPr>
            <w:tcW w:w="1364" w:type="pct"/>
            <w:tcBorders>
              <w:top w:val="nil"/>
              <w:left w:val="nil"/>
              <w:bottom w:val="nil"/>
              <w:right w:val="nil"/>
            </w:tcBorders>
            <w:shd w:val="clear" w:color="auto" w:fill="auto"/>
            <w:vAlign w:val="center"/>
            <w:hideMark/>
          </w:tcPr>
          <w:p w14:paraId="61FFFACC"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Median (IQR)</w:t>
            </w:r>
          </w:p>
        </w:tc>
        <w:tc>
          <w:tcPr>
            <w:tcW w:w="654" w:type="pct"/>
            <w:tcBorders>
              <w:top w:val="nil"/>
              <w:left w:val="nil"/>
              <w:bottom w:val="nil"/>
              <w:right w:val="nil"/>
            </w:tcBorders>
            <w:shd w:val="clear" w:color="auto" w:fill="auto"/>
            <w:vAlign w:val="center"/>
            <w:hideMark/>
          </w:tcPr>
          <w:p w14:paraId="34454A8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71 (63-77)</w:t>
            </w:r>
          </w:p>
        </w:tc>
        <w:tc>
          <w:tcPr>
            <w:tcW w:w="654" w:type="pct"/>
            <w:tcBorders>
              <w:top w:val="nil"/>
              <w:left w:val="nil"/>
              <w:bottom w:val="nil"/>
              <w:right w:val="nil"/>
            </w:tcBorders>
            <w:shd w:val="clear" w:color="auto" w:fill="auto"/>
            <w:vAlign w:val="center"/>
            <w:hideMark/>
          </w:tcPr>
          <w:p w14:paraId="6147DF5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74 (67-79)</w:t>
            </w:r>
          </w:p>
        </w:tc>
        <w:tc>
          <w:tcPr>
            <w:tcW w:w="450" w:type="pct"/>
            <w:tcBorders>
              <w:top w:val="nil"/>
              <w:left w:val="nil"/>
              <w:bottom w:val="nil"/>
              <w:right w:val="nil"/>
            </w:tcBorders>
            <w:shd w:val="clear" w:color="auto" w:fill="auto"/>
            <w:vAlign w:val="center"/>
            <w:hideMark/>
          </w:tcPr>
          <w:p w14:paraId="1D4F504A"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06C7F842"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noWrap/>
            <w:hideMark/>
          </w:tcPr>
          <w:p w14:paraId="408BB97E"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73 (66-79)</w:t>
            </w:r>
          </w:p>
        </w:tc>
        <w:tc>
          <w:tcPr>
            <w:tcW w:w="654" w:type="pct"/>
            <w:tcBorders>
              <w:top w:val="nil"/>
              <w:left w:val="nil"/>
              <w:bottom w:val="nil"/>
              <w:right w:val="nil"/>
            </w:tcBorders>
            <w:shd w:val="clear" w:color="auto" w:fill="auto"/>
            <w:noWrap/>
            <w:hideMark/>
          </w:tcPr>
          <w:p w14:paraId="4B57F57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73 (66-79)</w:t>
            </w:r>
          </w:p>
        </w:tc>
        <w:tc>
          <w:tcPr>
            <w:tcW w:w="450" w:type="pct"/>
            <w:tcBorders>
              <w:top w:val="nil"/>
              <w:left w:val="nil"/>
              <w:bottom w:val="nil"/>
              <w:right w:val="nil"/>
            </w:tcBorders>
            <w:shd w:val="clear" w:color="auto" w:fill="auto"/>
            <w:vAlign w:val="center"/>
            <w:hideMark/>
          </w:tcPr>
          <w:p w14:paraId="0871604E"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264E3746" w14:textId="77777777" w:rsidTr="001325F4">
        <w:trPr>
          <w:trHeight w:val="340"/>
        </w:trPr>
        <w:tc>
          <w:tcPr>
            <w:tcW w:w="1364" w:type="pct"/>
            <w:tcBorders>
              <w:top w:val="nil"/>
              <w:left w:val="nil"/>
              <w:bottom w:val="nil"/>
              <w:right w:val="nil"/>
            </w:tcBorders>
            <w:shd w:val="clear" w:color="auto" w:fill="auto"/>
            <w:vAlign w:val="center"/>
            <w:hideMark/>
          </w:tcPr>
          <w:p w14:paraId="06A6F3DA"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Men</w:t>
            </w:r>
          </w:p>
        </w:tc>
        <w:tc>
          <w:tcPr>
            <w:tcW w:w="654" w:type="pct"/>
            <w:tcBorders>
              <w:top w:val="nil"/>
              <w:left w:val="nil"/>
              <w:bottom w:val="nil"/>
              <w:right w:val="nil"/>
            </w:tcBorders>
            <w:shd w:val="clear" w:color="auto" w:fill="auto"/>
            <w:vAlign w:val="center"/>
            <w:hideMark/>
          </w:tcPr>
          <w:p w14:paraId="4DE598D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10,279 (59.5)</w:t>
            </w:r>
          </w:p>
        </w:tc>
        <w:tc>
          <w:tcPr>
            <w:tcW w:w="654" w:type="pct"/>
            <w:tcBorders>
              <w:top w:val="nil"/>
              <w:left w:val="nil"/>
              <w:bottom w:val="nil"/>
              <w:right w:val="nil"/>
            </w:tcBorders>
            <w:shd w:val="clear" w:color="auto" w:fill="auto"/>
            <w:vAlign w:val="center"/>
            <w:hideMark/>
          </w:tcPr>
          <w:p w14:paraId="7C260AC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13,659 (55.1)</w:t>
            </w:r>
          </w:p>
        </w:tc>
        <w:tc>
          <w:tcPr>
            <w:tcW w:w="450" w:type="pct"/>
            <w:tcBorders>
              <w:top w:val="nil"/>
              <w:left w:val="nil"/>
              <w:bottom w:val="nil"/>
              <w:right w:val="nil"/>
            </w:tcBorders>
            <w:shd w:val="clear" w:color="auto" w:fill="auto"/>
            <w:hideMark/>
          </w:tcPr>
          <w:p w14:paraId="5A77EFCC"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0.089</w:t>
            </w:r>
          </w:p>
        </w:tc>
        <w:tc>
          <w:tcPr>
            <w:tcW w:w="120" w:type="pct"/>
            <w:tcBorders>
              <w:top w:val="nil"/>
              <w:left w:val="nil"/>
              <w:bottom w:val="nil"/>
              <w:right w:val="nil"/>
            </w:tcBorders>
            <w:shd w:val="clear" w:color="auto" w:fill="auto"/>
            <w:hideMark/>
          </w:tcPr>
          <w:p w14:paraId="463742D8"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510C3B3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9766 (56.7)</w:t>
            </w:r>
          </w:p>
        </w:tc>
        <w:tc>
          <w:tcPr>
            <w:tcW w:w="654" w:type="pct"/>
            <w:tcBorders>
              <w:top w:val="nil"/>
              <w:left w:val="nil"/>
              <w:bottom w:val="nil"/>
              <w:right w:val="nil"/>
            </w:tcBorders>
            <w:shd w:val="clear" w:color="auto" w:fill="auto"/>
            <w:hideMark/>
          </w:tcPr>
          <w:p w14:paraId="5D48E2F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14,079 (56.9)</w:t>
            </w:r>
          </w:p>
        </w:tc>
        <w:tc>
          <w:tcPr>
            <w:tcW w:w="450" w:type="pct"/>
            <w:tcBorders>
              <w:top w:val="nil"/>
              <w:left w:val="nil"/>
              <w:bottom w:val="nil"/>
              <w:right w:val="nil"/>
            </w:tcBorders>
            <w:shd w:val="clear" w:color="auto" w:fill="auto"/>
            <w:hideMark/>
          </w:tcPr>
          <w:p w14:paraId="503898E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0.005</w:t>
            </w:r>
          </w:p>
        </w:tc>
      </w:tr>
      <w:tr w:rsidR="00857499" w:rsidRPr="00A74CDF" w14:paraId="75B79A58" w14:textId="77777777" w:rsidTr="001325F4">
        <w:trPr>
          <w:trHeight w:val="380"/>
        </w:trPr>
        <w:tc>
          <w:tcPr>
            <w:tcW w:w="1364" w:type="pct"/>
            <w:tcBorders>
              <w:top w:val="nil"/>
              <w:left w:val="nil"/>
              <w:bottom w:val="nil"/>
              <w:right w:val="nil"/>
            </w:tcBorders>
            <w:shd w:val="clear" w:color="auto" w:fill="auto"/>
            <w:vAlign w:val="center"/>
            <w:hideMark/>
          </w:tcPr>
          <w:p w14:paraId="21AB471B"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CHA</w:t>
            </w:r>
            <w:r w:rsidRPr="00A74CDF">
              <w:rPr>
                <w:rFonts w:eastAsia="맑은 고딕"/>
                <w:b/>
                <w:bCs/>
                <w:color w:val="000000"/>
                <w:vertAlign w:val="subscript"/>
              </w:rPr>
              <w:t>2</w:t>
            </w:r>
            <w:r w:rsidRPr="00A74CDF">
              <w:rPr>
                <w:rFonts w:eastAsia="맑은 고딕"/>
                <w:b/>
                <w:bCs/>
                <w:color w:val="000000"/>
              </w:rPr>
              <w:t>DS</w:t>
            </w:r>
            <w:r w:rsidRPr="00A74CDF">
              <w:rPr>
                <w:rFonts w:eastAsia="맑은 고딕"/>
                <w:b/>
                <w:bCs/>
                <w:color w:val="000000"/>
                <w:vertAlign w:val="subscript"/>
              </w:rPr>
              <w:t>2</w:t>
            </w:r>
            <w:r w:rsidRPr="00A74CDF">
              <w:rPr>
                <w:rFonts w:eastAsia="맑은 고딕"/>
                <w:b/>
                <w:bCs/>
                <w:color w:val="000000"/>
              </w:rPr>
              <w:t>-VASc score</w:t>
            </w:r>
          </w:p>
        </w:tc>
        <w:tc>
          <w:tcPr>
            <w:tcW w:w="654" w:type="pct"/>
            <w:tcBorders>
              <w:top w:val="nil"/>
              <w:left w:val="nil"/>
              <w:bottom w:val="nil"/>
              <w:right w:val="nil"/>
            </w:tcBorders>
            <w:shd w:val="clear" w:color="auto" w:fill="auto"/>
            <w:noWrap/>
            <w:vAlign w:val="center"/>
            <w:hideMark/>
          </w:tcPr>
          <w:p w14:paraId="42D3A602" w14:textId="77777777" w:rsidR="00857499" w:rsidRPr="00A74CDF" w:rsidRDefault="00857499" w:rsidP="00BB1388">
            <w:pPr>
              <w:spacing w:line="480" w:lineRule="auto"/>
              <w:contextualSpacing/>
              <w:rPr>
                <w:rFonts w:eastAsia="맑은 고딕"/>
                <w:b/>
                <w:bCs/>
                <w:color w:val="000000"/>
              </w:rPr>
            </w:pPr>
          </w:p>
        </w:tc>
        <w:tc>
          <w:tcPr>
            <w:tcW w:w="654" w:type="pct"/>
            <w:tcBorders>
              <w:top w:val="nil"/>
              <w:left w:val="nil"/>
              <w:bottom w:val="nil"/>
              <w:right w:val="nil"/>
            </w:tcBorders>
            <w:shd w:val="clear" w:color="auto" w:fill="auto"/>
            <w:noWrap/>
            <w:vAlign w:val="center"/>
            <w:hideMark/>
          </w:tcPr>
          <w:p w14:paraId="4C947457"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764010BC" w14:textId="77777777" w:rsidR="00857499" w:rsidRPr="00A74CDF" w:rsidRDefault="00857499" w:rsidP="00BB1388">
            <w:pPr>
              <w:spacing w:line="480" w:lineRule="auto"/>
              <w:contextualSpacing/>
              <w:jc w:val="center"/>
              <w:rPr>
                <w:color w:val="000000" w:themeColor="text1"/>
              </w:rPr>
            </w:pPr>
          </w:p>
        </w:tc>
        <w:tc>
          <w:tcPr>
            <w:tcW w:w="120" w:type="pct"/>
            <w:tcBorders>
              <w:top w:val="nil"/>
              <w:left w:val="nil"/>
              <w:bottom w:val="nil"/>
              <w:right w:val="nil"/>
            </w:tcBorders>
            <w:shd w:val="clear" w:color="auto" w:fill="auto"/>
            <w:noWrap/>
            <w:vAlign w:val="center"/>
            <w:hideMark/>
          </w:tcPr>
          <w:p w14:paraId="12CEE20D"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25C2D9FA"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3F3109B6"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574E664E" w14:textId="77777777" w:rsidR="00857499" w:rsidRPr="00A74CDF" w:rsidRDefault="00857499" w:rsidP="00BB1388">
            <w:pPr>
              <w:spacing w:line="480" w:lineRule="auto"/>
              <w:contextualSpacing/>
              <w:jc w:val="center"/>
            </w:pPr>
          </w:p>
        </w:tc>
      </w:tr>
      <w:tr w:rsidR="00857499" w:rsidRPr="00A74CDF" w14:paraId="3D6408BA" w14:textId="77777777" w:rsidTr="001325F4">
        <w:trPr>
          <w:trHeight w:val="340"/>
        </w:trPr>
        <w:tc>
          <w:tcPr>
            <w:tcW w:w="1364" w:type="pct"/>
            <w:tcBorders>
              <w:top w:val="nil"/>
              <w:left w:val="nil"/>
              <w:bottom w:val="nil"/>
              <w:right w:val="nil"/>
            </w:tcBorders>
            <w:shd w:val="clear" w:color="auto" w:fill="auto"/>
            <w:vAlign w:val="center"/>
            <w:hideMark/>
          </w:tcPr>
          <w:p w14:paraId="1FA92445"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Mean±SD</w:t>
            </w:r>
          </w:p>
        </w:tc>
        <w:tc>
          <w:tcPr>
            <w:tcW w:w="654" w:type="pct"/>
            <w:tcBorders>
              <w:top w:val="nil"/>
              <w:left w:val="nil"/>
              <w:bottom w:val="nil"/>
              <w:right w:val="nil"/>
            </w:tcBorders>
            <w:shd w:val="clear" w:color="auto" w:fill="auto"/>
            <w:vAlign w:val="center"/>
            <w:hideMark/>
          </w:tcPr>
          <w:p w14:paraId="36E1401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3.5±1.7</w:t>
            </w:r>
          </w:p>
        </w:tc>
        <w:tc>
          <w:tcPr>
            <w:tcW w:w="654" w:type="pct"/>
            <w:tcBorders>
              <w:top w:val="nil"/>
              <w:left w:val="nil"/>
              <w:bottom w:val="nil"/>
              <w:right w:val="nil"/>
            </w:tcBorders>
            <w:shd w:val="clear" w:color="auto" w:fill="auto"/>
            <w:vAlign w:val="center"/>
            <w:hideMark/>
          </w:tcPr>
          <w:p w14:paraId="7A65523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3.8±1.5</w:t>
            </w:r>
          </w:p>
        </w:tc>
        <w:tc>
          <w:tcPr>
            <w:tcW w:w="450" w:type="pct"/>
            <w:tcBorders>
              <w:top w:val="nil"/>
              <w:left w:val="nil"/>
              <w:bottom w:val="nil"/>
              <w:right w:val="nil"/>
            </w:tcBorders>
            <w:shd w:val="clear" w:color="auto" w:fill="auto"/>
            <w:vAlign w:val="center"/>
            <w:hideMark/>
          </w:tcPr>
          <w:p w14:paraId="1C107608"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0.195</w:t>
            </w:r>
          </w:p>
        </w:tc>
        <w:tc>
          <w:tcPr>
            <w:tcW w:w="120" w:type="pct"/>
            <w:tcBorders>
              <w:top w:val="nil"/>
              <w:left w:val="nil"/>
              <w:bottom w:val="nil"/>
              <w:right w:val="nil"/>
            </w:tcBorders>
            <w:shd w:val="clear" w:color="auto" w:fill="auto"/>
            <w:vAlign w:val="center"/>
            <w:hideMark/>
          </w:tcPr>
          <w:p w14:paraId="3E8CC73B" w14:textId="77777777" w:rsidR="00857499" w:rsidRPr="00A74CDF" w:rsidRDefault="00857499" w:rsidP="00BB1388">
            <w:pPr>
              <w:spacing w:line="480" w:lineRule="auto"/>
              <w:contextualSpacing/>
              <w:jc w:val="center"/>
              <w:rPr>
                <w:rFonts w:eastAsia="맑은 고딕"/>
                <w:color w:val="FF0000"/>
              </w:rPr>
            </w:pPr>
          </w:p>
        </w:tc>
        <w:tc>
          <w:tcPr>
            <w:tcW w:w="654" w:type="pct"/>
            <w:tcBorders>
              <w:top w:val="nil"/>
              <w:left w:val="nil"/>
              <w:bottom w:val="nil"/>
              <w:right w:val="nil"/>
            </w:tcBorders>
            <w:shd w:val="clear" w:color="auto" w:fill="auto"/>
            <w:hideMark/>
          </w:tcPr>
          <w:p w14:paraId="39C3F05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3.7±1.6</w:t>
            </w:r>
          </w:p>
        </w:tc>
        <w:tc>
          <w:tcPr>
            <w:tcW w:w="654" w:type="pct"/>
            <w:tcBorders>
              <w:top w:val="nil"/>
              <w:left w:val="nil"/>
              <w:bottom w:val="nil"/>
              <w:right w:val="nil"/>
            </w:tcBorders>
            <w:shd w:val="clear" w:color="auto" w:fill="auto"/>
            <w:hideMark/>
          </w:tcPr>
          <w:p w14:paraId="2CE8CFA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3.7±1.5</w:t>
            </w:r>
          </w:p>
        </w:tc>
        <w:tc>
          <w:tcPr>
            <w:tcW w:w="450" w:type="pct"/>
            <w:tcBorders>
              <w:top w:val="nil"/>
              <w:left w:val="nil"/>
              <w:bottom w:val="nil"/>
              <w:right w:val="nil"/>
            </w:tcBorders>
            <w:shd w:val="clear" w:color="auto" w:fill="auto"/>
            <w:hideMark/>
          </w:tcPr>
          <w:p w14:paraId="7A73893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0.003</w:t>
            </w:r>
          </w:p>
        </w:tc>
      </w:tr>
      <w:tr w:rsidR="00857499" w:rsidRPr="00A74CDF" w14:paraId="7D02CB9A" w14:textId="77777777" w:rsidTr="001325F4">
        <w:trPr>
          <w:trHeight w:val="340"/>
        </w:trPr>
        <w:tc>
          <w:tcPr>
            <w:tcW w:w="1364" w:type="pct"/>
            <w:tcBorders>
              <w:top w:val="nil"/>
              <w:left w:val="nil"/>
              <w:bottom w:val="nil"/>
              <w:right w:val="nil"/>
            </w:tcBorders>
            <w:shd w:val="clear" w:color="auto" w:fill="auto"/>
            <w:vAlign w:val="center"/>
            <w:hideMark/>
          </w:tcPr>
          <w:p w14:paraId="41AFAA40"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Median (IQR)</w:t>
            </w:r>
          </w:p>
        </w:tc>
        <w:tc>
          <w:tcPr>
            <w:tcW w:w="654" w:type="pct"/>
            <w:tcBorders>
              <w:top w:val="nil"/>
              <w:left w:val="nil"/>
              <w:bottom w:val="nil"/>
              <w:right w:val="nil"/>
            </w:tcBorders>
            <w:shd w:val="clear" w:color="auto" w:fill="auto"/>
            <w:vAlign w:val="center"/>
            <w:hideMark/>
          </w:tcPr>
          <w:p w14:paraId="0B233B8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(2-5)</w:t>
            </w:r>
          </w:p>
        </w:tc>
        <w:tc>
          <w:tcPr>
            <w:tcW w:w="654" w:type="pct"/>
            <w:tcBorders>
              <w:top w:val="nil"/>
              <w:left w:val="nil"/>
              <w:bottom w:val="nil"/>
              <w:right w:val="nil"/>
            </w:tcBorders>
            <w:shd w:val="clear" w:color="auto" w:fill="auto"/>
            <w:vAlign w:val="center"/>
            <w:hideMark/>
          </w:tcPr>
          <w:p w14:paraId="61B09C6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(3-5)</w:t>
            </w:r>
          </w:p>
        </w:tc>
        <w:tc>
          <w:tcPr>
            <w:tcW w:w="450" w:type="pct"/>
            <w:tcBorders>
              <w:top w:val="nil"/>
              <w:left w:val="nil"/>
              <w:bottom w:val="nil"/>
              <w:right w:val="nil"/>
            </w:tcBorders>
            <w:shd w:val="clear" w:color="auto" w:fill="auto"/>
            <w:vAlign w:val="center"/>
            <w:hideMark/>
          </w:tcPr>
          <w:p w14:paraId="4F6D6294"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326B99F7"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noWrap/>
            <w:hideMark/>
          </w:tcPr>
          <w:p w14:paraId="64FE562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(3-5)</w:t>
            </w:r>
          </w:p>
        </w:tc>
        <w:tc>
          <w:tcPr>
            <w:tcW w:w="654" w:type="pct"/>
            <w:tcBorders>
              <w:top w:val="nil"/>
              <w:left w:val="nil"/>
              <w:bottom w:val="nil"/>
              <w:right w:val="nil"/>
            </w:tcBorders>
            <w:shd w:val="clear" w:color="auto" w:fill="auto"/>
            <w:noWrap/>
            <w:hideMark/>
          </w:tcPr>
          <w:p w14:paraId="0C3CADB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(3-5)</w:t>
            </w:r>
          </w:p>
        </w:tc>
        <w:tc>
          <w:tcPr>
            <w:tcW w:w="450" w:type="pct"/>
            <w:tcBorders>
              <w:top w:val="nil"/>
              <w:left w:val="nil"/>
              <w:bottom w:val="nil"/>
              <w:right w:val="nil"/>
            </w:tcBorders>
            <w:shd w:val="clear" w:color="auto" w:fill="auto"/>
            <w:vAlign w:val="center"/>
            <w:hideMark/>
          </w:tcPr>
          <w:p w14:paraId="0EE186F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725823B0" w14:textId="77777777" w:rsidTr="001325F4">
        <w:trPr>
          <w:trHeight w:val="340"/>
        </w:trPr>
        <w:tc>
          <w:tcPr>
            <w:tcW w:w="1364" w:type="pct"/>
            <w:tcBorders>
              <w:top w:val="nil"/>
              <w:left w:val="nil"/>
              <w:bottom w:val="nil"/>
              <w:right w:val="nil"/>
            </w:tcBorders>
            <w:shd w:val="clear" w:color="auto" w:fill="auto"/>
            <w:vAlign w:val="center"/>
            <w:hideMark/>
          </w:tcPr>
          <w:p w14:paraId="6F49BD0B"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0-1</w:t>
            </w:r>
          </w:p>
        </w:tc>
        <w:tc>
          <w:tcPr>
            <w:tcW w:w="654" w:type="pct"/>
            <w:tcBorders>
              <w:top w:val="nil"/>
              <w:left w:val="nil"/>
              <w:bottom w:val="nil"/>
              <w:right w:val="nil"/>
            </w:tcBorders>
            <w:shd w:val="clear" w:color="auto" w:fill="auto"/>
            <w:vAlign w:val="center"/>
            <w:hideMark/>
          </w:tcPr>
          <w:p w14:paraId="7AE630A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2050 (11.9)</w:t>
            </w:r>
          </w:p>
        </w:tc>
        <w:tc>
          <w:tcPr>
            <w:tcW w:w="654" w:type="pct"/>
            <w:tcBorders>
              <w:top w:val="nil"/>
              <w:left w:val="nil"/>
              <w:bottom w:val="nil"/>
              <w:right w:val="nil"/>
            </w:tcBorders>
            <w:shd w:val="clear" w:color="auto" w:fill="auto"/>
            <w:vAlign w:val="center"/>
            <w:hideMark/>
          </w:tcPr>
          <w:p w14:paraId="6BE45E0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1193 (4.8)</w:t>
            </w:r>
          </w:p>
        </w:tc>
        <w:tc>
          <w:tcPr>
            <w:tcW w:w="450" w:type="pct"/>
            <w:tcBorders>
              <w:top w:val="nil"/>
              <w:left w:val="nil"/>
              <w:bottom w:val="nil"/>
              <w:right w:val="nil"/>
            </w:tcBorders>
            <w:shd w:val="clear" w:color="auto" w:fill="auto"/>
            <w:vAlign w:val="center"/>
            <w:hideMark/>
          </w:tcPr>
          <w:p w14:paraId="32F87F79"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023F16B5"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noWrap/>
            <w:hideMark/>
          </w:tcPr>
          <w:p w14:paraId="4956D7C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1575 (9.1)</w:t>
            </w:r>
          </w:p>
        </w:tc>
        <w:tc>
          <w:tcPr>
            <w:tcW w:w="654" w:type="pct"/>
            <w:tcBorders>
              <w:top w:val="nil"/>
              <w:left w:val="nil"/>
              <w:bottom w:val="nil"/>
              <w:right w:val="nil"/>
            </w:tcBorders>
            <w:shd w:val="clear" w:color="auto" w:fill="auto"/>
            <w:noWrap/>
            <w:hideMark/>
          </w:tcPr>
          <w:p w14:paraId="239FAAD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1467 (5.9)</w:t>
            </w:r>
          </w:p>
        </w:tc>
        <w:tc>
          <w:tcPr>
            <w:tcW w:w="450" w:type="pct"/>
            <w:tcBorders>
              <w:top w:val="nil"/>
              <w:left w:val="nil"/>
              <w:bottom w:val="nil"/>
              <w:right w:val="nil"/>
            </w:tcBorders>
            <w:shd w:val="clear" w:color="auto" w:fill="auto"/>
            <w:vAlign w:val="center"/>
            <w:hideMark/>
          </w:tcPr>
          <w:p w14:paraId="3F6A76B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123965C4" w14:textId="77777777" w:rsidTr="001325F4">
        <w:trPr>
          <w:trHeight w:val="340"/>
        </w:trPr>
        <w:tc>
          <w:tcPr>
            <w:tcW w:w="1364" w:type="pct"/>
            <w:tcBorders>
              <w:top w:val="nil"/>
              <w:left w:val="nil"/>
              <w:bottom w:val="nil"/>
              <w:right w:val="nil"/>
            </w:tcBorders>
            <w:shd w:val="clear" w:color="auto" w:fill="auto"/>
            <w:vAlign w:val="center"/>
            <w:hideMark/>
          </w:tcPr>
          <w:p w14:paraId="3A5E0A67"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2-3</w:t>
            </w:r>
          </w:p>
        </w:tc>
        <w:tc>
          <w:tcPr>
            <w:tcW w:w="654" w:type="pct"/>
            <w:tcBorders>
              <w:top w:val="nil"/>
              <w:left w:val="nil"/>
              <w:bottom w:val="nil"/>
              <w:right w:val="nil"/>
            </w:tcBorders>
            <w:shd w:val="clear" w:color="auto" w:fill="auto"/>
            <w:vAlign w:val="center"/>
            <w:hideMark/>
          </w:tcPr>
          <w:p w14:paraId="44C1E7C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6554 (38.0)</w:t>
            </w:r>
          </w:p>
        </w:tc>
        <w:tc>
          <w:tcPr>
            <w:tcW w:w="654" w:type="pct"/>
            <w:tcBorders>
              <w:top w:val="nil"/>
              <w:left w:val="nil"/>
              <w:bottom w:val="nil"/>
              <w:right w:val="nil"/>
            </w:tcBorders>
            <w:shd w:val="clear" w:color="auto" w:fill="auto"/>
            <w:vAlign w:val="center"/>
            <w:hideMark/>
          </w:tcPr>
          <w:p w14:paraId="5DE6DA9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9350 (37.7)</w:t>
            </w:r>
          </w:p>
        </w:tc>
        <w:tc>
          <w:tcPr>
            <w:tcW w:w="450" w:type="pct"/>
            <w:tcBorders>
              <w:top w:val="nil"/>
              <w:left w:val="nil"/>
              <w:bottom w:val="nil"/>
              <w:right w:val="nil"/>
            </w:tcBorders>
            <w:shd w:val="clear" w:color="auto" w:fill="auto"/>
            <w:vAlign w:val="center"/>
            <w:hideMark/>
          </w:tcPr>
          <w:p w14:paraId="7C5CF6B8"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1571FA91"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noWrap/>
            <w:hideMark/>
          </w:tcPr>
          <w:p w14:paraId="50A63AC2"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6008 (34.9)</w:t>
            </w:r>
          </w:p>
        </w:tc>
        <w:tc>
          <w:tcPr>
            <w:tcW w:w="654" w:type="pct"/>
            <w:tcBorders>
              <w:top w:val="nil"/>
              <w:left w:val="nil"/>
              <w:bottom w:val="nil"/>
              <w:right w:val="nil"/>
            </w:tcBorders>
            <w:shd w:val="clear" w:color="auto" w:fill="auto"/>
            <w:noWrap/>
            <w:hideMark/>
          </w:tcPr>
          <w:p w14:paraId="1428F32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9764 (39.5)</w:t>
            </w:r>
          </w:p>
        </w:tc>
        <w:tc>
          <w:tcPr>
            <w:tcW w:w="450" w:type="pct"/>
            <w:tcBorders>
              <w:top w:val="nil"/>
              <w:left w:val="nil"/>
              <w:bottom w:val="nil"/>
              <w:right w:val="nil"/>
            </w:tcBorders>
            <w:shd w:val="clear" w:color="auto" w:fill="auto"/>
            <w:vAlign w:val="center"/>
            <w:hideMark/>
          </w:tcPr>
          <w:p w14:paraId="0204EE5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7C2C2A8B" w14:textId="77777777" w:rsidTr="001325F4">
        <w:trPr>
          <w:trHeight w:val="340"/>
        </w:trPr>
        <w:tc>
          <w:tcPr>
            <w:tcW w:w="1364" w:type="pct"/>
            <w:tcBorders>
              <w:top w:val="nil"/>
              <w:left w:val="nil"/>
              <w:bottom w:val="nil"/>
              <w:right w:val="nil"/>
            </w:tcBorders>
            <w:shd w:val="clear" w:color="auto" w:fill="auto"/>
            <w:vAlign w:val="center"/>
            <w:hideMark/>
          </w:tcPr>
          <w:p w14:paraId="3F01CCF9"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≥4</w:t>
            </w:r>
          </w:p>
        </w:tc>
        <w:tc>
          <w:tcPr>
            <w:tcW w:w="654" w:type="pct"/>
            <w:tcBorders>
              <w:top w:val="nil"/>
              <w:left w:val="nil"/>
              <w:bottom w:val="nil"/>
              <w:right w:val="nil"/>
            </w:tcBorders>
            <w:shd w:val="clear" w:color="auto" w:fill="auto"/>
            <w:vAlign w:val="center"/>
            <w:hideMark/>
          </w:tcPr>
          <w:p w14:paraId="432142D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8663 (50.2)</w:t>
            </w:r>
          </w:p>
        </w:tc>
        <w:tc>
          <w:tcPr>
            <w:tcW w:w="654" w:type="pct"/>
            <w:tcBorders>
              <w:top w:val="nil"/>
              <w:left w:val="nil"/>
              <w:bottom w:val="nil"/>
              <w:right w:val="nil"/>
            </w:tcBorders>
            <w:shd w:val="clear" w:color="auto" w:fill="auto"/>
            <w:vAlign w:val="center"/>
            <w:hideMark/>
          </w:tcPr>
          <w:p w14:paraId="6E0E693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14,238 (57.5)</w:t>
            </w:r>
          </w:p>
        </w:tc>
        <w:tc>
          <w:tcPr>
            <w:tcW w:w="450" w:type="pct"/>
            <w:tcBorders>
              <w:top w:val="nil"/>
              <w:left w:val="nil"/>
              <w:bottom w:val="nil"/>
              <w:right w:val="nil"/>
            </w:tcBorders>
            <w:shd w:val="clear" w:color="auto" w:fill="auto"/>
            <w:vAlign w:val="center"/>
            <w:hideMark/>
          </w:tcPr>
          <w:p w14:paraId="39E7D393"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0DAC91D6"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306373A5"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9684 (56.2)</w:t>
            </w:r>
          </w:p>
        </w:tc>
        <w:tc>
          <w:tcPr>
            <w:tcW w:w="654" w:type="pct"/>
            <w:tcBorders>
              <w:top w:val="nil"/>
              <w:left w:val="nil"/>
              <w:bottom w:val="nil"/>
              <w:right w:val="nil"/>
            </w:tcBorders>
            <w:shd w:val="clear" w:color="auto" w:fill="auto"/>
            <w:hideMark/>
          </w:tcPr>
          <w:p w14:paraId="72583D8E"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13,500 (54.6)</w:t>
            </w:r>
          </w:p>
        </w:tc>
        <w:tc>
          <w:tcPr>
            <w:tcW w:w="450" w:type="pct"/>
            <w:tcBorders>
              <w:top w:val="nil"/>
              <w:left w:val="nil"/>
              <w:bottom w:val="nil"/>
              <w:right w:val="nil"/>
            </w:tcBorders>
            <w:shd w:val="clear" w:color="auto" w:fill="auto"/>
            <w:vAlign w:val="center"/>
            <w:hideMark/>
          </w:tcPr>
          <w:p w14:paraId="3E3E6EC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0BC0C843" w14:textId="77777777" w:rsidTr="001325F4">
        <w:trPr>
          <w:trHeight w:val="340"/>
        </w:trPr>
        <w:tc>
          <w:tcPr>
            <w:tcW w:w="1364" w:type="pct"/>
            <w:tcBorders>
              <w:top w:val="nil"/>
              <w:left w:val="nil"/>
              <w:bottom w:val="nil"/>
              <w:right w:val="nil"/>
            </w:tcBorders>
            <w:shd w:val="clear" w:color="auto" w:fill="auto"/>
            <w:vAlign w:val="center"/>
            <w:hideMark/>
          </w:tcPr>
          <w:p w14:paraId="4569126D"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HAS-BLED score</w:t>
            </w:r>
            <w:r w:rsidRPr="00A74CDF">
              <w:rPr>
                <w:rFonts w:eastAsia="맑은 고딕"/>
                <w:b/>
                <w:bCs/>
                <w:color w:val="000000"/>
                <w:vertAlign w:val="superscript"/>
              </w:rPr>
              <w:t>*</w:t>
            </w:r>
          </w:p>
        </w:tc>
        <w:tc>
          <w:tcPr>
            <w:tcW w:w="654" w:type="pct"/>
            <w:tcBorders>
              <w:top w:val="nil"/>
              <w:left w:val="nil"/>
              <w:bottom w:val="nil"/>
              <w:right w:val="nil"/>
            </w:tcBorders>
            <w:shd w:val="clear" w:color="auto" w:fill="auto"/>
            <w:noWrap/>
            <w:vAlign w:val="center"/>
            <w:hideMark/>
          </w:tcPr>
          <w:p w14:paraId="6AF4CA38" w14:textId="77777777" w:rsidR="00857499" w:rsidRPr="00A74CDF" w:rsidRDefault="00857499" w:rsidP="00BB1388">
            <w:pPr>
              <w:spacing w:line="480" w:lineRule="auto"/>
              <w:contextualSpacing/>
              <w:rPr>
                <w:rFonts w:eastAsia="맑은 고딕"/>
                <w:b/>
                <w:bCs/>
                <w:color w:val="000000"/>
              </w:rPr>
            </w:pPr>
          </w:p>
        </w:tc>
        <w:tc>
          <w:tcPr>
            <w:tcW w:w="654" w:type="pct"/>
            <w:tcBorders>
              <w:top w:val="nil"/>
              <w:left w:val="nil"/>
              <w:bottom w:val="nil"/>
              <w:right w:val="nil"/>
            </w:tcBorders>
            <w:shd w:val="clear" w:color="auto" w:fill="auto"/>
            <w:noWrap/>
            <w:vAlign w:val="center"/>
            <w:hideMark/>
          </w:tcPr>
          <w:p w14:paraId="4BFEB264"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050E7D79" w14:textId="77777777" w:rsidR="00857499" w:rsidRPr="00A74CDF" w:rsidRDefault="00857499" w:rsidP="00BB1388">
            <w:pPr>
              <w:spacing w:line="480" w:lineRule="auto"/>
              <w:contextualSpacing/>
              <w:jc w:val="center"/>
              <w:rPr>
                <w:color w:val="000000" w:themeColor="text1"/>
              </w:rPr>
            </w:pPr>
          </w:p>
        </w:tc>
        <w:tc>
          <w:tcPr>
            <w:tcW w:w="120" w:type="pct"/>
            <w:tcBorders>
              <w:top w:val="nil"/>
              <w:left w:val="nil"/>
              <w:bottom w:val="nil"/>
              <w:right w:val="nil"/>
            </w:tcBorders>
            <w:shd w:val="clear" w:color="auto" w:fill="auto"/>
            <w:noWrap/>
            <w:vAlign w:val="center"/>
            <w:hideMark/>
          </w:tcPr>
          <w:p w14:paraId="17F047F4"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78050992"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744D0D23"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4AFDF585" w14:textId="77777777" w:rsidR="00857499" w:rsidRPr="00A74CDF" w:rsidRDefault="00857499" w:rsidP="00BB1388">
            <w:pPr>
              <w:spacing w:line="480" w:lineRule="auto"/>
              <w:contextualSpacing/>
              <w:jc w:val="center"/>
            </w:pPr>
          </w:p>
        </w:tc>
      </w:tr>
      <w:tr w:rsidR="00857499" w:rsidRPr="00A74CDF" w14:paraId="1D7BC7DD" w14:textId="77777777" w:rsidTr="001325F4">
        <w:trPr>
          <w:trHeight w:val="340"/>
        </w:trPr>
        <w:tc>
          <w:tcPr>
            <w:tcW w:w="1364" w:type="pct"/>
            <w:tcBorders>
              <w:top w:val="nil"/>
              <w:left w:val="nil"/>
              <w:bottom w:val="nil"/>
              <w:right w:val="nil"/>
            </w:tcBorders>
            <w:shd w:val="clear" w:color="auto" w:fill="auto"/>
            <w:vAlign w:val="center"/>
            <w:hideMark/>
          </w:tcPr>
          <w:p w14:paraId="7DCF56C0"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Mean±SD</w:t>
            </w:r>
          </w:p>
        </w:tc>
        <w:tc>
          <w:tcPr>
            <w:tcW w:w="654" w:type="pct"/>
            <w:tcBorders>
              <w:top w:val="nil"/>
              <w:left w:val="nil"/>
              <w:bottom w:val="nil"/>
              <w:right w:val="nil"/>
            </w:tcBorders>
            <w:shd w:val="clear" w:color="auto" w:fill="auto"/>
            <w:vAlign w:val="center"/>
            <w:hideMark/>
          </w:tcPr>
          <w:p w14:paraId="16400E9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4.2±1.2</w:t>
            </w:r>
          </w:p>
        </w:tc>
        <w:tc>
          <w:tcPr>
            <w:tcW w:w="654" w:type="pct"/>
            <w:tcBorders>
              <w:top w:val="nil"/>
              <w:left w:val="nil"/>
              <w:bottom w:val="nil"/>
              <w:right w:val="nil"/>
            </w:tcBorders>
            <w:shd w:val="clear" w:color="auto" w:fill="auto"/>
            <w:vAlign w:val="center"/>
            <w:hideMark/>
          </w:tcPr>
          <w:p w14:paraId="327CA706"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4.2±1.2</w:t>
            </w:r>
          </w:p>
        </w:tc>
        <w:tc>
          <w:tcPr>
            <w:tcW w:w="450" w:type="pct"/>
            <w:tcBorders>
              <w:top w:val="nil"/>
              <w:left w:val="nil"/>
              <w:bottom w:val="nil"/>
              <w:right w:val="nil"/>
            </w:tcBorders>
            <w:shd w:val="clear" w:color="auto" w:fill="auto"/>
            <w:vAlign w:val="center"/>
            <w:hideMark/>
          </w:tcPr>
          <w:p w14:paraId="732067CB"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0.007</w:t>
            </w:r>
          </w:p>
        </w:tc>
        <w:tc>
          <w:tcPr>
            <w:tcW w:w="120" w:type="pct"/>
            <w:tcBorders>
              <w:top w:val="nil"/>
              <w:left w:val="nil"/>
              <w:bottom w:val="nil"/>
              <w:right w:val="nil"/>
            </w:tcBorders>
            <w:shd w:val="clear" w:color="auto" w:fill="auto"/>
            <w:vAlign w:val="center"/>
            <w:hideMark/>
          </w:tcPr>
          <w:p w14:paraId="3D3AD60D"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15327B9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4.2±1.2</w:t>
            </w:r>
          </w:p>
        </w:tc>
        <w:tc>
          <w:tcPr>
            <w:tcW w:w="654" w:type="pct"/>
            <w:tcBorders>
              <w:top w:val="nil"/>
              <w:left w:val="nil"/>
              <w:bottom w:val="nil"/>
              <w:right w:val="nil"/>
            </w:tcBorders>
            <w:shd w:val="clear" w:color="auto" w:fill="auto"/>
            <w:hideMark/>
          </w:tcPr>
          <w:p w14:paraId="4CBBA1D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4.2±1.2</w:t>
            </w:r>
          </w:p>
        </w:tc>
        <w:tc>
          <w:tcPr>
            <w:tcW w:w="450" w:type="pct"/>
            <w:tcBorders>
              <w:top w:val="nil"/>
              <w:left w:val="nil"/>
              <w:bottom w:val="nil"/>
              <w:right w:val="nil"/>
            </w:tcBorders>
            <w:shd w:val="clear" w:color="auto" w:fill="auto"/>
            <w:hideMark/>
          </w:tcPr>
          <w:p w14:paraId="553CEDC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0.004</w:t>
            </w:r>
          </w:p>
        </w:tc>
      </w:tr>
      <w:tr w:rsidR="00857499" w:rsidRPr="00A74CDF" w14:paraId="64577F85" w14:textId="77777777" w:rsidTr="001325F4">
        <w:trPr>
          <w:trHeight w:val="340"/>
        </w:trPr>
        <w:tc>
          <w:tcPr>
            <w:tcW w:w="1364" w:type="pct"/>
            <w:tcBorders>
              <w:top w:val="nil"/>
              <w:left w:val="nil"/>
              <w:bottom w:val="nil"/>
              <w:right w:val="nil"/>
            </w:tcBorders>
            <w:shd w:val="clear" w:color="auto" w:fill="auto"/>
            <w:vAlign w:val="center"/>
            <w:hideMark/>
          </w:tcPr>
          <w:p w14:paraId="30AF1C76"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Median (IQR)</w:t>
            </w:r>
          </w:p>
        </w:tc>
        <w:tc>
          <w:tcPr>
            <w:tcW w:w="654" w:type="pct"/>
            <w:tcBorders>
              <w:top w:val="nil"/>
              <w:left w:val="nil"/>
              <w:bottom w:val="nil"/>
              <w:right w:val="nil"/>
            </w:tcBorders>
            <w:shd w:val="clear" w:color="auto" w:fill="auto"/>
            <w:vAlign w:val="center"/>
            <w:hideMark/>
          </w:tcPr>
          <w:p w14:paraId="48E3B70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(3-5)</w:t>
            </w:r>
          </w:p>
        </w:tc>
        <w:tc>
          <w:tcPr>
            <w:tcW w:w="654" w:type="pct"/>
            <w:tcBorders>
              <w:top w:val="nil"/>
              <w:left w:val="nil"/>
              <w:bottom w:val="nil"/>
              <w:right w:val="nil"/>
            </w:tcBorders>
            <w:shd w:val="clear" w:color="auto" w:fill="auto"/>
            <w:vAlign w:val="center"/>
            <w:hideMark/>
          </w:tcPr>
          <w:p w14:paraId="62F1716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(3-5)</w:t>
            </w:r>
          </w:p>
        </w:tc>
        <w:tc>
          <w:tcPr>
            <w:tcW w:w="450" w:type="pct"/>
            <w:tcBorders>
              <w:top w:val="nil"/>
              <w:left w:val="nil"/>
              <w:bottom w:val="nil"/>
              <w:right w:val="nil"/>
            </w:tcBorders>
            <w:shd w:val="clear" w:color="auto" w:fill="auto"/>
            <w:vAlign w:val="center"/>
            <w:hideMark/>
          </w:tcPr>
          <w:p w14:paraId="6398E299"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7B39E16B"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noWrap/>
            <w:hideMark/>
          </w:tcPr>
          <w:p w14:paraId="7689BDE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(3-5)</w:t>
            </w:r>
          </w:p>
        </w:tc>
        <w:tc>
          <w:tcPr>
            <w:tcW w:w="654" w:type="pct"/>
            <w:tcBorders>
              <w:top w:val="nil"/>
              <w:left w:val="nil"/>
              <w:bottom w:val="nil"/>
              <w:right w:val="nil"/>
            </w:tcBorders>
            <w:shd w:val="clear" w:color="auto" w:fill="auto"/>
            <w:noWrap/>
            <w:hideMark/>
          </w:tcPr>
          <w:p w14:paraId="1D4746D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(3-5)</w:t>
            </w:r>
          </w:p>
        </w:tc>
        <w:tc>
          <w:tcPr>
            <w:tcW w:w="450" w:type="pct"/>
            <w:tcBorders>
              <w:top w:val="nil"/>
              <w:left w:val="nil"/>
              <w:bottom w:val="nil"/>
              <w:right w:val="nil"/>
            </w:tcBorders>
            <w:shd w:val="clear" w:color="auto" w:fill="auto"/>
            <w:vAlign w:val="center"/>
            <w:hideMark/>
          </w:tcPr>
          <w:p w14:paraId="5274C286"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643BF60B" w14:textId="77777777" w:rsidTr="001325F4">
        <w:trPr>
          <w:trHeight w:val="340"/>
        </w:trPr>
        <w:tc>
          <w:tcPr>
            <w:tcW w:w="1364" w:type="pct"/>
            <w:tcBorders>
              <w:top w:val="nil"/>
              <w:left w:val="nil"/>
              <w:bottom w:val="nil"/>
              <w:right w:val="nil"/>
            </w:tcBorders>
            <w:shd w:val="clear" w:color="auto" w:fill="auto"/>
            <w:vAlign w:val="center"/>
            <w:hideMark/>
          </w:tcPr>
          <w:p w14:paraId="0BC4004A"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≥3</w:t>
            </w:r>
          </w:p>
        </w:tc>
        <w:tc>
          <w:tcPr>
            <w:tcW w:w="654" w:type="pct"/>
            <w:tcBorders>
              <w:top w:val="nil"/>
              <w:left w:val="nil"/>
              <w:bottom w:val="nil"/>
              <w:right w:val="nil"/>
            </w:tcBorders>
            <w:shd w:val="clear" w:color="auto" w:fill="auto"/>
            <w:vAlign w:val="center"/>
            <w:hideMark/>
          </w:tcPr>
          <w:p w14:paraId="794BCAB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15,822 (91.6)</w:t>
            </w:r>
          </w:p>
        </w:tc>
        <w:tc>
          <w:tcPr>
            <w:tcW w:w="654" w:type="pct"/>
            <w:tcBorders>
              <w:top w:val="nil"/>
              <w:left w:val="nil"/>
              <w:bottom w:val="nil"/>
              <w:right w:val="nil"/>
            </w:tcBorders>
            <w:shd w:val="clear" w:color="auto" w:fill="auto"/>
            <w:vAlign w:val="center"/>
            <w:hideMark/>
          </w:tcPr>
          <w:p w14:paraId="6BAD5C72"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22,851 (92.2)</w:t>
            </w:r>
          </w:p>
        </w:tc>
        <w:tc>
          <w:tcPr>
            <w:tcW w:w="450" w:type="pct"/>
            <w:tcBorders>
              <w:top w:val="nil"/>
              <w:left w:val="nil"/>
              <w:bottom w:val="nil"/>
              <w:right w:val="nil"/>
            </w:tcBorders>
            <w:shd w:val="clear" w:color="auto" w:fill="auto"/>
            <w:vAlign w:val="center"/>
            <w:hideMark/>
          </w:tcPr>
          <w:p w14:paraId="74C06CA2"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1514805C"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4E8D067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15,891 (92.2)</w:t>
            </w:r>
          </w:p>
        </w:tc>
        <w:tc>
          <w:tcPr>
            <w:tcW w:w="654" w:type="pct"/>
            <w:tcBorders>
              <w:top w:val="nil"/>
              <w:left w:val="nil"/>
              <w:bottom w:val="nil"/>
              <w:right w:val="nil"/>
            </w:tcBorders>
            <w:shd w:val="clear" w:color="auto" w:fill="auto"/>
            <w:hideMark/>
          </w:tcPr>
          <w:p w14:paraId="133EC4A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22,771 (92.1)</w:t>
            </w:r>
          </w:p>
        </w:tc>
        <w:tc>
          <w:tcPr>
            <w:tcW w:w="450" w:type="pct"/>
            <w:tcBorders>
              <w:top w:val="nil"/>
              <w:left w:val="nil"/>
              <w:bottom w:val="nil"/>
              <w:right w:val="nil"/>
            </w:tcBorders>
            <w:shd w:val="clear" w:color="auto" w:fill="auto"/>
            <w:vAlign w:val="center"/>
            <w:hideMark/>
          </w:tcPr>
          <w:p w14:paraId="6A0BDD76"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20F4F4D0" w14:textId="77777777" w:rsidTr="001325F4">
        <w:trPr>
          <w:trHeight w:val="340"/>
        </w:trPr>
        <w:tc>
          <w:tcPr>
            <w:tcW w:w="1364" w:type="pct"/>
            <w:tcBorders>
              <w:top w:val="nil"/>
              <w:left w:val="nil"/>
              <w:bottom w:val="nil"/>
              <w:right w:val="nil"/>
            </w:tcBorders>
            <w:shd w:val="clear" w:color="auto" w:fill="auto"/>
            <w:vAlign w:val="center"/>
            <w:hideMark/>
          </w:tcPr>
          <w:p w14:paraId="6B5AFFB3"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CCI </w:t>
            </w:r>
          </w:p>
        </w:tc>
        <w:tc>
          <w:tcPr>
            <w:tcW w:w="654" w:type="pct"/>
            <w:tcBorders>
              <w:top w:val="nil"/>
              <w:left w:val="nil"/>
              <w:bottom w:val="nil"/>
              <w:right w:val="nil"/>
            </w:tcBorders>
            <w:shd w:val="clear" w:color="auto" w:fill="auto"/>
            <w:noWrap/>
            <w:vAlign w:val="center"/>
            <w:hideMark/>
          </w:tcPr>
          <w:p w14:paraId="1D1071F6" w14:textId="77777777" w:rsidR="00857499" w:rsidRPr="00A74CDF" w:rsidRDefault="00857499" w:rsidP="00BB1388">
            <w:pPr>
              <w:spacing w:line="480" w:lineRule="auto"/>
              <w:contextualSpacing/>
              <w:rPr>
                <w:rFonts w:eastAsia="맑은 고딕"/>
                <w:b/>
                <w:bCs/>
                <w:color w:val="000000"/>
              </w:rPr>
            </w:pPr>
          </w:p>
        </w:tc>
        <w:tc>
          <w:tcPr>
            <w:tcW w:w="654" w:type="pct"/>
            <w:tcBorders>
              <w:top w:val="nil"/>
              <w:left w:val="nil"/>
              <w:bottom w:val="nil"/>
              <w:right w:val="nil"/>
            </w:tcBorders>
            <w:shd w:val="clear" w:color="auto" w:fill="auto"/>
            <w:noWrap/>
            <w:vAlign w:val="center"/>
            <w:hideMark/>
          </w:tcPr>
          <w:p w14:paraId="1AF0AEA1"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1E681C2D" w14:textId="77777777" w:rsidR="00857499" w:rsidRPr="00A74CDF" w:rsidRDefault="00857499" w:rsidP="00BB1388">
            <w:pPr>
              <w:spacing w:line="480" w:lineRule="auto"/>
              <w:contextualSpacing/>
              <w:jc w:val="center"/>
              <w:rPr>
                <w:color w:val="000000" w:themeColor="text1"/>
              </w:rPr>
            </w:pPr>
          </w:p>
        </w:tc>
        <w:tc>
          <w:tcPr>
            <w:tcW w:w="120" w:type="pct"/>
            <w:tcBorders>
              <w:top w:val="nil"/>
              <w:left w:val="nil"/>
              <w:bottom w:val="nil"/>
              <w:right w:val="nil"/>
            </w:tcBorders>
            <w:shd w:val="clear" w:color="auto" w:fill="auto"/>
            <w:noWrap/>
            <w:vAlign w:val="center"/>
            <w:hideMark/>
          </w:tcPr>
          <w:p w14:paraId="1B0D9AFB"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73FF3E3C"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noWrap/>
            <w:vAlign w:val="center"/>
            <w:hideMark/>
          </w:tcPr>
          <w:p w14:paraId="220386B3"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noWrap/>
            <w:vAlign w:val="center"/>
            <w:hideMark/>
          </w:tcPr>
          <w:p w14:paraId="7C534116" w14:textId="77777777" w:rsidR="00857499" w:rsidRPr="00A74CDF" w:rsidRDefault="00857499" w:rsidP="00BB1388">
            <w:pPr>
              <w:spacing w:line="480" w:lineRule="auto"/>
              <w:contextualSpacing/>
              <w:jc w:val="center"/>
            </w:pPr>
          </w:p>
        </w:tc>
      </w:tr>
      <w:tr w:rsidR="00857499" w:rsidRPr="00A74CDF" w14:paraId="19CADB8E" w14:textId="77777777" w:rsidTr="001325F4">
        <w:trPr>
          <w:trHeight w:val="340"/>
        </w:trPr>
        <w:tc>
          <w:tcPr>
            <w:tcW w:w="1364" w:type="pct"/>
            <w:tcBorders>
              <w:top w:val="nil"/>
              <w:left w:val="nil"/>
              <w:bottom w:val="nil"/>
              <w:right w:val="nil"/>
            </w:tcBorders>
            <w:shd w:val="clear" w:color="auto" w:fill="auto"/>
            <w:vAlign w:val="center"/>
            <w:hideMark/>
          </w:tcPr>
          <w:p w14:paraId="706080F0"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Mean±SD</w:t>
            </w:r>
          </w:p>
        </w:tc>
        <w:tc>
          <w:tcPr>
            <w:tcW w:w="654" w:type="pct"/>
            <w:tcBorders>
              <w:top w:val="nil"/>
              <w:left w:val="nil"/>
              <w:bottom w:val="nil"/>
              <w:right w:val="nil"/>
            </w:tcBorders>
            <w:shd w:val="clear" w:color="auto" w:fill="auto"/>
            <w:vAlign w:val="center"/>
            <w:hideMark/>
          </w:tcPr>
          <w:p w14:paraId="413F6BE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4.6±2.7</w:t>
            </w:r>
          </w:p>
        </w:tc>
        <w:tc>
          <w:tcPr>
            <w:tcW w:w="654" w:type="pct"/>
            <w:tcBorders>
              <w:top w:val="nil"/>
              <w:left w:val="nil"/>
              <w:bottom w:val="nil"/>
              <w:right w:val="nil"/>
            </w:tcBorders>
            <w:shd w:val="clear" w:color="auto" w:fill="auto"/>
            <w:vAlign w:val="center"/>
            <w:hideMark/>
          </w:tcPr>
          <w:p w14:paraId="391C3CF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4.4±2.5</w:t>
            </w:r>
          </w:p>
        </w:tc>
        <w:tc>
          <w:tcPr>
            <w:tcW w:w="450" w:type="pct"/>
            <w:tcBorders>
              <w:top w:val="nil"/>
              <w:left w:val="nil"/>
              <w:bottom w:val="nil"/>
              <w:right w:val="nil"/>
            </w:tcBorders>
            <w:shd w:val="clear" w:color="auto" w:fill="auto"/>
            <w:vAlign w:val="center"/>
            <w:hideMark/>
          </w:tcPr>
          <w:p w14:paraId="0B5A94DD"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0.067</w:t>
            </w:r>
          </w:p>
        </w:tc>
        <w:tc>
          <w:tcPr>
            <w:tcW w:w="120" w:type="pct"/>
            <w:tcBorders>
              <w:top w:val="nil"/>
              <w:left w:val="nil"/>
              <w:bottom w:val="nil"/>
              <w:right w:val="nil"/>
            </w:tcBorders>
            <w:shd w:val="clear" w:color="auto" w:fill="auto"/>
            <w:vAlign w:val="center"/>
            <w:hideMark/>
          </w:tcPr>
          <w:p w14:paraId="2D0D9550"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7D25EC4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4.5±2.6</w:t>
            </w:r>
          </w:p>
        </w:tc>
        <w:tc>
          <w:tcPr>
            <w:tcW w:w="654" w:type="pct"/>
            <w:tcBorders>
              <w:top w:val="nil"/>
              <w:left w:val="nil"/>
              <w:bottom w:val="nil"/>
              <w:right w:val="nil"/>
            </w:tcBorders>
            <w:shd w:val="clear" w:color="auto" w:fill="auto"/>
            <w:hideMark/>
          </w:tcPr>
          <w:p w14:paraId="32E69EA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4.5±2.6</w:t>
            </w:r>
          </w:p>
        </w:tc>
        <w:tc>
          <w:tcPr>
            <w:tcW w:w="450" w:type="pct"/>
            <w:tcBorders>
              <w:top w:val="nil"/>
              <w:left w:val="nil"/>
              <w:bottom w:val="nil"/>
              <w:right w:val="nil"/>
            </w:tcBorders>
            <w:shd w:val="clear" w:color="auto" w:fill="auto"/>
            <w:hideMark/>
          </w:tcPr>
          <w:p w14:paraId="54609F4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0.001</w:t>
            </w:r>
          </w:p>
        </w:tc>
      </w:tr>
      <w:tr w:rsidR="00857499" w:rsidRPr="00A74CDF" w14:paraId="1A5CD96F" w14:textId="77777777" w:rsidTr="001325F4">
        <w:trPr>
          <w:trHeight w:val="340"/>
        </w:trPr>
        <w:tc>
          <w:tcPr>
            <w:tcW w:w="1364" w:type="pct"/>
            <w:tcBorders>
              <w:top w:val="nil"/>
              <w:left w:val="nil"/>
              <w:bottom w:val="nil"/>
              <w:right w:val="nil"/>
            </w:tcBorders>
            <w:shd w:val="clear" w:color="auto" w:fill="auto"/>
            <w:vAlign w:val="center"/>
            <w:hideMark/>
          </w:tcPr>
          <w:p w14:paraId="1655A6FD"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Median (IQR)</w:t>
            </w:r>
          </w:p>
        </w:tc>
        <w:tc>
          <w:tcPr>
            <w:tcW w:w="654" w:type="pct"/>
            <w:tcBorders>
              <w:top w:val="nil"/>
              <w:left w:val="nil"/>
              <w:bottom w:val="nil"/>
              <w:right w:val="nil"/>
            </w:tcBorders>
            <w:shd w:val="clear" w:color="auto" w:fill="auto"/>
            <w:vAlign w:val="center"/>
            <w:hideMark/>
          </w:tcPr>
          <w:p w14:paraId="6EF3E79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(3-6)</w:t>
            </w:r>
          </w:p>
        </w:tc>
        <w:tc>
          <w:tcPr>
            <w:tcW w:w="654" w:type="pct"/>
            <w:tcBorders>
              <w:top w:val="nil"/>
              <w:left w:val="nil"/>
              <w:bottom w:val="nil"/>
              <w:right w:val="nil"/>
            </w:tcBorders>
            <w:shd w:val="clear" w:color="auto" w:fill="auto"/>
            <w:vAlign w:val="center"/>
            <w:hideMark/>
          </w:tcPr>
          <w:p w14:paraId="1E076D3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(3-6)</w:t>
            </w:r>
          </w:p>
        </w:tc>
        <w:tc>
          <w:tcPr>
            <w:tcW w:w="450" w:type="pct"/>
            <w:tcBorders>
              <w:top w:val="nil"/>
              <w:left w:val="nil"/>
              <w:bottom w:val="nil"/>
              <w:right w:val="nil"/>
            </w:tcBorders>
            <w:shd w:val="clear" w:color="auto" w:fill="auto"/>
            <w:vAlign w:val="center"/>
            <w:hideMark/>
          </w:tcPr>
          <w:p w14:paraId="1DF65C42"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0F3E1211"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noWrap/>
            <w:hideMark/>
          </w:tcPr>
          <w:p w14:paraId="5B47D19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(3-6)</w:t>
            </w:r>
          </w:p>
        </w:tc>
        <w:tc>
          <w:tcPr>
            <w:tcW w:w="654" w:type="pct"/>
            <w:tcBorders>
              <w:top w:val="nil"/>
              <w:left w:val="nil"/>
              <w:bottom w:val="nil"/>
              <w:right w:val="nil"/>
            </w:tcBorders>
            <w:shd w:val="clear" w:color="auto" w:fill="auto"/>
            <w:noWrap/>
            <w:hideMark/>
          </w:tcPr>
          <w:p w14:paraId="6D408FA1"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 (3-6)</w:t>
            </w:r>
          </w:p>
        </w:tc>
        <w:tc>
          <w:tcPr>
            <w:tcW w:w="450" w:type="pct"/>
            <w:tcBorders>
              <w:top w:val="nil"/>
              <w:left w:val="nil"/>
              <w:bottom w:val="nil"/>
              <w:right w:val="nil"/>
            </w:tcBorders>
            <w:shd w:val="clear" w:color="auto" w:fill="auto"/>
            <w:vAlign w:val="center"/>
            <w:hideMark/>
          </w:tcPr>
          <w:p w14:paraId="60D3046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516B43B8" w14:textId="77777777" w:rsidTr="001325F4">
        <w:trPr>
          <w:trHeight w:val="340"/>
        </w:trPr>
        <w:tc>
          <w:tcPr>
            <w:tcW w:w="1364" w:type="pct"/>
            <w:tcBorders>
              <w:top w:val="nil"/>
              <w:left w:val="nil"/>
              <w:bottom w:val="nil"/>
              <w:right w:val="nil"/>
            </w:tcBorders>
            <w:shd w:val="clear" w:color="auto" w:fill="auto"/>
            <w:vAlign w:val="center"/>
            <w:hideMark/>
          </w:tcPr>
          <w:p w14:paraId="770E2E05"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≥3</w:t>
            </w:r>
          </w:p>
        </w:tc>
        <w:tc>
          <w:tcPr>
            <w:tcW w:w="654" w:type="pct"/>
            <w:tcBorders>
              <w:top w:val="nil"/>
              <w:left w:val="nil"/>
              <w:bottom w:val="nil"/>
              <w:right w:val="nil"/>
            </w:tcBorders>
            <w:shd w:val="clear" w:color="auto" w:fill="auto"/>
            <w:vAlign w:val="center"/>
            <w:hideMark/>
          </w:tcPr>
          <w:p w14:paraId="76086695"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13,188 (76.4)</w:t>
            </w:r>
          </w:p>
        </w:tc>
        <w:tc>
          <w:tcPr>
            <w:tcW w:w="654" w:type="pct"/>
            <w:tcBorders>
              <w:top w:val="nil"/>
              <w:left w:val="nil"/>
              <w:bottom w:val="nil"/>
              <w:right w:val="nil"/>
            </w:tcBorders>
            <w:shd w:val="clear" w:color="auto" w:fill="auto"/>
            <w:vAlign w:val="center"/>
            <w:hideMark/>
          </w:tcPr>
          <w:p w14:paraId="3B544A3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18,636 (75.2)</w:t>
            </w:r>
          </w:p>
        </w:tc>
        <w:tc>
          <w:tcPr>
            <w:tcW w:w="450" w:type="pct"/>
            <w:tcBorders>
              <w:top w:val="nil"/>
              <w:left w:val="nil"/>
              <w:bottom w:val="nil"/>
              <w:right w:val="nil"/>
            </w:tcBorders>
            <w:shd w:val="clear" w:color="auto" w:fill="auto"/>
            <w:vAlign w:val="center"/>
            <w:hideMark/>
          </w:tcPr>
          <w:p w14:paraId="2BAF9245"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098B31B1"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3BFE17D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13,193 (76.6)</w:t>
            </w:r>
          </w:p>
        </w:tc>
        <w:tc>
          <w:tcPr>
            <w:tcW w:w="654" w:type="pct"/>
            <w:tcBorders>
              <w:top w:val="nil"/>
              <w:left w:val="nil"/>
              <w:bottom w:val="nil"/>
              <w:right w:val="nil"/>
            </w:tcBorders>
            <w:shd w:val="clear" w:color="auto" w:fill="auto"/>
            <w:hideMark/>
          </w:tcPr>
          <w:p w14:paraId="1DE6347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18,874 (76.3)</w:t>
            </w:r>
          </w:p>
        </w:tc>
        <w:tc>
          <w:tcPr>
            <w:tcW w:w="450" w:type="pct"/>
            <w:tcBorders>
              <w:top w:val="nil"/>
              <w:left w:val="nil"/>
              <w:bottom w:val="nil"/>
              <w:right w:val="nil"/>
            </w:tcBorders>
            <w:shd w:val="clear" w:color="auto" w:fill="auto"/>
            <w:vAlign w:val="center"/>
            <w:hideMark/>
          </w:tcPr>
          <w:p w14:paraId="23781931"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3303EC16" w14:textId="77777777" w:rsidTr="001325F4">
        <w:trPr>
          <w:trHeight w:val="340"/>
        </w:trPr>
        <w:tc>
          <w:tcPr>
            <w:tcW w:w="1364" w:type="pct"/>
            <w:tcBorders>
              <w:top w:val="nil"/>
              <w:left w:val="nil"/>
              <w:bottom w:val="nil"/>
              <w:right w:val="nil"/>
            </w:tcBorders>
            <w:shd w:val="clear" w:color="auto" w:fill="auto"/>
            <w:vAlign w:val="center"/>
            <w:hideMark/>
          </w:tcPr>
          <w:p w14:paraId="1B11B84C"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Comorbidities </w:t>
            </w:r>
          </w:p>
        </w:tc>
        <w:tc>
          <w:tcPr>
            <w:tcW w:w="654" w:type="pct"/>
            <w:tcBorders>
              <w:top w:val="nil"/>
              <w:left w:val="nil"/>
              <w:bottom w:val="nil"/>
              <w:right w:val="nil"/>
            </w:tcBorders>
            <w:shd w:val="clear" w:color="auto" w:fill="auto"/>
            <w:vAlign w:val="center"/>
            <w:hideMark/>
          </w:tcPr>
          <w:p w14:paraId="11D7F5E8" w14:textId="77777777" w:rsidR="00857499" w:rsidRPr="00A74CDF" w:rsidRDefault="00857499" w:rsidP="00BB1388">
            <w:pPr>
              <w:spacing w:line="480" w:lineRule="auto"/>
              <w:contextualSpacing/>
              <w:rPr>
                <w:rFonts w:eastAsia="맑은 고딕"/>
                <w:b/>
                <w:bCs/>
                <w:color w:val="000000"/>
              </w:rPr>
            </w:pPr>
          </w:p>
        </w:tc>
        <w:tc>
          <w:tcPr>
            <w:tcW w:w="654" w:type="pct"/>
            <w:tcBorders>
              <w:top w:val="nil"/>
              <w:left w:val="nil"/>
              <w:bottom w:val="nil"/>
              <w:right w:val="nil"/>
            </w:tcBorders>
            <w:shd w:val="clear" w:color="auto" w:fill="auto"/>
            <w:vAlign w:val="center"/>
            <w:hideMark/>
          </w:tcPr>
          <w:p w14:paraId="250184E6"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vAlign w:val="center"/>
            <w:hideMark/>
          </w:tcPr>
          <w:p w14:paraId="46542733" w14:textId="77777777" w:rsidR="00857499" w:rsidRPr="00A74CDF" w:rsidRDefault="00857499" w:rsidP="00BB1388">
            <w:pPr>
              <w:spacing w:line="480" w:lineRule="auto"/>
              <w:contextualSpacing/>
              <w:jc w:val="center"/>
            </w:pPr>
          </w:p>
        </w:tc>
        <w:tc>
          <w:tcPr>
            <w:tcW w:w="120" w:type="pct"/>
            <w:tcBorders>
              <w:top w:val="nil"/>
              <w:left w:val="nil"/>
              <w:bottom w:val="nil"/>
              <w:right w:val="nil"/>
            </w:tcBorders>
            <w:shd w:val="clear" w:color="auto" w:fill="auto"/>
            <w:vAlign w:val="center"/>
            <w:hideMark/>
          </w:tcPr>
          <w:p w14:paraId="2570997C"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vAlign w:val="center"/>
            <w:hideMark/>
          </w:tcPr>
          <w:p w14:paraId="6BBCE83C"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vAlign w:val="center"/>
            <w:hideMark/>
          </w:tcPr>
          <w:p w14:paraId="49263CDC"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vAlign w:val="center"/>
            <w:hideMark/>
          </w:tcPr>
          <w:p w14:paraId="5AF98F86" w14:textId="77777777" w:rsidR="00857499" w:rsidRPr="00A74CDF" w:rsidRDefault="00857499" w:rsidP="00BB1388">
            <w:pPr>
              <w:spacing w:line="480" w:lineRule="auto"/>
              <w:contextualSpacing/>
              <w:jc w:val="center"/>
            </w:pPr>
          </w:p>
        </w:tc>
      </w:tr>
      <w:tr w:rsidR="00857499" w:rsidRPr="00A74CDF" w14:paraId="167109A7" w14:textId="77777777" w:rsidTr="001325F4">
        <w:trPr>
          <w:trHeight w:val="340"/>
        </w:trPr>
        <w:tc>
          <w:tcPr>
            <w:tcW w:w="1364" w:type="pct"/>
            <w:tcBorders>
              <w:top w:val="nil"/>
              <w:left w:val="nil"/>
              <w:bottom w:val="nil"/>
              <w:right w:val="nil"/>
            </w:tcBorders>
            <w:shd w:val="clear" w:color="auto" w:fill="auto"/>
            <w:vAlign w:val="center"/>
            <w:hideMark/>
          </w:tcPr>
          <w:p w14:paraId="3884CAC1"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Hypertension</w:t>
            </w:r>
          </w:p>
        </w:tc>
        <w:tc>
          <w:tcPr>
            <w:tcW w:w="654" w:type="pct"/>
            <w:tcBorders>
              <w:top w:val="nil"/>
              <w:left w:val="nil"/>
              <w:bottom w:val="nil"/>
              <w:right w:val="nil"/>
            </w:tcBorders>
            <w:shd w:val="clear" w:color="auto" w:fill="auto"/>
            <w:vAlign w:val="center"/>
            <w:hideMark/>
          </w:tcPr>
          <w:p w14:paraId="596321E2"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14,998 (86.9)</w:t>
            </w:r>
          </w:p>
        </w:tc>
        <w:tc>
          <w:tcPr>
            <w:tcW w:w="654" w:type="pct"/>
            <w:tcBorders>
              <w:top w:val="nil"/>
              <w:left w:val="nil"/>
              <w:bottom w:val="nil"/>
              <w:right w:val="nil"/>
            </w:tcBorders>
            <w:shd w:val="clear" w:color="auto" w:fill="auto"/>
            <w:vAlign w:val="center"/>
            <w:hideMark/>
          </w:tcPr>
          <w:p w14:paraId="4B17B7C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21,759 (87.8)</w:t>
            </w:r>
          </w:p>
        </w:tc>
        <w:tc>
          <w:tcPr>
            <w:tcW w:w="450" w:type="pct"/>
            <w:tcBorders>
              <w:top w:val="nil"/>
              <w:left w:val="nil"/>
              <w:bottom w:val="nil"/>
              <w:right w:val="nil"/>
            </w:tcBorders>
            <w:shd w:val="clear" w:color="auto" w:fill="auto"/>
            <w:hideMark/>
          </w:tcPr>
          <w:p w14:paraId="67F28E4E"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0.028</w:t>
            </w:r>
          </w:p>
        </w:tc>
        <w:tc>
          <w:tcPr>
            <w:tcW w:w="120" w:type="pct"/>
            <w:tcBorders>
              <w:top w:val="nil"/>
              <w:left w:val="nil"/>
              <w:bottom w:val="nil"/>
              <w:right w:val="nil"/>
            </w:tcBorders>
            <w:shd w:val="clear" w:color="auto" w:fill="auto"/>
            <w:hideMark/>
          </w:tcPr>
          <w:p w14:paraId="5F4A42F1"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3EF6F40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15,113 (87.7)</w:t>
            </w:r>
          </w:p>
        </w:tc>
        <w:tc>
          <w:tcPr>
            <w:tcW w:w="654" w:type="pct"/>
            <w:tcBorders>
              <w:top w:val="nil"/>
              <w:left w:val="nil"/>
              <w:bottom w:val="nil"/>
              <w:right w:val="nil"/>
            </w:tcBorders>
            <w:shd w:val="clear" w:color="auto" w:fill="auto"/>
            <w:hideMark/>
          </w:tcPr>
          <w:p w14:paraId="22FBF67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21,675 (87.6)</w:t>
            </w:r>
          </w:p>
        </w:tc>
        <w:tc>
          <w:tcPr>
            <w:tcW w:w="450" w:type="pct"/>
            <w:tcBorders>
              <w:top w:val="nil"/>
              <w:left w:val="nil"/>
              <w:bottom w:val="nil"/>
              <w:right w:val="nil"/>
            </w:tcBorders>
            <w:shd w:val="clear" w:color="auto" w:fill="auto"/>
            <w:hideMark/>
          </w:tcPr>
          <w:p w14:paraId="372B629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0.002</w:t>
            </w:r>
          </w:p>
        </w:tc>
      </w:tr>
      <w:tr w:rsidR="00857499" w:rsidRPr="00A74CDF" w14:paraId="333F713A" w14:textId="77777777" w:rsidTr="001325F4">
        <w:trPr>
          <w:trHeight w:val="340"/>
        </w:trPr>
        <w:tc>
          <w:tcPr>
            <w:tcW w:w="1364" w:type="pct"/>
            <w:tcBorders>
              <w:top w:val="nil"/>
              <w:left w:val="nil"/>
              <w:bottom w:val="nil"/>
              <w:right w:val="nil"/>
            </w:tcBorders>
            <w:shd w:val="clear" w:color="auto" w:fill="auto"/>
            <w:vAlign w:val="center"/>
            <w:hideMark/>
          </w:tcPr>
          <w:p w14:paraId="098C0F42"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Diabetes</w:t>
            </w:r>
          </w:p>
        </w:tc>
        <w:tc>
          <w:tcPr>
            <w:tcW w:w="654" w:type="pct"/>
            <w:tcBorders>
              <w:top w:val="nil"/>
              <w:left w:val="nil"/>
              <w:bottom w:val="nil"/>
              <w:right w:val="nil"/>
            </w:tcBorders>
            <w:shd w:val="clear" w:color="auto" w:fill="auto"/>
            <w:vAlign w:val="center"/>
            <w:hideMark/>
          </w:tcPr>
          <w:p w14:paraId="5D32044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5044 (29.2)</w:t>
            </w:r>
          </w:p>
        </w:tc>
        <w:tc>
          <w:tcPr>
            <w:tcW w:w="654" w:type="pct"/>
            <w:tcBorders>
              <w:top w:val="nil"/>
              <w:left w:val="nil"/>
              <w:bottom w:val="nil"/>
              <w:right w:val="nil"/>
            </w:tcBorders>
            <w:shd w:val="clear" w:color="auto" w:fill="auto"/>
            <w:vAlign w:val="center"/>
            <w:hideMark/>
          </w:tcPr>
          <w:p w14:paraId="62DC206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7255 (29.3)</w:t>
            </w:r>
          </w:p>
        </w:tc>
        <w:tc>
          <w:tcPr>
            <w:tcW w:w="450" w:type="pct"/>
            <w:tcBorders>
              <w:top w:val="nil"/>
              <w:left w:val="nil"/>
              <w:bottom w:val="nil"/>
              <w:right w:val="nil"/>
            </w:tcBorders>
            <w:shd w:val="clear" w:color="auto" w:fill="auto"/>
            <w:hideMark/>
          </w:tcPr>
          <w:p w14:paraId="31D47AE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0.001</w:t>
            </w:r>
          </w:p>
        </w:tc>
        <w:tc>
          <w:tcPr>
            <w:tcW w:w="120" w:type="pct"/>
            <w:tcBorders>
              <w:top w:val="nil"/>
              <w:left w:val="nil"/>
              <w:bottom w:val="nil"/>
              <w:right w:val="nil"/>
            </w:tcBorders>
            <w:shd w:val="clear" w:color="auto" w:fill="auto"/>
            <w:hideMark/>
          </w:tcPr>
          <w:p w14:paraId="3F7C5F3D"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215E8725"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5117 (29.7)</w:t>
            </w:r>
          </w:p>
        </w:tc>
        <w:tc>
          <w:tcPr>
            <w:tcW w:w="654" w:type="pct"/>
            <w:tcBorders>
              <w:top w:val="nil"/>
              <w:left w:val="nil"/>
              <w:bottom w:val="nil"/>
              <w:right w:val="nil"/>
            </w:tcBorders>
            <w:shd w:val="clear" w:color="auto" w:fill="auto"/>
            <w:hideMark/>
          </w:tcPr>
          <w:p w14:paraId="42736411"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7323 (29.6)</w:t>
            </w:r>
          </w:p>
        </w:tc>
        <w:tc>
          <w:tcPr>
            <w:tcW w:w="450" w:type="pct"/>
            <w:tcBorders>
              <w:top w:val="nil"/>
              <w:left w:val="nil"/>
              <w:bottom w:val="nil"/>
              <w:right w:val="nil"/>
            </w:tcBorders>
            <w:shd w:val="clear" w:color="auto" w:fill="auto"/>
            <w:hideMark/>
          </w:tcPr>
          <w:p w14:paraId="5FD2C0E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0.002</w:t>
            </w:r>
          </w:p>
        </w:tc>
      </w:tr>
      <w:tr w:rsidR="00857499" w:rsidRPr="00A74CDF" w14:paraId="15775F0C" w14:textId="77777777" w:rsidTr="001325F4">
        <w:trPr>
          <w:trHeight w:val="340"/>
        </w:trPr>
        <w:tc>
          <w:tcPr>
            <w:tcW w:w="1364" w:type="pct"/>
            <w:tcBorders>
              <w:top w:val="nil"/>
              <w:left w:val="nil"/>
              <w:bottom w:val="nil"/>
              <w:right w:val="nil"/>
            </w:tcBorders>
            <w:shd w:val="clear" w:color="auto" w:fill="auto"/>
            <w:vAlign w:val="center"/>
            <w:hideMark/>
          </w:tcPr>
          <w:p w14:paraId="23E79BF5"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Dyslipidemia</w:t>
            </w:r>
          </w:p>
        </w:tc>
        <w:tc>
          <w:tcPr>
            <w:tcW w:w="654" w:type="pct"/>
            <w:tcBorders>
              <w:top w:val="nil"/>
              <w:left w:val="nil"/>
              <w:bottom w:val="nil"/>
              <w:right w:val="nil"/>
            </w:tcBorders>
            <w:shd w:val="clear" w:color="auto" w:fill="auto"/>
            <w:vAlign w:val="center"/>
            <w:hideMark/>
          </w:tcPr>
          <w:p w14:paraId="0756D056"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9582 (55.5)</w:t>
            </w:r>
          </w:p>
        </w:tc>
        <w:tc>
          <w:tcPr>
            <w:tcW w:w="654" w:type="pct"/>
            <w:tcBorders>
              <w:top w:val="nil"/>
              <w:left w:val="nil"/>
              <w:bottom w:val="nil"/>
              <w:right w:val="nil"/>
            </w:tcBorders>
            <w:shd w:val="clear" w:color="auto" w:fill="auto"/>
            <w:vAlign w:val="center"/>
            <w:hideMark/>
          </w:tcPr>
          <w:p w14:paraId="28832DE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14,537 (58.7)</w:t>
            </w:r>
          </w:p>
        </w:tc>
        <w:tc>
          <w:tcPr>
            <w:tcW w:w="450" w:type="pct"/>
            <w:tcBorders>
              <w:top w:val="nil"/>
              <w:left w:val="nil"/>
              <w:bottom w:val="nil"/>
              <w:right w:val="nil"/>
            </w:tcBorders>
            <w:shd w:val="clear" w:color="auto" w:fill="auto"/>
            <w:hideMark/>
          </w:tcPr>
          <w:p w14:paraId="4B85261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0.064</w:t>
            </w:r>
          </w:p>
        </w:tc>
        <w:tc>
          <w:tcPr>
            <w:tcW w:w="120" w:type="pct"/>
            <w:tcBorders>
              <w:top w:val="nil"/>
              <w:left w:val="nil"/>
              <w:bottom w:val="nil"/>
              <w:right w:val="nil"/>
            </w:tcBorders>
            <w:shd w:val="clear" w:color="auto" w:fill="auto"/>
            <w:hideMark/>
          </w:tcPr>
          <w:p w14:paraId="4E1380D9"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5D42D0A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10,026 (58.2)</w:t>
            </w:r>
          </w:p>
        </w:tc>
        <w:tc>
          <w:tcPr>
            <w:tcW w:w="654" w:type="pct"/>
            <w:tcBorders>
              <w:top w:val="nil"/>
              <w:left w:val="nil"/>
              <w:bottom w:val="nil"/>
              <w:right w:val="nil"/>
            </w:tcBorders>
            <w:shd w:val="clear" w:color="auto" w:fill="auto"/>
            <w:hideMark/>
          </w:tcPr>
          <w:p w14:paraId="674BB65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14,352 (58.0)</w:t>
            </w:r>
          </w:p>
        </w:tc>
        <w:tc>
          <w:tcPr>
            <w:tcW w:w="450" w:type="pct"/>
            <w:tcBorders>
              <w:top w:val="nil"/>
              <w:left w:val="nil"/>
              <w:bottom w:val="nil"/>
              <w:right w:val="nil"/>
            </w:tcBorders>
            <w:shd w:val="clear" w:color="auto" w:fill="auto"/>
            <w:hideMark/>
          </w:tcPr>
          <w:p w14:paraId="5E9F045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0.003</w:t>
            </w:r>
          </w:p>
        </w:tc>
      </w:tr>
      <w:tr w:rsidR="00857499" w:rsidRPr="00A74CDF" w14:paraId="60B9B8AB" w14:textId="77777777" w:rsidTr="001325F4">
        <w:trPr>
          <w:trHeight w:val="340"/>
        </w:trPr>
        <w:tc>
          <w:tcPr>
            <w:tcW w:w="1364" w:type="pct"/>
            <w:tcBorders>
              <w:top w:val="nil"/>
              <w:left w:val="nil"/>
              <w:bottom w:val="nil"/>
              <w:right w:val="nil"/>
            </w:tcBorders>
            <w:shd w:val="clear" w:color="auto" w:fill="auto"/>
            <w:vAlign w:val="center"/>
            <w:hideMark/>
          </w:tcPr>
          <w:p w14:paraId="1F85FB1F"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Heart failure</w:t>
            </w:r>
          </w:p>
        </w:tc>
        <w:tc>
          <w:tcPr>
            <w:tcW w:w="654" w:type="pct"/>
            <w:tcBorders>
              <w:top w:val="nil"/>
              <w:left w:val="nil"/>
              <w:bottom w:val="nil"/>
              <w:right w:val="nil"/>
            </w:tcBorders>
            <w:shd w:val="clear" w:color="auto" w:fill="auto"/>
            <w:vAlign w:val="center"/>
            <w:hideMark/>
          </w:tcPr>
          <w:p w14:paraId="71FF8AB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7467 (43.2)</w:t>
            </w:r>
          </w:p>
        </w:tc>
        <w:tc>
          <w:tcPr>
            <w:tcW w:w="654" w:type="pct"/>
            <w:tcBorders>
              <w:top w:val="nil"/>
              <w:left w:val="nil"/>
              <w:bottom w:val="nil"/>
              <w:right w:val="nil"/>
            </w:tcBorders>
            <w:shd w:val="clear" w:color="auto" w:fill="auto"/>
            <w:vAlign w:val="center"/>
            <w:hideMark/>
          </w:tcPr>
          <w:p w14:paraId="737A2A2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11,660 (47.1)</w:t>
            </w:r>
          </w:p>
        </w:tc>
        <w:tc>
          <w:tcPr>
            <w:tcW w:w="450" w:type="pct"/>
            <w:tcBorders>
              <w:top w:val="nil"/>
              <w:left w:val="nil"/>
              <w:bottom w:val="nil"/>
              <w:right w:val="nil"/>
            </w:tcBorders>
            <w:shd w:val="clear" w:color="auto" w:fill="auto"/>
            <w:hideMark/>
          </w:tcPr>
          <w:p w14:paraId="30B0350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0.077</w:t>
            </w:r>
          </w:p>
        </w:tc>
        <w:tc>
          <w:tcPr>
            <w:tcW w:w="120" w:type="pct"/>
            <w:tcBorders>
              <w:top w:val="nil"/>
              <w:left w:val="nil"/>
              <w:bottom w:val="nil"/>
              <w:right w:val="nil"/>
            </w:tcBorders>
            <w:shd w:val="clear" w:color="auto" w:fill="auto"/>
            <w:hideMark/>
          </w:tcPr>
          <w:p w14:paraId="72EFD237"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7560856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7981 (46.3)</w:t>
            </w:r>
          </w:p>
        </w:tc>
        <w:tc>
          <w:tcPr>
            <w:tcW w:w="654" w:type="pct"/>
            <w:tcBorders>
              <w:top w:val="nil"/>
              <w:left w:val="nil"/>
              <w:bottom w:val="nil"/>
              <w:right w:val="nil"/>
            </w:tcBorders>
            <w:shd w:val="clear" w:color="auto" w:fill="auto"/>
            <w:hideMark/>
          </w:tcPr>
          <w:p w14:paraId="12EAE9A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11,387 (46.0)</w:t>
            </w:r>
          </w:p>
        </w:tc>
        <w:tc>
          <w:tcPr>
            <w:tcW w:w="450" w:type="pct"/>
            <w:tcBorders>
              <w:top w:val="nil"/>
              <w:left w:val="nil"/>
              <w:bottom w:val="nil"/>
              <w:right w:val="nil"/>
            </w:tcBorders>
            <w:shd w:val="clear" w:color="auto" w:fill="auto"/>
            <w:hideMark/>
          </w:tcPr>
          <w:p w14:paraId="59139EA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0.005</w:t>
            </w:r>
          </w:p>
        </w:tc>
      </w:tr>
      <w:tr w:rsidR="00857499" w:rsidRPr="00A74CDF" w14:paraId="35B6F234" w14:textId="77777777" w:rsidTr="001325F4">
        <w:trPr>
          <w:trHeight w:val="340"/>
        </w:trPr>
        <w:tc>
          <w:tcPr>
            <w:tcW w:w="1364" w:type="pct"/>
            <w:tcBorders>
              <w:top w:val="nil"/>
              <w:left w:val="nil"/>
              <w:bottom w:val="nil"/>
              <w:right w:val="nil"/>
            </w:tcBorders>
            <w:shd w:val="clear" w:color="auto" w:fill="auto"/>
            <w:vAlign w:val="center"/>
            <w:hideMark/>
          </w:tcPr>
          <w:p w14:paraId="4FEE4FB6"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Myocardial infarction</w:t>
            </w:r>
          </w:p>
        </w:tc>
        <w:tc>
          <w:tcPr>
            <w:tcW w:w="654" w:type="pct"/>
            <w:tcBorders>
              <w:top w:val="nil"/>
              <w:left w:val="nil"/>
              <w:bottom w:val="nil"/>
              <w:right w:val="nil"/>
            </w:tcBorders>
            <w:shd w:val="clear" w:color="auto" w:fill="auto"/>
            <w:vAlign w:val="center"/>
            <w:hideMark/>
          </w:tcPr>
          <w:p w14:paraId="0474DFE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993 (5.8)</w:t>
            </w:r>
          </w:p>
        </w:tc>
        <w:tc>
          <w:tcPr>
            <w:tcW w:w="654" w:type="pct"/>
            <w:tcBorders>
              <w:top w:val="nil"/>
              <w:left w:val="nil"/>
              <w:bottom w:val="nil"/>
              <w:right w:val="nil"/>
            </w:tcBorders>
            <w:shd w:val="clear" w:color="auto" w:fill="auto"/>
            <w:vAlign w:val="center"/>
            <w:hideMark/>
          </w:tcPr>
          <w:p w14:paraId="12BF1C4E"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1317 (5.3)</w:t>
            </w:r>
          </w:p>
        </w:tc>
        <w:tc>
          <w:tcPr>
            <w:tcW w:w="450" w:type="pct"/>
            <w:tcBorders>
              <w:top w:val="nil"/>
              <w:left w:val="nil"/>
              <w:bottom w:val="nil"/>
              <w:right w:val="nil"/>
            </w:tcBorders>
            <w:shd w:val="clear" w:color="auto" w:fill="auto"/>
            <w:hideMark/>
          </w:tcPr>
          <w:p w14:paraId="48AD9F52"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0.019</w:t>
            </w:r>
          </w:p>
        </w:tc>
        <w:tc>
          <w:tcPr>
            <w:tcW w:w="120" w:type="pct"/>
            <w:tcBorders>
              <w:top w:val="nil"/>
              <w:left w:val="nil"/>
              <w:bottom w:val="nil"/>
              <w:right w:val="nil"/>
            </w:tcBorders>
            <w:shd w:val="clear" w:color="auto" w:fill="auto"/>
            <w:hideMark/>
          </w:tcPr>
          <w:p w14:paraId="47C5F577"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1066A68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967 (5.6)</w:t>
            </w:r>
          </w:p>
        </w:tc>
        <w:tc>
          <w:tcPr>
            <w:tcW w:w="654" w:type="pct"/>
            <w:tcBorders>
              <w:top w:val="nil"/>
              <w:left w:val="nil"/>
              <w:bottom w:val="nil"/>
              <w:right w:val="nil"/>
            </w:tcBorders>
            <w:shd w:val="clear" w:color="auto" w:fill="auto"/>
            <w:hideMark/>
          </w:tcPr>
          <w:p w14:paraId="4D1064A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1375 (5.6)</w:t>
            </w:r>
          </w:p>
        </w:tc>
        <w:tc>
          <w:tcPr>
            <w:tcW w:w="450" w:type="pct"/>
            <w:tcBorders>
              <w:top w:val="nil"/>
              <w:left w:val="nil"/>
              <w:bottom w:val="nil"/>
              <w:right w:val="nil"/>
            </w:tcBorders>
            <w:shd w:val="clear" w:color="auto" w:fill="auto"/>
            <w:hideMark/>
          </w:tcPr>
          <w:p w14:paraId="08F18CE5"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0.002</w:t>
            </w:r>
          </w:p>
        </w:tc>
      </w:tr>
      <w:tr w:rsidR="00857499" w:rsidRPr="00A74CDF" w14:paraId="05F52EBD" w14:textId="77777777" w:rsidTr="001325F4">
        <w:trPr>
          <w:trHeight w:val="340"/>
        </w:trPr>
        <w:tc>
          <w:tcPr>
            <w:tcW w:w="1364" w:type="pct"/>
            <w:tcBorders>
              <w:top w:val="nil"/>
              <w:left w:val="nil"/>
              <w:bottom w:val="nil"/>
              <w:right w:val="nil"/>
            </w:tcBorders>
            <w:shd w:val="clear" w:color="auto" w:fill="auto"/>
            <w:vAlign w:val="center"/>
            <w:hideMark/>
          </w:tcPr>
          <w:p w14:paraId="46767388"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PAD</w:t>
            </w:r>
          </w:p>
        </w:tc>
        <w:tc>
          <w:tcPr>
            <w:tcW w:w="654" w:type="pct"/>
            <w:tcBorders>
              <w:top w:val="nil"/>
              <w:left w:val="nil"/>
              <w:bottom w:val="nil"/>
              <w:right w:val="nil"/>
            </w:tcBorders>
            <w:shd w:val="clear" w:color="auto" w:fill="auto"/>
            <w:vAlign w:val="center"/>
            <w:hideMark/>
          </w:tcPr>
          <w:p w14:paraId="493AFC8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4198 (24.31)</w:t>
            </w:r>
          </w:p>
        </w:tc>
        <w:tc>
          <w:tcPr>
            <w:tcW w:w="654" w:type="pct"/>
            <w:tcBorders>
              <w:top w:val="nil"/>
              <w:left w:val="nil"/>
              <w:bottom w:val="nil"/>
              <w:right w:val="nil"/>
            </w:tcBorders>
            <w:shd w:val="clear" w:color="auto" w:fill="auto"/>
            <w:vAlign w:val="center"/>
            <w:hideMark/>
          </w:tcPr>
          <w:p w14:paraId="76F78662"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6578 (26.5)</w:t>
            </w:r>
          </w:p>
        </w:tc>
        <w:tc>
          <w:tcPr>
            <w:tcW w:w="450" w:type="pct"/>
            <w:tcBorders>
              <w:top w:val="nil"/>
              <w:left w:val="nil"/>
              <w:bottom w:val="nil"/>
              <w:right w:val="nil"/>
            </w:tcBorders>
            <w:shd w:val="clear" w:color="auto" w:fill="auto"/>
            <w:hideMark/>
          </w:tcPr>
          <w:p w14:paraId="10EB63A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0.051</w:t>
            </w:r>
          </w:p>
        </w:tc>
        <w:tc>
          <w:tcPr>
            <w:tcW w:w="120" w:type="pct"/>
            <w:tcBorders>
              <w:top w:val="nil"/>
              <w:left w:val="nil"/>
              <w:bottom w:val="nil"/>
              <w:right w:val="nil"/>
            </w:tcBorders>
            <w:shd w:val="clear" w:color="auto" w:fill="auto"/>
            <w:hideMark/>
          </w:tcPr>
          <w:p w14:paraId="315AAF7F"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7F0B6CF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4453 (25.8)</w:t>
            </w:r>
          </w:p>
        </w:tc>
        <w:tc>
          <w:tcPr>
            <w:tcW w:w="654" w:type="pct"/>
            <w:tcBorders>
              <w:top w:val="nil"/>
              <w:left w:val="nil"/>
              <w:bottom w:val="nil"/>
              <w:right w:val="nil"/>
            </w:tcBorders>
            <w:shd w:val="clear" w:color="auto" w:fill="auto"/>
            <w:hideMark/>
          </w:tcPr>
          <w:p w14:paraId="745FDA5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6394 (25.9)</w:t>
            </w:r>
          </w:p>
        </w:tc>
        <w:tc>
          <w:tcPr>
            <w:tcW w:w="450" w:type="pct"/>
            <w:tcBorders>
              <w:top w:val="nil"/>
              <w:left w:val="nil"/>
              <w:bottom w:val="nil"/>
              <w:right w:val="nil"/>
            </w:tcBorders>
            <w:shd w:val="clear" w:color="auto" w:fill="auto"/>
            <w:hideMark/>
          </w:tcPr>
          <w:p w14:paraId="1C47B4F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&lt;0.001</w:t>
            </w:r>
          </w:p>
        </w:tc>
      </w:tr>
      <w:tr w:rsidR="00857499" w:rsidRPr="00A74CDF" w14:paraId="0C642088" w14:textId="77777777" w:rsidTr="001325F4">
        <w:trPr>
          <w:trHeight w:val="340"/>
        </w:trPr>
        <w:tc>
          <w:tcPr>
            <w:tcW w:w="1364" w:type="pct"/>
            <w:tcBorders>
              <w:top w:val="nil"/>
              <w:left w:val="nil"/>
              <w:bottom w:val="nil"/>
              <w:right w:val="nil"/>
            </w:tcBorders>
            <w:shd w:val="clear" w:color="auto" w:fill="auto"/>
            <w:vAlign w:val="center"/>
            <w:hideMark/>
          </w:tcPr>
          <w:p w14:paraId="2A0EAA14"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Renal disease</w:t>
            </w:r>
          </w:p>
        </w:tc>
        <w:tc>
          <w:tcPr>
            <w:tcW w:w="654" w:type="pct"/>
            <w:tcBorders>
              <w:top w:val="nil"/>
              <w:left w:val="nil"/>
              <w:bottom w:val="nil"/>
              <w:right w:val="nil"/>
            </w:tcBorders>
            <w:shd w:val="clear" w:color="auto" w:fill="auto"/>
            <w:vAlign w:val="center"/>
            <w:hideMark/>
          </w:tcPr>
          <w:p w14:paraId="0F9F9B8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3032 (17.6)</w:t>
            </w:r>
          </w:p>
        </w:tc>
        <w:tc>
          <w:tcPr>
            <w:tcW w:w="654" w:type="pct"/>
            <w:tcBorders>
              <w:top w:val="nil"/>
              <w:left w:val="nil"/>
              <w:bottom w:val="nil"/>
              <w:right w:val="nil"/>
            </w:tcBorders>
            <w:shd w:val="clear" w:color="auto" w:fill="auto"/>
            <w:vAlign w:val="center"/>
            <w:hideMark/>
          </w:tcPr>
          <w:p w14:paraId="791F6BB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3781 (15.3)</w:t>
            </w:r>
          </w:p>
        </w:tc>
        <w:tc>
          <w:tcPr>
            <w:tcW w:w="450" w:type="pct"/>
            <w:tcBorders>
              <w:top w:val="nil"/>
              <w:left w:val="nil"/>
              <w:bottom w:val="nil"/>
              <w:right w:val="nil"/>
            </w:tcBorders>
            <w:shd w:val="clear" w:color="auto" w:fill="auto"/>
            <w:hideMark/>
          </w:tcPr>
          <w:p w14:paraId="4573BF6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0.062</w:t>
            </w:r>
          </w:p>
        </w:tc>
        <w:tc>
          <w:tcPr>
            <w:tcW w:w="120" w:type="pct"/>
            <w:tcBorders>
              <w:top w:val="nil"/>
              <w:left w:val="nil"/>
              <w:bottom w:val="nil"/>
              <w:right w:val="nil"/>
            </w:tcBorders>
            <w:shd w:val="clear" w:color="auto" w:fill="auto"/>
            <w:hideMark/>
          </w:tcPr>
          <w:p w14:paraId="04833C6C"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39B1B8D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2891 (16.8)</w:t>
            </w:r>
          </w:p>
        </w:tc>
        <w:tc>
          <w:tcPr>
            <w:tcW w:w="654" w:type="pct"/>
            <w:tcBorders>
              <w:top w:val="nil"/>
              <w:left w:val="nil"/>
              <w:bottom w:val="nil"/>
              <w:right w:val="nil"/>
            </w:tcBorders>
            <w:shd w:val="clear" w:color="auto" w:fill="auto"/>
            <w:hideMark/>
          </w:tcPr>
          <w:p w14:paraId="720C5C5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4118 (16.7)</w:t>
            </w:r>
          </w:p>
        </w:tc>
        <w:tc>
          <w:tcPr>
            <w:tcW w:w="450" w:type="pct"/>
            <w:tcBorders>
              <w:top w:val="nil"/>
              <w:left w:val="nil"/>
              <w:bottom w:val="nil"/>
              <w:right w:val="nil"/>
            </w:tcBorders>
            <w:shd w:val="clear" w:color="auto" w:fill="auto"/>
            <w:hideMark/>
          </w:tcPr>
          <w:p w14:paraId="5F3EEF0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0.003</w:t>
            </w:r>
          </w:p>
        </w:tc>
      </w:tr>
      <w:tr w:rsidR="00857499" w:rsidRPr="00A74CDF" w14:paraId="36DE4DFF" w14:textId="77777777" w:rsidTr="001325F4">
        <w:trPr>
          <w:trHeight w:val="340"/>
        </w:trPr>
        <w:tc>
          <w:tcPr>
            <w:tcW w:w="1364" w:type="pct"/>
            <w:tcBorders>
              <w:top w:val="nil"/>
              <w:left w:val="nil"/>
              <w:bottom w:val="nil"/>
              <w:right w:val="nil"/>
            </w:tcBorders>
            <w:shd w:val="clear" w:color="auto" w:fill="auto"/>
            <w:vAlign w:val="center"/>
            <w:hideMark/>
          </w:tcPr>
          <w:p w14:paraId="7840BE18"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COPD</w:t>
            </w:r>
          </w:p>
        </w:tc>
        <w:tc>
          <w:tcPr>
            <w:tcW w:w="654" w:type="pct"/>
            <w:tcBorders>
              <w:top w:val="nil"/>
              <w:left w:val="nil"/>
              <w:bottom w:val="nil"/>
              <w:right w:val="nil"/>
            </w:tcBorders>
            <w:shd w:val="clear" w:color="auto" w:fill="auto"/>
            <w:vAlign w:val="center"/>
            <w:hideMark/>
          </w:tcPr>
          <w:p w14:paraId="66C9A3D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2201 (12.8)</w:t>
            </w:r>
          </w:p>
        </w:tc>
        <w:tc>
          <w:tcPr>
            <w:tcW w:w="654" w:type="pct"/>
            <w:tcBorders>
              <w:top w:val="nil"/>
              <w:left w:val="nil"/>
              <w:bottom w:val="nil"/>
              <w:right w:val="nil"/>
            </w:tcBorders>
            <w:shd w:val="clear" w:color="auto" w:fill="auto"/>
            <w:vAlign w:val="center"/>
            <w:hideMark/>
          </w:tcPr>
          <w:p w14:paraId="60A04CF2"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2706 (10.9)</w:t>
            </w:r>
          </w:p>
        </w:tc>
        <w:tc>
          <w:tcPr>
            <w:tcW w:w="450" w:type="pct"/>
            <w:tcBorders>
              <w:top w:val="nil"/>
              <w:left w:val="nil"/>
              <w:bottom w:val="nil"/>
              <w:right w:val="nil"/>
            </w:tcBorders>
            <w:shd w:val="clear" w:color="auto" w:fill="auto"/>
            <w:hideMark/>
          </w:tcPr>
          <w:p w14:paraId="00B4BCD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0.057</w:t>
            </w:r>
          </w:p>
        </w:tc>
        <w:tc>
          <w:tcPr>
            <w:tcW w:w="120" w:type="pct"/>
            <w:tcBorders>
              <w:top w:val="nil"/>
              <w:left w:val="nil"/>
              <w:bottom w:val="nil"/>
              <w:right w:val="nil"/>
            </w:tcBorders>
            <w:shd w:val="clear" w:color="auto" w:fill="auto"/>
            <w:hideMark/>
          </w:tcPr>
          <w:p w14:paraId="30BCCD7C"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5623D7E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2054 (11.9)</w:t>
            </w:r>
          </w:p>
        </w:tc>
        <w:tc>
          <w:tcPr>
            <w:tcW w:w="654" w:type="pct"/>
            <w:tcBorders>
              <w:top w:val="nil"/>
              <w:left w:val="nil"/>
              <w:bottom w:val="nil"/>
              <w:right w:val="nil"/>
            </w:tcBorders>
            <w:shd w:val="clear" w:color="auto" w:fill="auto"/>
            <w:hideMark/>
          </w:tcPr>
          <w:p w14:paraId="381F882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2963 (12.0)</w:t>
            </w:r>
          </w:p>
        </w:tc>
        <w:tc>
          <w:tcPr>
            <w:tcW w:w="450" w:type="pct"/>
            <w:tcBorders>
              <w:top w:val="nil"/>
              <w:left w:val="nil"/>
              <w:bottom w:val="nil"/>
              <w:right w:val="nil"/>
            </w:tcBorders>
            <w:shd w:val="clear" w:color="auto" w:fill="auto"/>
            <w:hideMark/>
          </w:tcPr>
          <w:p w14:paraId="2CB85695"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0.002</w:t>
            </w:r>
          </w:p>
        </w:tc>
      </w:tr>
      <w:tr w:rsidR="00857499" w:rsidRPr="00A74CDF" w14:paraId="570CCE9B" w14:textId="77777777" w:rsidTr="001325F4">
        <w:trPr>
          <w:trHeight w:val="340"/>
        </w:trPr>
        <w:tc>
          <w:tcPr>
            <w:tcW w:w="1364" w:type="pct"/>
            <w:tcBorders>
              <w:top w:val="nil"/>
              <w:left w:val="nil"/>
              <w:bottom w:val="nil"/>
              <w:right w:val="nil"/>
            </w:tcBorders>
            <w:shd w:val="clear" w:color="auto" w:fill="auto"/>
            <w:vAlign w:val="center"/>
            <w:hideMark/>
          </w:tcPr>
          <w:p w14:paraId="09630E80"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Cancer</w:t>
            </w:r>
          </w:p>
        </w:tc>
        <w:tc>
          <w:tcPr>
            <w:tcW w:w="654" w:type="pct"/>
            <w:tcBorders>
              <w:top w:val="nil"/>
              <w:left w:val="nil"/>
              <w:bottom w:val="nil"/>
              <w:right w:val="nil"/>
            </w:tcBorders>
            <w:shd w:val="clear" w:color="auto" w:fill="auto"/>
            <w:vAlign w:val="center"/>
            <w:hideMark/>
          </w:tcPr>
          <w:p w14:paraId="382FF65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1792 (10.4)</w:t>
            </w:r>
          </w:p>
        </w:tc>
        <w:tc>
          <w:tcPr>
            <w:tcW w:w="654" w:type="pct"/>
            <w:tcBorders>
              <w:top w:val="nil"/>
              <w:left w:val="nil"/>
              <w:bottom w:val="nil"/>
              <w:right w:val="nil"/>
            </w:tcBorders>
            <w:shd w:val="clear" w:color="auto" w:fill="auto"/>
            <w:vAlign w:val="center"/>
            <w:hideMark/>
          </w:tcPr>
          <w:p w14:paraId="2309C65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2627 (10.6)</w:t>
            </w:r>
          </w:p>
        </w:tc>
        <w:tc>
          <w:tcPr>
            <w:tcW w:w="450" w:type="pct"/>
            <w:tcBorders>
              <w:top w:val="nil"/>
              <w:left w:val="nil"/>
              <w:bottom w:val="nil"/>
              <w:right w:val="nil"/>
            </w:tcBorders>
            <w:shd w:val="clear" w:color="auto" w:fill="auto"/>
            <w:hideMark/>
          </w:tcPr>
          <w:p w14:paraId="490AB891"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0.007</w:t>
            </w:r>
          </w:p>
        </w:tc>
        <w:tc>
          <w:tcPr>
            <w:tcW w:w="120" w:type="pct"/>
            <w:tcBorders>
              <w:top w:val="nil"/>
              <w:left w:val="nil"/>
              <w:bottom w:val="nil"/>
              <w:right w:val="nil"/>
            </w:tcBorders>
            <w:shd w:val="clear" w:color="auto" w:fill="auto"/>
            <w:hideMark/>
          </w:tcPr>
          <w:p w14:paraId="3B577F06"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26B0D5A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1810 (10.5)</w:t>
            </w:r>
          </w:p>
        </w:tc>
        <w:tc>
          <w:tcPr>
            <w:tcW w:w="654" w:type="pct"/>
            <w:tcBorders>
              <w:top w:val="nil"/>
              <w:left w:val="nil"/>
              <w:bottom w:val="nil"/>
              <w:right w:val="nil"/>
            </w:tcBorders>
            <w:shd w:val="clear" w:color="auto" w:fill="auto"/>
            <w:hideMark/>
          </w:tcPr>
          <w:p w14:paraId="69025F82"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2640 (10.7)</w:t>
            </w:r>
          </w:p>
        </w:tc>
        <w:tc>
          <w:tcPr>
            <w:tcW w:w="450" w:type="pct"/>
            <w:tcBorders>
              <w:top w:val="nil"/>
              <w:left w:val="nil"/>
              <w:bottom w:val="nil"/>
              <w:right w:val="nil"/>
            </w:tcBorders>
            <w:shd w:val="clear" w:color="auto" w:fill="auto"/>
            <w:hideMark/>
          </w:tcPr>
          <w:p w14:paraId="1B16DC4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0.006</w:t>
            </w:r>
          </w:p>
        </w:tc>
      </w:tr>
      <w:tr w:rsidR="00857499" w:rsidRPr="00A74CDF" w14:paraId="2C6D8528" w14:textId="77777777" w:rsidTr="001325F4">
        <w:trPr>
          <w:trHeight w:val="340"/>
        </w:trPr>
        <w:tc>
          <w:tcPr>
            <w:tcW w:w="1364" w:type="pct"/>
            <w:tcBorders>
              <w:top w:val="nil"/>
              <w:left w:val="nil"/>
              <w:bottom w:val="nil"/>
              <w:right w:val="nil"/>
            </w:tcBorders>
            <w:shd w:val="clear" w:color="auto" w:fill="auto"/>
            <w:vAlign w:val="center"/>
            <w:hideMark/>
          </w:tcPr>
          <w:p w14:paraId="215EE91A"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Prior ischemic stroke</w:t>
            </w:r>
          </w:p>
        </w:tc>
        <w:tc>
          <w:tcPr>
            <w:tcW w:w="654" w:type="pct"/>
            <w:tcBorders>
              <w:top w:val="nil"/>
              <w:left w:val="nil"/>
              <w:bottom w:val="nil"/>
              <w:right w:val="nil"/>
            </w:tcBorders>
            <w:shd w:val="clear" w:color="auto" w:fill="auto"/>
            <w:hideMark/>
          </w:tcPr>
          <w:p w14:paraId="51214749" w14:textId="77777777" w:rsidR="00857499" w:rsidRPr="00A74CDF" w:rsidRDefault="00857499" w:rsidP="00BB1388">
            <w:pPr>
              <w:spacing w:line="480" w:lineRule="auto"/>
              <w:contextualSpacing/>
              <w:jc w:val="center"/>
              <w:rPr>
                <w:rFonts w:eastAsia="맑은 고딕"/>
              </w:rPr>
            </w:pPr>
            <w:r w:rsidRPr="00A74CDF">
              <w:rPr>
                <w:rFonts w:eastAsia="맑은 고딕"/>
              </w:rPr>
              <w:t>5039 (29.2)</w:t>
            </w:r>
          </w:p>
        </w:tc>
        <w:tc>
          <w:tcPr>
            <w:tcW w:w="654" w:type="pct"/>
            <w:tcBorders>
              <w:top w:val="nil"/>
              <w:left w:val="nil"/>
              <w:bottom w:val="nil"/>
              <w:right w:val="nil"/>
            </w:tcBorders>
            <w:shd w:val="clear" w:color="auto" w:fill="auto"/>
            <w:hideMark/>
          </w:tcPr>
          <w:p w14:paraId="04B8A83F" w14:textId="77777777" w:rsidR="00857499" w:rsidRPr="00A74CDF" w:rsidRDefault="00857499" w:rsidP="00BB1388">
            <w:pPr>
              <w:spacing w:line="480" w:lineRule="auto"/>
              <w:contextualSpacing/>
              <w:jc w:val="center"/>
              <w:rPr>
                <w:rFonts w:eastAsia="맑은 고딕"/>
              </w:rPr>
            </w:pPr>
            <w:r w:rsidRPr="00A74CDF">
              <w:rPr>
                <w:rFonts w:eastAsia="맑은 고딕"/>
              </w:rPr>
              <w:t>7678 (31.0)</w:t>
            </w:r>
          </w:p>
        </w:tc>
        <w:tc>
          <w:tcPr>
            <w:tcW w:w="450" w:type="pct"/>
            <w:tcBorders>
              <w:top w:val="nil"/>
              <w:left w:val="nil"/>
              <w:bottom w:val="nil"/>
              <w:right w:val="nil"/>
            </w:tcBorders>
            <w:shd w:val="clear" w:color="auto" w:fill="auto"/>
            <w:hideMark/>
          </w:tcPr>
          <w:p w14:paraId="3B1B1B81" w14:textId="77777777" w:rsidR="00857499" w:rsidRPr="00A74CDF" w:rsidRDefault="00857499" w:rsidP="00BB1388">
            <w:pPr>
              <w:spacing w:line="480" w:lineRule="auto"/>
              <w:contextualSpacing/>
              <w:jc w:val="center"/>
              <w:rPr>
                <w:rFonts w:eastAsia="맑은 고딕"/>
              </w:rPr>
            </w:pPr>
            <w:r w:rsidRPr="00A74CDF">
              <w:rPr>
                <w:rFonts w:eastAsia="맑은 고딕"/>
              </w:rPr>
              <w:t>0.039</w:t>
            </w:r>
          </w:p>
        </w:tc>
        <w:tc>
          <w:tcPr>
            <w:tcW w:w="120" w:type="pct"/>
            <w:tcBorders>
              <w:top w:val="nil"/>
              <w:left w:val="nil"/>
              <w:bottom w:val="nil"/>
              <w:right w:val="nil"/>
            </w:tcBorders>
            <w:shd w:val="clear" w:color="auto" w:fill="auto"/>
            <w:hideMark/>
          </w:tcPr>
          <w:p w14:paraId="19FAFA8F" w14:textId="77777777" w:rsidR="00857499" w:rsidRPr="00A74CDF" w:rsidRDefault="00857499" w:rsidP="00BB1388">
            <w:pPr>
              <w:spacing w:line="480" w:lineRule="auto"/>
              <w:contextualSpacing/>
              <w:jc w:val="center"/>
              <w:rPr>
                <w:rFonts w:eastAsia="맑은 고딕"/>
              </w:rPr>
            </w:pPr>
          </w:p>
        </w:tc>
        <w:tc>
          <w:tcPr>
            <w:tcW w:w="654" w:type="pct"/>
            <w:tcBorders>
              <w:top w:val="nil"/>
              <w:left w:val="nil"/>
              <w:bottom w:val="nil"/>
              <w:right w:val="nil"/>
            </w:tcBorders>
            <w:shd w:val="clear" w:color="auto" w:fill="auto"/>
            <w:hideMark/>
          </w:tcPr>
          <w:p w14:paraId="4C6AF97E" w14:textId="77777777" w:rsidR="00857499" w:rsidRPr="00A74CDF" w:rsidRDefault="00857499" w:rsidP="00BB1388">
            <w:pPr>
              <w:spacing w:line="480" w:lineRule="auto"/>
              <w:contextualSpacing/>
              <w:jc w:val="center"/>
              <w:rPr>
                <w:rFonts w:eastAsia="맑은 고딕"/>
              </w:rPr>
            </w:pPr>
            <w:r w:rsidRPr="00A74CDF">
              <w:rPr>
                <w:rFonts w:eastAsia="맑은 고딕"/>
              </w:rPr>
              <w:t>5336 (31.0)</w:t>
            </w:r>
          </w:p>
        </w:tc>
        <w:tc>
          <w:tcPr>
            <w:tcW w:w="654" w:type="pct"/>
            <w:tcBorders>
              <w:top w:val="nil"/>
              <w:left w:val="nil"/>
              <w:bottom w:val="nil"/>
              <w:right w:val="nil"/>
            </w:tcBorders>
            <w:shd w:val="clear" w:color="auto" w:fill="auto"/>
            <w:hideMark/>
          </w:tcPr>
          <w:p w14:paraId="3EF243CB" w14:textId="77777777" w:rsidR="00857499" w:rsidRPr="00A74CDF" w:rsidRDefault="00857499" w:rsidP="00BB1388">
            <w:pPr>
              <w:spacing w:line="480" w:lineRule="auto"/>
              <w:contextualSpacing/>
              <w:jc w:val="center"/>
              <w:rPr>
                <w:rFonts w:eastAsia="맑은 고딕"/>
              </w:rPr>
            </w:pPr>
            <w:r w:rsidRPr="00A74CDF">
              <w:rPr>
                <w:rFonts w:eastAsia="맑은 고딕"/>
              </w:rPr>
              <w:t>7483 (30.3)</w:t>
            </w:r>
          </w:p>
        </w:tc>
        <w:tc>
          <w:tcPr>
            <w:tcW w:w="450" w:type="pct"/>
            <w:tcBorders>
              <w:top w:val="nil"/>
              <w:left w:val="nil"/>
              <w:bottom w:val="nil"/>
              <w:right w:val="nil"/>
            </w:tcBorders>
            <w:shd w:val="clear" w:color="auto" w:fill="auto"/>
            <w:vAlign w:val="center"/>
            <w:hideMark/>
          </w:tcPr>
          <w:p w14:paraId="6F1FA799" w14:textId="77777777" w:rsidR="00857499" w:rsidRPr="00A74CDF" w:rsidRDefault="00857499" w:rsidP="00BB1388">
            <w:pPr>
              <w:spacing w:line="480" w:lineRule="auto"/>
              <w:contextualSpacing/>
              <w:jc w:val="center"/>
              <w:rPr>
                <w:rFonts w:eastAsia="맑은 고딕"/>
              </w:rPr>
            </w:pPr>
            <w:r w:rsidRPr="00A74CDF">
              <w:rPr>
                <w:rFonts w:eastAsia="맑은 고딕"/>
              </w:rPr>
              <w:t>0.015</w:t>
            </w:r>
          </w:p>
        </w:tc>
      </w:tr>
      <w:tr w:rsidR="00857499" w:rsidRPr="00A74CDF" w14:paraId="26269A84" w14:textId="77777777" w:rsidTr="001325F4">
        <w:trPr>
          <w:trHeight w:val="340"/>
        </w:trPr>
        <w:tc>
          <w:tcPr>
            <w:tcW w:w="1364" w:type="pct"/>
            <w:tcBorders>
              <w:top w:val="nil"/>
              <w:left w:val="nil"/>
              <w:bottom w:val="nil"/>
              <w:right w:val="nil"/>
            </w:tcBorders>
            <w:shd w:val="clear" w:color="auto" w:fill="auto"/>
            <w:vAlign w:val="center"/>
            <w:hideMark/>
          </w:tcPr>
          <w:p w14:paraId="009A0AA7" w14:textId="77777777" w:rsidR="00857499" w:rsidRPr="00A74CDF" w:rsidRDefault="00857499" w:rsidP="00BB1388">
            <w:pPr>
              <w:spacing w:line="480" w:lineRule="auto"/>
              <w:ind w:firstLineChars="100" w:firstLine="240"/>
              <w:contextualSpacing/>
              <w:rPr>
                <w:rFonts w:eastAsia="맑은 고딕"/>
                <w:b/>
                <w:bCs/>
                <w:color w:val="000000"/>
              </w:rPr>
            </w:pPr>
            <w:r w:rsidRPr="00A74CDF">
              <w:rPr>
                <w:rFonts w:eastAsia="맑은 고딕"/>
                <w:b/>
                <w:bCs/>
                <w:color w:val="000000"/>
              </w:rPr>
              <w:t>Prior ICH</w:t>
            </w:r>
          </w:p>
        </w:tc>
        <w:tc>
          <w:tcPr>
            <w:tcW w:w="654" w:type="pct"/>
            <w:tcBorders>
              <w:top w:val="nil"/>
              <w:left w:val="nil"/>
              <w:bottom w:val="nil"/>
              <w:right w:val="nil"/>
            </w:tcBorders>
            <w:shd w:val="clear" w:color="auto" w:fill="auto"/>
            <w:hideMark/>
          </w:tcPr>
          <w:p w14:paraId="30976835" w14:textId="77777777" w:rsidR="00857499" w:rsidRPr="00A74CDF" w:rsidRDefault="00857499" w:rsidP="00BB1388">
            <w:pPr>
              <w:spacing w:line="480" w:lineRule="auto"/>
              <w:contextualSpacing/>
              <w:jc w:val="center"/>
              <w:rPr>
                <w:rFonts w:eastAsia="맑은 고딕"/>
              </w:rPr>
            </w:pPr>
            <w:r w:rsidRPr="00A74CDF">
              <w:rPr>
                <w:rFonts w:eastAsia="맑은 고딕"/>
              </w:rPr>
              <w:t>414 (2.4)</w:t>
            </w:r>
          </w:p>
        </w:tc>
        <w:tc>
          <w:tcPr>
            <w:tcW w:w="654" w:type="pct"/>
            <w:tcBorders>
              <w:top w:val="nil"/>
              <w:left w:val="nil"/>
              <w:bottom w:val="nil"/>
              <w:right w:val="nil"/>
            </w:tcBorders>
            <w:shd w:val="clear" w:color="auto" w:fill="auto"/>
            <w:hideMark/>
          </w:tcPr>
          <w:p w14:paraId="3B85944B" w14:textId="77777777" w:rsidR="00857499" w:rsidRPr="00A74CDF" w:rsidRDefault="00857499" w:rsidP="00BB1388">
            <w:pPr>
              <w:spacing w:line="480" w:lineRule="auto"/>
              <w:contextualSpacing/>
              <w:jc w:val="center"/>
              <w:rPr>
                <w:rFonts w:eastAsia="맑은 고딕"/>
              </w:rPr>
            </w:pPr>
            <w:r w:rsidRPr="00A74CDF">
              <w:rPr>
                <w:rFonts w:eastAsia="맑은 고딕"/>
              </w:rPr>
              <w:t>754 (3.0)</w:t>
            </w:r>
          </w:p>
        </w:tc>
        <w:tc>
          <w:tcPr>
            <w:tcW w:w="450" w:type="pct"/>
            <w:tcBorders>
              <w:top w:val="nil"/>
              <w:left w:val="nil"/>
              <w:bottom w:val="nil"/>
              <w:right w:val="nil"/>
            </w:tcBorders>
            <w:shd w:val="clear" w:color="auto" w:fill="auto"/>
            <w:hideMark/>
          </w:tcPr>
          <w:p w14:paraId="0E96DAD4" w14:textId="77777777" w:rsidR="00857499" w:rsidRPr="00A74CDF" w:rsidRDefault="00857499" w:rsidP="00BB1388">
            <w:pPr>
              <w:spacing w:line="480" w:lineRule="auto"/>
              <w:contextualSpacing/>
              <w:jc w:val="center"/>
              <w:rPr>
                <w:rFonts w:eastAsia="맑은 고딕"/>
              </w:rPr>
            </w:pPr>
            <w:r w:rsidRPr="00A74CDF">
              <w:rPr>
                <w:rFonts w:eastAsia="맑은 고딕"/>
              </w:rPr>
              <w:t>0.040</w:t>
            </w:r>
          </w:p>
        </w:tc>
        <w:tc>
          <w:tcPr>
            <w:tcW w:w="120" w:type="pct"/>
            <w:tcBorders>
              <w:top w:val="nil"/>
              <w:left w:val="nil"/>
              <w:bottom w:val="nil"/>
              <w:right w:val="nil"/>
            </w:tcBorders>
            <w:shd w:val="clear" w:color="auto" w:fill="auto"/>
            <w:hideMark/>
          </w:tcPr>
          <w:p w14:paraId="4C559D14" w14:textId="77777777" w:rsidR="00857499" w:rsidRPr="00A74CDF" w:rsidRDefault="00857499" w:rsidP="00BB1388">
            <w:pPr>
              <w:spacing w:line="480" w:lineRule="auto"/>
              <w:contextualSpacing/>
              <w:jc w:val="center"/>
              <w:rPr>
                <w:rFonts w:eastAsia="맑은 고딕"/>
              </w:rPr>
            </w:pPr>
          </w:p>
        </w:tc>
        <w:tc>
          <w:tcPr>
            <w:tcW w:w="654" w:type="pct"/>
            <w:tcBorders>
              <w:top w:val="nil"/>
              <w:left w:val="nil"/>
              <w:bottom w:val="nil"/>
              <w:right w:val="nil"/>
            </w:tcBorders>
            <w:shd w:val="clear" w:color="auto" w:fill="auto"/>
            <w:hideMark/>
          </w:tcPr>
          <w:p w14:paraId="0B77EC99" w14:textId="77777777" w:rsidR="00857499" w:rsidRPr="00A74CDF" w:rsidRDefault="00857499" w:rsidP="00BB1388">
            <w:pPr>
              <w:spacing w:line="480" w:lineRule="auto"/>
              <w:contextualSpacing/>
              <w:jc w:val="center"/>
              <w:rPr>
                <w:rFonts w:eastAsia="맑은 고딕"/>
              </w:rPr>
            </w:pPr>
            <w:r w:rsidRPr="00A74CDF">
              <w:rPr>
                <w:rFonts w:eastAsia="맑은 고딕"/>
              </w:rPr>
              <w:t>475 (2.8)</w:t>
            </w:r>
          </w:p>
        </w:tc>
        <w:tc>
          <w:tcPr>
            <w:tcW w:w="654" w:type="pct"/>
            <w:tcBorders>
              <w:top w:val="nil"/>
              <w:left w:val="nil"/>
              <w:bottom w:val="nil"/>
              <w:right w:val="nil"/>
            </w:tcBorders>
            <w:shd w:val="clear" w:color="auto" w:fill="auto"/>
            <w:hideMark/>
          </w:tcPr>
          <w:p w14:paraId="12BC6561" w14:textId="77777777" w:rsidR="00857499" w:rsidRPr="00A74CDF" w:rsidRDefault="00857499" w:rsidP="00BB1388">
            <w:pPr>
              <w:spacing w:line="480" w:lineRule="auto"/>
              <w:contextualSpacing/>
              <w:jc w:val="center"/>
              <w:rPr>
                <w:rFonts w:eastAsia="맑은 고딕"/>
              </w:rPr>
            </w:pPr>
            <w:r w:rsidRPr="00A74CDF">
              <w:rPr>
                <w:rFonts w:eastAsia="맑은 고딕"/>
              </w:rPr>
              <w:t>691 (2.8)</w:t>
            </w:r>
          </w:p>
        </w:tc>
        <w:tc>
          <w:tcPr>
            <w:tcW w:w="450" w:type="pct"/>
            <w:tcBorders>
              <w:top w:val="nil"/>
              <w:left w:val="nil"/>
              <w:bottom w:val="nil"/>
              <w:right w:val="nil"/>
            </w:tcBorders>
            <w:shd w:val="clear" w:color="auto" w:fill="auto"/>
            <w:vAlign w:val="center"/>
            <w:hideMark/>
          </w:tcPr>
          <w:p w14:paraId="6089EBC4" w14:textId="77777777" w:rsidR="00857499" w:rsidRPr="00A74CDF" w:rsidRDefault="00857499" w:rsidP="00BB1388">
            <w:pPr>
              <w:spacing w:line="480" w:lineRule="auto"/>
              <w:contextualSpacing/>
              <w:jc w:val="center"/>
              <w:rPr>
                <w:rFonts w:eastAsia="맑은 고딕"/>
              </w:rPr>
            </w:pPr>
            <w:r w:rsidRPr="00A74CDF">
              <w:rPr>
                <w:rFonts w:eastAsia="맑은 고딕"/>
              </w:rPr>
              <w:t>0.002</w:t>
            </w:r>
          </w:p>
        </w:tc>
      </w:tr>
      <w:tr w:rsidR="00857499" w:rsidRPr="00A74CDF" w14:paraId="38D84984" w14:textId="77777777" w:rsidTr="001325F4">
        <w:trPr>
          <w:trHeight w:val="340"/>
        </w:trPr>
        <w:tc>
          <w:tcPr>
            <w:tcW w:w="1364" w:type="pct"/>
            <w:tcBorders>
              <w:top w:val="nil"/>
              <w:left w:val="nil"/>
              <w:bottom w:val="nil"/>
              <w:right w:val="nil"/>
            </w:tcBorders>
            <w:shd w:val="clear" w:color="auto" w:fill="auto"/>
            <w:vAlign w:val="center"/>
            <w:hideMark/>
          </w:tcPr>
          <w:p w14:paraId="32028B67"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Concomitant medication</w:t>
            </w:r>
          </w:p>
        </w:tc>
        <w:tc>
          <w:tcPr>
            <w:tcW w:w="654" w:type="pct"/>
            <w:tcBorders>
              <w:top w:val="nil"/>
              <w:left w:val="nil"/>
              <w:bottom w:val="nil"/>
              <w:right w:val="nil"/>
            </w:tcBorders>
            <w:shd w:val="clear" w:color="auto" w:fill="auto"/>
            <w:vAlign w:val="center"/>
            <w:hideMark/>
          </w:tcPr>
          <w:p w14:paraId="26AAB2E8" w14:textId="77777777" w:rsidR="00857499" w:rsidRPr="00A74CDF" w:rsidRDefault="00857499" w:rsidP="00BB1388">
            <w:pPr>
              <w:spacing w:line="480" w:lineRule="auto"/>
              <w:contextualSpacing/>
              <w:rPr>
                <w:rFonts w:eastAsia="맑은 고딕"/>
                <w:b/>
                <w:bCs/>
                <w:color w:val="000000"/>
              </w:rPr>
            </w:pPr>
          </w:p>
        </w:tc>
        <w:tc>
          <w:tcPr>
            <w:tcW w:w="654" w:type="pct"/>
            <w:tcBorders>
              <w:top w:val="nil"/>
              <w:left w:val="nil"/>
              <w:bottom w:val="nil"/>
              <w:right w:val="nil"/>
            </w:tcBorders>
            <w:shd w:val="clear" w:color="auto" w:fill="auto"/>
            <w:vAlign w:val="center"/>
            <w:hideMark/>
          </w:tcPr>
          <w:p w14:paraId="7D9E2281"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vAlign w:val="center"/>
            <w:hideMark/>
          </w:tcPr>
          <w:p w14:paraId="369E9FDB" w14:textId="77777777" w:rsidR="00857499" w:rsidRPr="00A74CDF" w:rsidRDefault="00857499" w:rsidP="00BB1388">
            <w:pPr>
              <w:spacing w:line="480" w:lineRule="auto"/>
              <w:contextualSpacing/>
              <w:jc w:val="center"/>
            </w:pPr>
          </w:p>
        </w:tc>
        <w:tc>
          <w:tcPr>
            <w:tcW w:w="120" w:type="pct"/>
            <w:tcBorders>
              <w:top w:val="nil"/>
              <w:left w:val="nil"/>
              <w:bottom w:val="nil"/>
              <w:right w:val="nil"/>
            </w:tcBorders>
            <w:shd w:val="clear" w:color="auto" w:fill="auto"/>
            <w:vAlign w:val="center"/>
            <w:hideMark/>
          </w:tcPr>
          <w:p w14:paraId="7E676B19"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vAlign w:val="center"/>
            <w:hideMark/>
          </w:tcPr>
          <w:p w14:paraId="6084966A"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vAlign w:val="center"/>
            <w:hideMark/>
          </w:tcPr>
          <w:p w14:paraId="598B55EB"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vAlign w:val="center"/>
            <w:hideMark/>
          </w:tcPr>
          <w:p w14:paraId="516C0A69" w14:textId="77777777" w:rsidR="00857499" w:rsidRPr="00A74CDF" w:rsidRDefault="00857499" w:rsidP="00BB1388">
            <w:pPr>
              <w:spacing w:line="480" w:lineRule="auto"/>
              <w:contextualSpacing/>
              <w:jc w:val="center"/>
            </w:pPr>
          </w:p>
        </w:tc>
      </w:tr>
      <w:tr w:rsidR="00857499" w:rsidRPr="00A74CDF" w14:paraId="06F29BDD" w14:textId="77777777" w:rsidTr="001325F4">
        <w:trPr>
          <w:trHeight w:val="340"/>
        </w:trPr>
        <w:tc>
          <w:tcPr>
            <w:tcW w:w="1364" w:type="pct"/>
            <w:tcBorders>
              <w:top w:val="nil"/>
              <w:left w:val="nil"/>
              <w:bottom w:val="nil"/>
              <w:right w:val="nil"/>
            </w:tcBorders>
            <w:shd w:val="clear" w:color="auto" w:fill="auto"/>
            <w:vAlign w:val="center"/>
            <w:hideMark/>
          </w:tcPr>
          <w:p w14:paraId="5C8931F4"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Aspirin only</w:t>
            </w:r>
          </w:p>
        </w:tc>
        <w:tc>
          <w:tcPr>
            <w:tcW w:w="654" w:type="pct"/>
            <w:tcBorders>
              <w:top w:val="nil"/>
              <w:left w:val="nil"/>
              <w:bottom w:val="nil"/>
              <w:right w:val="nil"/>
            </w:tcBorders>
            <w:shd w:val="clear" w:color="auto" w:fill="auto"/>
            <w:vAlign w:val="center"/>
            <w:hideMark/>
          </w:tcPr>
          <w:p w14:paraId="164E582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7130 (41.3)</w:t>
            </w:r>
          </w:p>
        </w:tc>
        <w:tc>
          <w:tcPr>
            <w:tcW w:w="654" w:type="pct"/>
            <w:tcBorders>
              <w:top w:val="nil"/>
              <w:left w:val="nil"/>
              <w:bottom w:val="nil"/>
              <w:right w:val="nil"/>
            </w:tcBorders>
            <w:shd w:val="clear" w:color="auto" w:fill="auto"/>
            <w:vAlign w:val="center"/>
            <w:hideMark/>
          </w:tcPr>
          <w:p w14:paraId="569882F8"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5038 (20.3)</w:t>
            </w:r>
          </w:p>
        </w:tc>
        <w:tc>
          <w:tcPr>
            <w:tcW w:w="450" w:type="pct"/>
            <w:tcBorders>
              <w:top w:val="nil"/>
              <w:left w:val="nil"/>
              <w:bottom w:val="nil"/>
              <w:right w:val="nil"/>
            </w:tcBorders>
            <w:shd w:val="clear" w:color="auto" w:fill="auto"/>
            <w:hideMark/>
          </w:tcPr>
          <w:p w14:paraId="33E543C7"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0.466</w:t>
            </w:r>
          </w:p>
        </w:tc>
        <w:tc>
          <w:tcPr>
            <w:tcW w:w="120" w:type="pct"/>
            <w:tcBorders>
              <w:top w:val="nil"/>
              <w:left w:val="nil"/>
              <w:bottom w:val="nil"/>
              <w:right w:val="nil"/>
            </w:tcBorders>
            <w:shd w:val="clear" w:color="auto" w:fill="auto"/>
            <w:hideMark/>
          </w:tcPr>
          <w:p w14:paraId="7D660168" w14:textId="77777777" w:rsidR="00857499" w:rsidRPr="00A74CDF" w:rsidRDefault="00857499" w:rsidP="00BB1388">
            <w:pPr>
              <w:spacing w:line="480" w:lineRule="auto"/>
              <w:contextualSpacing/>
              <w:jc w:val="center"/>
              <w:rPr>
                <w:rFonts w:eastAsia="맑은 고딕"/>
                <w:color w:val="000000" w:themeColor="text1"/>
              </w:rPr>
            </w:pPr>
          </w:p>
        </w:tc>
        <w:tc>
          <w:tcPr>
            <w:tcW w:w="654" w:type="pct"/>
            <w:tcBorders>
              <w:top w:val="nil"/>
              <w:left w:val="nil"/>
              <w:bottom w:val="nil"/>
              <w:right w:val="nil"/>
            </w:tcBorders>
            <w:shd w:val="clear" w:color="auto" w:fill="auto"/>
            <w:hideMark/>
          </w:tcPr>
          <w:p w14:paraId="4D50E3F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4922 (28.6)</w:t>
            </w:r>
          </w:p>
        </w:tc>
        <w:tc>
          <w:tcPr>
            <w:tcW w:w="654" w:type="pct"/>
            <w:tcBorders>
              <w:top w:val="nil"/>
              <w:left w:val="nil"/>
              <w:bottom w:val="nil"/>
              <w:right w:val="nil"/>
            </w:tcBorders>
            <w:shd w:val="clear" w:color="auto" w:fill="auto"/>
            <w:hideMark/>
          </w:tcPr>
          <w:p w14:paraId="3347992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7037 (28.5)</w:t>
            </w:r>
          </w:p>
        </w:tc>
        <w:tc>
          <w:tcPr>
            <w:tcW w:w="450" w:type="pct"/>
            <w:tcBorders>
              <w:top w:val="nil"/>
              <w:left w:val="nil"/>
              <w:bottom w:val="nil"/>
              <w:right w:val="nil"/>
            </w:tcBorders>
            <w:shd w:val="clear" w:color="auto" w:fill="auto"/>
            <w:hideMark/>
          </w:tcPr>
          <w:p w14:paraId="5CCB867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0.002</w:t>
            </w:r>
          </w:p>
        </w:tc>
      </w:tr>
      <w:tr w:rsidR="00857499" w:rsidRPr="00A74CDF" w14:paraId="3B4A52AC" w14:textId="77777777" w:rsidTr="001325F4">
        <w:trPr>
          <w:trHeight w:val="340"/>
        </w:trPr>
        <w:tc>
          <w:tcPr>
            <w:tcW w:w="1364" w:type="pct"/>
            <w:tcBorders>
              <w:top w:val="nil"/>
              <w:left w:val="nil"/>
              <w:bottom w:val="nil"/>
              <w:right w:val="nil"/>
            </w:tcBorders>
            <w:shd w:val="clear" w:color="auto" w:fill="auto"/>
            <w:vAlign w:val="center"/>
            <w:hideMark/>
          </w:tcPr>
          <w:p w14:paraId="245220D6"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Clopidogrel only</w:t>
            </w:r>
          </w:p>
        </w:tc>
        <w:tc>
          <w:tcPr>
            <w:tcW w:w="654" w:type="pct"/>
            <w:tcBorders>
              <w:top w:val="nil"/>
              <w:left w:val="nil"/>
              <w:bottom w:val="nil"/>
              <w:right w:val="nil"/>
            </w:tcBorders>
            <w:shd w:val="clear" w:color="auto" w:fill="auto"/>
            <w:vAlign w:val="center"/>
            <w:hideMark/>
          </w:tcPr>
          <w:p w14:paraId="7DC28A61"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3209 (18.6)</w:t>
            </w:r>
          </w:p>
        </w:tc>
        <w:tc>
          <w:tcPr>
            <w:tcW w:w="654" w:type="pct"/>
            <w:tcBorders>
              <w:top w:val="nil"/>
              <w:left w:val="nil"/>
              <w:bottom w:val="nil"/>
              <w:right w:val="nil"/>
            </w:tcBorders>
            <w:shd w:val="clear" w:color="auto" w:fill="auto"/>
            <w:vAlign w:val="center"/>
            <w:hideMark/>
          </w:tcPr>
          <w:p w14:paraId="2B43A6DF"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3155 (12.7)</w:t>
            </w:r>
          </w:p>
        </w:tc>
        <w:tc>
          <w:tcPr>
            <w:tcW w:w="450" w:type="pct"/>
            <w:tcBorders>
              <w:top w:val="nil"/>
              <w:left w:val="nil"/>
              <w:bottom w:val="nil"/>
              <w:right w:val="nil"/>
            </w:tcBorders>
            <w:shd w:val="clear" w:color="auto" w:fill="auto"/>
            <w:hideMark/>
          </w:tcPr>
          <w:p w14:paraId="5D6587C3"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0.162</w:t>
            </w:r>
          </w:p>
        </w:tc>
        <w:tc>
          <w:tcPr>
            <w:tcW w:w="120" w:type="pct"/>
            <w:tcBorders>
              <w:top w:val="nil"/>
              <w:left w:val="nil"/>
              <w:bottom w:val="nil"/>
              <w:right w:val="nil"/>
            </w:tcBorders>
            <w:shd w:val="clear" w:color="auto" w:fill="auto"/>
            <w:hideMark/>
          </w:tcPr>
          <w:p w14:paraId="1B161A03" w14:textId="77777777" w:rsidR="00857499" w:rsidRPr="00A74CDF" w:rsidRDefault="00857499" w:rsidP="00BB1388">
            <w:pPr>
              <w:spacing w:line="480" w:lineRule="auto"/>
              <w:contextualSpacing/>
              <w:jc w:val="center"/>
              <w:rPr>
                <w:rFonts w:eastAsia="맑은 고딕"/>
                <w:color w:val="000000" w:themeColor="text1"/>
              </w:rPr>
            </w:pPr>
          </w:p>
        </w:tc>
        <w:tc>
          <w:tcPr>
            <w:tcW w:w="654" w:type="pct"/>
            <w:tcBorders>
              <w:top w:val="nil"/>
              <w:left w:val="nil"/>
              <w:bottom w:val="nil"/>
              <w:right w:val="nil"/>
            </w:tcBorders>
            <w:shd w:val="clear" w:color="auto" w:fill="auto"/>
            <w:hideMark/>
          </w:tcPr>
          <w:p w14:paraId="39F09438"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2585 (15.0)</w:t>
            </w:r>
          </w:p>
        </w:tc>
        <w:tc>
          <w:tcPr>
            <w:tcW w:w="654" w:type="pct"/>
            <w:tcBorders>
              <w:top w:val="nil"/>
              <w:left w:val="nil"/>
              <w:bottom w:val="nil"/>
              <w:right w:val="nil"/>
            </w:tcBorders>
            <w:shd w:val="clear" w:color="auto" w:fill="auto"/>
            <w:hideMark/>
          </w:tcPr>
          <w:p w14:paraId="5D730BD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3743 (15.1)</w:t>
            </w:r>
          </w:p>
        </w:tc>
        <w:tc>
          <w:tcPr>
            <w:tcW w:w="450" w:type="pct"/>
            <w:tcBorders>
              <w:top w:val="nil"/>
              <w:left w:val="nil"/>
              <w:bottom w:val="nil"/>
              <w:right w:val="nil"/>
            </w:tcBorders>
            <w:shd w:val="clear" w:color="auto" w:fill="auto"/>
            <w:hideMark/>
          </w:tcPr>
          <w:p w14:paraId="219A6611"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0.004</w:t>
            </w:r>
          </w:p>
        </w:tc>
      </w:tr>
      <w:tr w:rsidR="00857499" w:rsidRPr="00A74CDF" w14:paraId="6477CAF1" w14:textId="77777777" w:rsidTr="001325F4">
        <w:trPr>
          <w:trHeight w:val="340"/>
        </w:trPr>
        <w:tc>
          <w:tcPr>
            <w:tcW w:w="1364" w:type="pct"/>
            <w:tcBorders>
              <w:top w:val="nil"/>
              <w:left w:val="nil"/>
              <w:bottom w:val="nil"/>
              <w:right w:val="nil"/>
            </w:tcBorders>
            <w:shd w:val="clear" w:color="auto" w:fill="auto"/>
            <w:vAlign w:val="center"/>
            <w:hideMark/>
          </w:tcPr>
          <w:p w14:paraId="2D5268AD"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Dual antiplatelet agent </w:t>
            </w:r>
          </w:p>
        </w:tc>
        <w:tc>
          <w:tcPr>
            <w:tcW w:w="654" w:type="pct"/>
            <w:tcBorders>
              <w:top w:val="nil"/>
              <w:left w:val="nil"/>
              <w:bottom w:val="nil"/>
              <w:right w:val="nil"/>
            </w:tcBorders>
            <w:shd w:val="clear" w:color="auto" w:fill="auto"/>
            <w:vAlign w:val="center"/>
            <w:hideMark/>
          </w:tcPr>
          <w:p w14:paraId="4D8686A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2092 (12.1)</w:t>
            </w:r>
          </w:p>
        </w:tc>
        <w:tc>
          <w:tcPr>
            <w:tcW w:w="654" w:type="pct"/>
            <w:tcBorders>
              <w:top w:val="nil"/>
              <w:left w:val="nil"/>
              <w:bottom w:val="nil"/>
              <w:right w:val="nil"/>
            </w:tcBorders>
            <w:shd w:val="clear" w:color="auto" w:fill="auto"/>
            <w:vAlign w:val="center"/>
            <w:hideMark/>
          </w:tcPr>
          <w:p w14:paraId="3CE93573"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1507 (6.1)</w:t>
            </w:r>
          </w:p>
        </w:tc>
        <w:tc>
          <w:tcPr>
            <w:tcW w:w="450" w:type="pct"/>
            <w:tcBorders>
              <w:top w:val="nil"/>
              <w:left w:val="nil"/>
              <w:bottom w:val="nil"/>
              <w:right w:val="nil"/>
            </w:tcBorders>
            <w:shd w:val="clear" w:color="auto" w:fill="auto"/>
            <w:vAlign w:val="center"/>
            <w:hideMark/>
          </w:tcPr>
          <w:p w14:paraId="59B442C2" w14:textId="77777777" w:rsidR="00857499" w:rsidRPr="00A74CDF" w:rsidRDefault="00857499" w:rsidP="00BB1388">
            <w:pPr>
              <w:spacing w:line="480" w:lineRule="auto"/>
              <w:contextualSpacing/>
              <w:jc w:val="center"/>
              <w:rPr>
                <w:rFonts w:eastAsia="맑은 고딕"/>
                <w:color w:val="000000" w:themeColor="text1"/>
              </w:rPr>
            </w:pPr>
            <w:r w:rsidRPr="00A74CDF">
              <w:rPr>
                <w:rFonts w:eastAsia="맑은 고딕"/>
                <w:color w:val="000000" w:themeColor="text1"/>
              </w:rPr>
              <w:t>-</w:t>
            </w:r>
          </w:p>
        </w:tc>
        <w:tc>
          <w:tcPr>
            <w:tcW w:w="120" w:type="pct"/>
            <w:tcBorders>
              <w:top w:val="nil"/>
              <w:left w:val="nil"/>
              <w:bottom w:val="nil"/>
              <w:right w:val="nil"/>
            </w:tcBorders>
            <w:shd w:val="clear" w:color="auto" w:fill="auto"/>
            <w:vAlign w:val="center"/>
            <w:hideMark/>
          </w:tcPr>
          <w:p w14:paraId="7371FF57" w14:textId="77777777" w:rsidR="00857499" w:rsidRPr="00A74CDF" w:rsidRDefault="00857499" w:rsidP="00BB1388">
            <w:pPr>
              <w:spacing w:line="480" w:lineRule="auto"/>
              <w:contextualSpacing/>
              <w:jc w:val="center"/>
              <w:rPr>
                <w:rFonts w:eastAsia="맑은 고딕"/>
                <w:color w:val="000000" w:themeColor="text1"/>
              </w:rPr>
            </w:pPr>
          </w:p>
        </w:tc>
        <w:tc>
          <w:tcPr>
            <w:tcW w:w="654" w:type="pct"/>
            <w:tcBorders>
              <w:top w:val="nil"/>
              <w:left w:val="nil"/>
              <w:bottom w:val="nil"/>
              <w:right w:val="nil"/>
            </w:tcBorders>
            <w:shd w:val="clear" w:color="auto" w:fill="auto"/>
            <w:vAlign w:val="center"/>
            <w:hideMark/>
          </w:tcPr>
          <w:p w14:paraId="775D97E6"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1455 (8.4)</w:t>
            </w:r>
          </w:p>
        </w:tc>
        <w:tc>
          <w:tcPr>
            <w:tcW w:w="654" w:type="pct"/>
            <w:tcBorders>
              <w:top w:val="nil"/>
              <w:left w:val="nil"/>
              <w:bottom w:val="nil"/>
              <w:right w:val="nil"/>
            </w:tcBorders>
            <w:shd w:val="clear" w:color="auto" w:fill="auto"/>
            <w:vAlign w:val="center"/>
            <w:hideMark/>
          </w:tcPr>
          <w:p w14:paraId="5C9956F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2095 (8.5)</w:t>
            </w:r>
          </w:p>
        </w:tc>
        <w:tc>
          <w:tcPr>
            <w:tcW w:w="450" w:type="pct"/>
            <w:tcBorders>
              <w:top w:val="nil"/>
              <w:left w:val="nil"/>
              <w:bottom w:val="nil"/>
              <w:right w:val="nil"/>
            </w:tcBorders>
            <w:shd w:val="clear" w:color="auto" w:fill="auto"/>
            <w:vAlign w:val="center"/>
            <w:hideMark/>
          </w:tcPr>
          <w:p w14:paraId="01A9A6FC"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5F222BE0" w14:textId="77777777" w:rsidTr="001325F4">
        <w:trPr>
          <w:trHeight w:val="340"/>
        </w:trPr>
        <w:tc>
          <w:tcPr>
            <w:tcW w:w="1364" w:type="pct"/>
            <w:tcBorders>
              <w:top w:val="nil"/>
              <w:left w:val="nil"/>
              <w:bottom w:val="nil"/>
              <w:right w:val="nil"/>
            </w:tcBorders>
            <w:shd w:val="clear" w:color="auto" w:fill="auto"/>
            <w:vAlign w:val="center"/>
            <w:hideMark/>
          </w:tcPr>
          <w:p w14:paraId="62B15EA2"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NSAID</w:t>
            </w:r>
          </w:p>
        </w:tc>
        <w:tc>
          <w:tcPr>
            <w:tcW w:w="654" w:type="pct"/>
            <w:tcBorders>
              <w:top w:val="nil"/>
              <w:left w:val="nil"/>
              <w:bottom w:val="nil"/>
              <w:right w:val="nil"/>
            </w:tcBorders>
            <w:shd w:val="clear" w:color="auto" w:fill="auto"/>
            <w:vAlign w:val="center"/>
            <w:hideMark/>
          </w:tcPr>
          <w:p w14:paraId="4988656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8781 (50.9)</w:t>
            </w:r>
          </w:p>
        </w:tc>
        <w:tc>
          <w:tcPr>
            <w:tcW w:w="654" w:type="pct"/>
            <w:tcBorders>
              <w:top w:val="nil"/>
              <w:left w:val="nil"/>
              <w:bottom w:val="nil"/>
              <w:right w:val="nil"/>
            </w:tcBorders>
            <w:shd w:val="clear" w:color="auto" w:fill="auto"/>
            <w:vAlign w:val="center"/>
            <w:hideMark/>
          </w:tcPr>
          <w:p w14:paraId="10A750F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11,749 (47.4)</w:t>
            </w:r>
          </w:p>
        </w:tc>
        <w:tc>
          <w:tcPr>
            <w:tcW w:w="450" w:type="pct"/>
            <w:tcBorders>
              <w:top w:val="nil"/>
              <w:left w:val="nil"/>
              <w:bottom w:val="nil"/>
              <w:right w:val="nil"/>
            </w:tcBorders>
            <w:shd w:val="clear" w:color="auto" w:fill="auto"/>
            <w:hideMark/>
          </w:tcPr>
          <w:p w14:paraId="7DD9520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0.069</w:t>
            </w:r>
          </w:p>
        </w:tc>
        <w:tc>
          <w:tcPr>
            <w:tcW w:w="120" w:type="pct"/>
            <w:tcBorders>
              <w:top w:val="nil"/>
              <w:left w:val="nil"/>
              <w:bottom w:val="nil"/>
              <w:right w:val="nil"/>
            </w:tcBorders>
            <w:shd w:val="clear" w:color="auto" w:fill="auto"/>
            <w:hideMark/>
          </w:tcPr>
          <w:p w14:paraId="152C5832"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614029A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8342 (48.4)</w:t>
            </w:r>
          </w:p>
        </w:tc>
        <w:tc>
          <w:tcPr>
            <w:tcW w:w="654" w:type="pct"/>
            <w:tcBorders>
              <w:top w:val="nil"/>
              <w:left w:val="nil"/>
              <w:bottom w:val="nil"/>
              <w:right w:val="nil"/>
            </w:tcBorders>
            <w:shd w:val="clear" w:color="auto" w:fill="auto"/>
            <w:hideMark/>
          </w:tcPr>
          <w:p w14:paraId="758A4A3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12,000 (48.5)</w:t>
            </w:r>
          </w:p>
        </w:tc>
        <w:tc>
          <w:tcPr>
            <w:tcW w:w="450" w:type="pct"/>
            <w:tcBorders>
              <w:top w:val="nil"/>
              <w:left w:val="nil"/>
              <w:bottom w:val="nil"/>
              <w:right w:val="nil"/>
            </w:tcBorders>
            <w:shd w:val="clear" w:color="auto" w:fill="auto"/>
            <w:hideMark/>
          </w:tcPr>
          <w:p w14:paraId="554F52A3"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0.002</w:t>
            </w:r>
          </w:p>
        </w:tc>
      </w:tr>
      <w:tr w:rsidR="00857499" w:rsidRPr="00A74CDF" w14:paraId="255AEAB6" w14:textId="77777777" w:rsidTr="001325F4">
        <w:trPr>
          <w:trHeight w:val="340"/>
        </w:trPr>
        <w:tc>
          <w:tcPr>
            <w:tcW w:w="1364" w:type="pct"/>
            <w:tcBorders>
              <w:top w:val="nil"/>
              <w:left w:val="nil"/>
              <w:bottom w:val="nil"/>
              <w:right w:val="nil"/>
            </w:tcBorders>
            <w:shd w:val="clear" w:color="auto" w:fill="auto"/>
            <w:vAlign w:val="center"/>
            <w:hideMark/>
          </w:tcPr>
          <w:p w14:paraId="3CFA2976"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Proton pump inhibitor</w:t>
            </w:r>
          </w:p>
        </w:tc>
        <w:tc>
          <w:tcPr>
            <w:tcW w:w="654" w:type="pct"/>
            <w:tcBorders>
              <w:top w:val="nil"/>
              <w:left w:val="nil"/>
              <w:bottom w:val="nil"/>
              <w:right w:val="nil"/>
            </w:tcBorders>
            <w:shd w:val="clear" w:color="auto" w:fill="auto"/>
            <w:vAlign w:val="center"/>
            <w:hideMark/>
          </w:tcPr>
          <w:p w14:paraId="64155BB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6754 (39.1)</w:t>
            </w:r>
          </w:p>
        </w:tc>
        <w:tc>
          <w:tcPr>
            <w:tcW w:w="654" w:type="pct"/>
            <w:tcBorders>
              <w:top w:val="nil"/>
              <w:left w:val="nil"/>
              <w:bottom w:val="nil"/>
              <w:right w:val="nil"/>
            </w:tcBorders>
            <w:shd w:val="clear" w:color="auto" w:fill="auto"/>
            <w:vAlign w:val="center"/>
            <w:hideMark/>
          </w:tcPr>
          <w:p w14:paraId="226CA97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10,244 (41.3)</w:t>
            </w:r>
          </w:p>
        </w:tc>
        <w:tc>
          <w:tcPr>
            <w:tcW w:w="450" w:type="pct"/>
            <w:tcBorders>
              <w:top w:val="nil"/>
              <w:left w:val="nil"/>
              <w:bottom w:val="nil"/>
              <w:right w:val="nil"/>
            </w:tcBorders>
            <w:shd w:val="clear" w:color="auto" w:fill="auto"/>
            <w:hideMark/>
          </w:tcPr>
          <w:p w14:paraId="3DAE0B3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0.045</w:t>
            </w:r>
          </w:p>
        </w:tc>
        <w:tc>
          <w:tcPr>
            <w:tcW w:w="120" w:type="pct"/>
            <w:tcBorders>
              <w:top w:val="nil"/>
              <w:left w:val="nil"/>
              <w:bottom w:val="nil"/>
              <w:right w:val="nil"/>
            </w:tcBorders>
            <w:shd w:val="clear" w:color="auto" w:fill="auto"/>
            <w:hideMark/>
          </w:tcPr>
          <w:p w14:paraId="58F19778"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hideMark/>
          </w:tcPr>
          <w:p w14:paraId="474CC9E9"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7022 (40.8)</w:t>
            </w:r>
          </w:p>
        </w:tc>
        <w:tc>
          <w:tcPr>
            <w:tcW w:w="654" w:type="pct"/>
            <w:tcBorders>
              <w:top w:val="nil"/>
              <w:left w:val="nil"/>
              <w:bottom w:val="nil"/>
              <w:right w:val="nil"/>
            </w:tcBorders>
            <w:shd w:val="clear" w:color="auto" w:fill="auto"/>
            <w:hideMark/>
          </w:tcPr>
          <w:p w14:paraId="67EAB806"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10,087 (40.8)</w:t>
            </w:r>
          </w:p>
        </w:tc>
        <w:tc>
          <w:tcPr>
            <w:tcW w:w="450" w:type="pct"/>
            <w:tcBorders>
              <w:top w:val="nil"/>
              <w:left w:val="nil"/>
              <w:bottom w:val="nil"/>
              <w:right w:val="nil"/>
            </w:tcBorders>
            <w:shd w:val="clear" w:color="auto" w:fill="auto"/>
            <w:hideMark/>
          </w:tcPr>
          <w:p w14:paraId="32A2A9D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0.001</w:t>
            </w:r>
          </w:p>
        </w:tc>
      </w:tr>
      <w:tr w:rsidR="00857499" w:rsidRPr="00A74CDF" w14:paraId="07BB6642" w14:textId="77777777" w:rsidTr="001325F4">
        <w:trPr>
          <w:trHeight w:val="340"/>
        </w:trPr>
        <w:tc>
          <w:tcPr>
            <w:tcW w:w="1364" w:type="pct"/>
            <w:tcBorders>
              <w:top w:val="nil"/>
              <w:left w:val="nil"/>
              <w:bottom w:val="nil"/>
              <w:right w:val="nil"/>
            </w:tcBorders>
            <w:shd w:val="clear" w:color="auto" w:fill="auto"/>
            <w:vAlign w:val="center"/>
            <w:hideMark/>
          </w:tcPr>
          <w:p w14:paraId="2BEB0BC7"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NOAC dose</w:t>
            </w:r>
          </w:p>
        </w:tc>
        <w:tc>
          <w:tcPr>
            <w:tcW w:w="654" w:type="pct"/>
            <w:tcBorders>
              <w:top w:val="nil"/>
              <w:left w:val="nil"/>
              <w:bottom w:val="nil"/>
              <w:right w:val="nil"/>
            </w:tcBorders>
            <w:shd w:val="clear" w:color="auto" w:fill="auto"/>
            <w:vAlign w:val="center"/>
            <w:hideMark/>
          </w:tcPr>
          <w:p w14:paraId="732FABF4" w14:textId="77777777" w:rsidR="00857499" w:rsidRPr="00A74CDF" w:rsidRDefault="00857499" w:rsidP="00BB1388">
            <w:pPr>
              <w:spacing w:line="480" w:lineRule="auto"/>
              <w:contextualSpacing/>
              <w:rPr>
                <w:rFonts w:eastAsia="맑은 고딕"/>
                <w:b/>
                <w:bCs/>
                <w:color w:val="000000"/>
              </w:rPr>
            </w:pPr>
          </w:p>
        </w:tc>
        <w:tc>
          <w:tcPr>
            <w:tcW w:w="654" w:type="pct"/>
            <w:tcBorders>
              <w:top w:val="nil"/>
              <w:left w:val="nil"/>
              <w:bottom w:val="nil"/>
              <w:right w:val="nil"/>
            </w:tcBorders>
            <w:shd w:val="clear" w:color="auto" w:fill="auto"/>
            <w:vAlign w:val="center"/>
            <w:hideMark/>
          </w:tcPr>
          <w:p w14:paraId="06E4A79B"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vAlign w:val="center"/>
            <w:hideMark/>
          </w:tcPr>
          <w:p w14:paraId="0CFE9172" w14:textId="77777777" w:rsidR="00857499" w:rsidRPr="00A74CDF" w:rsidRDefault="00857499" w:rsidP="00BB1388">
            <w:pPr>
              <w:spacing w:line="480" w:lineRule="auto"/>
              <w:contextualSpacing/>
              <w:jc w:val="center"/>
            </w:pPr>
          </w:p>
        </w:tc>
        <w:tc>
          <w:tcPr>
            <w:tcW w:w="120" w:type="pct"/>
            <w:tcBorders>
              <w:top w:val="nil"/>
              <w:left w:val="nil"/>
              <w:bottom w:val="nil"/>
              <w:right w:val="nil"/>
            </w:tcBorders>
            <w:shd w:val="clear" w:color="auto" w:fill="auto"/>
            <w:vAlign w:val="center"/>
            <w:hideMark/>
          </w:tcPr>
          <w:p w14:paraId="1D1E755E"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vAlign w:val="center"/>
            <w:hideMark/>
          </w:tcPr>
          <w:p w14:paraId="34895E68" w14:textId="77777777" w:rsidR="00857499" w:rsidRPr="00A74CDF" w:rsidRDefault="00857499" w:rsidP="00BB1388">
            <w:pPr>
              <w:spacing w:line="480" w:lineRule="auto"/>
              <w:contextualSpacing/>
              <w:jc w:val="center"/>
            </w:pPr>
          </w:p>
        </w:tc>
        <w:tc>
          <w:tcPr>
            <w:tcW w:w="654" w:type="pct"/>
            <w:tcBorders>
              <w:top w:val="nil"/>
              <w:left w:val="nil"/>
              <w:bottom w:val="nil"/>
              <w:right w:val="nil"/>
            </w:tcBorders>
            <w:shd w:val="clear" w:color="auto" w:fill="auto"/>
            <w:vAlign w:val="center"/>
            <w:hideMark/>
          </w:tcPr>
          <w:p w14:paraId="14F78BA8" w14:textId="77777777" w:rsidR="00857499" w:rsidRPr="00A74CDF" w:rsidRDefault="00857499" w:rsidP="00BB1388">
            <w:pPr>
              <w:spacing w:line="480" w:lineRule="auto"/>
              <w:contextualSpacing/>
              <w:jc w:val="center"/>
            </w:pPr>
          </w:p>
        </w:tc>
        <w:tc>
          <w:tcPr>
            <w:tcW w:w="450" w:type="pct"/>
            <w:tcBorders>
              <w:top w:val="nil"/>
              <w:left w:val="nil"/>
              <w:bottom w:val="nil"/>
              <w:right w:val="nil"/>
            </w:tcBorders>
            <w:shd w:val="clear" w:color="auto" w:fill="auto"/>
            <w:vAlign w:val="center"/>
            <w:hideMark/>
          </w:tcPr>
          <w:p w14:paraId="77B577A1" w14:textId="77777777" w:rsidR="00857499" w:rsidRPr="00A74CDF" w:rsidRDefault="00857499" w:rsidP="00BB1388">
            <w:pPr>
              <w:spacing w:line="480" w:lineRule="auto"/>
              <w:contextualSpacing/>
              <w:jc w:val="center"/>
            </w:pPr>
          </w:p>
        </w:tc>
      </w:tr>
      <w:tr w:rsidR="00857499" w:rsidRPr="00A74CDF" w14:paraId="1175D123" w14:textId="77777777" w:rsidTr="001325F4">
        <w:trPr>
          <w:trHeight w:val="340"/>
        </w:trPr>
        <w:tc>
          <w:tcPr>
            <w:tcW w:w="1364" w:type="pct"/>
            <w:tcBorders>
              <w:top w:val="nil"/>
              <w:left w:val="nil"/>
              <w:bottom w:val="nil"/>
              <w:right w:val="nil"/>
            </w:tcBorders>
            <w:shd w:val="clear" w:color="auto" w:fill="auto"/>
            <w:vAlign w:val="center"/>
            <w:hideMark/>
          </w:tcPr>
          <w:p w14:paraId="3B4EB4BD"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Reduced dose</w:t>
            </w:r>
          </w:p>
        </w:tc>
        <w:tc>
          <w:tcPr>
            <w:tcW w:w="654" w:type="pct"/>
            <w:tcBorders>
              <w:top w:val="nil"/>
              <w:left w:val="nil"/>
              <w:bottom w:val="nil"/>
              <w:right w:val="nil"/>
            </w:tcBorders>
            <w:shd w:val="clear" w:color="auto" w:fill="auto"/>
            <w:vAlign w:val="center"/>
            <w:hideMark/>
          </w:tcPr>
          <w:p w14:paraId="55788A6E"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c>
          <w:tcPr>
            <w:tcW w:w="654" w:type="pct"/>
            <w:tcBorders>
              <w:top w:val="nil"/>
              <w:left w:val="nil"/>
              <w:bottom w:val="nil"/>
              <w:right w:val="nil"/>
            </w:tcBorders>
            <w:shd w:val="clear" w:color="auto" w:fill="auto"/>
            <w:vAlign w:val="center"/>
            <w:hideMark/>
          </w:tcPr>
          <w:p w14:paraId="0C637AA7"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15,047 (60.7)</w:t>
            </w:r>
          </w:p>
        </w:tc>
        <w:tc>
          <w:tcPr>
            <w:tcW w:w="450" w:type="pct"/>
            <w:tcBorders>
              <w:top w:val="nil"/>
              <w:left w:val="nil"/>
              <w:bottom w:val="nil"/>
              <w:right w:val="nil"/>
            </w:tcBorders>
            <w:shd w:val="clear" w:color="auto" w:fill="auto"/>
            <w:vAlign w:val="center"/>
            <w:hideMark/>
          </w:tcPr>
          <w:p w14:paraId="5F65003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c>
          <w:tcPr>
            <w:tcW w:w="120" w:type="pct"/>
            <w:tcBorders>
              <w:top w:val="nil"/>
              <w:left w:val="nil"/>
              <w:bottom w:val="nil"/>
              <w:right w:val="nil"/>
            </w:tcBorders>
            <w:shd w:val="clear" w:color="auto" w:fill="auto"/>
            <w:vAlign w:val="center"/>
            <w:hideMark/>
          </w:tcPr>
          <w:p w14:paraId="40C6ADAD"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nil"/>
              <w:right w:val="nil"/>
            </w:tcBorders>
            <w:shd w:val="clear" w:color="auto" w:fill="auto"/>
            <w:vAlign w:val="center"/>
            <w:hideMark/>
          </w:tcPr>
          <w:p w14:paraId="2101A250"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c>
          <w:tcPr>
            <w:tcW w:w="654" w:type="pct"/>
            <w:tcBorders>
              <w:top w:val="nil"/>
              <w:left w:val="nil"/>
              <w:bottom w:val="nil"/>
              <w:right w:val="nil"/>
            </w:tcBorders>
            <w:shd w:val="clear" w:color="auto" w:fill="auto"/>
            <w:vAlign w:val="center"/>
            <w:hideMark/>
          </w:tcPr>
          <w:p w14:paraId="56BC9015"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14,650 (59.2)</w:t>
            </w:r>
          </w:p>
        </w:tc>
        <w:tc>
          <w:tcPr>
            <w:tcW w:w="450" w:type="pct"/>
            <w:tcBorders>
              <w:top w:val="nil"/>
              <w:left w:val="nil"/>
              <w:bottom w:val="nil"/>
              <w:right w:val="nil"/>
            </w:tcBorders>
            <w:shd w:val="clear" w:color="auto" w:fill="auto"/>
            <w:vAlign w:val="center"/>
            <w:hideMark/>
          </w:tcPr>
          <w:p w14:paraId="1AF0583D"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r w:rsidR="00857499" w:rsidRPr="00A74CDF" w14:paraId="617218DF" w14:textId="77777777" w:rsidTr="001325F4">
        <w:trPr>
          <w:trHeight w:val="360"/>
        </w:trPr>
        <w:tc>
          <w:tcPr>
            <w:tcW w:w="1364" w:type="pct"/>
            <w:tcBorders>
              <w:top w:val="nil"/>
              <w:left w:val="nil"/>
              <w:bottom w:val="single" w:sz="8" w:space="0" w:color="auto"/>
              <w:right w:val="nil"/>
            </w:tcBorders>
            <w:shd w:val="clear" w:color="auto" w:fill="auto"/>
            <w:vAlign w:val="center"/>
            <w:hideMark/>
          </w:tcPr>
          <w:p w14:paraId="6FE4EF4C" w14:textId="77777777" w:rsidR="00857499" w:rsidRPr="00A74CDF" w:rsidRDefault="00857499" w:rsidP="00BB1388">
            <w:pPr>
              <w:spacing w:line="480" w:lineRule="auto"/>
              <w:contextualSpacing/>
              <w:rPr>
                <w:rFonts w:eastAsia="맑은 고딕"/>
                <w:b/>
                <w:bCs/>
                <w:color w:val="000000"/>
              </w:rPr>
            </w:pPr>
            <w:r w:rsidRPr="00A74CDF">
              <w:rPr>
                <w:rFonts w:eastAsia="맑은 고딕"/>
                <w:b/>
                <w:bCs/>
                <w:color w:val="000000"/>
              </w:rPr>
              <w:t xml:space="preserve">  Regular dose</w:t>
            </w:r>
          </w:p>
        </w:tc>
        <w:tc>
          <w:tcPr>
            <w:tcW w:w="654" w:type="pct"/>
            <w:tcBorders>
              <w:top w:val="nil"/>
              <w:left w:val="nil"/>
              <w:bottom w:val="single" w:sz="8" w:space="0" w:color="auto"/>
              <w:right w:val="nil"/>
            </w:tcBorders>
            <w:shd w:val="clear" w:color="auto" w:fill="auto"/>
            <w:vAlign w:val="center"/>
            <w:hideMark/>
          </w:tcPr>
          <w:p w14:paraId="3CBD30A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c>
          <w:tcPr>
            <w:tcW w:w="654" w:type="pct"/>
            <w:tcBorders>
              <w:top w:val="nil"/>
              <w:left w:val="nil"/>
              <w:bottom w:val="single" w:sz="8" w:space="0" w:color="auto"/>
              <w:right w:val="nil"/>
            </w:tcBorders>
            <w:shd w:val="clear" w:color="auto" w:fill="auto"/>
            <w:vAlign w:val="center"/>
            <w:hideMark/>
          </w:tcPr>
          <w:p w14:paraId="4100E5EA"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9629 (38.9)</w:t>
            </w:r>
          </w:p>
        </w:tc>
        <w:tc>
          <w:tcPr>
            <w:tcW w:w="450" w:type="pct"/>
            <w:tcBorders>
              <w:top w:val="nil"/>
              <w:left w:val="nil"/>
              <w:bottom w:val="single" w:sz="8" w:space="0" w:color="auto"/>
              <w:right w:val="nil"/>
            </w:tcBorders>
            <w:shd w:val="clear" w:color="auto" w:fill="auto"/>
            <w:vAlign w:val="center"/>
            <w:hideMark/>
          </w:tcPr>
          <w:p w14:paraId="5A811B05"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c>
          <w:tcPr>
            <w:tcW w:w="120" w:type="pct"/>
            <w:tcBorders>
              <w:top w:val="nil"/>
              <w:left w:val="nil"/>
              <w:bottom w:val="single" w:sz="8" w:space="0" w:color="auto"/>
              <w:right w:val="nil"/>
            </w:tcBorders>
            <w:shd w:val="clear" w:color="auto" w:fill="auto"/>
            <w:vAlign w:val="center"/>
            <w:hideMark/>
          </w:tcPr>
          <w:p w14:paraId="25F686EE" w14:textId="77777777" w:rsidR="00857499" w:rsidRPr="00A74CDF" w:rsidRDefault="00857499" w:rsidP="00BB1388">
            <w:pPr>
              <w:spacing w:line="480" w:lineRule="auto"/>
              <w:contextualSpacing/>
              <w:jc w:val="center"/>
              <w:rPr>
                <w:rFonts w:eastAsia="맑은 고딕"/>
                <w:color w:val="000000"/>
              </w:rPr>
            </w:pPr>
          </w:p>
        </w:tc>
        <w:tc>
          <w:tcPr>
            <w:tcW w:w="654" w:type="pct"/>
            <w:tcBorders>
              <w:top w:val="nil"/>
              <w:left w:val="nil"/>
              <w:bottom w:val="single" w:sz="8" w:space="0" w:color="auto"/>
              <w:right w:val="nil"/>
            </w:tcBorders>
            <w:shd w:val="clear" w:color="auto" w:fill="auto"/>
            <w:vAlign w:val="center"/>
            <w:hideMark/>
          </w:tcPr>
          <w:p w14:paraId="7DA31274"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c>
          <w:tcPr>
            <w:tcW w:w="654" w:type="pct"/>
            <w:tcBorders>
              <w:top w:val="nil"/>
              <w:left w:val="nil"/>
              <w:bottom w:val="single" w:sz="8" w:space="0" w:color="auto"/>
              <w:right w:val="nil"/>
            </w:tcBorders>
            <w:shd w:val="clear" w:color="auto" w:fill="auto"/>
            <w:vAlign w:val="center"/>
            <w:hideMark/>
          </w:tcPr>
          <w:p w14:paraId="7407DC9B"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9960 (40.3)</w:t>
            </w:r>
          </w:p>
        </w:tc>
        <w:tc>
          <w:tcPr>
            <w:tcW w:w="450" w:type="pct"/>
            <w:tcBorders>
              <w:top w:val="nil"/>
              <w:left w:val="nil"/>
              <w:bottom w:val="single" w:sz="8" w:space="0" w:color="auto"/>
              <w:right w:val="nil"/>
            </w:tcBorders>
            <w:shd w:val="clear" w:color="auto" w:fill="auto"/>
            <w:vAlign w:val="center"/>
            <w:hideMark/>
          </w:tcPr>
          <w:p w14:paraId="6CA718DF" w14:textId="77777777" w:rsidR="00857499" w:rsidRPr="00A74CDF" w:rsidRDefault="00857499" w:rsidP="00BB1388">
            <w:pPr>
              <w:spacing w:line="480" w:lineRule="auto"/>
              <w:contextualSpacing/>
              <w:jc w:val="center"/>
              <w:rPr>
                <w:rFonts w:eastAsia="맑은 고딕"/>
                <w:color w:val="000000"/>
              </w:rPr>
            </w:pPr>
            <w:r w:rsidRPr="00A74CDF">
              <w:rPr>
                <w:rFonts w:eastAsia="맑은 고딕"/>
                <w:color w:val="000000"/>
              </w:rPr>
              <w:t>-</w:t>
            </w:r>
          </w:p>
        </w:tc>
      </w:tr>
    </w:tbl>
    <w:p w14:paraId="71311892" w14:textId="77777777" w:rsidR="00857499" w:rsidRPr="00A74CDF" w:rsidRDefault="00857499" w:rsidP="00BB1388">
      <w:pPr>
        <w:spacing w:line="480" w:lineRule="auto"/>
        <w:contextualSpacing/>
      </w:pPr>
    </w:p>
    <w:p w14:paraId="03889905" w14:textId="77777777" w:rsidR="00857499" w:rsidRPr="00A74CDF" w:rsidRDefault="00857499" w:rsidP="00BB1388">
      <w:pPr>
        <w:spacing w:line="480" w:lineRule="auto"/>
        <w:contextualSpacing/>
        <w:rPr>
          <w:rFonts w:eastAsia="맑은 고딕"/>
        </w:rPr>
      </w:pPr>
      <w:r w:rsidRPr="00A74CDF">
        <w:t>Data are N (%), mean</w:t>
      </w:r>
      <w:r w:rsidRPr="00A74CDF">
        <w:rPr>
          <w:rFonts w:eastAsia="맑은 고딕"/>
        </w:rPr>
        <w:t>±SD or median (IQR). An ASD ≤0.1 indicates that the variable was well-balanced between the two treatment groups.</w:t>
      </w:r>
    </w:p>
    <w:p w14:paraId="2A631196" w14:textId="77777777" w:rsidR="00857499" w:rsidRPr="00A74CDF" w:rsidRDefault="00857499" w:rsidP="00BB1388">
      <w:pPr>
        <w:spacing w:line="480" w:lineRule="auto"/>
        <w:contextualSpacing/>
      </w:pPr>
      <w:r w:rsidRPr="00A74CDF">
        <w:t>Abbreviations: ASD, absolute standardized difference; CCI, Charlson comorbidity index; COPD, chronic obstructive pulmonary disease; IPTW, inverse probability of treatment weighting; IQR, interquartile range; NOAC, non-vitamin K antagonist oral anticoagulant; NSAID, non-steroidal anti-inflammatory drug; PAD, peripheral artery disease; SD, standard deviation.</w:t>
      </w:r>
    </w:p>
    <w:p w14:paraId="35A666E2" w14:textId="77777777" w:rsidR="00857499" w:rsidRPr="00A74CDF" w:rsidRDefault="00857499" w:rsidP="00BB1388">
      <w:pPr>
        <w:spacing w:line="480" w:lineRule="auto"/>
        <w:contextualSpacing/>
        <w:rPr>
          <w:color w:val="000000" w:themeColor="text1"/>
        </w:rPr>
      </w:pPr>
      <w:r w:rsidRPr="00A74CDF">
        <w:rPr>
          <w:color w:val="000000" w:themeColor="text1"/>
        </w:rPr>
        <w:t>* Labile international normalized ratio and alcohol use could not be evaluated from claims and were excluded from scoring in this study.</w:t>
      </w:r>
    </w:p>
    <w:p w14:paraId="23171919" w14:textId="121DBF17" w:rsidR="001665B1" w:rsidRPr="00A74CDF" w:rsidRDefault="001665B1">
      <w:pPr>
        <w:spacing w:after="200" w:line="276" w:lineRule="auto"/>
      </w:pPr>
      <w:r w:rsidRPr="00A74CDF">
        <w:br w:type="page"/>
      </w:r>
    </w:p>
    <w:p w14:paraId="1A38872F" w14:textId="6B8FCAD5" w:rsidR="001C29EA" w:rsidRPr="00A74CDF" w:rsidRDefault="001665B1" w:rsidP="001665B1">
      <w:pPr>
        <w:spacing w:line="480" w:lineRule="auto"/>
        <w:rPr>
          <w:b/>
          <w:bCs/>
        </w:rPr>
      </w:pPr>
      <w:r w:rsidRPr="00A74CDF">
        <w:rPr>
          <w:rFonts w:hint="eastAsia"/>
          <w:b/>
          <w:bCs/>
        </w:rPr>
        <w:t>T</w:t>
      </w:r>
      <w:r w:rsidRPr="00A74CDF">
        <w:rPr>
          <w:b/>
          <w:bCs/>
        </w:rPr>
        <w:t xml:space="preserve">able </w:t>
      </w:r>
      <w:r w:rsidR="003A7441" w:rsidRPr="00A74CDF">
        <w:rPr>
          <w:b/>
          <w:bCs/>
        </w:rPr>
        <w:t>II</w:t>
      </w:r>
      <w:r w:rsidRPr="00A74CDF">
        <w:rPr>
          <w:b/>
          <w:bCs/>
        </w:rPr>
        <w:t xml:space="preserve">. </w:t>
      </w:r>
      <w:r w:rsidR="00A40FFE" w:rsidRPr="00A74CDF">
        <w:rPr>
          <w:b/>
          <w:bCs/>
        </w:rPr>
        <w:t xml:space="preserve">Details of </w:t>
      </w:r>
      <w:r w:rsidR="00B7266E" w:rsidRPr="00A74CDF">
        <w:rPr>
          <w:b/>
          <w:bCs/>
        </w:rPr>
        <w:t xml:space="preserve">recurrent </w:t>
      </w:r>
      <w:r w:rsidR="00A40FFE" w:rsidRPr="00A74CDF">
        <w:rPr>
          <w:b/>
          <w:bCs/>
        </w:rPr>
        <w:t>gastrointestinal bleeding events</w:t>
      </w:r>
      <w:r w:rsidR="00B7266E" w:rsidRPr="00A74CDF">
        <w:rPr>
          <w:b/>
          <w:bCs/>
        </w:rPr>
        <w:t xml:space="preserve"> according to the types of oral anticoagulants</w:t>
      </w:r>
    </w:p>
    <w:tbl>
      <w:tblPr>
        <w:tblStyle w:val="af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2646"/>
        <w:gridCol w:w="2646"/>
        <w:gridCol w:w="2646"/>
        <w:gridCol w:w="1760"/>
      </w:tblGrid>
      <w:tr w:rsidR="0007628E" w:rsidRPr="00A74CDF" w14:paraId="3719393A" w14:textId="5CFD8A53" w:rsidTr="00A72667">
        <w:trPr>
          <w:trHeight w:val="216"/>
        </w:trPr>
        <w:tc>
          <w:tcPr>
            <w:tcW w:w="1258" w:type="pct"/>
            <w:tcBorders>
              <w:top w:val="single" w:sz="4" w:space="0" w:color="auto"/>
              <w:bottom w:val="single" w:sz="4" w:space="0" w:color="auto"/>
            </w:tcBorders>
            <w:vAlign w:val="center"/>
          </w:tcPr>
          <w:p w14:paraId="3CDAB259" w14:textId="77777777" w:rsidR="00974F8A" w:rsidRPr="00A74CDF" w:rsidRDefault="00974F8A" w:rsidP="00B71CB5">
            <w:pPr>
              <w:spacing w:line="480" w:lineRule="auto"/>
              <w:jc w:val="center"/>
              <w:rPr>
                <w:rFonts w:eastAsia="굴림"/>
                <w:kern w:val="0"/>
              </w:rPr>
            </w:pPr>
          </w:p>
        </w:tc>
        <w:tc>
          <w:tcPr>
            <w:tcW w:w="1021" w:type="pct"/>
            <w:tcBorders>
              <w:top w:val="single" w:sz="4" w:space="0" w:color="auto"/>
              <w:bottom w:val="single" w:sz="4" w:space="0" w:color="auto"/>
            </w:tcBorders>
            <w:vAlign w:val="center"/>
          </w:tcPr>
          <w:p w14:paraId="1EE38DB1" w14:textId="066540FF" w:rsidR="00974F8A" w:rsidRPr="00A74CDF" w:rsidRDefault="00974F8A" w:rsidP="00800AB2">
            <w:pPr>
              <w:spacing w:line="480" w:lineRule="auto"/>
              <w:jc w:val="center"/>
              <w:rPr>
                <w:rFonts w:eastAsia="굴림"/>
                <w:b/>
                <w:bCs/>
                <w:kern w:val="0"/>
              </w:rPr>
            </w:pPr>
            <w:r w:rsidRPr="00A74CDF">
              <w:rPr>
                <w:rFonts w:eastAsia="굴림"/>
                <w:b/>
                <w:bCs/>
                <w:kern w:val="0"/>
              </w:rPr>
              <w:t>Total</w:t>
            </w:r>
          </w:p>
          <w:p w14:paraId="2CF8E410" w14:textId="72AECAB8" w:rsidR="00974F8A" w:rsidRPr="00A74CDF" w:rsidRDefault="00974F8A" w:rsidP="00800AB2">
            <w:pPr>
              <w:spacing w:line="480" w:lineRule="auto"/>
              <w:jc w:val="center"/>
              <w:rPr>
                <w:rFonts w:eastAsia="굴림"/>
                <w:b/>
                <w:bCs/>
                <w:kern w:val="0"/>
              </w:rPr>
            </w:pPr>
            <w:r w:rsidRPr="00A74CDF">
              <w:rPr>
                <w:rFonts w:eastAsia="굴림" w:hint="eastAsia"/>
                <w:b/>
                <w:bCs/>
                <w:kern w:val="0"/>
              </w:rPr>
              <w:t>(</w:t>
            </w:r>
            <w:r w:rsidRPr="00A74CDF">
              <w:rPr>
                <w:rFonts w:eastAsia="굴림"/>
                <w:b/>
                <w:bCs/>
                <w:kern w:val="0"/>
              </w:rPr>
              <w:t>n=825)</w:t>
            </w:r>
          </w:p>
        </w:tc>
        <w:tc>
          <w:tcPr>
            <w:tcW w:w="1021" w:type="pct"/>
            <w:tcBorders>
              <w:top w:val="single" w:sz="4" w:space="0" w:color="auto"/>
              <w:bottom w:val="single" w:sz="4" w:space="0" w:color="auto"/>
            </w:tcBorders>
            <w:vAlign w:val="center"/>
          </w:tcPr>
          <w:p w14:paraId="4692F202" w14:textId="757B3499" w:rsidR="00974F8A" w:rsidRPr="00A74CDF" w:rsidRDefault="00974F8A" w:rsidP="00800AB2">
            <w:pPr>
              <w:spacing w:line="480" w:lineRule="auto"/>
              <w:jc w:val="center"/>
              <w:rPr>
                <w:rFonts w:eastAsia="굴림"/>
                <w:b/>
                <w:bCs/>
                <w:kern w:val="0"/>
              </w:rPr>
            </w:pPr>
            <w:r w:rsidRPr="00A74CDF">
              <w:rPr>
                <w:rFonts w:eastAsia="굴림"/>
                <w:b/>
                <w:bCs/>
                <w:kern w:val="0"/>
              </w:rPr>
              <w:t>Warfarin</w:t>
            </w:r>
          </w:p>
          <w:p w14:paraId="63520A95" w14:textId="76989445" w:rsidR="00974F8A" w:rsidRPr="00A74CDF" w:rsidRDefault="00974F8A" w:rsidP="00800AB2">
            <w:pPr>
              <w:spacing w:line="480" w:lineRule="auto"/>
              <w:jc w:val="center"/>
              <w:rPr>
                <w:rFonts w:eastAsia="굴림"/>
                <w:b/>
                <w:bCs/>
                <w:kern w:val="0"/>
              </w:rPr>
            </w:pPr>
            <w:r w:rsidRPr="00A74CDF">
              <w:rPr>
                <w:rFonts w:eastAsia="굴림" w:hint="eastAsia"/>
                <w:b/>
                <w:bCs/>
                <w:kern w:val="0"/>
              </w:rPr>
              <w:t>(</w:t>
            </w:r>
            <w:r w:rsidRPr="00A74CDF">
              <w:rPr>
                <w:rFonts w:eastAsia="굴림"/>
                <w:b/>
                <w:bCs/>
                <w:kern w:val="0"/>
              </w:rPr>
              <w:t>n=479)</w:t>
            </w:r>
          </w:p>
        </w:tc>
        <w:tc>
          <w:tcPr>
            <w:tcW w:w="1021" w:type="pct"/>
            <w:tcBorders>
              <w:top w:val="single" w:sz="4" w:space="0" w:color="auto"/>
              <w:bottom w:val="single" w:sz="4" w:space="0" w:color="auto"/>
            </w:tcBorders>
            <w:vAlign w:val="center"/>
          </w:tcPr>
          <w:p w14:paraId="14812660" w14:textId="129DDA1B" w:rsidR="00974F8A" w:rsidRPr="00A74CDF" w:rsidRDefault="00974F8A" w:rsidP="00800AB2">
            <w:pPr>
              <w:spacing w:line="480" w:lineRule="auto"/>
              <w:jc w:val="center"/>
              <w:rPr>
                <w:rFonts w:eastAsia="굴림"/>
                <w:b/>
                <w:bCs/>
                <w:kern w:val="0"/>
              </w:rPr>
            </w:pPr>
            <w:r w:rsidRPr="00A74CDF">
              <w:rPr>
                <w:rFonts w:eastAsia="굴림"/>
                <w:b/>
                <w:bCs/>
                <w:kern w:val="0"/>
              </w:rPr>
              <w:t>NOAC</w:t>
            </w:r>
          </w:p>
          <w:p w14:paraId="5D6CEEFD" w14:textId="4024A886" w:rsidR="00974F8A" w:rsidRPr="00A74CDF" w:rsidRDefault="00974F8A" w:rsidP="00800AB2">
            <w:pPr>
              <w:spacing w:line="480" w:lineRule="auto"/>
              <w:jc w:val="center"/>
              <w:rPr>
                <w:rFonts w:eastAsia="굴림"/>
                <w:b/>
                <w:bCs/>
                <w:kern w:val="0"/>
              </w:rPr>
            </w:pPr>
            <w:r w:rsidRPr="00A74CDF">
              <w:rPr>
                <w:rFonts w:eastAsia="굴림" w:hint="eastAsia"/>
                <w:b/>
                <w:bCs/>
                <w:kern w:val="0"/>
              </w:rPr>
              <w:t>(</w:t>
            </w:r>
            <w:r w:rsidRPr="00A74CDF">
              <w:rPr>
                <w:rFonts w:eastAsia="굴림"/>
                <w:b/>
                <w:bCs/>
                <w:kern w:val="0"/>
              </w:rPr>
              <w:t>n=346)</w:t>
            </w:r>
          </w:p>
        </w:tc>
        <w:tc>
          <w:tcPr>
            <w:tcW w:w="679" w:type="pct"/>
            <w:tcBorders>
              <w:top w:val="single" w:sz="4" w:space="0" w:color="auto"/>
              <w:bottom w:val="single" w:sz="4" w:space="0" w:color="auto"/>
            </w:tcBorders>
            <w:vAlign w:val="center"/>
          </w:tcPr>
          <w:p w14:paraId="05B08D0A" w14:textId="1BB0D992" w:rsidR="00974F8A" w:rsidRPr="00A74CDF" w:rsidRDefault="00974F8A">
            <w:pPr>
              <w:spacing w:line="480" w:lineRule="auto"/>
              <w:jc w:val="center"/>
              <w:rPr>
                <w:rFonts w:eastAsia="굴림"/>
                <w:b/>
                <w:bCs/>
              </w:rPr>
            </w:pPr>
            <w:r w:rsidRPr="00A74CDF">
              <w:rPr>
                <w:rFonts w:eastAsia="굴림" w:hint="eastAsia"/>
                <w:b/>
                <w:bCs/>
              </w:rPr>
              <w:t>P</w:t>
            </w:r>
            <w:r w:rsidRPr="00A74CDF">
              <w:rPr>
                <w:rFonts w:eastAsia="굴림"/>
                <w:b/>
                <w:bCs/>
              </w:rPr>
              <w:t>-value</w:t>
            </w:r>
          </w:p>
        </w:tc>
      </w:tr>
      <w:tr w:rsidR="0007628E" w:rsidRPr="00A74CDF" w14:paraId="6BD39768" w14:textId="611F67E9" w:rsidTr="00A72667">
        <w:tc>
          <w:tcPr>
            <w:tcW w:w="1258" w:type="pct"/>
            <w:tcBorders>
              <w:top w:val="single" w:sz="4" w:space="0" w:color="auto"/>
            </w:tcBorders>
            <w:vAlign w:val="center"/>
          </w:tcPr>
          <w:p w14:paraId="5DB52D53" w14:textId="3A24524C" w:rsidR="00974F8A" w:rsidRPr="00A74CDF" w:rsidRDefault="00974F8A" w:rsidP="00DA5DDA">
            <w:pPr>
              <w:spacing w:line="480" w:lineRule="auto"/>
              <w:jc w:val="left"/>
              <w:rPr>
                <w:rFonts w:eastAsia="굴림"/>
                <w:b/>
                <w:bCs/>
                <w:kern w:val="0"/>
              </w:rPr>
            </w:pPr>
            <w:r w:rsidRPr="00A74CDF">
              <w:rPr>
                <w:rFonts w:eastAsia="굴림"/>
                <w:b/>
                <w:bCs/>
                <w:kern w:val="0"/>
              </w:rPr>
              <w:t>Upper GIB</w:t>
            </w:r>
          </w:p>
        </w:tc>
        <w:tc>
          <w:tcPr>
            <w:tcW w:w="1021" w:type="pct"/>
            <w:tcBorders>
              <w:top w:val="single" w:sz="4" w:space="0" w:color="auto"/>
            </w:tcBorders>
            <w:vAlign w:val="center"/>
          </w:tcPr>
          <w:p w14:paraId="0A98BF65" w14:textId="4FE8ABD5" w:rsidR="00974F8A" w:rsidRPr="00A74CDF" w:rsidRDefault="00974F8A" w:rsidP="00800AB2">
            <w:pPr>
              <w:spacing w:line="480" w:lineRule="auto"/>
              <w:jc w:val="center"/>
              <w:rPr>
                <w:rFonts w:eastAsia="굴림"/>
                <w:kern w:val="0"/>
              </w:rPr>
            </w:pPr>
            <w:r w:rsidRPr="00A74CDF">
              <w:rPr>
                <w:rFonts w:eastAsia="굴림"/>
                <w:kern w:val="0"/>
              </w:rPr>
              <w:t>732 (88.7)</w:t>
            </w:r>
          </w:p>
        </w:tc>
        <w:tc>
          <w:tcPr>
            <w:tcW w:w="1021" w:type="pct"/>
            <w:tcBorders>
              <w:top w:val="single" w:sz="4" w:space="0" w:color="auto"/>
            </w:tcBorders>
            <w:vAlign w:val="center"/>
          </w:tcPr>
          <w:p w14:paraId="20F32AEF" w14:textId="52D351E9" w:rsidR="00974F8A" w:rsidRPr="00A74CDF" w:rsidRDefault="00974F8A" w:rsidP="00800AB2">
            <w:pPr>
              <w:spacing w:line="480" w:lineRule="auto"/>
              <w:jc w:val="center"/>
              <w:rPr>
                <w:rFonts w:eastAsia="굴림"/>
                <w:kern w:val="0"/>
              </w:rPr>
            </w:pPr>
            <w:r w:rsidRPr="00A74CDF">
              <w:rPr>
                <w:rFonts w:eastAsia="굴림"/>
                <w:kern w:val="0"/>
              </w:rPr>
              <w:t>427 (89.1)</w:t>
            </w:r>
          </w:p>
        </w:tc>
        <w:tc>
          <w:tcPr>
            <w:tcW w:w="1021" w:type="pct"/>
            <w:tcBorders>
              <w:top w:val="single" w:sz="4" w:space="0" w:color="auto"/>
            </w:tcBorders>
            <w:vAlign w:val="center"/>
          </w:tcPr>
          <w:p w14:paraId="2BC2D0DE" w14:textId="40723B8A" w:rsidR="00974F8A" w:rsidRPr="00A74CDF" w:rsidRDefault="00974F8A" w:rsidP="00800AB2">
            <w:pPr>
              <w:spacing w:line="480" w:lineRule="auto"/>
              <w:jc w:val="center"/>
              <w:rPr>
                <w:rFonts w:eastAsia="굴림"/>
                <w:kern w:val="0"/>
              </w:rPr>
            </w:pPr>
            <w:r w:rsidRPr="00A74CDF">
              <w:rPr>
                <w:rFonts w:eastAsia="굴림"/>
                <w:kern w:val="0"/>
              </w:rPr>
              <w:t>305 (88.2)</w:t>
            </w:r>
          </w:p>
        </w:tc>
        <w:tc>
          <w:tcPr>
            <w:tcW w:w="679" w:type="pct"/>
            <w:vMerge w:val="restart"/>
            <w:tcBorders>
              <w:top w:val="single" w:sz="4" w:space="0" w:color="auto"/>
            </w:tcBorders>
            <w:vAlign w:val="center"/>
          </w:tcPr>
          <w:p w14:paraId="0CE24717" w14:textId="5040AB33" w:rsidR="00974F8A" w:rsidRPr="00A74CDF" w:rsidRDefault="00974F8A">
            <w:pPr>
              <w:spacing w:line="480" w:lineRule="auto"/>
              <w:jc w:val="center"/>
              <w:rPr>
                <w:rFonts w:eastAsia="굴림"/>
              </w:rPr>
            </w:pPr>
            <w:r w:rsidRPr="00A74CDF">
              <w:rPr>
                <w:rFonts w:eastAsia="굴림" w:hint="eastAsia"/>
              </w:rPr>
              <w:t>0</w:t>
            </w:r>
            <w:r w:rsidRPr="00A74CDF">
              <w:rPr>
                <w:rFonts w:eastAsia="굴림"/>
              </w:rPr>
              <w:t>.656</w:t>
            </w:r>
          </w:p>
        </w:tc>
      </w:tr>
      <w:tr w:rsidR="0007628E" w:rsidRPr="00A74CDF" w14:paraId="65FE6BF2" w14:textId="5FCDF0FB" w:rsidTr="00A72667">
        <w:tc>
          <w:tcPr>
            <w:tcW w:w="1258" w:type="pct"/>
            <w:vAlign w:val="center"/>
          </w:tcPr>
          <w:p w14:paraId="2F646AEA" w14:textId="6361CEDF" w:rsidR="00974F8A" w:rsidRPr="00A74CDF" w:rsidRDefault="00974F8A" w:rsidP="00DA5DDA">
            <w:pPr>
              <w:spacing w:line="480" w:lineRule="auto"/>
              <w:jc w:val="left"/>
              <w:rPr>
                <w:rFonts w:eastAsia="굴림"/>
                <w:b/>
                <w:bCs/>
                <w:kern w:val="0"/>
              </w:rPr>
            </w:pPr>
            <w:r w:rsidRPr="00A74CDF">
              <w:rPr>
                <w:rFonts w:eastAsia="굴림"/>
                <w:b/>
                <w:bCs/>
                <w:kern w:val="0"/>
              </w:rPr>
              <w:t>Lower GIB</w:t>
            </w:r>
          </w:p>
        </w:tc>
        <w:tc>
          <w:tcPr>
            <w:tcW w:w="1021" w:type="pct"/>
            <w:vAlign w:val="center"/>
          </w:tcPr>
          <w:p w14:paraId="3A666FD8" w14:textId="440DAA31" w:rsidR="00974F8A" w:rsidRPr="00A74CDF" w:rsidRDefault="00974F8A" w:rsidP="00800AB2">
            <w:pPr>
              <w:spacing w:line="480" w:lineRule="auto"/>
              <w:jc w:val="center"/>
              <w:rPr>
                <w:rFonts w:eastAsia="굴림"/>
                <w:kern w:val="0"/>
              </w:rPr>
            </w:pPr>
            <w:r w:rsidRPr="00A74CDF">
              <w:rPr>
                <w:rFonts w:eastAsia="굴림"/>
                <w:kern w:val="0"/>
              </w:rPr>
              <w:t>93 (11.3)</w:t>
            </w:r>
          </w:p>
        </w:tc>
        <w:tc>
          <w:tcPr>
            <w:tcW w:w="1021" w:type="pct"/>
            <w:vAlign w:val="center"/>
          </w:tcPr>
          <w:p w14:paraId="06DD8D56" w14:textId="06A6B611" w:rsidR="00974F8A" w:rsidRPr="00A74CDF" w:rsidRDefault="00974F8A" w:rsidP="00800AB2">
            <w:pPr>
              <w:spacing w:line="480" w:lineRule="auto"/>
              <w:jc w:val="center"/>
              <w:rPr>
                <w:rFonts w:eastAsia="굴림"/>
                <w:kern w:val="0"/>
              </w:rPr>
            </w:pPr>
            <w:r w:rsidRPr="00A74CDF">
              <w:rPr>
                <w:rFonts w:eastAsia="굴림"/>
                <w:kern w:val="0"/>
              </w:rPr>
              <w:t>52 (10.9)</w:t>
            </w:r>
          </w:p>
        </w:tc>
        <w:tc>
          <w:tcPr>
            <w:tcW w:w="1021" w:type="pct"/>
            <w:vAlign w:val="center"/>
          </w:tcPr>
          <w:p w14:paraId="7C83C3E0" w14:textId="59F160EE" w:rsidR="00974F8A" w:rsidRPr="00A74CDF" w:rsidRDefault="00974F8A" w:rsidP="00800AB2">
            <w:pPr>
              <w:spacing w:line="480" w:lineRule="auto"/>
              <w:jc w:val="center"/>
              <w:rPr>
                <w:rFonts w:eastAsia="굴림"/>
                <w:kern w:val="0"/>
              </w:rPr>
            </w:pPr>
            <w:r w:rsidRPr="00A74CDF">
              <w:rPr>
                <w:rFonts w:eastAsia="굴림"/>
                <w:kern w:val="0"/>
              </w:rPr>
              <w:t>41 (11.9)</w:t>
            </w:r>
          </w:p>
        </w:tc>
        <w:tc>
          <w:tcPr>
            <w:tcW w:w="679" w:type="pct"/>
            <w:vMerge/>
            <w:vAlign w:val="center"/>
          </w:tcPr>
          <w:p w14:paraId="7AA2ACCA" w14:textId="77777777" w:rsidR="00974F8A" w:rsidRPr="00A74CDF" w:rsidRDefault="00974F8A">
            <w:pPr>
              <w:spacing w:line="480" w:lineRule="auto"/>
              <w:jc w:val="center"/>
              <w:rPr>
                <w:rFonts w:eastAsia="굴림"/>
              </w:rPr>
            </w:pPr>
          </w:p>
        </w:tc>
      </w:tr>
      <w:tr w:rsidR="0007628E" w:rsidRPr="00A74CDF" w14:paraId="5DCE0C97" w14:textId="4DCBB8E5" w:rsidTr="00A72667">
        <w:tc>
          <w:tcPr>
            <w:tcW w:w="1258" w:type="pct"/>
            <w:vAlign w:val="center"/>
          </w:tcPr>
          <w:p w14:paraId="6C80219E" w14:textId="1C206E31" w:rsidR="00974F8A" w:rsidRPr="00A74CDF" w:rsidRDefault="00974F8A" w:rsidP="00DA5DDA">
            <w:pPr>
              <w:spacing w:line="480" w:lineRule="auto"/>
              <w:jc w:val="left"/>
              <w:rPr>
                <w:rFonts w:eastAsia="굴림"/>
                <w:b/>
                <w:bCs/>
                <w:kern w:val="0"/>
              </w:rPr>
            </w:pPr>
            <w:r w:rsidRPr="00A74CDF">
              <w:rPr>
                <w:rFonts w:eastAsia="굴림"/>
                <w:b/>
                <w:bCs/>
                <w:kern w:val="0"/>
              </w:rPr>
              <w:t>Length of hospital stay (days)</w:t>
            </w:r>
          </w:p>
        </w:tc>
        <w:tc>
          <w:tcPr>
            <w:tcW w:w="1021" w:type="pct"/>
            <w:vAlign w:val="center"/>
          </w:tcPr>
          <w:p w14:paraId="0A968A29" w14:textId="72303944" w:rsidR="00974F8A" w:rsidRPr="00A74CDF" w:rsidRDefault="00974F8A" w:rsidP="00800AB2">
            <w:pPr>
              <w:spacing w:line="480" w:lineRule="auto"/>
              <w:jc w:val="center"/>
              <w:rPr>
                <w:rFonts w:eastAsia="굴림"/>
                <w:kern w:val="0"/>
              </w:rPr>
            </w:pPr>
            <w:r w:rsidRPr="00A74CDF">
              <w:rPr>
                <w:rFonts w:eastAsia="굴림"/>
                <w:kern w:val="0"/>
              </w:rPr>
              <w:t>7.2±6.3</w:t>
            </w:r>
          </w:p>
        </w:tc>
        <w:tc>
          <w:tcPr>
            <w:tcW w:w="1021" w:type="pct"/>
            <w:vAlign w:val="center"/>
          </w:tcPr>
          <w:p w14:paraId="4C3EFFC4" w14:textId="114321F3" w:rsidR="00974F8A" w:rsidRPr="00A74CDF" w:rsidRDefault="00974F8A" w:rsidP="00800AB2">
            <w:pPr>
              <w:spacing w:line="480" w:lineRule="auto"/>
              <w:jc w:val="center"/>
              <w:rPr>
                <w:rFonts w:eastAsia="굴림"/>
                <w:kern w:val="0"/>
              </w:rPr>
            </w:pPr>
            <w:r w:rsidRPr="00A74CDF">
              <w:rPr>
                <w:rFonts w:eastAsia="굴림"/>
                <w:kern w:val="0"/>
              </w:rPr>
              <w:t>7.9±6.9</w:t>
            </w:r>
          </w:p>
        </w:tc>
        <w:tc>
          <w:tcPr>
            <w:tcW w:w="1021" w:type="pct"/>
            <w:vAlign w:val="center"/>
          </w:tcPr>
          <w:p w14:paraId="27E6D6E0" w14:textId="1F5F4AFA" w:rsidR="00974F8A" w:rsidRPr="00A74CDF" w:rsidRDefault="00974F8A" w:rsidP="00800AB2">
            <w:pPr>
              <w:spacing w:line="480" w:lineRule="auto"/>
              <w:jc w:val="center"/>
              <w:rPr>
                <w:rFonts w:eastAsia="굴림"/>
                <w:kern w:val="0"/>
              </w:rPr>
            </w:pPr>
            <w:r w:rsidRPr="00A74CDF">
              <w:rPr>
                <w:rFonts w:eastAsia="굴림"/>
                <w:kern w:val="0"/>
              </w:rPr>
              <w:t>6.2±5.2</w:t>
            </w:r>
          </w:p>
        </w:tc>
        <w:tc>
          <w:tcPr>
            <w:tcW w:w="679" w:type="pct"/>
            <w:vAlign w:val="center"/>
          </w:tcPr>
          <w:p w14:paraId="1B80F83E" w14:textId="069F1295" w:rsidR="00974F8A" w:rsidRPr="00A74CDF" w:rsidRDefault="00974F8A">
            <w:pPr>
              <w:spacing w:line="480" w:lineRule="auto"/>
              <w:jc w:val="center"/>
              <w:rPr>
                <w:rFonts w:eastAsia="굴림"/>
              </w:rPr>
            </w:pPr>
            <w:r w:rsidRPr="00A74CDF">
              <w:rPr>
                <w:rFonts w:eastAsia="굴림" w:hint="eastAsia"/>
              </w:rPr>
              <w:t>&lt;</w:t>
            </w:r>
            <w:r w:rsidRPr="00A74CDF">
              <w:rPr>
                <w:rFonts w:eastAsia="굴림"/>
              </w:rPr>
              <w:t>0.001</w:t>
            </w:r>
          </w:p>
        </w:tc>
      </w:tr>
      <w:tr w:rsidR="0007628E" w:rsidRPr="00A74CDF" w14:paraId="0401E551" w14:textId="3DC02E34" w:rsidTr="00A72667">
        <w:tc>
          <w:tcPr>
            <w:tcW w:w="1258" w:type="pct"/>
            <w:vAlign w:val="center"/>
          </w:tcPr>
          <w:p w14:paraId="51A84BFA" w14:textId="13BF680D" w:rsidR="00974F8A" w:rsidRPr="00A74CDF" w:rsidRDefault="00974F8A" w:rsidP="00DA5DDA">
            <w:pPr>
              <w:spacing w:line="480" w:lineRule="auto"/>
              <w:rPr>
                <w:rFonts w:eastAsia="굴림"/>
                <w:b/>
                <w:bCs/>
              </w:rPr>
            </w:pPr>
            <w:r w:rsidRPr="00A74CDF">
              <w:rPr>
                <w:rFonts w:eastAsia="굴림" w:hint="eastAsia"/>
                <w:b/>
                <w:bCs/>
              </w:rPr>
              <w:t>T</w:t>
            </w:r>
            <w:r w:rsidRPr="00A74CDF">
              <w:rPr>
                <w:rFonts w:eastAsia="굴림"/>
                <w:b/>
                <w:bCs/>
              </w:rPr>
              <w:t>ransfusion requirement</w:t>
            </w:r>
          </w:p>
        </w:tc>
        <w:tc>
          <w:tcPr>
            <w:tcW w:w="1021" w:type="pct"/>
            <w:vAlign w:val="center"/>
          </w:tcPr>
          <w:p w14:paraId="40778518" w14:textId="1B070160" w:rsidR="00974F8A" w:rsidRPr="00A74CDF" w:rsidRDefault="00974F8A" w:rsidP="00800AB2">
            <w:pPr>
              <w:spacing w:line="480" w:lineRule="auto"/>
              <w:jc w:val="center"/>
              <w:rPr>
                <w:rFonts w:eastAsia="굴림"/>
              </w:rPr>
            </w:pPr>
            <w:r w:rsidRPr="00A74CDF">
              <w:rPr>
                <w:rFonts w:eastAsia="굴림" w:hint="eastAsia"/>
              </w:rPr>
              <w:t>5</w:t>
            </w:r>
            <w:r w:rsidRPr="00A74CDF">
              <w:rPr>
                <w:rFonts w:eastAsia="굴림"/>
              </w:rPr>
              <w:t>29 (64.1)</w:t>
            </w:r>
          </w:p>
        </w:tc>
        <w:tc>
          <w:tcPr>
            <w:tcW w:w="1021" w:type="pct"/>
            <w:vAlign w:val="center"/>
          </w:tcPr>
          <w:p w14:paraId="4439CA4D" w14:textId="175A193A" w:rsidR="00974F8A" w:rsidRPr="00A74CDF" w:rsidRDefault="00974F8A" w:rsidP="00800AB2">
            <w:pPr>
              <w:spacing w:line="480" w:lineRule="auto"/>
              <w:jc w:val="center"/>
              <w:rPr>
                <w:rFonts w:eastAsia="굴림"/>
              </w:rPr>
            </w:pPr>
            <w:r w:rsidRPr="00A74CDF">
              <w:rPr>
                <w:rFonts w:eastAsia="굴림" w:hint="eastAsia"/>
              </w:rPr>
              <w:t>3</w:t>
            </w:r>
            <w:r w:rsidRPr="00A74CDF">
              <w:rPr>
                <w:rFonts w:eastAsia="굴림"/>
              </w:rPr>
              <w:t>21 (67.0)</w:t>
            </w:r>
          </w:p>
        </w:tc>
        <w:tc>
          <w:tcPr>
            <w:tcW w:w="1021" w:type="pct"/>
            <w:vAlign w:val="center"/>
          </w:tcPr>
          <w:p w14:paraId="7812CAFB" w14:textId="492EB740" w:rsidR="00974F8A" w:rsidRPr="00A74CDF" w:rsidRDefault="00974F8A" w:rsidP="00800AB2">
            <w:pPr>
              <w:spacing w:line="480" w:lineRule="auto"/>
              <w:jc w:val="center"/>
              <w:rPr>
                <w:rFonts w:eastAsia="굴림"/>
              </w:rPr>
            </w:pPr>
            <w:r w:rsidRPr="00A74CDF">
              <w:rPr>
                <w:rFonts w:eastAsia="굴림" w:hint="eastAsia"/>
              </w:rPr>
              <w:t>2</w:t>
            </w:r>
            <w:r w:rsidRPr="00A74CDF">
              <w:rPr>
                <w:rFonts w:eastAsia="굴림"/>
              </w:rPr>
              <w:t>08 (60.1)</w:t>
            </w:r>
          </w:p>
        </w:tc>
        <w:tc>
          <w:tcPr>
            <w:tcW w:w="679" w:type="pct"/>
            <w:vAlign w:val="center"/>
          </w:tcPr>
          <w:p w14:paraId="10B945E7" w14:textId="5E6A2E03" w:rsidR="00974F8A" w:rsidRPr="00A74CDF" w:rsidRDefault="00974F8A">
            <w:pPr>
              <w:spacing w:line="480" w:lineRule="auto"/>
              <w:jc w:val="center"/>
              <w:rPr>
                <w:rFonts w:eastAsia="굴림"/>
              </w:rPr>
            </w:pPr>
            <w:r w:rsidRPr="00A74CDF">
              <w:rPr>
                <w:rFonts w:eastAsia="굴림" w:hint="eastAsia"/>
              </w:rPr>
              <w:t>0</w:t>
            </w:r>
            <w:r w:rsidRPr="00A74CDF">
              <w:rPr>
                <w:rFonts w:eastAsia="굴림"/>
              </w:rPr>
              <w:t>.042</w:t>
            </w:r>
          </w:p>
        </w:tc>
      </w:tr>
      <w:tr w:rsidR="0007628E" w:rsidRPr="00A74CDF" w14:paraId="3ACEC05F" w14:textId="2EBB6D8F" w:rsidTr="00A72667">
        <w:tc>
          <w:tcPr>
            <w:tcW w:w="1258" w:type="pct"/>
            <w:vAlign w:val="center"/>
          </w:tcPr>
          <w:p w14:paraId="5EA9FB95" w14:textId="1F99CD7D" w:rsidR="00974F8A" w:rsidRPr="00A74CDF" w:rsidRDefault="00974F8A" w:rsidP="00DA5DDA">
            <w:pPr>
              <w:spacing w:line="480" w:lineRule="auto"/>
              <w:rPr>
                <w:rFonts w:eastAsia="굴림"/>
                <w:b/>
                <w:bCs/>
              </w:rPr>
            </w:pPr>
            <w:r w:rsidRPr="00A74CDF">
              <w:rPr>
                <w:rFonts w:eastAsia="굴림" w:hint="eastAsia"/>
                <w:b/>
                <w:bCs/>
              </w:rPr>
              <w:t>E</w:t>
            </w:r>
            <w:r w:rsidRPr="00A74CDF">
              <w:rPr>
                <w:rFonts w:eastAsia="굴림"/>
                <w:b/>
                <w:bCs/>
              </w:rPr>
              <w:t>ndoscopic intervention</w:t>
            </w:r>
          </w:p>
        </w:tc>
        <w:tc>
          <w:tcPr>
            <w:tcW w:w="1021" w:type="pct"/>
            <w:vAlign w:val="center"/>
          </w:tcPr>
          <w:p w14:paraId="3A257612" w14:textId="3B5766E6" w:rsidR="00974F8A" w:rsidRPr="00A74CDF" w:rsidRDefault="00974F8A" w:rsidP="00800AB2">
            <w:pPr>
              <w:spacing w:line="480" w:lineRule="auto"/>
              <w:jc w:val="center"/>
              <w:rPr>
                <w:rFonts w:eastAsia="굴림"/>
              </w:rPr>
            </w:pPr>
            <w:r w:rsidRPr="00A74CDF">
              <w:rPr>
                <w:rFonts w:eastAsia="굴림" w:hint="eastAsia"/>
              </w:rPr>
              <w:t>6</w:t>
            </w:r>
            <w:r w:rsidRPr="00A74CDF">
              <w:rPr>
                <w:rFonts w:eastAsia="굴림"/>
              </w:rPr>
              <w:t>41 (77.7)</w:t>
            </w:r>
          </w:p>
        </w:tc>
        <w:tc>
          <w:tcPr>
            <w:tcW w:w="1021" w:type="pct"/>
            <w:vAlign w:val="center"/>
          </w:tcPr>
          <w:p w14:paraId="4A2F5C71" w14:textId="494A78E3" w:rsidR="00974F8A" w:rsidRPr="00A74CDF" w:rsidRDefault="00974F8A" w:rsidP="00800AB2">
            <w:pPr>
              <w:spacing w:line="480" w:lineRule="auto"/>
              <w:jc w:val="center"/>
              <w:rPr>
                <w:rFonts w:eastAsia="굴림"/>
              </w:rPr>
            </w:pPr>
            <w:r w:rsidRPr="00A74CDF">
              <w:rPr>
                <w:rFonts w:eastAsia="굴림" w:hint="eastAsia"/>
              </w:rPr>
              <w:t>3</w:t>
            </w:r>
            <w:r w:rsidRPr="00A74CDF">
              <w:rPr>
                <w:rFonts w:eastAsia="굴림"/>
              </w:rPr>
              <w:t>85 (80.4)</w:t>
            </w:r>
          </w:p>
        </w:tc>
        <w:tc>
          <w:tcPr>
            <w:tcW w:w="1021" w:type="pct"/>
            <w:vAlign w:val="center"/>
          </w:tcPr>
          <w:p w14:paraId="15FA34F8" w14:textId="0FDAB4B2" w:rsidR="00974F8A" w:rsidRPr="00A74CDF" w:rsidRDefault="00974F8A" w:rsidP="00800AB2">
            <w:pPr>
              <w:spacing w:line="480" w:lineRule="auto"/>
              <w:jc w:val="center"/>
              <w:rPr>
                <w:rFonts w:eastAsia="굴림"/>
              </w:rPr>
            </w:pPr>
            <w:r w:rsidRPr="00A74CDF">
              <w:rPr>
                <w:rFonts w:eastAsia="굴림" w:hint="eastAsia"/>
              </w:rPr>
              <w:t>2</w:t>
            </w:r>
            <w:r w:rsidRPr="00A74CDF">
              <w:rPr>
                <w:rFonts w:eastAsia="굴림"/>
              </w:rPr>
              <w:t>56 (74.0)</w:t>
            </w:r>
          </w:p>
        </w:tc>
        <w:tc>
          <w:tcPr>
            <w:tcW w:w="679" w:type="pct"/>
            <w:vAlign w:val="center"/>
          </w:tcPr>
          <w:p w14:paraId="6766DB17" w14:textId="6EA2958E" w:rsidR="00974F8A" w:rsidRPr="00A74CDF" w:rsidRDefault="00974F8A">
            <w:pPr>
              <w:spacing w:line="480" w:lineRule="auto"/>
              <w:jc w:val="center"/>
              <w:rPr>
                <w:rFonts w:eastAsia="굴림"/>
              </w:rPr>
            </w:pPr>
            <w:r w:rsidRPr="00A74CDF">
              <w:rPr>
                <w:rFonts w:eastAsia="굴림" w:hint="eastAsia"/>
              </w:rPr>
              <w:t>0</w:t>
            </w:r>
            <w:r w:rsidRPr="00A74CDF">
              <w:rPr>
                <w:rFonts w:eastAsia="굴림"/>
              </w:rPr>
              <w:t>.030</w:t>
            </w:r>
          </w:p>
        </w:tc>
      </w:tr>
      <w:tr w:rsidR="0007628E" w:rsidRPr="00A74CDF" w14:paraId="6B0AC16E" w14:textId="6FF000E1" w:rsidTr="00A72667">
        <w:tc>
          <w:tcPr>
            <w:tcW w:w="1258" w:type="pct"/>
            <w:vAlign w:val="center"/>
          </w:tcPr>
          <w:p w14:paraId="41C432AA" w14:textId="027149C1" w:rsidR="00974F8A" w:rsidRPr="00A74CDF" w:rsidRDefault="00974F8A" w:rsidP="00DA5DDA">
            <w:pPr>
              <w:spacing w:line="480" w:lineRule="auto"/>
              <w:rPr>
                <w:rFonts w:eastAsia="굴림"/>
                <w:b/>
                <w:bCs/>
              </w:rPr>
            </w:pPr>
            <w:r w:rsidRPr="00A74CDF">
              <w:rPr>
                <w:rFonts w:eastAsia="굴림" w:hint="eastAsia"/>
                <w:b/>
                <w:bCs/>
              </w:rPr>
              <w:t>R</w:t>
            </w:r>
            <w:r w:rsidRPr="00A74CDF">
              <w:rPr>
                <w:rFonts w:eastAsia="굴림"/>
                <w:b/>
                <w:bCs/>
              </w:rPr>
              <w:t>adiologic intervention</w:t>
            </w:r>
          </w:p>
        </w:tc>
        <w:tc>
          <w:tcPr>
            <w:tcW w:w="1021" w:type="pct"/>
            <w:vAlign w:val="center"/>
          </w:tcPr>
          <w:p w14:paraId="1ED88D09" w14:textId="3E66A4B0" w:rsidR="00974F8A" w:rsidRPr="00A74CDF" w:rsidRDefault="00974F8A" w:rsidP="00800AB2">
            <w:pPr>
              <w:spacing w:line="480" w:lineRule="auto"/>
              <w:jc w:val="center"/>
              <w:rPr>
                <w:rFonts w:eastAsia="굴림"/>
              </w:rPr>
            </w:pPr>
            <w:r w:rsidRPr="00A74CDF">
              <w:rPr>
                <w:rFonts w:eastAsia="굴림" w:hint="eastAsia"/>
              </w:rPr>
              <w:t>1</w:t>
            </w:r>
            <w:r w:rsidRPr="00A74CDF">
              <w:rPr>
                <w:rFonts w:eastAsia="굴림"/>
              </w:rPr>
              <w:t>2 (1.5)</w:t>
            </w:r>
          </w:p>
        </w:tc>
        <w:tc>
          <w:tcPr>
            <w:tcW w:w="1021" w:type="pct"/>
            <w:vAlign w:val="center"/>
          </w:tcPr>
          <w:p w14:paraId="74A74D9C" w14:textId="734670EF" w:rsidR="00974F8A" w:rsidRPr="00A74CDF" w:rsidRDefault="00974F8A" w:rsidP="00800AB2">
            <w:pPr>
              <w:spacing w:line="480" w:lineRule="auto"/>
              <w:jc w:val="center"/>
              <w:rPr>
                <w:rFonts w:eastAsia="굴림"/>
              </w:rPr>
            </w:pPr>
            <w:r w:rsidRPr="00A74CDF">
              <w:rPr>
                <w:rFonts w:eastAsia="굴림" w:hint="eastAsia"/>
              </w:rPr>
              <w:t>9</w:t>
            </w:r>
            <w:r w:rsidRPr="00A74CDF">
              <w:rPr>
                <w:rFonts w:eastAsia="굴림"/>
              </w:rPr>
              <w:t xml:space="preserve"> (1.9)</w:t>
            </w:r>
          </w:p>
        </w:tc>
        <w:tc>
          <w:tcPr>
            <w:tcW w:w="1021" w:type="pct"/>
            <w:vAlign w:val="center"/>
          </w:tcPr>
          <w:p w14:paraId="5159547B" w14:textId="664B12AB" w:rsidR="00974F8A" w:rsidRPr="00A74CDF" w:rsidRDefault="00974F8A" w:rsidP="00800AB2">
            <w:pPr>
              <w:spacing w:line="480" w:lineRule="auto"/>
              <w:jc w:val="center"/>
              <w:rPr>
                <w:rFonts w:eastAsia="굴림"/>
              </w:rPr>
            </w:pPr>
            <w:r w:rsidRPr="00A74CDF">
              <w:rPr>
                <w:rFonts w:eastAsia="굴림" w:hint="eastAsia"/>
              </w:rPr>
              <w:t>3</w:t>
            </w:r>
            <w:r w:rsidRPr="00A74CDF">
              <w:rPr>
                <w:rFonts w:eastAsia="굴림"/>
              </w:rPr>
              <w:t xml:space="preserve"> (0.9)</w:t>
            </w:r>
          </w:p>
        </w:tc>
        <w:tc>
          <w:tcPr>
            <w:tcW w:w="679" w:type="pct"/>
            <w:vAlign w:val="center"/>
          </w:tcPr>
          <w:p w14:paraId="655EBDC8" w14:textId="7C93DEA2" w:rsidR="00974F8A" w:rsidRPr="00A74CDF" w:rsidRDefault="00974F8A">
            <w:pPr>
              <w:spacing w:line="480" w:lineRule="auto"/>
              <w:jc w:val="center"/>
              <w:rPr>
                <w:rFonts w:eastAsia="굴림"/>
              </w:rPr>
            </w:pPr>
            <w:r w:rsidRPr="00A74CDF">
              <w:rPr>
                <w:rFonts w:eastAsia="굴림" w:hint="eastAsia"/>
              </w:rPr>
              <w:t>0</w:t>
            </w:r>
            <w:r w:rsidRPr="00A74CDF">
              <w:rPr>
                <w:rFonts w:eastAsia="굴림"/>
              </w:rPr>
              <w:t>.231</w:t>
            </w:r>
          </w:p>
        </w:tc>
      </w:tr>
    </w:tbl>
    <w:p w14:paraId="38AEC12D" w14:textId="44D9D607" w:rsidR="001665B1" w:rsidRPr="00A74CDF" w:rsidRDefault="001665B1" w:rsidP="001665B1">
      <w:pPr>
        <w:spacing w:line="480" w:lineRule="auto"/>
      </w:pPr>
      <w:r w:rsidRPr="00A74CDF">
        <w:t>Data are N (%)</w:t>
      </w:r>
      <w:r w:rsidR="00974F8A" w:rsidRPr="00A74CDF">
        <w:t xml:space="preserve"> or mean±SD</w:t>
      </w:r>
      <w:r w:rsidRPr="00A74CDF">
        <w:t>.</w:t>
      </w:r>
    </w:p>
    <w:p w14:paraId="0DC049DA" w14:textId="42EE4172" w:rsidR="001665B1" w:rsidRPr="00914E8D" w:rsidRDefault="001665B1" w:rsidP="001665B1">
      <w:pPr>
        <w:spacing w:line="480" w:lineRule="auto"/>
      </w:pPr>
      <w:r w:rsidRPr="00A74CDF">
        <w:t>Abbreviations: GIB, gastrointestinal bleeding; NOAC, non-vitamin K antagonist oral anticoagulant.</w:t>
      </w:r>
    </w:p>
    <w:sectPr w:rsidR="001665B1" w:rsidRPr="00914E8D" w:rsidSect="008574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237A5" w14:textId="77777777" w:rsidR="00235802" w:rsidRDefault="00235802">
      <w:r>
        <w:separator/>
      </w:r>
    </w:p>
  </w:endnote>
  <w:endnote w:type="continuationSeparator" w:id="0">
    <w:p w14:paraId="2B7715CD" w14:textId="77777777" w:rsidR="00235802" w:rsidRDefault="0023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Lucida Grande">
    <w:panose1 w:val="020B0600040502020204"/>
    <w:charset w:val="00"/>
    <w:family w:val="swiss"/>
    <w:pitch w:val="variable"/>
    <w:sig w:usb0="E1000AEF" w:usb1="5000A1FF" w:usb2="00000000" w:usb3="00000000" w:csb0="000001BF" w:csb1="00000000"/>
  </w:font>
  <w:font w:name="Charter-Roman">
    <w:altName w:val="Cambria"/>
    <w:panose1 w:val="02040503050506020203"/>
    <w:charset w:val="00"/>
    <w:family w:val="roman"/>
    <w:pitch w:val="variable"/>
    <w:sig w:usb0="800000AF" w:usb1="1000204A" w:usb2="00000000" w:usb3="00000000" w:csb0="00000011" w:csb1="00000000"/>
  </w:font>
  <w:font w:name="바탕">
    <w:altName w:val="Batang"/>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굴림">
    <w:altName w:val="Gulim"/>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633264"/>
      <w:docPartObj>
        <w:docPartGallery w:val="Page Numbers (Bottom of Page)"/>
        <w:docPartUnique/>
      </w:docPartObj>
    </w:sdtPr>
    <w:sdtEndPr/>
    <w:sdtContent>
      <w:p w14:paraId="1966CDD5" w14:textId="77777777" w:rsidR="00A2363F" w:rsidRPr="00FE0988" w:rsidRDefault="00A2363F">
        <w:pPr>
          <w:pStyle w:val="a4"/>
          <w:jc w:val="right"/>
        </w:pPr>
        <w:r w:rsidRPr="00FE0988">
          <w:fldChar w:fldCharType="begin"/>
        </w:r>
        <w:r w:rsidRPr="00FE0988">
          <w:instrText xml:space="preserve"> PAGE   \* MERGEFORMAT </w:instrText>
        </w:r>
        <w:r w:rsidRPr="00FE0988">
          <w:fldChar w:fldCharType="separate"/>
        </w:r>
        <w:r>
          <w:rPr>
            <w:noProof/>
          </w:rPr>
          <w:t>27</w:t>
        </w:r>
        <w:r w:rsidRPr="00FE098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6329" w14:textId="77777777" w:rsidR="00235802" w:rsidRDefault="00235802">
      <w:r>
        <w:separator/>
      </w:r>
    </w:p>
  </w:footnote>
  <w:footnote w:type="continuationSeparator" w:id="0">
    <w:p w14:paraId="64BF4992" w14:textId="77777777" w:rsidR="00235802" w:rsidRDefault="0023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EA5A" w14:textId="05811083" w:rsidR="00A2363F" w:rsidRPr="00FE0988" w:rsidRDefault="00A2363F">
    <w:pPr>
      <w:pStyle w:val="a3"/>
    </w:pPr>
  </w:p>
  <w:p w14:paraId="554F3035" w14:textId="77777777" w:rsidR="00A2363F" w:rsidRPr="00FE0988" w:rsidRDefault="00A236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46CEA"/>
    <w:multiLevelType w:val="hybridMultilevel"/>
    <w:tmpl w:val="624698C6"/>
    <w:lvl w:ilvl="0" w:tplc="04CAF6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DateAndTime/>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4096" w:nlCheck="1" w:checkStyle="0"/>
  <w:activeWritingStyle w:appName="MSWord" w:lang="en-US" w:vendorID="64" w:dllVersion="6" w:nlCheck="1" w:checkStyle="1"/>
  <w:activeWritingStyle w:appName="MSWord" w:lang="ko-KR" w:vendorID="64" w:dllVersion="5"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tDQ3MDU2NjE1szRS0lEKTi0uzszPAykwrAUAfdwVnywAAAA="/>
  </w:docVars>
  <w:rsids>
    <w:rsidRoot w:val="002D6A77"/>
    <w:rsid w:val="000121FE"/>
    <w:rsid w:val="00013382"/>
    <w:rsid w:val="00017761"/>
    <w:rsid w:val="00020EDA"/>
    <w:rsid w:val="00022751"/>
    <w:rsid w:val="00027CAB"/>
    <w:rsid w:val="00034EFD"/>
    <w:rsid w:val="0003737C"/>
    <w:rsid w:val="00040719"/>
    <w:rsid w:val="000433F1"/>
    <w:rsid w:val="00060FAA"/>
    <w:rsid w:val="00062D63"/>
    <w:rsid w:val="000677BD"/>
    <w:rsid w:val="0007628E"/>
    <w:rsid w:val="00084805"/>
    <w:rsid w:val="00097C0F"/>
    <w:rsid w:val="000A2E96"/>
    <w:rsid w:val="000A4D32"/>
    <w:rsid w:val="000C2209"/>
    <w:rsid w:val="000C290B"/>
    <w:rsid w:val="000C3506"/>
    <w:rsid w:val="000C4886"/>
    <w:rsid w:val="000C7379"/>
    <w:rsid w:val="000D07A8"/>
    <w:rsid w:val="000E2AC2"/>
    <w:rsid w:val="000F4913"/>
    <w:rsid w:val="00100F75"/>
    <w:rsid w:val="00114756"/>
    <w:rsid w:val="00120ED3"/>
    <w:rsid w:val="0012704A"/>
    <w:rsid w:val="001302EF"/>
    <w:rsid w:val="001325F4"/>
    <w:rsid w:val="00142F9C"/>
    <w:rsid w:val="001520B6"/>
    <w:rsid w:val="001524A3"/>
    <w:rsid w:val="0015794E"/>
    <w:rsid w:val="00164213"/>
    <w:rsid w:val="00164F7D"/>
    <w:rsid w:val="001665B1"/>
    <w:rsid w:val="001821B5"/>
    <w:rsid w:val="0018423E"/>
    <w:rsid w:val="00190C8A"/>
    <w:rsid w:val="001957A1"/>
    <w:rsid w:val="00197681"/>
    <w:rsid w:val="001B557F"/>
    <w:rsid w:val="001B6DD2"/>
    <w:rsid w:val="001B7BA1"/>
    <w:rsid w:val="001C0BCE"/>
    <w:rsid w:val="001C29EA"/>
    <w:rsid w:val="001D1322"/>
    <w:rsid w:val="001D39C5"/>
    <w:rsid w:val="001D593C"/>
    <w:rsid w:val="001E27FD"/>
    <w:rsid w:val="001F12F2"/>
    <w:rsid w:val="001F2A51"/>
    <w:rsid w:val="001F302E"/>
    <w:rsid w:val="002028A9"/>
    <w:rsid w:val="002042FE"/>
    <w:rsid w:val="00217781"/>
    <w:rsid w:val="00221779"/>
    <w:rsid w:val="0022542B"/>
    <w:rsid w:val="002275A2"/>
    <w:rsid w:val="002310BF"/>
    <w:rsid w:val="00231141"/>
    <w:rsid w:val="00233148"/>
    <w:rsid w:val="00235802"/>
    <w:rsid w:val="00250916"/>
    <w:rsid w:val="00255155"/>
    <w:rsid w:val="0026181B"/>
    <w:rsid w:val="00264A64"/>
    <w:rsid w:val="00264EF7"/>
    <w:rsid w:val="00275204"/>
    <w:rsid w:val="00284710"/>
    <w:rsid w:val="00285CA4"/>
    <w:rsid w:val="00285F01"/>
    <w:rsid w:val="00296940"/>
    <w:rsid w:val="002A6588"/>
    <w:rsid w:val="002B1526"/>
    <w:rsid w:val="002B31A3"/>
    <w:rsid w:val="002D063A"/>
    <w:rsid w:val="002D6A77"/>
    <w:rsid w:val="002F0A25"/>
    <w:rsid w:val="0030014B"/>
    <w:rsid w:val="00324B0E"/>
    <w:rsid w:val="00332C77"/>
    <w:rsid w:val="00337219"/>
    <w:rsid w:val="00342BE4"/>
    <w:rsid w:val="00343A41"/>
    <w:rsid w:val="00347F5E"/>
    <w:rsid w:val="00350CC3"/>
    <w:rsid w:val="00356A21"/>
    <w:rsid w:val="0035749C"/>
    <w:rsid w:val="003714B4"/>
    <w:rsid w:val="00373059"/>
    <w:rsid w:val="003811BF"/>
    <w:rsid w:val="00393695"/>
    <w:rsid w:val="00396B50"/>
    <w:rsid w:val="003A07B0"/>
    <w:rsid w:val="003A291A"/>
    <w:rsid w:val="003A4F7A"/>
    <w:rsid w:val="003A7441"/>
    <w:rsid w:val="003B06C7"/>
    <w:rsid w:val="003B2986"/>
    <w:rsid w:val="003B2DCD"/>
    <w:rsid w:val="003C3344"/>
    <w:rsid w:val="003C4D29"/>
    <w:rsid w:val="003D0A45"/>
    <w:rsid w:val="003E033C"/>
    <w:rsid w:val="003E0587"/>
    <w:rsid w:val="003E17C6"/>
    <w:rsid w:val="003E3031"/>
    <w:rsid w:val="003F2650"/>
    <w:rsid w:val="003F3DF7"/>
    <w:rsid w:val="003F7DE8"/>
    <w:rsid w:val="0040290D"/>
    <w:rsid w:val="00407B0B"/>
    <w:rsid w:val="00427F2B"/>
    <w:rsid w:val="00432A94"/>
    <w:rsid w:val="00432CA4"/>
    <w:rsid w:val="00437174"/>
    <w:rsid w:val="0046148D"/>
    <w:rsid w:val="00465802"/>
    <w:rsid w:val="00471782"/>
    <w:rsid w:val="00480359"/>
    <w:rsid w:val="004826B3"/>
    <w:rsid w:val="004A21A9"/>
    <w:rsid w:val="004A35F8"/>
    <w:rsid w:val="004C27EC"/>
    <w:rsid w:val="004C5F4C"/>
    <w:rsid w:val="004C67E3"/>
    <w:rsid w:val="004C7FB5"/>
    <w:rsid w:val="004D2F7F"/>
    <w:rsid w:val="004D56B6"/>
    <w:rsid w:val="004E3609"/>
    <w:rsid w:val="004E533A"/>
    <w:rsid w:val="004E5351"/>
    <w:rsid w:val="004F20C5"/>
    <w:rsid w:val="004F2125"/>
    <w:rsid w:val="004F463B"/>
    <w:rsid w:val="005016E4"/>
    <w:rsid w:val="00501756"/>
    <w:rsid w:val="005026F2"/>
    <w:rsid w:val="00506D7A"/>
    <w:rsid w:val="00512AB7"/>
    <w:rsid w:val="00515511"/>
    <w:rsid w:val="00516D1F"/>
    <w:rsid w:val="005274ED"/>
    <w:rsid w:val="00530BD0"/>
    <w:rsid w:val="00533E1D"/>
    <w:rsid w:val="0053532B"/>
    <w:rsid w:val="0053603E"/>
    <w:rsid w:val="005425D5"/>
    <w:rsid w:val="00542758"/>
    <w:rsid w:val="00545882"/>
    <w:rsid w:val="005610BC"/>
    <w:rsid w:val="0056336D"/>
    <w:rsid w:val="005633F8"/>
    <w:rsid w:val="005635EA"/>
    <w:rsid w:val="00566820"/>
    <w:rsid w:val="00586ABA"/>
    <w:rsid w:val="00587AED"/>
    <w:rsid w:val="005A57E9"/>
    <w:rsid w:val="005B3F87"/>
    <w:rsid w:val="005C0BD8"/>
    <w:rsid w:val="005C5FD6"/>
    <w:rsid w:val="005C7550"/>
    <w:rsid w:val="005F5885"/>
    <w:rsid w:val="00611092"/>
    <w:rsid w:val="00612E51"/>
    <w:rsid w:val="00613AE5"/>
    <w:rsid w:val="0062787F"/>
    <w:rsid w:val="00631D47"/>
    <w:rsid w:val="00635266"/>
    <w:rsid w:val="00635E79"/>
    <w:rsid w:val="006369EE"/>
    <w:rsid w:val="00645253"/>
    <w:rsid w:val="006511F5"/>
    <w:rsid w:val="006525CC"/>
    <w:rsid w:val="006545FF"/>
    <w:rsid w:val="0066073C"/>
    <w:rsid w:val="006612C3"/>
    <w:rsid w:val="0066571A"/>
    <w:rsid w:val="006712A8"/>
    <w:rsid w:val="00680F96"/>
    <w:rsid w:val="00682568"/>
    <w:rsid w:val="006925B8"/>
    <w:rsid w:val="00696AFC"/>
    <w:rsid w:val="006A2BAF"/>
    <w:rsid w:val="006B7C48"/>
    <w:rsid w:val="006C30E1"/>
    <w:rsid w:val="006C6B25"/>
    <w:rsid w:val="006D10B0"/>
    <w:rsid w:val="006D3BC6"/>
    <w:rsid w:val="006E255D"/>
    <w:rsid w:val="00712CDC"/>
    <w:rsid w:val="00722A1A"/>
    <w:rsid w:val="00723F66"/>
    <w:rsid w:val="00724DB9"/>
    <w:rsid w:val="007318F6"/>
    <w:rsid w:val="00732412"/>
    <w:rsid w:val="0074291A"/>
    <w:rsid w:val="007555DC"/>
    <w:rsid w:val="00764DF4"/>
    <w:rsid w:val="007743C5"/>
    <w:rsid w:val="00774CBD"/>
    <w:rsid w:val="00777F4C"/>
    <w:rsid w:val="007876C3"/>
    <w:rsid w:val="00795F32"/>
    <w:rsid w:val="007A37F6"/>
    <w:rsid w:val="007A5BB4"/>
    <w:rsid w:val="007C11DA"/>
    <w:rsid w:val="007E00A8"/>
    <w:rsid w:val="007E16CC"/>
    <w:rsid w:val="007E54E1"/>
    <w:rsid w:val="007F2F80"/>
    <w:rsid w:val="007F4233"/>
    <w:rsid w:val="007F6460"/>
    <w:rsid w:val="007F685E"/>
    <w:rsid w:val="0080017B"/>
    <w:rsid w:val="00800AB2"/>
    <w:rsid w:val="00802ED5"/>
    <w:rsid w:val="008100D2"/>
    <w:rsid w:val="008211B3"/>
    <w:rsid w:val="00823236"/>
    <w:rsid w:val="00834325"/>
    <w:rsid w:val="00840E9B"/>
    <w:rsid w:val="0084105D"/>
    <w:rsid w:val="00844C3B"/>
    <w:rsid w:val="00844C9F"/>
    <w:rsid w:val="00852322"/>
    <w:rsid w:val="00855220"/>
    <w:rsid w:val="00855F86"/>
    <w:rsid w:val="00857499"/>
    <w:rsid w:val="00860095"/>
    <w:rsid w:val="0086331A"/>
    <w:rsid w:val="008712DF"/>
    <w:rsid w:val="008A00CE"/>
    <w:rsid w:val="008A38D1"/>
    <w:rsid w:val="008A4059"/>
    <w:rsid w:val="008A658A"/>
    <w:rsid w:val="008A6AC5"/>
    <w:rsid w:val="008B3B43"/>
    <w:rsid w:val="008C0BCB"/>
    <w:rsid w:val="008C6D29"/>
    <w:rsid w:val="008D072B"/>
    <w:rsid w:val="008D2EEF"/>
    <w:rsid w:val="008D6F70"/>
    <w:rsid w:val="008E7990"/>
    <w:rsid w:val="00901485"/>
    <w:rsid w:val="009045D9"/>
    <w:rsid w:val="00905B6F"/>
    <w:rsid w:val="00914E8D"/>
    <w:rsid w:val="00927302"/>
    <w:rsid w:val="00927B41"/>
    <w:rsid w:val="0093028C"/>
    <w:rsid w:val="00934499"/>
    <w:rsid w:val="00934AFC"/>
    <w:rsid w:val="00934B95"/>
    <w:rsid w:val="00940C0A"/>
    <w:rsid w:val="00940D4E"/>
    <w:rsid w:val="009427F6"/>
    <w:rsid w:val="009464D6"/>
    <w:rsid w:val="009517CB"/>
    <w:rsid w:val="00953EEB"/>
    <w:rsid w:val="0095508A"/>
    <w:rsid w:val="00970F39"/>
    <w:rsid w:val="009733A6"/>
    <w:rsid w:val="0097433D"/>
    <w:rsid w:val="00974988"/>
    <w:rsid w:val="00974F8A"/>
    <w:rsid w:val="00983323"/>
    <w:rsid w:val="009906C0"/>
    <w:rsid w:val="009A2766"/>
    <w:rsid w:val="009A787A"/>
    <w:rsid w:val="009B0658"/>
    <w:rsid w:val="009B7109"/>
    <w:rsid w:val="009C0424"/>
    <w:rsid w:val="009E192D"/>
    <w:rsid w:val="009E6BF7"/>
    <w:rsid w:val="009E7C03"/>
    <w:rsid w:val="009F055C"/>
    <w:rsid w:val="009F48E5"/>
    <w:rsid w:val="00A00C84"/>
    <w:rsid w:val="00A057DF"/>
    <w:rsid w:val="00A10CC4"/>
    <w:rsid w:val="00A15F84"/>
    <w:rsid w:val="00A224BB"/>
    <w:rsid w:val="00A2363F"/>
    <w:rsid w:val="00A263C0"/>
    <w:rsid w:val="00A33652"/>
    <w:rsid w:val="00A40DD4"/>
    <w:rsid w:val="00A40FFE"/>
    <w:rsid w:val="00A41D59"/>
    <w:rsid w:val="00A51234"/>
    <w:rsid w:val="00A55F66"/>
    <w:rsid w:val="00A57F36"/>
    <w:rsid w:val="00A609B8"/>
    <w:rsid w:val="00A621BA"/>
    <w:rsid w:val="00A62B17"/>
    <w:rsid w:val="00A64278"/>
    <w:rsid w:val="00A718BC"/>
    <w:rsid w:val="00A72598"/>
    <w:rsid w:val="00A72667"/>
    <w:rsid w:val="00A74CDF"/>
    <w:rsid w:val="00A83DC3"/>
    <w:rsid w:val="00A86BE7"/>
    <w:rsid w:val="00AB1D72"/>
    <w:rsid w:val="00AB2C0D"/>
    <w:rsid w:val="00AB7747"/>
    <w:rsid w:val="00AC4232"/>
    <w:rsid w:val="00AC670C"/>
    <w:rsid w:val="00AE5C2A"/>
    <w:rsid w:val="00AF17A1"/>
    <w:rsid w:val="00AF24EC"/>
    <w:rsid w:val="00AF5E9D"/>
    <w:rsid w:val="00B02585"/>
    <w:rsid w:val="00B24622"/>
    <w:rsid w:val="00B247EB"/>
    <w:rsid w:val="00B31611"/>
    <w:rsid w:val="00B42D3B"/>
    <w:rsid w:val="00B4691C"/>
    <w:rsid w:val="00B522A0"/>
    <w:rsid w:val="00B529B2"/>
    <w:rsid w:val="00B54801"/>
    <w:rsid w:val="00B57851"/>
    <w:rsid w:val="00B601E4"/>
    <w:rsid w:val="00B6284E"/>
    <w:rsid w:val="00B650D0"/>
    <w:rsid w:val="00B71CB5"/>
    <w:rsid w:val="00B71FDC"/>
    <w:rsid w:val="00B7266E"/>
    <w:rsid w:val="00B72E29"/>
    <w:rsid w:val="00B85181"/>
    <w:rsid w:val="00B867DB"/>
    <w:rsid w:val="00B94A5A"/>
    <w:rsid w:val="00B951EA"/>
    <w:rsid w:val="00BB0F00"/>
    <w:rsid w:val="00BB1388"/>
    <w:rsid w:val="00BB6D08"/>
    <w:rsid w:val="00BD3BA1"/>
    <w:rsid w:val="00BD4674"/>
    <w:rsid w:val="00BD5A08"/>
    <w:rsid w:val="00BE1B69"/>
    <w:rsid w:val="00BE239D"/>
    <w:rsid w:val="00BE4078"/>
    <w:rsid w:val="00BE7A51"/>
    <w:rsid w:val="00BF3C84"/>
    <w:rsid w:val="00C00449"/>
    <w:rsid w:val="00C1528D"/>
    <w:rsid w:val="00C246C4"/>
    <w:rsid w:val="00C36054"/>
    <w:rsid w:val="00C43FA6"/>
    <w:rsid w:val="00C4794D"/>
    <w:rsid w:val="00C50816"/>
    <w:rsid w:val="00C51179"/>
    <w:rsid w:val="00C60315"/>
    <w:rsid w:val="00C84FB7"/>
    <w:rsid w:val="00C91C61"/>
    <w:rsid w:val="00C93CA0"/>
    <w:rsid w:val="00C976AE"/>
    <w:rsid w:val="00CA1305"/>
    <w:rsid w:val="00CA364C"/>
    <w:rsid w:val="00CA56F6"/>
    <w:rsid w:val="00CC37F9"/>
    <w:rsid w:val="00CC7910"/>
    <w:rsid w:val="00CD695F"/>
    <w:rsid w:val="00CE7F08"/>
    <w:rsid w:val="00CF2DCC"/>
    <w:rsid w:val="00CF4E21"/>
    <w:rsid w:val="00D10808"/>
    <w:rsid w:val="00D21B90"/>
    <w:rsid w:val="00D23F76"/>
    <w:rsid w:val="00D25190"/>
    <w:rsid w:val="00D273C5"/>
    <w:rsid w:val="00D43972"/>
    <w:rsid w:val="00D44A0E"/>
    <w:rsid w:val="00D50FDA"/>
    <w:rsid w:val="00D52415"/>
    <w:rsid w:val="00D562F4"/>
    <w:rsid w:val="00D567E8"/>
    <w:rsid w:val="00D719F3"/>
    <w:rsid w:val="00D743F4"/>
    <w:rsid w:val="00D75161"/>
    <w:rsid w:val="00D75ACC"/>
    <w:rsid w:val="00D82080"/>
    <w:rsid w:val="00D82839"/>
    <w:rsid w:val="00D85A93"/>
    <w:rsid w:val="00D87D3C"/>
    <w:rsid w:val="00D94B86"/>
    <w:rsid w:val="00DA1D43"/>
    <w:rsid w:val="00DA3677"/>
    <w:rsid w:val="00DA5DDA"/>
    <w:rsid w:val="00DA74F0"/>
    <w:rsid w:val="00DB0073"/>
    <w:rsid w:val="00DB4C78"/>
    <w:rsid w:val="00DC292A"/>
    <w:rsid w:val="00DE04C8"/>
    <w:rsid w:val="00DE15F2"/>
    <w:rsid w:val="00DE208B"/>
    <w:rsid w:val="00DE3B7B"/>
    <w:rsid w:val="00DE51E6"/>
    <w:rsid w:val="00DE6063"/>
    <w:rsid w:val="00DE63E0"/>
    <w:rsid w:val="00DE697C"/>
    <w:rsid w:val="00E06BA3"/>
    <w:rsid w:val="00E1032F"/>
    <w:rsid w:val="00E128A7"/>
    <w:rsid w:val="00E13267"/>
    <w:rsid w:val="00E178EE"/>
    <w:rsid w:val="00E228A2"/>
    <w:rsid w:val="00E305AC"/>
    <w:rsid w:val="00E30935"/>
    <w:rsid w:val="00E40E02"/>
    <w:rsid w:val="00E44B26"/>
    <w:rsid w:val="00E50E5B"/>
    <w:rsid w:val="00E5670F"/>
    <w:rsid w:val="00E56F10"/>
    <w:rsid w:val="00E62C5C"/>
    <w:rsid w:val="00E63600"/>
    <w:rsid w:val="00E74785"/>
    <w:rsid w:val="00E76F39"/>
    <w:rsid w:val="00E82365"/>
    <w:rsid w:val="00E85218"/>
    <w:rsid w:val="00E93B0E"/>
    <w:rsid w:val="00EC6E51"/>
    <w:rsid w:val="00EC7D9D"/>
    <w:rsid w:val="00ED03D4"/>
    <w:rsid w:val="00ED1276"/>
    <w:rsid w:val="00EE4FDD"/>
    <w:rsid w:val="00F055FE"/>
    <w:rsid w:val="00F14FB5"/>
    <w:rsid w:val="00F16C65"/>
    <w:rsid w:val="00F2293E"/>
    <w:rsid w:val="00F370C0"/>
    <w:rsid w:val="00F41AC5"/>
    <w:rsid w:val="00F41D81"/>
    <w:rsid w:val="00F4693A"/>
    <w:rsid w:val="00F64EFE"/>
    <w:rsid w:val="00F65CE0"/>
    <w:rsid w:val="00F94608"/>
    <w:rsid w:val="00F95602"/>
    <w:rsid w:val="00F972A4"/>
    <w:rsid w:val="00FA233D"/>
    <w:rsid w:val="00FA3F9D"/>
    <w:rsid w:val="00FA7D03"/>
    <w:rsid w:val="00FB50DD"/>
    <w:rsid w:val="00FC4FF9"/>
    <w:rsid w:val="00FC54B8"/>
    <w:rsid w:val="00FD16A4"/>
    <w:rsid w:val="00FD6EF3"/>
    <w:rsid w:val="00FE0988"/>
    <w:rsid w:val="00FF141F"/>
    <w:rsid w:val="00FF786D"/>
    <w:rsid w:val="00FF7E7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4603"/>
  <w15:docId w15:val="{A48C5484-CA67-4700-8DD0-F4EE09D0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F685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Char0">
    <w:name w:val="바닥글 Char"/>
    <w:basedOn w:val="a0"/>
    <w:link w:val="a4"/>
    <w:uiPriority w:val="99"/>
  </w:style>
  <w:style w:type="paragraph" w:styleId="a5">
    <w:name w:val="List Paragraph"/>
    <w:basedOn w:val="a"/>
    <w:uiPriority w:val="34"/>
    <w:qFormat/>
    <w:pPr>
      <w:spacing w:after="200" w:line="276" w:lineRule="auto"/>
      <w:ind w:left="720"/>
      <w:contextualSpacing/>
    </w:pPr>
    <w:rPr>
      <w:rFonts w:asciiTheme="minorHAnsi" w:eastAsiaTheme="minorHAnsi" w:hAnsiTheme="minorHAnsi" w:cstheme="minorBidi"/>
      <w:sz w:val="22"/>
      <w:szCs w:val="22"/>
    </w:rPr>
  </w:style>
  <w:style w:type="paragraph" w:styleId="a6">
    <w:name w:val="Balloon Text"/>
    <w:basedOn w:val="a"/>
    <w:link w:val="Char1"/>
    <w:uiPriority w:val="99"/>
    <w:semiHidden/>
    <w:unhideWhenUsed/>
    <w:rPr>
      <w:rFonts w:ascii="Lucida Grande" w:hAnsi="Lucida Grande"/>
      <w:sz w:val="18"/>
      <w:szCs w:val="18"/>
    </w:rPr>
  </w:style>
  <w:style w:type="character" w:customStyle="1" w:styleId="Char1">
    <w:name w:val="풍선 도움말 텍스트 Char"/>
    <w:basedOn w:val="a0"/>
    <w:link w:val="a6"/>
    <w:uiPriority w:val="99"/>
    <w:semiHidden/>
    <w:rPr>
      <w:rFonts w:ascii="Lucida Grande" w:hAnsi="Lucida Grande"/>
      <w:sz w:val="18"/>
      <w:szCs w:val="18"/>
    </w:rPr>
  </w:style>
  <w:style w:type="paragraph" w:styleId="a7">
    <w:name w:val="Normal (Web)"/>
    <w:basedOn w:val="a"/>
    <w:uiPriority w:val="99"/>
    <w:semiHidden/>
    <w:unhideWhenUsed/>
    <w:rsid w:val="001C29EA"/>
    <w:pPr>
      <w:spacing w:before="100" w:beforeAutospacing="1" w:after="100" w:afterAutospacing="1"/>
    </w:pPr>
  </w:style>
  <w:style w:type="character" w:styleId="a8">
    <w:name w:val="Strong"/>
    <w:basedOn w:val="a0"/>
    <w:uiPriority w:val="22"/>
    <w:qFormat/>
    <w:rsid w:val="001C29EA"/>
    <w:rPr>
      <w:b/>
      <w:bCs/>
    </w:rPr>
  </w:style>
  <w:style w:type="character" w:customStyle="1" w:styleId="apple-converted-space">
    <w:name w:val="apple-converted-space"/>
    <w:basedOn w:val="a0"/>
    <w:rsid w:val="001C29EA"/>
  </w:style>
  <w:style w:type="character" w:styleId="a9">
    <w:name w:val="Hyperlink"/>
    <w:basedOn w:val="a0"/>
    <w:uiPriority w:val="99"/>
    <w:unhideWhenUsed/>
    <w:rsid w:val="001C29EA"/>
    <w:rPr>
      <w:color w:val="0000FF"/>
      <w:u w:val="single"/>
    </w:rPr>
  </w:style>
  <w:style w:type="character" w:styleId="aa">
    <w:name w:val="Emphasis"/>
    <w:basedOn w:val="a0"/>
    <w:uiPriority w:val="20"/>
    <w:qFormat/>
    <w:rsid w:val="001C29EA"/>
    <w:rPr>
      <w:i/>
      <w:iCs/>
    </w:rPr>
  </w:style>
  <w:style w:type="paragraph" w:customStyle="1" w:styleId="ManuscriptTitle">
    <w:name w:val="Manuscript Title"/>
    <w:qFormat/>
    <w:rsid w:val="005B3F87"/>
    <w:pPr>
      <w:numPr>
        <w:ilvl w:val="1"/>
      </w:numPr>
      <w:spacing w:before="200" w:line="600" w:lineRule="auto"/>
    </w:pPr>
    <w:rPr>
      <w:rFonts w:ascii="Charter-Roman" w:eastAsia="바탕" w:hAnsi="Charter-Roman" w:cs="Helvetica"/>
      <w:color w:val="000000"/>
      <w:sz w:val="40"/>
      <w:szCs w:val="24"/>
    </w:rPr>
  </w:style>
  <w:style w:type="paragraph" w:customStyle="1" w:styleId="TableofContents">
    <w:name w:val="Table of Contents"/>
    <w:link w:val="TableofContentsChar"/>
    <w:qFormat/>
    <w:rsid w:val="005B3F87"/>
    <w:pPr>
      <w:numPr>
        <w:ilvl w:val="1"/>
      </w:numPr>
      <w:spacing w:before="200" w:line="480" w:lineRule="auto"/>
    </w:pPr>
    <w:rPr>
      <w:rFonts w:ascii="Charter-Roman" w:eastAsia="바탕" w:hAnsi="Charter-Roman" w:cs="Helvetica"/>
      <w:color w:val="000000"/>
      <w:sz w:val="24"/>
      <w:szCs w:val="24"/>
    </w:rPr>
  </w:style>
  <w:style w:type="paragraph" w:customStyle="1" w:styleId="TableofContentsCaption">
    <w:name w:val="Table of Contents Caption"/>
    <w:basedOn w:val="TableofContents"/>
    <w:next w:val="TableofContents"/>
    <w:qFormat/>
    <w:rsid w:val="005B3F87"/>
  </w:style>
  <w:style w:type="paragraph" w:customStyle="1" w:styleId="1">
    <w:name w:val="본문1"/>
    <w:qFormat/>
    <w:rsid w:val="005B3F87"/>
    <w:pPr>
      <w:numPr>
        <w:ilvl w:val="1"/>
      </w:numPr>
      <w:spacing w:before="200" w:line="480" w:lineRule="auto"/>
    </w:pPr>
    <w:rPr>
      <w:rFonts w:ascii="Charter-Roman" w:eastAsia="바탕" w:hAnsi="Charter-Roman" w:cs="Helvetica"/>
      <w:color w:val="000000"/>
      <w:sz w:val="24"/>
      <w:szCs w:val="24"/>
    </w:rPr>
  </w:style>
  <w:style w:type="character" w:customStyle="1" w:styleId="TableofContentsChar">
    <w:name w:val="Table of Contents Char"/>
    <w:basedOn w:val="a0"/>
    <w:link w:val="TableofContents"/>
    <w:rsid w:val="005B3F87"/>
    <w:rPr>
      <w:rFonts w:ascii="Charter-Roman" w:eastAsia="바탕" w:hAnsi="Charter-Roman" w:cs="Helvetica"/>
      <w:color w:val="000000"/>
      <w:sz w:val="24"/>
      <w:szCs w:val="24"/>
    </w:rPr>
  </w:style>
  <w:style w:type="character" w:styleId="ab">
    <w:name w:val="annotation reference"/>
    <w:basedOn w:val="a0"/>
    <w:uiPriority w:val="99"/>
    <w:semiHidden/>
    <w:unhideWhenUsed/>
    <w:rsid w:val="005B3F87"/>
    <w:rPr>
      <w:sz w:val="18"/>
      <w:szCs w:val="18"/>
    </w:rPr>
  </w:style>
  <w:style w:type="paragraph" w:styleId="ac">
    <w:name w:val="annotation text"/>
    <w:basedOn w:val="a"/>
    <w:link w:val="Char2"/>
    <w:uiPriority w:val="99"/>
    <w:semiHidden/>
    <w:unhideWhenUsed/>
    <w:rsid w:val="00BD5A08"/>
    <w:rPr>
      <w:sz w:val="20"/>
      <w:szCs w:val="20"/>
    </w:rPr>
  </w:style>
  <w:style w:type="character" w:customStyle="1" w:styleId="Char2">
    <w:name w:val="메모 텍스트 Char"/>
    <w:basedOn w:val="a0"/>
    <w:link w:val="ac"/>
    <w:uiPriority w:val="99"/>
    <w:semiHidden/>
    <w:rsid w:val="00BD5A08"/>
    <w:rPr>
      <w:rFonts w:ascii="Times New Roman" w:eastAsia="Times New Roman" w:hAnsi="Times New Roman" w:cs="Times New Roman"/>
      <w:sz w:val="20"/>
      <w:szCs w:val="20"/>
    </w:rPr>
  </w:style>
  <w:style w:type="paragraph" w:styleId="ad">
    <w:name w:val="annotation subject"/>
    <w:basedOn w:val="ac"/>
    <w:next w:val="ac"/>
    <w:link w:val="Char3"/>
    <w:uiPriority w:val="99"/>
    <w:semiHidden/>
    <w:unhideWhenUsed/>
    <w:rsid w:val="00BD5A08"/>
    <w:rPr>
      <w:b/>
      <w:bCs/>
    </w:rPr>
  </w:style>
  <w:style w:type="character" w:customStyle="1" w:styleId="Char3">
    <w:name w:val="메모 주제 Char"/>
    <w:basedOn w:val="Char2"/>
    <w:link w:val="ad"/>
    <w:uiPriority w:val="99"/>
    <w:semiHidden/>
    <w:rsid w:val="00BD5A08"/>
    <w:rPr>
      <w:rFonts w:ascii="Times New Roman" w:eastAsia="Times New Roman" w:hAnsi="Times New Roman" w:cs="Times New Roman"/>
      <w:b/>
      <w:bCs/>
      <w:sz w:val="20"/>
      <w:szCs w:val="20"/>
    </w:rPr>
  </w:style>
  <w:style w:type="paragraph" w:styleId="ae">
    <w:name w:val="Revision"/>
    <w:hidden/>
    <w:uiPriority w:val="99"/>
    <w:semiHidden/>
    <w:rsid w:val="00393695"/>
    <w:pPr>
      <w:spacing w:after="0" w:line="240" w:lineRule="auto"/>
    </w:pPr>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940D4E"/>
    <w:pPr>
      <w:widowControl w:val="0"/>
      <w:wordWrap w:val="0"/>
      <w:autoSpaceDE w:val="0"/>
      <w:autoSpaceDN w:val="0"/>
    </w:pPr>
    <w:rPr>
      <w:rFonts w:ascii="Helvetica" w:eastAsia="바탕" w:hAnsi="Helvetica" w:cs="Helvetica"/>
      <w:noProof/>
      <w:color w:val="000000"/>
    </w:rPr>
  </w:style>
  <w:style w:type="character" w:customStyle="1" w:styleId="EndNoteBibliographyChar">
    <w:name w:val="EndNote Bibliography Char"/>
    <w:basedOn w:val="a0"/>
    <w:link w:val="EndNoteBibliography"/>
    <w:rsid w:val="00940D4E"/>
    <w:rPr>
      <w:rFonts w:ascii="Helvetica" w:eastAsia="바탕" w:hAnsi="Helvetica" w:cs="Helvetica"/>
      <w:noProof/>
      <w:color w:val="000000"/>
      <w:sz w:val="24"/>
      <w:szCs w:val="24"/>
    </w:rPr>
  </w:style>
  <w:style w:type="paragraph" w:customStyle="1" w:styleId="10">
    <w:name w:val="제목1"/>
    <w:basedOn w:val="a"/>
    <w:rsid w:val="00BD4674"/>
    <w:pPr>
      <w:spacing w:before="100" w:beforeAutospacing="1" w:after="100" w:afterAutospacing="1"/>
    </w:pPr>
    <w:rPr>
      <w:lang w:val="en-GB" w:eastAsia="en-GB"/>
    </w:rPr>
  </w:style>
  <w:style w:type="paragraph" w:customStyle="1" w:styleId="desc">
    <w:name w:val="desc"/>
    <w:basedOn w:val="a"/>
    <w:rsid w:val="00BD4674"/>
    <w:pPr>
      <w:spacing w:before="100" w:beforeAutospacing="1" w:after="100" w:afterAutospacing="1"/>
    </w:pPr>
    <w:rPr>
      <w:lang w:val="en-GB" w:eastAsia="en-GB"/>
    </w:rPr>
  </w:style>
  <w:style w:type="paragraph" w:customStyle="1" w:styleId="details">
    <w:name w:val="details"/>
    <w:basedOn w:val="a"/>
    <w:rsid w:val="00BD4674"/>
    <w:pPr>
      <w:spacing w:before="100" w:beforeAutospacing="1" w:after="100" w:afterAutospacing="1"/>
    </w:pPr>
    <w:rPr>
      <w:lang w:val="en-GB" w:eastAsia="en-GB"/>
    </w:rPr>
  </w:style>
  <w:style w:type="character" w:customStyle="1" w:styleId="jrnl">
    <w:name w:val="jrnl"/>
    <w:basedOn w:val="a0"/>
    <w:rsid w:val="00BD4674"/>
  </w:style>
  <w:style w:type="character" w:styleId="af">
    <w:name w:val="FollowedHyperlink"/>
    <w:basedOn w:val="a0"/>
    <w:uiPriority w:val="99"/>
    <w:semiHidden/>
    <w:unhideWhenUsed/>
    <w:rsid w:val="007F4233"/>
    <w:rPr>
      <w:color w:val="800080" w:themeColor="followedHyperlink"/>
      <w:u w:val="single"/>
    </w:rPr>
  </w:style>
  <w:style w:type="table" w:styleId="af0">
    <w:name w:val="Table Grid"/>
    <w:basedOn w:val="a1"/>
    <w:uiPriority w:val="39"/>
    <w:rsid w:val="001665B1"/>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0"/>
    <w:uiPriority w:val="99"/>
    <w:semiHidden/>
    <w:unhideWhenUsed/>
    <w:rsid w:val="00B2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363">
      <w:bodyDiv w:val="1"/>
      <w:marLeft w:val="0"/>
      <w:marRight w:val="0"/>
      <w:marTop w:val="0"/>
      <w:marBottom w:val="0"/>
      <w:divBdr>
        <w:top w:val="none" w:sz="0" w:space="0" w:color="auto"/>
        <w:left w:val="none" w:sz="0" w:space="0" w:color="auto"/>
        <w:bottom w:val="none" w:sz="0" w:space="0" w:color="auto"/>
        <w:right w:val="none" w:sz="0" w:space="0" w:color="auto"/>
      </w:divBdr>
      <w:divsChild>
        <w:div w:id="1568147370">
          <w:marLeft w:val="0"/>
          <w:marRight w:val="0"/>
          <w:marTop w:val="34"/>
          <w:marBottom w:val="34"/>
          <w:divBdr>
            <w:top w:val="none" w:sz="0" w:space="0" w:color="auto"/>
            <w:left w:val="none" w:sz="0" w:space="0" w:color="auto"/>
            <w:bottom w:val="none" w:sz="0" w:space="0" w:color="auto"/>
            <w:right w:val="none" w:sz="0" w:space="0" w:color="auto"/>
          </w:divBdr>
        </w:div>
      </w:divsChild>
    </w:div>
    <w:div w:id="128742062">
      <w:bodyDiv w:val="1"/>
      <w:marLeft w:val="0"/>
      <w:marRight w:val="0"/>
      <w:marTop w:val="0"/>
      <w:marBottom w:val="0"/>
      <w:divBdr>
        <w:top w:val="none" w:sz="0" w:space="0" w:color="auto"/>
        <w:left w:val="none" w:sz="0" w:space="0" w:color="auto"/>
        <w:bottom w:val="none" w:sz="0" w:space="0" w:color="auto"/>
        <w:right w:val="none" w:sz="0" w:space="0" w:color="auto"/>
      </w:divBdr>
    </w:div>
    <w:div w:id="280961581">
      <w:bodyDiv w:val="1"/>
      <w:marLeft w:val="0"/>
      <w:marRight w:val="0"/>
      <w:marTop w:val="0"/>
      <w:marBottom w:val="0"/>
      <w:divBdr>
        <w:top w:val="none" w:sz="0" w:space="0" w:color="auto"/>
        <w:left w:val="none" w:sz="0" w:space="0" w:color="auto"/>
        <w:bottom w:val="none" w:sz="0" w:space="0" w:color="auto"/>
        <w:right w:val="none" w:sz="0" w:space="0" w:color="auto"/>
      </w:divBdr>
    </w:div>
    <w:div w:id="362756072">
      <w:bodyDiv w:val="1"/>
      <w:marLeft w:val="0"/>
      <w:marRight w:val="0"/>
      <w:marTop w:val="0"/>
      <w:marBottom w:val="0"/>
      <w:divBdr>
        <w:top w:val="none" w:sz="0" w:space="0" w:color="auto"/>
        <w:left w:val="none" w:sz="0" w:space="0" w:color="auto"/>
        <w:bottom w:val="none" w:sz="0" w:space="0" w:color="auto"/>
        <w:right w:val="none" w:sz="0" w:space="0" w:color="auto"/>
      </w:divBdr>
    </w:div>
    <w:div w:id="565602503">
      <w:bodyDiv w:val="1"/>
      <w:marLeft w:val="0"/>
      <w:marRight w:val="0"/>
      <w:marTop w:val="0"/>
      <w:marBottom w:val="0"/>
      <w:divBdr>
        <w:top w:val="none" w:sz="0" w:space="0" w:color="auto"/>
        <w:left w:val="none" w:sz="0" w:space="0" w:color="auto"/>
        <w:bottom w:val="none" w:sz="0" w:space="0" w:color="auto"/>
        <w:right w:val="none" w:sz="0" w:space="0" w:color="auto"/>
      </w:divBdr>
    </w:div>
    <w:div w:id="1091318618">
      <w:bodyDiv w:val="1"/>
      <w:marLeft w:val="0"/>
      <w:marRight w:val="0"/>
      <w:marTop w:val="0"/>
      <w:marBottom w:val="0"/>
      <w:divBdr>
        <w:top w:val="none" w:sz="0" w:space="0" w:color="auto"/>
        <w:left w:val="none" w:sz="0" w:space="0" w:color="auto"/>
        <w:bottom w:val="none" w:sz="0" w:space="0" w:color="auto"/>
        <w:right w:val="none" w:sz="0" w:space="0" w:color="auto"/>
      </w:divBdr>
      <w:divsChild>
        <w:div w:id="300312301">
          <w:marLeft w:val="0"/>
          <w:marRight w:val="0"/>
          <w:marTop w:val="34"/>
          <w:marBottom w:val="34"/>
          <w:divBdr>
            <w:top w:val="none" w:sz="0" w:space="0" w:color="auto"/>
            <w:left w:val="none" w:sz="0" w:space="0" w:color="auto"/>
            <w:bottom w:val="none" w:sz="0" w:space="0" w:color="auto"/>
            <w:right w:val="none" w:sz="0" w:space="0" w:color="auto"/>
          </w:divBdr>
        </w:div>
      </w:divsChild>
    </w:div>
    <w:div w:id="1092354714">
      <w:bodyDiv w:val="1"/>
      <w:marLeft w:val="0"/>
      <w:marRight w:val="0"/>
      <w:marTop w:val="0"/>
      <w:marBottom w:val="0"/>
      <w:divBdr>
        <w:top w:val="none" w:sz="0" w:space="0" w:color="auto"/>
        <w:left w:val="none" w:sz="0" w:space="0" w:color="auto"/>
        <w:bottom w:val="none" w:sz="0" w:space="0" w:color="auto"/>
        <w:right w:val="none" w:sz="0" w:space="0" w:color="auto"/>
      </w:divBdr>
    </w:div>
    <w:div w:id="1295015879">
      <w:bodyDiv w:val="1"/>
      <w:marLeft w:val="0"/>
      <w:marRight w:val="0"/>
      <w:marTop w:val="0"/>
      <w:marBottom w:val="0"/>
      <w:divBdr>
        <w:top w:val="none" w:sz="0" w:space="0" w:color="auto"/>
        <w:left w:val="none" w:sz="0" w:space="0" w:color="auto"/>
        <w:bottom w:val="none" w:sz="0" w:space="0" w:color="auto"/>
        <w:right w:val="none" w:sz="0" w:space="0" w:color="auto"/>
      </w:divBdr>
      <w:divsChild>
        <w:div w:id="131875253">
          <w:marLeft w:val="0"/>
          <w:marRight w:val="0"/>
          <w:marTop w:val="34"/>
          <w:marBottom w:val="34"/>
          <w:divBdr>
            <w:top w:val="none" w:sz="0" w:space="0" w:color="auto"/>
            <w:left w:val="none" w:sz="0" w:space="0" w:color="auto"/>
            <w:bottom w:val="none" w:sz="0" w:space="0" w:color="auto"/>
            <w:right w:val="none" w:sz="0" w:space="0" w:color="auto"/>
          </w:divBdr>
        </w:div>
      </w:divsChild>
    </w:div>
    <w:div w:id="1616401984">
      <w:bodyDiv w:val="1"/>
      <w:marLeft w:val="0"/>
      <w:marRight w:val="0"/>
      <w:marTop w:val="0"/>
      <w:marBottom w:val="0"/>
      <w:divBdr>
        <w:top w:val="none" w:sz="0" w:space="0" w:color="auto"/>
        <w:left w:val="none" w:sz="0" w:space="0" w:color="auto"/>
        <w:bottom w:val="none" w:sz="0" w:space="0" w:color="auto"/>
        <w:right w:val="none" w:sz="0" w:space="0" w:color="auto"/>
      </w:divBdr>
    </w:div>
    <w:div w:id="18110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7A82A-CC21-5A4C-B481-8C7CB0A5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15</Pages>
  <Words>6448</Words>
  <Characters>36501</Characters>
  <Application>Microsoft Office Word</Application>
  <DocSecurity>0</DocSecurity>
  <Lines>960</Lines>
  <Paragraphs>511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Eue-Keun</dc:creator>
  <cp:keywords/>
  <dc:description/>
  <cp:lastModifiedBy>Soonil Kwon</cp:lastModifiedBy>
  <cp:revision>203</cp:revision>
  <dcterms:created xsi:type="dcterms:W3CDTF">2020-01-13T20:46:00Z</dcterms:created>
  <dcterms:modified xsi:type="dcterms:W3CDTF">2020-08-16T12:54:00Z</dcterms:modified>
</cp:coreProperties>
</file>