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A68" w:rsidRPr="00C81A68" w:rsidRDefault="00C81A68" w:rsidP="00890974">
      <w:pPr>
        <w:spacing w:after="0" w:line="296" w:lineRule="auto"/>
        <w:rPr>
          <w:rFonts w:ascii="Times New Roman" w:eastAsia="Arial" w:hAnsi="Times New Roman" w:cs="Times New Roman"/>
          <w:b/>
          <w:sz w:val="32"/>
          <w:szCs w:val="32"/>
          <w:lang w:eastAsia="en-GB"/>
        </w:rPr>
      </w:pPr>
    </w:p>
    <w:p w:rsidR="00C81A68" w:rsidRPr="00C81A68" w:rsidRDefault="00C81A68" w:rsidP="00C81A68">
      <w:pPr>
        <w:spacing w:after="0" w:line="296" w:lineRule="auto"/>
        <w:jc w:val="center"/>
        <w:rPr>
          <w:rFonts w:ascii="Times New Roman" w:eastAsia="Arial" w:hAnsi="Times New Roman" w:cs="Times New Roman"/>
          <w:b/>
          <w:sz w:val="32"/>
          <w:szCs w:val="32"/>
          <w:lang w:eastAsia="en-GB"/>
        </w:rPr>
      </w:pPr>
    </w:p>
    <w:p w:rsidR="00C81A68" w:rsidRPr="00C81A68" w:rsidRDefault="00C81A68" w:rsidP="00C81A68">
      <w:pPr>
        <w:spacing w:after="0" w:line="296" w:lineRule="auto"/>
        <w:jc w:val="center"/>
        <w:rPr>
          <w:rFonts w:ascii="Times New Roman" w:eastAsia="Arial" w:hAnsi="Times New Roman" w:cs="Times New Roman"/>
          <w:b/>
          <w:sz w:val="32"/>
          <w:szCs w:val="32"/>
          <w:lang w:eastAsia="en-GB"/>
        </w:rPr>
      </w:pPr>
      <w:r w:rsidRPr="00C81A68">
        <w:rPr>
          <w:rFonts w:ascii="Times New Roman" w:eastAsia="Arial" w:hAnsi="Times New Roman" w:cs="Times New Roman"/>
          <w:b/>
          <w:sz w:val="32"/>
          <w:szCs w:val="32"/>
          <w:lang w:eastAsia="en-GB"/>
        </w:rPr>
        <w:t>The Inevitable Disclosure Doctrine and Corporate Tax Avoidance</w:t>
      </w:r>
    </w:p>
    <w:p w:rsidR="00C81A68" w:rsidRPr="00C81A68" w:rsidRDefault="00C81A68" w:rsidP="00C81A68">
      <w:pPr>
        <w:spacing w:after="0" w:line="254" w:lineRule="exact"/>
        <w:rPr>
          <w:rFonts w:ascii="Times New Roman" w:eastAsia="Times New Roman" w:hAnsi="Times New Roman" w:cs="Times New Roman"/>
          <w:sz w:val="24"/>
          <w:szCs w:val="24"/>
          <w:lang w:eastAsia="en-GB"/>
        </w:rPr>
      </w:pPr>
    </w:p>
    <w:p w:rsidR="00C81A68" w:rsidRPr="00C81A68" w:rsidRDefault="00C81A68" w:rsidP="00C81A68">
      <w:pPr>
        <w:spacing w:after="0" w:line="200" w:lineRule="exact"/>
        <w:rPr>
          <w:rFonts w:ascii="Times New Roman" w:eastAsia="Times New Roman" w:hAnsi="Times New Roman" w:cs="Times New Roman"/>
          <w:b/>
          <w:sz w:val="24"/>
          <w:szCs w:val="24"/>
          <w:lang w:eastAsia="en-GB"/>
        </w:rPr>
      </w:pPr>
    </w:p>
    <w:p w:rsidR="00C81A68" w:rsidRPr="00C81A68" w:rsidRDefault="00C81A68" w:rsidP="00C81A68">
      <w:pPr>
        <w:spacing w:after="0" w:line="200" w:lineRule="exact"/>
        <w:rPr>
          <w:rFonts w:ascii="Times New Roman" w:eastAsia="Times New Roman" w:hAnsi="Times New Roman" w:cs="Times New Roman"/>
          <w:sz w:val="24"/>
          <w:szCs w:val="24"/>
          <w:lang w:eastAsia="en-GB"/>
        </w:rPr>
      </w:pPr>
    </w:p>
    <w:p w:rsidR="00C81A68" w:rsidRPr="00C81A68" w:rsidRDefault="00890974" w:rsidP="00C81A68">
      <w:pPr>
        <w:spacing w:after="0" w:line="360" w:lineRule="auto"/>
        <w:jc w:val="both"/>
        <w:rPr>
          <w:rFonts w:ascii="Times New Roman" w:eastAsia="Calibri" w:hAnsi="Times New Roman" w:cs="Times New Roman"/>
          <w:sz w:val="24"/>
          <w:szCs w:val="24"/>
          <w:lang w:eastAsia="en-GB"/>
        </w:rPr>
      </w:pPr>
      <w:r w:rsidRPr="00890974">
        <w:rPr>
          <w:rFonts w:ascii="Times New Roman" w:eastAsia="Calibri" w:hAnsi="Times New Roman" w:cs="Times New Roman"/>
          <w:b/>
          <w:sz w:val="24"/>
          <w:szCs w:val="24"/>
          <w:lang w:eastAsia="en-GB"/>
        </w:rPr>
        <w:t>ABSTRACT:</w:t>
      </w:r>
      <w:r>
        <w:rPr>
          <w:rFonts w:ascii="Times New Roman" w:eastAsia="Calibri" w:hAnsi="Times New Roman" w:cs="Times New Roman"/>
          <w:sz w:val="24"/>
          <w:szCs w:val="24"/>
          <w:lang w:eastAsia="en-GB"/>
        </w:rPr>
        <w:t xml:space="preserve"> </w:t>
      </w:r>
      <w:r w:rsidR="00C81A68" w:rsidRPr="00C81A68">
        <w:rPr>
          <w:rFonts w:ascii="Times New Roman" w:eastAsia="Calibri" w:hAnsi="Times New Roman" w:cs="Times New Roman"/>
          <w:sz w:val="24"/>
          <w:szCs w:val="24"/>
          <w:lang w:eastAsia="en-GB"/>
        </w:rPr>
        <w:t xml:space="preserve">In this study, we investigate the effect of the protection of trade secrets through the adoption of the inevitable disclosure doctrine (IDD) by US state courts on corporate tax avoidance. </w:t>
      </w:r>
      <w:r w:rsidR="00C81A68" w:rsidRPr="00C81A68">
        <w:rPr>
          <w:rFonts w:ascii="Times New Roman" w:eastAsia="SimSun" w:hAnsi="Times New Roman" w:cs="Times New Roman"/>
          <w:sz w:val="24"/>
          <w:szCs w:val="24"/>
          <w:lang w:eastAsia="zh-CN"/>
        </w:rPr>
        <w:t xml:space="preserve">We suggest a positive impact of IDD adoption on tax avoidance, because IDD adoption reduces information transparency by </w:t>
      </w:r>
      <w:r w:rsidR="00C81A68" w:rsidRPr="00C81A68">
        <w:rPr>
          <w:rFonts w:ascii="Times New Roman" w:eastAsia="Calibri" w:hAnsi="Times New Roman" w:cs="Arial"/>
          <w:color w:val="222222"/>
          <w:sz w:val="24"/>
          <w:szCs w:val="24"/>
          <w:shd w:val="clear" w:color="auto" w:fill="FFFFFF"/>
          <w:lang w:eastAsia="en-GB"/>
        </w:rPr>
        <w:t xml:space="preserve">increasing the benefit of nondisclosure and, hence, </w:t>
      </w:r>
      <w:r w:rsidR="00C81A68" w:rsidRPr="00C81A68">
        <w:rPr>
          <w:rFonts w:ascii="Times New Roman" w:eastAsia="SimSun" w:hAnsi="Times New Roman" w:cs="Times New Roman"/>
          <w:sz w:val="24"/>
          <w:szCs w:val="24"/>
          <w:lang w:eastAsia="zh-CN"/>
        </w:rPr>
        <w:t>creates greater opportunities for firms to engage in more aggressive tax avoidance activities.</w:t>
      </w:r>
      <w:r w:rsidR="00C81A68" w:rsidRPr="00C81A68">
        <w:rPr>
          <w:rFonts w:ascii="Times New Roman" w:eastAsia="Calibri" w:hAnsi="Times New Roman" w:cs="Times New Roman"/>
          <w:sz w:val="24"/>
          <w:szCs w:val="24"/>
          <w:lang w:eastAsia="en-GB"/>
        </w:rPr>
        <w:t xml:space="preserve"> Based on a large sample of US firms between 1977 and 2011, we find a significant increase in tax avoidance for firms in states that have adopted the IDD, compared with firms in states that have not adopted it. </w:t>
      </w:r>
      <w:r w:rsidR="00C81A68" w:rsidRPr="00C81A68">
        <w:rPr>
          <w:rFonts w:ascii="Times New Roman" w:eastAsia="Arial" w:hAnsi="Times New Roman" w:cs="Times New Roman"/>
          <w:sz w:val="24"/>
          <w:szCs w:val="24"/>
          <w:lang w:eastAsia="en-GB"/>
        </w:rPr>
        <w:t>We further show that the impact of the IDD on corporate tax avoidance is more salient in firms with lower internal information quality.</w:t>
      </w:r>
      <w:r w:rsidR="00C81A68" w:rsidRPr="00C81A68">
        <w:rPr>
          <w:rFonts w:ascii="Times New Roman" w:eastAsia="Calibri" w:hAnsi="Times New Roman" w:cs="Times New Roman"/>
          <w:sz w:val="24"/>
          <w:szCs w:val="24"/>
          <w:lang w:eastAsia="en-GB"/>
        </w:rPr>
        <w:t xml:space="preserve"> Our findings have important implications for both investors and regulators.</w:t>
      </w:r>
    </w:p>
    <w:p w:rsidR="00C81A68" w:rsidRPr="00C81A68" w:rsidRDefault="00C81A68" w:rsidP="00C81A68">
      <w:pPr>
        <w:spacing w:after="0" w:line="360" w:lineRule="auto"/>
        <w:jc w:val="both"/>
        <w:rPr>
          <w:rFonts w:ascii="Times New Roman" w:eastAsia="Calibri" w:hAnsi="Times New Roman" w:cs="Times New Roman"/>
          <w:sz w:val="24"/>
          <w:szCs w:val="24"/>
          <w:lang w:eastAsia="en-GB"/>
        </w:rPr>
      </w:pPr>
    </w:p>
    <w:p w:rsidR="00C81A68" w:rsidRPr="00C81A68" w:rsidRDefault="00C81A68" w:rsidP="00C81A68">
      <w:pPr>
        <w:spacing w:after="0" w:line="360" w:lineRule="auto"/>
        <w:jc w:val="both"/>
        <w:rPr>
          <w:rFonts w:ascii="Times New Roman" w:eastAsia="Calibri" w:hAnsi="Times New Roman" w:cs="Times New Roman"/>
          <w:sz w:val="24"/>
          <w:szCs w:val="24"/>
          <w:lang w:eastAsia="en-GB"/>
        </w:rPr>
      </w:pPr>
      <w:r w:rsidRPr="00C81A68">
        <w:rPr>
          <w:rFonts w:ascii="Times New Roman" w:eastAsia="Calibri" w:hAnsi="Times New Roman" w:cs="Times New Roman"/>
          <w:i/>
          <w:sz w:val="24"/>
          <w:szCs w:val="24"/>
          <w:lang w:eastAsia="en-GB"/>
        </w:rPr>
        <w:t>JEL Codes</w:t>
      </w:r>
      <w:r w:rsidRPr="00C81A68">
        <w:rPr>
          <w:rFonts w:ascii="Times New Roman" w:eastAsia="Calibri" w:hAnsi="Times New Roman" w:cs="Times New Roman"/>
          <w:sz w:val="24"/>
          <w:szCs w:val="24"/>
          <w:lang w:eastAsia="en-GB"/>
        </w:rPr>
        <w:t>: H26; K2; M4</w:t>
      </w:r>
    </w:p>
    <w:p w:rsidR="00C81A68" w:rsidRPr="00C81A68" w:rsidRDefault="00C81A68" w:rsidP="00C81A68">
      <w:pPr>
        <w:spacing w:after="0" w:line="360" w:lineRule="auto"/>
        <w:jc w:val="both"/>
        <w:rPr>
          <w:rFonts w:ascii="Times New Roman" w:eastAsia="Calibri" w:hAnsi="Times New Roman" w:cs="Times New Roman"/>
          <w:sz w:val="24"/>
          <w:szCs w:val="24"/>
          <w:lang w:eastAsia="en-GB"/>
        </w:rPr>
      </w:pPr>
      <w:r w:rsidRPr="00C81A68">
        <w:rPr>
          <w:rFonts w:ascii="Times New Roman" w:eastAsia="Calibri" w:hAnsi="Times New Roman" w:cs="Times New Roman"/>
          <w:i/>
          <w:sz w:val="24"/>
          <w:szCs w:val="24"/>
          <w:lang w:eastAsia="en-GB"/>
        </w:rPr>
        <w:t>Keywords</w:t>
      </w:r>
      <w:r w:rsidRPr="00C81A68">
        <w:rPr>
          <w:rFonts w:ascii="Times New Roman" w:eastAsia="Calibri" w:hAnsi="Times New Roman" w:cs="Times New Roman"/>
          <w:sz w:val="24"/>
          <w:szCs w:val="24"/>
          <w:lang w:eastAsia="en-GB"/>
        </w:rPr>
        <w:t>: Trade secrets; Inevitable Disclosure Doctrine; IDD; Tax avoidance; Tax planning</w:t>
      </w:r>
    </w:p>
    <w:p w:rsidR="00C81A68" w:rsidRPr="00C81A68" w:rsidRDefault="00C81A68" w:rsidP="00C81A68">
      <w:pPr>
        <w:spacing w:after="0" w:line="200" w:lineRule="exact"/>
        <w:rPr>
          <w:rFonts w:ascii="Times New Roman" w:eastAsia="Times New Roman" w:hAnsi="Times New Roman" w:cs="Times New Roman"/>
          <w:sz w:val="24"/>
          <w:szCs w:val="24"/>
          <w:lang w:eastAsia="en-GB"/>
        </w:rPr>
      </w:pPr>
    </w:p>
    <w:p w:rsidR="00C81A68" w:rsidRPr="00C81A68" w:rsidRDefault="00C81A68" w:rsidP="00C81A68">
      <w:pPr>
        <w:spacing w:after="0" w:line="200" w:lineRule="exact"/>
        <w:rPr>
          <w:rFonts w:ascii="Times New Roman" w:eastAsia="Times New Roman" w:hAnsi="Times New Roman" w:cs="Times New Roman"/>
          <w:sz w:val="24"/>
          <w:szCs w:val="24"/>
          <w:lang w:eastAsia="en-GB"/>
        </w:rPr>
      </w:pPr>
    </w:p>
    <w:p w:rsidR="00C81A68" w:rsidRPr="00C81A68" w:rsidRDefault="00C81A68" w:rsidP="00C81A68">
      <w:pPr>
        <w:spacing w:after="0" w:line="200" w:lineRule="exact"/>
        <w:rPr>
          <w:rFonts w:ascii="Times New Roman" w:eastAsia="Times New Roman" w:hAnsi="Times New Roman" w:cs="Times New Roman"/>
          <w:sz w:val="24"/>
          <w:szCs w:val="24"/>
          <w:lang w:eastAsia="en-GB"/>
        </w:rPr>
      </w:pPr>
    </w:p>
    <w:p w:rsidR="00C81A68" w:rsidRPr="00C81A68" w:rsidRDefault="00C81A68" w:rsidP="00C81A68">
      <w:pPr>
        <w:spacing w:after="0" w:line="200" w:lineRule="exact"/>
        <w:rPr>
          <w:rFonts w:ascii="Times New Roman" w:eastAsia="Times New Roman" w:hAnsi="Times New Roman" w:cs="Times New Roman"/>
          <w:sz w:val="24"/>
          <w:szCs w:val="24"/>
          <w:lang w:eastAsia="en-GB"/>
        </w:rPr>
      </w:pPr>
    </w:p>
    <w:p w:rsidR="00C81A68" w:rsidRPr="00C81A68" w:rsidRDefault="00C81A68" w:rsidP="00C81A68">
      <w:pPr>
        <w:spacing w:after="0" w:line="200" w:lineRule="exact"/>
        <w:rPr>
          <w:rFonts w:ascii="Times New Roman" w:eastAsia="Times New Roman" w:hAnsi="Times New Roman" w:cs="Times New Roman"/>
          <w:sz w:val="24"/>
          <w:szCs w:val="24"/>
          <w:lang w:eastAsia="en-GB"/>
        </w:rPr>
      </w:pPr>
    </w:p>
    <w:p w:rsidR="00C81A68" w:rsidRPr="00C81A68" w:rsidRDefault="00C81A68" w:rsidP="00C81A68">
      <w:pPr>
        <w:spacing w:after="0" w:line="200" w:lineRule="exact"/>
        <w:rPr>
          <w:rFonts w:ascii="Times New Roman" w:eastAsia="Times New Roman" w:hAnsi="Times New Roman" w:cs="Times New Roman"/>
          <w:sz w:val="24"/>
          <w:szCs w:val="24"/>
          <w:lang w:eastAsia="en-GB"/>
        </w:rPr>
      </w:pPr>
    </w:p>
    <w:p w:rsidR="00C81A68" w:rsidRPr="00C81A68" w:rsidRDefault="00C81A68" w:rsidP="00C81A68">
      <w:pPr>
        <w:spacing w:after="0" w:line="200" w:lineRule="exact"/>
        <w:rPr>
          <w:rFonts w:ascii="Times New Roman" w:eastAsia="Times New Roman" w:hAnsi="Times New Roman" w:cs="Times New Roman"/>
          <w:sz w:val="24"/>
          <w:szCs w:val="24"/>
          <w:lang w:eastAsia="en-GB"/>
        </w:rPr>
      </w:pPr>
    </w:p>
    <w:p w:rsidR="00C81A68" w:rsidRPr="00C81A68" w:rsidRDefault="00C81A68" w:rsidP="00C81A68">
      <w:pPr>
        <w:tabs>
          <w:tab w:val="left" w:pos="473"/>
        </w:tabs>
        <w:spacing w:after="0" w:line="554" w:lineRule="auto"/>
        <w:jc w:val="both"/>
        <w:rPr>
          <w:rFonts w:ascii="Times New Roman" w:eastAsia="Arial" w:hAnsi="Times New Roman" w:cs="Times New Roman"/>
          <w:color w:val="0000FF"/>
          <w:sz w:val="24"/>
          <w:szCs w:val="24"/>
          <w:vertAlign w:val="superscript"/>
          <w:lang w:eastAsia="en-GB"/>
        </w:rPr>
      </w:pPr>
    </w:p>
    <w:p w:rsidR="00C81A68" w:rsidRPr="00C81A68" w:rsidRDefault="00C81A68" w:rsidP="00C81A68">
      <w:pPr>
        <w:spacing w:after="0" w:line="296" w:lineRule="auto"/>
        <w:jc w:val="center"/>
        <w:rPr>
          <w:rFonts w:ascii="Times New Roman" w:eastAsia="Arial" w:hAnsi="Times New Roman" w:cs="Times New Roman"/>
          <w:sz w:val="24"/>
          <w:szCs w:val="24"/>
          <w:lang w:eastAsia="en-GB"/>
        </w:rPr>
      </w:pPr>
    </w:p>
    <w:p w:rsidR="00C81A68" w:rsidRPr="00C81A68" w:rsidRDefault="00C81A68" w:rsidP="00C81A68">
      <w:pPr>
        <w:tabs>
          <w:tab w:val="left" w:pos="473"/>
        </w:tabs>
        <w:spacing w:after="0" w:line="554" w:lineRule="auto"/>
        <w:ind w:firstLine="398"/>
        <w:jc w:val="both"/>
        <w:rPr>
          <w:rFonts w:ascii="Times New Roman" w:eastAsia="Arial" w:hAnsi="Times New Roman" w:cs="Times New Roman"/>
          <w:color w:val="0000FF"/>
          <w:sz w:val="24"/>
          <w:szCs w:val="24"/>
          <w:vertAlign w:val="superscript"/>
          <w:lang w:eastAsia="en-GB"/>
        </w:rPr>
        <w:sectPr w:rsidR="00C81A68" w:rsidRPr="00C81A68">
          <w:footerReference w:type="default" r:id="rId7"/>
          <w:pgSz w:w="12240" w:h="15840"/>
          <w:pgMar w:top="1440" w:right="1440" w:bottom="547" w:left="1440" w:header="0" w:footer="0" w:gutter="0"/>
          <w:cols w:space="0" w:equalWidth="0">
            <w:col w:w="9360"/>
          </w:cols>
          <w:docGrid w:linePitch="360"/>
        </w:sectPr>
      </w:pPr>
    </w:p>
    <w:p w:rsidR="00C81A68" w:rsidRPr="00C81A68" w:rsidRDefault="00C81A68" w:rsidP="00C81A68">
      <w:pPr>
        <w:spacing w:after="0" w:line="296" w:lineRule="auto"/>
        <w:jc w:val="center"/>
        <w:rPr>
          <w:rFonts w:ascii="Times New Roman" w:eastAsia="Arial" w:hAnsi="Times New Roman" w:cs="Times New Roman"/>
          <w:b/>
          <w:color w:val="000000"/>
          <w:sz w:val="32"/>
          <w:szCs w:val="32"/>
          <w:lang w:eastAsia="en-GB"/>
        </w:rPr>
      </w:pPr>
      <w:bookmarkStart w:id="0" w:name="page2"/>
      <w:bookmarkEnd w:id="0"/>
      <w:r w:rsidRPr="00C81A68">
        <w:rPr>
          <w:rFonts w:ascii="Times New Roman" w:eastAsia="Arial" w:hAnsi="Times New Roman" w:cs="Times New Roman"/>
          <w:b/>
          <w:color w:val="000000"/>
          <w:sz w:val="32"/>
          <w:szCs w:val="32"/>
          <w:lang w:eastAsia="en-GB"/>
        </w:rPr>
        <w:lastRenderedPageBreak/>
        <w:t>The Inevitable Disclosure Doctrine and Corporate Tax Avoidance</w:t>
      </w:r>
    </w:p>
    <w:p w:rsidR="00C81A68" w:rsidRPr="00C81A68" w:rsidRDefault="00C81A68" w:rsidP="00C81A68">
      <w:pPr>
        <w:tabs>
          <w:tab w:val="left" w:pos="480"/>
        </w:tabs>
        <w:spacing w:after="0" w:line="0" w:lineRule="atLeast"/>
        <w:ind w:left="480"/>
        <w:rPr>
          <w:rFonts w:ascii="Times New Roman" w:eastAsia="Arial" w:hAnsi="Times New Roman" w:cs="Times New Roman"/>
          <w:color w:val="000000"/>
          <w:sz w:val="24"/>
          <w:szCs w:val="24"/>
          <w:lang w:eastAsia="en-GB"/>
        </w:rPr>
      </w:pPr>
    </w:p>
    <w:p w:rsidR="00C81A68" w:rsidRPr="00C81A68" w:rsidRDefault="00C81A68" w:rsidP="00C81A68">
      <w:pPr>
        <w:numPr>
          <w:ilvl w:val="0"/>
          <w:numId w:val="1"/>
        </w:numPr>
        <w:tabs>
          <w:tab w:val="left" w:pos="480"/>
        </w:tabs>
        <w:spacing w:after="0" w:line="480" w:lineRule="auto"/>
        <w:jc w:val="center"/>
        <w:rPr>
          <w:rFonts w:ascii="Times New Roman" w:eastAsia="Arial" w:hAnsi="Times New Roman" w:cs="Times New Roman"/>
          <w:b/>
          <w:color w:val="000000"/>
          <w:sz w:val="25"/>
          <w:szCs w:val="25"/>
          <w:lang w:eastAsia="en-GB"/>
        </w:rPr>
      </w:pPr>
      <w:r w:rsidRPr="00C81A68">
        <w:rPr>
          <w:rFonts w:ascii="Times New Roman" w:eastAsia="Arial" w:hAnsi="Times New Roman" w:cs="Times New Roman"/>
          <w:b/>
          <w:color w:val="000000"/>
          <w:sz w:val="25"/>
          <w:szCs w:val="25"/>
          <w:lang w:eastAsia="en-GB"/>
        </w:rPr>
        <w:t>Introduction</w:t>
      </w:r>
    </w:p>
    <w:p w:rsidR="00C81A68" w:rsidRPr="00C81A68" w:rsidRDefault="00C81A68" w:rsidP="00C81A68">
      <w:pPr>
        <w:spacing w:after="0" w:line="480" w:lineRule="auto"/>
        <w:ind w:firstLine="567"/>
        <w:jc w:val="both"/>
        <w:rPr>
          <w:rFonts w:ascii="Times New Roman" w:eastAsia="Times New Roman" w:hAnsi="Times New Roman" w:cs="Arial"/>
          <w:color w:val="000000"/>
          <w:sz w:val="24"/>
          <w:szCs w:val="24"/>
          <w:shd w:val="clear" w:color="auto" w:fill="FFFFFF"/>
          <w:lang w:eastAsia="en-GB"/>
        </w:rPr>
      </w:pPr>
      <w:bookmarkStart w:id="1" w:name="_Hlk51602245"/>
      <w:r w:rsidRPr="00C81A68">
        <w:rPr>
          <w:rFonts w:ascii="Times New Roman" w:eastAsia="Times New Roman" w:hAnsi="Times New Roman" w:cs="Arial"/>
          <w:color w:val="000000"/>
          <w:sz w:val="24"/>
          <w:szCs w:val="24"/>
          <w:shd w:val="clear" w:color="auto" w:fill="FFFFFF"/>
          <w:lang w:eastAsia="en-GB"/>
        </w:rPr>
        <w:t xml:space="preserve">Prior research has provided inconclusive evidence concerning the relationship between corporate transparency and tax avoidance. Some researchers argue that a firm’s information environment has a direct impact on its tax avoidance, as an opaque information environment can help the firm better obfuscate its tax liabilities to government agencies (e.g., Neuman et al. 2013; Chen and Lin 2017; Kerr 2018). On the basis that tax planning obscures the firm’s actual performance to reduce tax, other researchers contend that tax avoidance negatively affects the firm’s information environment (e.g., Ayers et al. 2009; </w:t>
      </w:r>
      <w:proofErr w:type="spellStart"/>
      <w:r w:rsidRPr="00C81A68">
        <w:rPr>
          <w:rFonts w:ascii="Times New Roman" w:eastAsia="Times New Roman" w:hAnsi="Times New Roman" w:cs="Arial"/>
          <w:color w:val="000000"/>
          <w:sz w:val="24"/>
          <w:szCs w:val="24"/>
          <w:shd w:val="clear" w:color="auto" w:fill="FFFFFF"/>
          <w:lang w:eastAsia="en-GB"/>
        </w:rPr>
        <w:t>Comprix</w:t>
      </w:r>
      <w:proofErr w:type="spellEnd"/>
      <w:r w:rsidRPr="00C81A68">
        <w:rPr>
          <w:rFonts w:ascii="Times New Roman" w:eastAsia="Times New Roman" w:hAnsi="Times New Roman" w:cs="Arial"/>
          <w:color w:val="000000"/>
          <w:sz w:val="24"/>
          <w:szCs w:val="24"/>
          <w:shd w:val="clear" w:color="auto" w:fill="FFFFFF"/>
          <w:lang w:eastAsia="en-GB"/>
        </w:rPr>
        <w:t xml:space="preserve"> et al. 2011; Balakrishnan et al. 2019).</w:t>
      </w:r>
      <w:r w:rsidRPr="00C81A68">
        <w:rPr>
          <w:rFonts w:ascii="Times New Roman" w:eastAsia="Times New Roman" w:hAnsi="Times New Roman" w:cs="Arial"/>
          <w:color w:val="000000"/>
          <w:sz w:val="24"/>
          <w:szCs w:val="24"/>
          <w:shd w:val="clear" w:color="auto" w:fill="FFFFFF"/>
          <w:vertAlign w:val="superscript"/>
          <w:lang w:eastAsia="en-GB"/>
        </w:rPr>
        <w:footnoteReference w:id="1"/>
      </w:r>
      <w:r w:rsidRPr="00C81A68">
        <w:rPr>
          <w:rFonts w:ascii="Times New Roman" w:eastAsia="Times New Roman" w:hAnsi="Times New Roman" w:cs="Arial"/>
          <w:color w:val="000000"/>
          <w:sz w:val="24"/>
          <w:szCs w:val="24"/>
          <w:shd w:val="clear" w:color="auto" w:fill="FFFFFF"/>
          <w:lang w:eastAsia="en-GB"/>
        </w:rPr>
        <w:t xml:space="preserve"> </w:t>
      </w:r>
      <w:r w:rsidRPr="00C81A68">
        <w:rPr>
          <w:rFonts w:ascii="Times New Roman" w:eastAsia="Arial" w:hAnsi="Times New Roman" w:cs="Times New Roman"/>
          <w:color w:val="000000"/>
          <w:sz w:val="24"/>
          <w:szCs w:val="24"/>
          <w:lang w:eastAsia="en-GB"/>
        </w:rPr>
        <w:t xml:space="preserve">In this paper, we aim to provide new evidence on the casual association between corporate information environment and tax avoidance using the staggered </w:t>
      </w:r>
      <w:r w:rsidRPr="00C81A68">
        <w:rPr>
          <w:rFonts w:ascii="Times New Roman" w:eastAsia="Times New Roman" w:hAnsi="Times New Roman" w:cs="Arial"/>
          <w:color w:val="000000"/>
          <w:sz w:val="24"/>
          <w:szCs w:val="24"/>
          <w:lang w:eastAsia="en-GB"/>
        </w:rPr>
        <w:t xml:space="preserve">adoption of the </w:t>
      </w:r>
      <w:r w:rsidRPr="00C81A68">
        <w:rPr>
          <w:rFonts w:ascii="Times New Roman" w:eastAsia="Calibri" w:hAnsi="Times New Roman" w:cs="Times New Roman"/>
          <w:iCs/>
          <w:color w:val="000000"/>
          <w:sz w:val="24"/>
          <w:szCs w:val="24"/>
          <w:lang w:eastAsia="en-GB"/>
        </w:rPr>
        <w:t xml:space="preserve">inevitable disclosure doctrine </w:t>
      </w:r>
      <w:r w:rsidRPr="00C81A68">
        <w:rPr>
          <w:rFonts w:ascii="Times New Roman" w:eastAsia="Times New Roman" w:hAnsi="Times New Roman" w:cs="Arial"/>
          <w:color w:val="000000"/>
          <w:sz w:val="24"/>
          <w:szCs w:val="24"/>
          <w:lang w:eastAsia="en-GB"/>
        </w:rPr>
        <w:t>(IDD) by US state courts that generates heterogeneity in the firm’s disclosure practices.</w:t>
      </w:r>
    </w:p>
    <w:p w:rsidR="00C81A68" w:rsidRPr="00C81A68" w:rsidRDefault="00C81A68" w:rsidP="00C81A68">
      <w:pPr>
        <w:spacing w:after="0" w:line="480" w:lineRule="auto"/>
        <w:ind w:firstLine="567"/>
        <w:jc w:val="both"/>
        <w:rPr>
          <w:rFonts w:ascii="Times New Roman" w:eastAsia="Calibri" w:hAnsi="Times New Roman" w:cs="Times New Roman"/>
          <w:iCs/>
          <w:sz w:val="24"/>
          <w:szCs w:val="24"/>
          <w:lang w:eastAsia="en-GB"/>
        </w:rPr>
      </w:pPr>
      <w:r w:rsidRPr="00C81A68">
        <w:rPr>
          <w:rFonts w:ascii="Times New Roman" w:eastAsia="SimSun" w:hAnsi="Times New Roman" w:cs="Times New Roman"/>
          <w:sz w:val="24"/>
          <w:szCs w:val="24"/>
          <w:lang w:eastAsia="zh-CN"/>
        </w:rPr>
        <w:t xml:space="preserve">According to the Uniform Trade Secrets Act (UTSA) of 1979 (amended in 1985), a trade secret is a piece of information that 1) derives economic value, actual or potential, from not being generally known to people outside the organization; and 2) is the subject of efforts that are reasonable, under the </w:t>
      </w:r>
      <w:bookmarkEnd w:id="1"/>
      <w:r w:rsidRPr="00C81A68">
        <w:rPr>
          <w:rFonts w:ascii="Times New Roman" w:eastAsia="SimSun" w:hAnsi="Times New Roman" w:cs="Times New Roman"/>
          <w:sz w:val="24"/>
          <w:szCs w:val="24"/>
          <w:lang w:eastAsia="zh-CN"/>
        </w:rPr>
        <w:t xml:space="preserve">circumstances, to maintain its secrecy. </w:t>
      </w:r>
      <w:r w:rsidRPr="00C81A68">
        <w:rPr>
          <w:rFonts w:ascii="Times New Roman" w:eastAsia="Calibri" w:hAnsi="Times New Roman" w:cs="Times New Roman"/>
          <w:iCs/>
          <w:sz w:val="24"/>
          <w:szCs w:val="24"/>
          <w:lang w:eastAsia="en-GB"/>
        </w:rPr>
        <w:t xml:space="preserve">Employers are often concerned about the leakage of their trade secrets when key employees depart, especially when these employees fail to sign a non-compete agreement. If the hiring of a departing employee by a competitor inevitably leads to the divulgence of the firm’s trade secrets and causes the firm irreparable harm, state courts in the US can allow the employer to use trade secret law to </w:t>
      </w:r>
      <w:r w:rsidRPr="00C81A68">
        <w:rPr>
          <w:rFonts w:ascii="Times New Roman" w:eastAsia="Calibri" w:hAnsi="Times New Roman" w:cs="Times New Roman"/>
          <w:iCs/>
          <w:sz w:val="24"/>
          <w:szCs w:val="24"/>
          <w:lang w:eastAsia="en-GB"/>
        </w:rPr>
        <w:lastRenderedPageBreak/>
        <w:t>prevent a former employee from working for, or limiting their responsibility with, the competitor. Courts and scholars refer to this type of trade secret claims as the inevitable disclosure doctrine (hereafter, the IDD).</w:t>
      </w:r>
      <w:r w:rsidRPr="00C81A68">
        <w:rPr>
          <w:rFonts w:ascii="Times New Roman" w:eastAsia="Calibri" w:hAnsi="Times New Roman" w:cs="Times New Roman"/>
          <w:iCs/>
          <w:sz w:val="24"/>
          <w:szCs w:val="24"/>
          <w:vertAlign w:val="superscript"/>
          <w:lang w:eastAsia="en-GB"/>
        </w:rPr>
        <w:footnoteReference w:id="2"/>
      </w:r>
      <w:r w:rsidRPr="00C81A68">
        <w:rPr>
          <w:rFonts w:ascii="Times New Roman" w:eastAsia="Calibri" w:hAnsi="Times New Roman" w:cs="Times New Roman"/>
          <w:iCs/>
          <w:sz w:val="24"/>
          <w:szCs w:val="24"/>
          <w:lang w:eastAsia="en-GB"/>
        </w:rPr>
        <w:t xml:space="preserve"> The IDD removes one of the most important channels through which a firm’s competitors can obtain its confidential information: the recruitment of the key employees.</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Identifying the causal effect of the corporate information environment on tax avoidance is challenging due to the potential reverse causality. To address this challenge, we take the advantage of the staggered adoption of the IDD by US state courts. Once the IDD is adopted in a legal ruling by a state court, firms located in that state can stop their employees from working for their rivals as it will inevitably lead to disclosure of former employers’ confidential information and pose a threat to their trade secrets. The IDD, which covers all trade secrets and employees, does not require proof of the actual divulgence of secrets or damage. Since former employees are the primary channel through which firms lose their trade secrets (</w:t>
      </w:r>
      <w:proofErr w:type="spellStart"/>
      <w:r w:rsidRPr="00C81A68">
        <w:rPr>
          <w:rFonts w:ascii="Calibri" w:eastAsia="Calibri" w:hAnsi="Calibri" w:cs="Arial"/>
          <w:sz w:val="20"/>
          <w:szCs w:val="20"/>
          <w:lang w:eastAsia="en-GB"/>
        </w:rPr>
        <w:fldChar w:fldCharType="begin"/>
      </w:r>
      <w:r w:rsidRPr="00C81A68">
        <w:rPr>
          <w:rFonts w:ascii="Calibri" w:eastAsia="Calibri" w:hAnsi="Calibri" w:cs="Arial"/>
          <w:sz w:val="20"/>
          <w:szCs w:val="20"/>
          <w:lang w:eastAsia="en-GB"/>
        </w:rPr>
        <w:instrText xml:space="preserve"> HYPERLINK \l "page19" </w:instrText>
      </w:r>
      <w:r w:rsidRPr="00C81A68">
        <w:rPr>
          <w:rFonts w:ascii="Calibri" w:eastAsia="Calibri" w:hAnsi="Calibri" w:cs="Arial"/>
          <w:sz w:val="20"/>
          <w:szCs w:val="20"/>
          <w:lang w:eastAsia="en-GB"/>
        </w:rPr>
        <w:fldChar w:fldCharType="separate"/>
      </w:r>
      <w:r w:rsidRPr="00C81A68">
        <w:rPr>
          <w:rFonts w:ascii="Times New Roman" w:eastAsia="Arial" w:hAnsi="Times New Roman" w:cs="Times New Roman"/>
          <w:sz w:val="24"/>
          <w:szCs w:val="24"/>
          <w:lang w:eastAsia="en-GB"/>
        </w:rPr>
        <w:t>Klasa</w:t>
      </w:r>
      <w:proofErr w:type="spellEnd"/>
      <w:r w:rsidRPr="00C81A68">
        <w:rPr>
          <w:rFonts w:ascii="Times New Roman" w:eastAsia="Arial" w:hAnsi="Times New Roman" w:cs="Times New Roman"/>
          <w:sz w:val="24"/>
          <w:szCs w:val="24"/>
          <w:lang w:eastAsia="en-GB"/>
        </w:rPr>
        <w:t xml:space="preserve"> et al.</w:t>
      </w:r>
      <w:r w:rsidRPr="00C81A68">
        <w:rPr>
          <w:rFonts w:ascii="Times New Roman" w:eastAsia="Arial" w:hAnsi="Times New Roman" w:cs="Times New Roman"/>
          <w:sz w:val="24"/>
          <w:szCs w:val="24"/>
          <w:lang w:eastAsia="en-GB"/>
        </w:rPr>
        <w:fldChar w:fldCharType="end"/>
      </w:r>
      <w:r w:rsidRPr="00C81A68">
        <w:rPr>
          <w:rFonts w:ascii="Times New Roman" w:eastAsia="Arial" w:hAnsi="Times New Roman" w:cs="Times New Roman"/>
          <w:sz w:val="24"/>
          <w:szCs w:val="24"/>
          <w:lang w:eastAsia="en-GB"/>
        </w:rPr>
        <w:t xml:space="preserve"> </w:t>
      </w:r>
      <w:hyperlink w:anchor="page19" w:history="1">
        <w:r w:rsidRPr="00C81A68">
          <w:rPr>
            <w:rFonts w:ascii="Times New Roman" w:eastAsia="Arial" w:hAnsi="Times New Roman" w:cs="Times New Roman"/>
            <w:sz w:val="24"/>
            <w:szCs w:val="24"/>
            <w:lang w:eastAsia="en-GB"/>
          </w:rPr>
          <w:t>2018</w:t>
        </w:r>
      </w:hyperlink>
      <w:r w:rsidRPr="00C81A68">
        <w:rPr>
          <w:rFonts w:ascii="Times New Roman" w:eastAsia="Arial" w:hAnsi="Times New Roman" w:cs="Times New Roman"/>
          <w:sz w:val="24"/>
          <w:szCs w:val="24"/>
          <w:lang w:eastAsia="en-GB"/>
        </w:rPr>
        <w:t>; Ali et al. 2019), the IDD provides enhanced protection of trade secrets and exploiting the setting of IDD adoption does not rely on the measurement of trade secrets protection at an individual firm. As the occurrence of IDD adoption by a state court is not systematically associated with economic situations of the state (</w:t>
      </w:r>
      <w:proofErr w:type="spellStart"/>
      <w:r w:rsidRPr="00C81A68">
        <w:rPr>
          <w:rFonts w:ascii="Times New Roman" w:eastAsia="Calibri" w:hAnsi="Times New Roman" w:cs="Times New Roman"/>
          <w:sz w:val="24"/>
          <w:szCs w:val="24"/>
          <w:lang w:eastAsia="en-GB"/>
        </w:rPr>
        <w:fldChar w:fldCharType="begin"/>
      </w:r>
      <w:r w:rsidRPr="00C81A68">
        <w:rPr>
          <w:rFonts w:ascii="Times New Roman" w:eastAsia="Calibri" w:hAnsi="Times New Roman" w:cs="Times New Roman"/>
          <w:sz w:val="24"/>
          <w:szCs w:val="24"/>
          <w:lang w:eastAsia="en-GB"/>
        </w:rPr>
        <w:instrText xml:space="preserve"> HYPERLINK \l "page19" </w:instrText>
      </w:r>
      <w:r w:rsidRPr="00C81A68">
        <w:rPr>
          <w:rFonts w:ascii="Times New Roman" w:eastAsia="Calibri" w:hAnsi="Times New Roman" w:cs="Times New Roman"/>
          <w:sz w:val="24"/>
          <w:szCs w:val="24"/>
          <w:lang w:eastAsia="en-GB"/>
        </w:rPr>
        <w:fldChar w:fldCharType="separate"/>
      </w:r>
      <w:r w:rsidRPr="00C81A68">
        <w:rPr>
          <w:rFonts w:ascii="Times New Roman" w:eastAsia="Arial" w:hAnsi="Times New Roman" w:cs="Times New Roman"/>
          <w:sz w:val="24"/>
          <w:szCs w:val="24"/>
          <w:lang w:eastAsia="en-GB"/>
        </w:rPr>
        <w:t>Klasa</w:t>
      </w:r>
      <w:proofErr w:type="spellEnd"/>
      <w:r w:rsidRPr="00C81A68">
        <w:rPr>
          <w:rFonts w:ascii="Times New Roman" w:eastAsia="Arial" w:hAnsi="Times New Roman" w:cs="Times New Roman"/>
          <w:sz w:val="24"/>
          <w:szCs w:val="24"/>
          <w:lang w:eastAsia="en-GB"/>
        </w:rPr>
        <w:t xml:space="preserve"> et al.</w:t>
      </w:r>
      <w:r w:rsidRPr="00C81A68">
        <w:rPr>
          <w:rFonts w:ascii="Times New Roman" w:eastAsia="Calibri" w:hAnsi="Times New Roman" w:cs="Times New Roman"/>
          <w:sz w:val="24"/>
          <w:szCs w:val="24"/>
          <w:lang w:eastAsia="en-GB"/>
        </w:rPr>
        <w:fldChar w:fldCharType="end"/>
      </w:r>
      <w:r w:rsidRPr="00C81A68">
        <w:rPr>
          <w:rFonts w:ascii="Times New Roman" w:eastAsia="Arial" w:hAnsi="Times New Roman" w:cs="Times New Roman"/>
          <w:sz w:val="24"/>
          <w:szCs w:val="24"/>
          <w:lang w:eastAsia="en-GB"/>
        </w:rPr>
        <w:t xml:space="preserve"> </w:t>
      </w:r>
      <w:hyperlink w:anchor="page19" w:history="1">
        <w:r w:rsidRPr="00C81A68">
          <w:rPr>
            <w:rFonts w:ascii="Times New Roman" w:eastAsia="Arial" w:hAnsi="Times New Roman" w:cs="Times New Roman"/>
            <w:sz w:val="24"/>
            <w:szCs w:val="24"/>
            <w:lang w:eastAsia="en-GB"/>
          </w:rPr>
          <w:t>2018</w:t>
        </w:r>
      </w:hyperlink>
      <w:r w:rsidRPr="00C81A68">
        <w:rPr>
          <w:rFonts w:ascii="Times New Roman" w:eastAsia="Arial" w:hAnsi="Times New Roman" w:cs="Times New Roman"/>
          <w:sz w:val="24"/>
          <w:szCs w:val="24"/>
          <w:lang w:eastAsia="en-GB"/>
        </w:rPr>
        <w:t>), IDD adoption creates exogenous variations in corporate disclosure practices when holding other determinants of tax avoidance constant.</w:t>
      </w:r>
    </w:p>
    <w:p w:rsidR="00C81A68" w:rsidRPr="00C81A68" w:rsidRDefault="00C81A68" w:rsidP="00C81A68">
      <w:pPr>
        <w:autoSpaceDE w:val="0"/>
        <w:autoSpaceDN w:val="0"/>
        <w:adjustRightInd w:val="0"/>
        <w:spacing w:after="0" w:line="480" w:lineRule="auto"/>
        <w:ind w:firstLine="567"/>
        <w:jc w:val="both"/>
        <w:rPr>
          <w:rFonts w:ascii="Times New Roman" w:eastAsia="Arial" w:hAnsi="Times New Roman" w:cs="Times New Roman"/>
          <w:color w:val="000000"/>
          <w:sz w:val="24"/>
          <w:szCs w:val="24"/>
          <w:lang w:eastAsia="en-GB"/>
        </w:rPr>
      </w:pPr>
      <w:r w:rsidRPr="00C81A68">
        <w:rPr>
          <w:rFonts w:ascii="Times New Roman" w:eastAsia="Times New Roman" w:hAnsi="Times New Roman" w:cs="Arial"/>
          <w:color w:val="222222"/>
          <w:sz w:val="24"/>
          <w:szCs w:val="24"/>
          <w:lang w:eastAsia="en-GB"/>
        </w:rPr>
        <w:t xml:space="preserve">Prior research suggests that IDD adoption increases the proprietary cost of disclosure for a firm because competitors rely more on public disclosure to access proprietary information in the presence of the IDD that precludes the divulgence of trade secrets through the unrestricted movement of employees. Furthermore, if a firm discloses valuable information (e.g., </w:t>
      </w:r>
      <w:r w:rsidRPr="00C81A68">
        <w:rPr>
          <w:rFonts w:ascii="Times New Roman" w:eastAsia="Times New Roman" w:hAnsi="Times New Roman" w:cs="Arial"/>
          <w:color w:val="222222"/>
          <w:sz w:val="24"/>
          <w:szCs w:val="24"/>
          <w:lang w:eastAsia="en-GB"/>
        </w:rPr>
        <w:lastRenderedPageBreak/>
        <w:t>production method or customer lists) in its financial statements, the information loses trade secret status. In order to be protected by the IDD, rational managers would decrease the disclosure of proprietary information, resulting in lower corporate transparency (e.g., Li et al. 2018a; Kim et al. 2000).</w:t>
      </w:r>
      <w:r w:rsidRPr="00C81A68">
        <w:rPr>
          <w:rFonts w:ascii="Times New Roman" w:eastAsia="Times New Roman" w:hAnsi="Times New Roman" w:cs="Arial"/>
          <w:color w:val="222222"/>
          <w:sz w:val="24"/>
          <w:szCs w:val="24"/>
          <w:vertAlign w:val="superscript"/>
          <w:lang w:eastAsia="en-GB"/>
        </w:rPr>
        <w:footnoteReference w:id="3"/>
      </w:r>
      <w:r w:rsidRPr="00C81A68">
        <w:rPr>
          <w:rFonts w:ascii="Times New Roman" w:eastAsia="Times New Roman" w:hAnsi="Times New Roman" w:cs="Arial"/>
          <w:color w:val="222222"/>
          <w:sz w:val="24"/>
          <w:szCs w:val="24"/>
          <w:lang w:eastAsia="en-GB"/>
        </w:rPr>
        <w:t xml:space="preserve"> </w:t>
      </w:r>
      <w:r w:rsidRPr="00C81A68">
        <w:rPr>
          <w:rFonts w:ascii="Times New Roman" w:eastAsia="Calibri" w:hAnsi="Times New Roman" w:cs="Arial"/>
          <w:color w:val="222222"/>
          <w:sz w:val="24"/>
          <w:szCs w:val="24"/>
          <w:shd w:val="clear" w:color="auto" w:fill="FFFFFF"/>
          <w:lang w:eastAsia="en-GB"/>
        </w:rPr>
        <w:t xml:space="preserve">Reduced transparency has been shown to affect tax avoidance. One strand of research on tax avoidance suggests that the complexity and </w:t>
      </w:r>
      <w:proofErr w:type="spellStart"/>
      <w:r w:rsidRPr="00C81A68">
        <w:rPr>
          <w:rFonts w:ascii="Times New Roman" w:eastAsia="Calibri" w:hAnsi="Times New Roman" w:cs="Arial"/>
          <w:color w:val="222222"/>
          <w:sz w:val="24"/>
          <w:szCs w:val="24"/>
          <w:shd w:val="clear" w:color="auto" w:fill="FFFFFF"/>
          <w:lang w:eastAsia="en-GB"/>
        </w:rPr>
        <w:t>obfuscatory</w:t>
      </w:r>
      <w:proofErr w:type="spellEnd"/>
      <w:r w:rsidRPr="00C81A68">
        <w:rPr>
          <w:rFonts w:ascii="Times New Roman" w:eastAsia="Calibri" w:hAnsi="Times New Roman" w:cs="Arial"/>
          <w:color w:val="222222"/>
          <w:sz w:val="24"/>
          <w:szCs w:val="24"/>
          <w:shd w:val="clear" w:color="auto" w:fill="FFFFFF"/>
          <w:lang w:eastAsia="en-GB"/>
        </w:rPr>
        <w:t xml:space="preserve"> nature of tax avoidance require opacity (Kim et al. 2011).</w:t>
      </w:r>
      <w:r w:rsidRPr="00C81A68">
        <w:rPr>
          <w:rFonts w:ascii="Times New Roman" w:eastAsia="Times New Roman" w:hAnsi="Times New Roman" w:cs="Arial"/>
          <w:color w:val="222222"/>
          <w:sz w:val="24"/>
          <w:szCs w:val="24"/>
          <w:lang w:eastAsia="en-GB"/>
        </w:rPr>
        <w:t xml:space="preserve"> </w:t>
      </w:r>
      <w:r w:rsidRPr="00C81A68">
        <w:rPr>
          <w:rFonts w:ascii="Times New Roman" w:eastAsia="Calibri" w:hAnsi="Times New Roman" w:cs="Arial"/>
          <w:color w:val="222222"/>
          <w:sz w:val="24"/>
          <w:szCs w:val="24"/>
          <w:shd w:val="clear" w:color="auto" w:fill="FFFFFF"/>
          <w:lang w:eastAsia="en-GB"/>
        </w:rPr>
        <w:t>Because adoption of the IDD reduces a firm's transparency, it enables firms to become more aggressive in tax avoidance.</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Empirically, we employ a difference-in-differences approach by creating an indicator variable (IDD) that equals 1 for state-years when the IDD is adopted by the state court, and 0 in all other state-years. Thus, we are able to compare changes in the tax avoidance of firms in states that experience a change in IDD adoption (treatment group) with changes in the tax avoidance of firms in states that do not adopt the IDD (control group).</w:t>
      </w:r>
      <w:r w:rsidRPr="00C81A68">
        <w:rPr>
          <w:rFonts w:ascii="Times New Roman" w:eastAsia="Arial" w:hAnsi="Times New Roman" w:cs="Times New Roman"/>
          <w:sz w:val="24"/>
          <w:szCs w:val="24"/>
          <w:vertAlign w:val="superscript"/>
          <w:lang w:eastAsia="en-GB"/>
        </w:rPr>
        <w:footnoteReference w:id="4"/>
      </w:r>
      <w:r w:rsidRPr="00C81A68">
        <w:rPr>
          <w:rFonts w:ascii="Times New Roman" w:eastAsia="Arial" w:hAnsi="Times New Roman" w:cs="Times New Roman"/>
          <w:sz w:val="24"/>
          <w:szCs w:val="24"/>
          <w:lang w:eastAsia="en-GB"/>
        </w:rPr>
        <w:t xml:space="preserve"> Following prior research (e.g., Chen et al. 2010), we use multiple measures of tax avoidance. As Graham et al. (2013) emphasize that effective tax rates are the most important measure to capture corporate tax avoidance, our first measure is the firm's effective tax rates (ETR), calculated as </w:t>
      </w:r>
      <w:r w:rsidRPr="00C81A68">
        <w:rPr>
          <w:rFonts w:ascii="Times New Roman" w:eastAsia="Arial" w:hAnsi="Times New Roman" w:cs="Times New Roman"/>
          <w:color w:val="000000"/>
          <w:sz w:val="24"/>
          <w:szCs w:val="24"/>
          <w:lang w:eastAsia="en-GB"/>
        </w:rPr>
        <w:t>total tax expense divided by pre-tax income</w:t>
      </w:r>
      <w:r w:rsidRPr="00C81A68">
        <w:rPr>
          <w:rFonts w:ascii="Times New Roman" w:eastAsia="Arial" w:hAnsi="Times New Roman" w:cs="Times New Roman"/>
          <w:sz w:val="24"/>
          <w:szCs w:val="24"/>
          <w:lang w:eastAsia="en-GB"/>
        </w:rPr>
        <w:t xml:space="preserve">. Our second measure of tax avoidance is book-tax differences (BTD), </w:t>
      </w:r>
      <w:r w:rsidRPr="00C81A68">
        <w:rPr>
          <w:rFonts w:ascii="Times New Roman" w:eastAsia="Calibri" w:hAnsi="Times New Roman" w:cs="Times New Roman"/>
          <w:sz w:val="24"/>
          <w:szCs w:val="24"/>
          <w:lang w:eastAsia="en-GB"/>
        </w:rPr>
        <w:t>calculated as the difference between pre-tax book income and estimated taxable income.</w:t>
      </w:r>
      <w:r w:rsidRPr="00C81A68">
        <w:rPr>
          <w:rFonts w:ascii="Times New Roman" w:eastAsia="Calibri" w:hAnsi="Times New Roman" w:cs="Times New Roman"/>
          <w:sz w:val="24"/>
          <w:szCs w:val="24"/>
          <w:vertAlign w:val="superscript"/>
          <w:lang w:eastAsia="en-GB"/>
        </w:rPr>
        <w:footnoteReference w:id="5"/>
      </w:r>
      <w:r w:rsidRPr="00C81A68">
        <w:rPr>
          <w:rFonts w:ascii="Times New Roman" w:eastAsia="Arial" w:hAnsi="Times New Roman" w:cs="Times New Roman"/>
          <w:sz w:val="24"/>
          <w:szCs w:val="24"/>
          <w:lang w:eastAsia="en-GB"/>
        </w:rPr>
        <w:t xml:space="preserve"> Our sample consists of 70,739 firm-year observations from the US for the period of 1997 to 2011.</w:t>
      </w:r>
      <w:r w:rsidRPr="00C81A68">
        <w:rPr>
          <w:rFonts w:ascii="Times New Roman" w:eastAsia="Arial" w:hAnsi="Times New Roman" w:cs="Times New Roman"/>
          <w:sz w:val="24"/>
          <w:szCs w:val="24"/>
          <w:vertAlign w:val="superscript"/>
          <w:lang w:eastAsia="en-GB"/>
        </w:rPr>
        <w:footnoteReference w:id="6"/>
      </w:r>
    </w:p>
    <w:p w:rsidR="00C81A68" w:rsidRPr="00C81A68" w:rsidRDefault="00C81A68" w:rsidP="00C81A68">
      <w:pPr>
        <w:autoSpaceDE w:val="0"/>
        <w:autoSpaceDN w:val="0"/>
        <w:adjustRightInd w:val="0"/>
        <w:spacing w:after="0" w:line="480" w:lineRule="auto"/>
        <w:ind w:firstLine="567"/>
        <w:jc w:val="both"/>
        <w:rPr>
          <w:rFonts w:ascii="Times New Roman" w:eastAsia="Arial" w:hAnsi="Times New Roman" w:cs="Times New Roman"/>
          <w:color w:val="000000"/>
          <w:sz w:val="24"/>
          <w:szCs w:val="24"/>
          <w:lang w:eastAsia="en-GB"/>
        </w:rPr>
      </w:pPr>
      <w:r w:rsidRPr="00C81A68">
        <w:rPr>
          <w:rFonts w:ascii="Times New Roman" w:eastAsia="Calibri" w:hAnsi="Times New Roman" w:cs="Arial"/>
          <w:color w:val="222222"/>
          <w:sz w:val="24"/>
          <w:szCs w:val="24"/>
          <w:shd w:val="clear" w:color="auto" w:fill="FFFFFF"/>
          <w:lang w:eastAsia="en-GB"/>
        </w:rPr>
        <w:lastRenderedPageBreak/>
        <w:t xml:space="preserve">We further investigate whether the effect of the IDD on tax avoidance differs between firms with different levels of internal information quality (IIQ). Consistent with prior studies </w:t>
      </w:r>
      <w:r w:rsidRPr="00C81A68">
        <w:rPr>
          <w:rFonts w:ascii="Times New Roman" w:eastAsia="Times New Roman" w:hAnsi="Times New Roman" w:cs="Arial"/>
          <w:color w:val="222222"/>
          <w:sz w:val="24"/>
          <w:szCs w:val="24"/>
          <w:lang w:eastAsia="en-GB"/>
        </w:rPr>
        <w:t>(</w:t>
      </w:r>
      <w:r w:rsidRPr="00C81A68">
        <w:rPr>
          <w:rFonts w:ascii="Times New Roman" w:eastAsia="Calibri" w:hAnsi="Times New Roman" w:cs="Arial"/>
          <w:color w:val="222222"/>
          <w:sz w:val="24"/>
          <w:szCs w:val="24"/>
          <w:shd w:val="clear" w:color="auto" w:fill="FFFFFF"/>
          <w:lang w:eastAsia="en-GB"/>
        </w:rPr>
        <w:t xml:space="preserve">Chen and Lin, 2017; Kerr, 2018), we use analyst coverage and absolute value of discretionary accruals as the proxies of IIQ. We expect that the effect of the IDD on tax avoidance is more pronounced in firms with lower IIQ, as IDD adoption could play a more significant role in obfuscating the information environment of these firms and provide opportunities for them to become more aggressive in tax avoidance. </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 xml:space="preserve">Our study reports several important findings. Our main analysis demonstrates a significantly positive impact of IDD adoption on corporate tax avoidance, indicating that firms headquartered in IDD-adopting states are more likely to engage in greater tax avoidance activities than those in states that have not adopted the IDD. The results continue to hold after we control for firm, state and industry fixed effects, which alleviate the potential concerns that our results are driven by unobserved time-invariant heterogeneity. Furthermore, we show that the impact of the IDD on corporate tax avoidance is more salient in firms with lower internal information quality </w:t>
      </w:r>
      <w:r w:rsidRPr="00C81A68">
        <w:rPr>
          <w:rFonts w:ascii="Times New Roman" w:eastAsia="Arial" w:hAnsi="Times New Roman" w:cs="Times New Roman"/>
          <w:i/>
          <w:sz w:val="24"/>
          <w:szCs w:val="24"/>
          <w:lang w:eastAsia="en-GB"/>
        </w:rPr>
        <w:t>ex ante</w:t>
      </w:r>
      <w:r w:rsidRPr="00C81A68">
        <w:rPr>
          <w:rFonts w:ascii="Times New Roman" w:eastAsia="Arial" w:hAnsi="Times New Roman" w:cs="Times New Roman"/>
          <w:sz w:val="24"/>
          <w:szCs w:val="24"/>
          <w:lang w:eastAsia="en-GB"/>
        </w:rPr>
        <w:t xml:space="preserve"> (firms with lower analyst coverage and larger absolute discretionary accruals). This result indicates that IDD adoption helps firms with poor internal information quality to further obfuscate their information environment, thus enabling them to engage in greater tax avoidance.</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 xml:space="preserve">One common concern with the causal interpretation of our findings is that the difference-in-differences approach hinges on the “parallel trend assumption”, which requires that the trends in corporate tax avoidance practices between the firms in states that adopt the IDD (treatment group) and those in states that do not (control group) are similar before IDD adoption. Consistent with the assumption, our results show that firms started engaging in greater tax avoidance strategies only after the adoption of the IDD in their headquartered states, but not before. Our results are robust to alternative measures of tax avoidance, dropping </w:t>
      </w:r>
      <w:r w:rsidRPr="00C81A68">
        <w:rPr>
          <w:rFonts w:ascii="Times New Roman" w:eastAsia="Arial" w:hAnsi="Times New Roman" w:cs="Times New Roman"/>
          <w:sz w:val="24"/>
          <w:szCs w:val="24"/>
          <w:lang w:eastAsia="en-GB"/>
        </w:rPr>
        <w:lastRenderedPageBreak/>
        <w:t>observations from states that never adopt the IDD, propensity-score matching (PSM) and instrumental variable estimation to address selection bias concerns.</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SimSun" w:hAnsi="Times New Roman" w:cs="Times New Roman"/>
          <w:sz w:val="24"/>
          <w:szCs w:val="24"/>
          <w:lang w:eastAsia="zh-CN"/>
        </w:rPr>
        <w:t xml:space="preserve">We are aware of one concurrent study that resembles similarity to ours. Li et al. (2018b) investigate the effect of IDD adoption on tax avoidance through </w:t>
      </w:r>
      <w:r w:rsidRPr="00C81A68">
        <w:rPr>
          <w:rFonts w:ascii="Times New Roman" w:eastAsia="SimSun" w:hAnsi="Times New Roman" w:cs="Arial"/>
          <w:sz w:val="24"/>
          <w:szCs w:val="24"/>
          <w:lang w:eastAsia="en-GB"/>
        </w:rPr>
        <w:t xml:space="preserve">the lens of </w:t>
      </w:r>
      <w:r w:rsidRPr="00C81A68">
        <w:rPr>
          <w:rFonts w:ascii="Times New Roman" w:eastAsia="SimSun" w:hAnsi="Times New Roman" w:cs="Times New Roman"/>
          <w:sz w:val="24"/>
          <w:szCs w:val="24"/>
          <w:lang w:eastAsia="zh-CN"/>
        </w:rPr>
        <w:t xml:space="preserve">managers’ career concerns, as the IDD increases (limits) the cost of job loss (outside </w:t>
      </w:r>
      <w:r w:rsidRPr="00C81A68">
        <w:rPr>
          <w:rFonts w:ascii="Times New Roman" w:eastAsia="SimSun" w:hAnsi="Times New Roman" w:cs="Arial"/>
          <w:sz w:val="24"/>
          <w:szCs w:val="24"/>
          <w:lang w:eastAsia="en-GB"/>
        </w:rPr>
        <w:t>career</w:t>
      </w:r>
      <w:r w:rsidRPr="00C81A68">
        <w:rPr>
          <w:rFonts w:ascii="Times New Roman" w:eastAsia="SimSun" w:hAnsi="Times New Roman" w:cs="Times New Roman"/>
          <w:sz w:val="24"/>
          <w:szCs w:val="24"/>
          <w:lang w:eastAsia="zh-CN"/>
        </w:rPr>
        <w:t xml:space="preserve"> opportunities) for under-performing (out-performing) managers. Consequently, the former (latter) would engage more (less) in tax avoidance. They find evidence consistent with their conjecture. A key difference between these two studies is that we scrutinize the effect of </w:t>
      </w:r>
      <w:r w:rsidRPr="00C81A68">
        <w:rPr>
          <w:rFonts w:ascii="Times New Roman" w:eastAsia="SimSun" w:hAnsi="Times New Roman" w:cs="Arial"/>
          <w:sz w:val="24"/>
          <w:szCs w:val="24"/>
          <w:lang w:eastAsia="en-GB"/>
        </w:rPr>
        <w:t xml:space="preserve">change in corporate transparency (through </w:t>
      </w:r>
      <w:r w:rsidRPr="00C81A68">
        <w:rPr>
          <w:rFonts w:ascii="Times New Roman" w:eastAsia="SimSun" w:hAnsi="Times New Roman" w:cs="Times New Roman"/>
          <w:sz w:val="24"/>
          <w:szCs w:val="24"/>
          <w:lang w:eastAsia="zh-CN"/>
        </w:rPr>
        <w:t>IDD adoption</w:t>
      </w:r>
      <w:r w:rsidRPr="00C81A68">
        <w:rPr>
          <w:rFonts w:ascii="Times New Roman" w:eastAsia="SimSun" w:hAnsi="Times New Roman" w:cs="Arial"/>
          <w:sz w:val="24"/>
          <w:szCs w:val="24"/>
          <w:lang w:eastAsia="en-GB"/>
        </w:rPr>
        <w:t>)</w:t>
      </w:r>
      <w:r w:rsidRPr="00C81A68">
        <w:rPr>
          <w:rFonts w:ascii="Times New Roman" w:eastAsia="SimSun" w:hAnsi="Times New Roman" w:cs="Times New Roman"/>
          <w:sz w:val="24"/>
          <w:szCs w:val="24"/>
          <w:lang w:eastAsia="zh-CN"/>
        </w:rPr>
        <w:t xml:space="preserve"> on tax avoidance. The enhanced benefit </w:t>
      </w:r>
      <w:r w:rsidRPr="00C81A68">
        <w:rPr>
          <w:rFonts w:ascii="Times New Roman" w:eastAsia="SimSun" w:hAnsi="Times New Roman" w:cs="Arial"/>
          <w:sz w:val="24"/>
          <w:szCs w:val="24"/>
          <w:lang w:eastAsia="en-GB"/>
        </w:rPr>
        <w:t>of non-disclosure of proprietary information</w:t>
      </w:r>
      <w:r w:rsidRPr="00C81A68">
        <w:rPr>
          <w:rFonts w:ascii="Times New Roman" w:eastAsia="SimSun" w:hAnsi="Times New Roman" w:cs="Times New Roman"/>
          <w:sz w:val="24"/>
          <w:szCs w:val="24"/>
          <w:lang w:eastAsia="zh-CN"/>
        </w:rPr>
        <w:t xml:space="preserve"> induce</w:t>
      </w:r>
      <w:r w:rsidRPr="00C81A68">
        <w:rPr>
          <w:rFonts w:ascii="Times New Roman" w:eastAsia="SimSun" w:hAnsi="Times New Roman" w:cs="Arial"/>
          <w:sz w:val="24"/>
          <w:szCs w:val="24"/>
          <w:lang w:eastAsia="en-GB"/>
        </w:rPr>
        <w:t>s firms to reach a new</w:t>
      </w:r>
      <w:r w:rsidRPr="00C81A68">
        <w:rPr>
          <w:rFonts w:ascii="Times New Roman" w:eastAsia="SimSun" w:hAnsi="Times New Roman" w:cs="Times New Roman"/>
          <w:sz w:val="24"/>
          <w:szCs w:val="24"/>
          <w:lang w:eastAsia="zh-CN"/>
        </w:rPr>
        <w:t xml:space="preserve"> equilibrium of </w:t>
      </w:r>
      <w:r w:rsidRPr="00C81A68">
        <w:rPr>
          <w:rFonts w:ascii="Times New Roman" w:eastAsia="SimSun" w:hAnsi="Times New Roman" w:cs="Arial"/>
          <w:sz w:val="24"/>
          <w:szCs w:val="24"/>
          <w:lang w:eastAsia="en-GB"/>
        </w:rPr>
        <w:t>disclosure, which gives firms</w:t>
      </w:r>
      <w:r w:rsidRPr="00C81A68">
        <w:rPr>
          <w:rFonts w:ascii="Times New Roman" w:eastAsia="SimSun" w:hAnsi="Times New Roman" w:cs="Times New Roman"/>
          <w:sz w:val="24"/>
          <w:szCs w:val="24"/>
          <w:lang w:eastAsia="zh-CN"/>
        </w:rPr>
        <w:t xml:space="preserve"> more </w:t>
      </w:r>
      <w:r w:rsidRPr="00C81A68">
        <w:rPr>
          <w:rFonts w:ascii="Times New Roman" w:eastAsia="SimSun" w:hAnsi="Times New Roman" w:cs="Arial"/>
          <w:sz w:val="24"/>
          <w:szCs w:val="24"/>
          <w:lang w:eastAsia="en-GB"/>
        </w:rPr>
        <w:t>opportunities to engage in tax avoidance.</w:t>
      </w:r>
      <w:r w:rsidRPr="00C81A68">
        <w:rPr>
          <w:rFonts w:ascii="Times New Roman" w:eastAsia="SimSun" w:hAnsi="Times New Roman" w:cs="Times New Roman"/>
          <w:sz w:val="24"/>
          <w:szCs w:val="24"/>
          <w:lang w:eastAsia="zh-CN"/>
        </w:rPr>
        <w:t xml:space="preserve"> </w:t>
      </w:r>
      <w:r w:rsidRPr="00C81A68">
        <w:rPr>
          <w:rFonts w:ascii="Times New Roman" w:eastAsia="SimSun" w:hAnsi="Times New Roman" w:cs="Arial"/>
          <w:sz w:val="24"/>
          <w:szCs w:val="24"/>
          <w:lang w:eastAsia="en-GB"/>
        </w:rPr>
        <w:t>This conjecture is</w:t>
      </w:r>
      <w:r w:rsidRPr="00C81A68">
        <w:rPr>
          <w:rFonts w:ascii="Times New Roman" w:eastAsia="SimSun" w:hAnsi="Times New Roman" w:cs="Times New Roman"/>
          <w:sz w:val="24"/>
          <w:szCs w:val="24"/>
          <w:lang w:eastAsia="zh-CN"/>
        </w:rPr>
        <w:t xml:space="preserve"> corroborated by our results. </w:t>
      </w:r>
      <w:r w:rsidRPr="00C81A68">
        <w:rPr>
          <w:rFonts w:ascii="Times New Roman" w:eastAsia="SimSun" w:hAnsi="Times New Roman" w:cs="Arial"/>
          <w:sz w:val="24"/>
          <w:szCs w:val="24"/>
          <w:lang w:eastAsia="en-GB"/>
        </w:rPr>
        <w:t>Collectively</w:t>
      </w:r>
      <w:r w:rsidRPr="00C81A68">
        <w:rPr>
          <w:rFonts w:ascii="Times New Roman" w:eastAsia="SimSun" w:hAnsi="Times New Roman" w:cs="Times New Roman"/>
          <w:sz w:val="24"/>
          <w:szCs w:val="24"/>
          <w:lang w:eastAsia="zh-CN"/>
        </w:rPr>
        <w:t xml:space="preserve">, these two studies present distinctive interpretations of the tax-related consequences of IDD adoption in US states. </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 xml:space="preserve">We contribute to the literature in two dimensions. First, </w:t>
      </w:r>
      <w:r w:rsidRPr="00C81A68">
        <w:rPr>
          <w:rFonts w:ascii="Times New Roman" w:eastAsia="Times New Roman" w:hAnsi="Times New Roman" w:cs="Times New Roman"/>
          <w:sz w:val="24"/>
          <w:szCs w:val="24"/>
          <w:shd w:val="clear" w:color="auto" w:fill="FFFFFF"/>
          <w:lang w:eastAsia="en-GB"/>
        </w:rPr>
        <w:t xml:space="preserve">few studies have examined the causal effect of information asymmetry on tax avoidance. This gap is surprising, as managers clearly face conflicts between financial reporting quality and tax planning (e.g., Scholes and Wolfson 1992). The paucity of research might be partially driven by potential endogeneity concerns. The primary source of endogeneity is reverse causality, as seen in the inconsistent conclusions of previous studies. For example, Kerr (2018) finds that information asymmetry leads to tax avoidance. In contrast, several other studies find that aggressive tax planning affects earnings quality and information asymmetry (e.g., Ayers et al. 2009; </w:t>
      </w:r>
      <w:proofErr w:type="spellStart"/>
      <w:r w:rsidRPr="00C81A68">
        <w:rPr>
          <w:rFonts w:ascii="Times New Roman" w:eastAsia="Times New Roman" w:hAnsi="Times New Roman" w:cs="Times New Roman"/>
          <w:sz w:val="24"/>
          <w:szCs w:val="24"/>
          <w:shd w:val="clear" w:color="auto" w:fill="FFFFFF"/>
          <w:lang w:eastAsia="en-GB"/>
        </w:rPr>
        <w:t>Comprix</w:t>
      </w:r>
      <w:proofErr w:type="spellEnd"/>
      <w:r w:rsidRPr="00C81A68">
        <w:rPr>
          <w:rFonts w:ascii="Times New Roman" w:eastAsia="Times New Roman" w:hAnsi="Times New Roman" w:cs="Times New Roman"/>
          <w:sz w:val="24"/>
          <w:szCs w:val="24"/>
          <w:shd w:val="clear" w:color="auto" w:fill="FFFFFF"/>
          <w:lang w:eastAsia="en-GB"/>
        </w:rPr>
        <w:t>, et al. 2011; Balakrishnan et al. 2019). Therefore, the question of whether the information environment affects or is affected by tax</w:t>
      </w:r>
      <w:r w:rsidRPr="00C81A68">
        <w:rPr>
          <w:rFonts w:ascii="Times New Roman" w:eastAsia="Times New Roman" w:hAnsi="Times New Roman" w:cs="Times New Roman"/>
          <w:sz w:val="24"/>
          <w:szCs w:val="24"/>
          <w:lang w:eastAsia="en-GB"/>
        </w:rPr>
        <w:t xml:space="preserve"> </w:t>
      </w:r>
      <w:r w:rsidRPr="00C81A68">
        <w:rPr>
          <w:rFonts w:ascii="Times New Roman" w:eastAsia="Times New Roman" w:hAnsi="Times New Roman" w:cs="Times New Roman"/>
          <w:sz w:val="24"/>
          <w:szCs w:val="24"/>
          <w:shd w:val="clear" w:color="auto" w:fill="FFFFFF"/>
          <w:lang w:eastAsia="en-GB"/>
        </w:rPr>
        <w:t xml:space="preserve">avoidance is under debate. Furthermore, unobservable factors could be simultaneously correlated with information asymmetry and tax avoidance. </w:t>
      </w:r>
      <w:r w:rsidRPr="00C81A68">
        <w:rPr>
          <w:rFonts w:ascii="Times New Roman" w:eastAsia="Calibri" w:hAnsi="Times New Roman" w:cs="Arial"/>
          <w:sz w:val="24"/>
          <w:szCs w:val="24"/>
          <w:shd w:val="clear" w:color="auto" w:fill="FFFFFF"/>
          <w:lang w:eastAsia="en-GB"/>
        </w:rPr>
        <w:t xml:space="preserve">Our study takes advantage of the adoption of the IDD as an exogenous shock to information </w:t>
      </w:r>
      <w:r w:rsidRPr="00C81A68">
        <w:rPr>
          <w:rFonts w:ascii="Times New Roman" w:eastAsia="Calibri" w:hAnsi="Times New Roman" w:cs="Arial"/>
          <w:sz w:val="24"/>
          <w:szCs w:val="24"/>
          <w:shd w:val="clear" w:color="auto" w:fill="FFFFFF"/>
          <w:lang w:eastAsia="en-GB"/>
        </w:rPr>
        <w:lastRenderedPageBreak/>
        <w:t>transparency to address the endogeneity issue that plagues prior research and provides fresh insights into the casual association between the corporate information environment and tax avoidance.</w:t>
      </w:r>
      <w:r w:rsidRPr="00C81A68">
        <w:rPr>
          <w:rFonts w:ascii="Times New Roman" w:eastAsia="Calibri" w:hAnsi="Times New Roman" w:cs="Arial"/>
          <w:color w:val="FF0000"/>
          <w:sz w:val="24"/>
          <w:szCs w:val="24"/>
          <w:lang w:eastAsia="en-GB"/>
        </w:rPr>
        <w:t xml:space="preserve"> </w:t>
      </w:r>
      <w:r w:rsidRPr="00C81A68">
        <w:rPr>
          <w:rFonts w:ascii="Times New Roman" w:eastAsia="Arial" w:hAnsi="Times New Roman" w:cs="Times New Roman"/>
          <w:sz w:val="24"/>
          <w:szCs w:val="24"/>
          <w:lang w:eastAsia="en-GB"/>
        </w:rPr>
        <w:t>Second, we add to the nascent research on the economic consequences of strengthened trade secret protection (</w:t>
      </w:r>
      <w:proofErr w:type="spellStart"/>
      <w:r w:rsidRPr="00C81A68">
        <w:rPr>
          <w:rFonts w:ascii="Times New Roman" w:eastAsia="Calibri" w:hAnsi="Times New Roman" w:cs="Times New Roman"/>
          <w:sz w:val="24"/>
          <w:szCs w:val="24"/>
          <w:lang w:eastAsia="en-GB"/>
        </w:rPr>
        <w:fldChar w:fldCharType="begin"/>
      </w:r>
      <w:r w:rsidRPr="00C81A68">
        <w:rPr>
          <w:rFonts w:ascii="Times New Roman" w:eastAsia="Calibri" w:hAnsi="Times New Roman" w:cs="Times New Roman"/>
          <w:sz w:val="24"/>
          <w:szCs w:val="24"/>
          <w:lang w:eastAsia="en-GB"/>
        </w:rPr>
        <w:instrText xml:space="preserve"> HYPERLINK \l "page19" </w:instrText>
      </w:r>
      <w:r w:rsidRPr="00C81A68">
        <w:rPr>
          <w:rFonts w:ascii="Times New Roman" w:eastAsia="Calibri" w:hAnsi="Times New Roman" w:cs="Times New Roman"/>
          <w:sz w:val="24"/>
          <w:szCs w:val="24"/>
          <w:lang w:eastAsia="en-GB"/>
        </w:rPr>
        <w:fldChar w:fldCharType="separate"/>
      </w:r>
      <w:r w:rsidRPr="00C81A68">
        <w:rPr>
          <w:rFonts w:ascii="Times New Roman" w:eastAsia="Arial" w:hAnsi="Times New Roman" w:cs="Times New Roman"/>
          <w:sz w:val="24"/>
          <w:szCs w:val="24"/>
          <w:lang w:eastAsia="en-GB"/>
        </w:rPr>
        <w:t>Klasa</w:t>
      </w:r>
      <w:proofErr w:type="spellEnd"/>
      <w:r w:rsidRPr="00C81A68">
        <w:rPr>
          <w:rFonts w:ascii="Times New Roman" w:eastAsia="Arial" w:hAnsi="Times New Roman" w:cs="Times New Roman"/>
          <w:sz w:val="24"/>
          <w:szCs w:val="24"/>
          <w:lang w:eastAsia="en-GB"/>
        </w:rPr>
        <w:t xml:space="preserve"> et al.</w:t>
      </w:r>
      <w:r w:rsidRPr="00C81A68">
        <w:rPr>
          <w:rFonts w:ascii="Times New Roman" w:eastAsia="Calibri" w:hAnsi="Times New Roman" w:cs="Times New Roman"/>
          <w:sz w:val="24"/>
          <w:szCs w:val="24"/>
          <w:lang w:eastAsia="en-GB"/>
        </w:rPr>
        <w:fldChar w:fldCharType="end"/>
      </w:r>
      <w:r w:rsidRPr="00C81A68">
        <w:rPr>
          <w:rFonts w:ascii="Times New Roman" w:eastAsia="Arial" w:hAnsi="Times New Roman" w:cs="Times New Roman"/>
          <w:sz w:val="24"/>
          <w:szCs w:val="24"/>
          <w:lang w:eastAsia="en-GB"/>
        </w:rPr>
        <w:t xml:space="preserve"> </w:t>
      </w:r>
      <w:hyperlink w:anchor="page19" w:history="1">
        <w:r w:rsidRPr="00C81A68">
          <w:rPr>
            <w:rFonts w:ascii="Times New Roman" w:eastAsia="Arial" w:hAnsi="Times New Roman" w:cs="Times New Roman"/>
            <w:sz w:val="24"/>
            <w:szCs w:val="24"/>
            <w:lang w:eastAsia="en-GB"/>
          </w:rPr>
          <w:t>2018</w:t>
        </w:r>
      </w:hyperlink>
      <w:r w:rsidRPr="00C81A68">
        <w:rPr>
          <w:rFonts w:ascii="Times New Roman" w:eastAsia="Arial" w:hAnsi="Times New Roman" w:cs="Times New Roman"/>
          <w:sz w:val="24"/>
          <w:szCs w:val="24"/>
          <w:lang w:eastAsia="en-GB"/>
        </w:rPr>
        <w:t xml:space="preserve">; </w:t>
      </w:r>
      <w:hyperlink w:anchor="page19" w:history="1">
        <w:r w:rsidRPr="00C81A68">
          <w:rPr>
            <w:rFonts w:ascii="Times New Roman" w:eastAsia="Arial" w:hAnsi="Times New Roman" w:cs="Times New Roman"/>
            <w:sz w:val="24"/>
            <w:szCs w:val="24"/>
            <w:lang w:eastAsia="en-GB"/>
          </w:rPr>
          <w:t>Li</w:t>
        </w:r>
      </w:hyperlink>
      <w:r w:rsidRPr="00C81A68">
        <w:rPr>
          <w:rFonts w:ascii="Times New Roman" w:eastAsia="Arial" w:hAnsi="Times New Roman" w:cs="Times New Roman"/>
          <w:sz w:val="24"/>
          <w:szCs w:val="24"/>
          <w:lang w:eastAsia="en-GB"/>
        </w:rPr>
        <w:t xml:space="preserve"> </w:t>
      </w:r>
      <w:hyperlink w:anchor="page19" w:history="1">
        <w:r w:rsidRPr="00C81A68">
          <w:rPr>
            <w:rFonts w:ascii="Times New Roman" w:eastAsia="Arial" w:hAnsi="Times New Roman" w:cs="Times New Roman"/>
            <w:sz w:val="24"/>
            <w:szCs w:val="24"/>
            <w:lang w:eastAsia="en-GB"/>
          </w:rPr>
          <w:t>et al.</w:t>
        </w:r>
      </w:hyperlink>
      <w:r w:rsidRPr="00C81A68">
        <w:rPr>
          <w:rFonts w:ascii="Times New Roman" w:eastAsia="Arial" w:hAnsi="Times New Roman" w:cs="Times New Roman"/>
          <w:sz w:val="24"/>
          <w:szCs w:val="24"/>
          <w:lang w:eastAsia="en-GB"/>
        </w:rPr>
        <w:t xml:space="preserve"> </w:t>
      </w:r>
      <w:hyperlink w:anchor="page19" w:history="1">
        <w:r w:rsidRPr="00C81A68">
          <w:rPr>
            <w:rFonts w:ascii="Times New Roman" w:eastAsia="Arial" w:hAnsi="Times New Roman" w:cs="Times New Roman"/>
            <w:sz w:val="24"/>
            <w:szCs w:val="24"/>
            <w:lang w:eastAsia="en-GB"/>
          </w:rPr>
          <w:t>2018</w:t>
        </w:r>
      </w:hyperlink>
      <w:r w:rsidRPr="00C81A68">
        <w:rPr>
          <w:rFonts w:ascii="Times New Roman" w:eastAsia="Calibri" w:hAnsi="Times New Roman" w:cs="Times New Roman"/>
          <w:sz w:val="24"/>
          <w:szCs w:val="24"/>
          <w:lang w:eastAsia="en-GB"/>
        </w:rPr>
        <w:t>a</w:t>
      </w:r>
      <w:r w:rsidRPr="00C81A68">
        <w:rPr>
          <w:rFonts w:ascii="Times New Roman" w:eastAsia="Arial" w:hAnsi="Times New Roman" w:cs="Times New Roman"/>
          <w:sz w:val="24"/>
          <w:szCs w:val="24"/>
          <w:lang w:eastAsia="en-GB"/>
        </w:rPr>
        <w:t xml:space="preserve">). </w:t>
      </w:r>
      <w:hyperlink w:anchor="page19" w:history="1">
        <w:proofErr w:type="spellStart"/>
        <w:r w:rsidRPr="00C81A68">
          <w:rPr>
            <w:rFonts w:ascii="Times New Roman" w:eastAsia="Arial" w:hAnsi="Times New Roman" w:cs="Times New Roman"/>
            <w:sz w:val="24"/>
            <w:szCs w:val="24"/>
            <w:lang w:eastAsia="en-GB"/>
          </w:rPr>
          <w:t>Klasa</w:t>
        </w:r>
        <w:proofErr w:type="spellEnd"/>
        <w:r w:rsidRPr="00C81A68">
          <w:rPr>
            <w:rFonts w:ascii="Times New Roman" w:eastAsia="Arial" w:hAnsi="Times New Roman" w:cs="Times New Roman"/>
            <w:sz w:val="24"/>
            <w:szCs w:val="24"/>
            <w:lang w:eastAsia="en-GB"/>
          </w:rPr>
          <w:t xml:space="preserve"> et al. </w:t>
        </w:r>
      </w:hyperlink>
      <w:r w:rsidRPr="00C81A68">
        <w:rPr>
          <w:rFonts w:ascii="Times New Roman" w:eastAsia="Arial" w:hAnsi="Times New Roman" w:cs="Times New Roman"/>
          <w:sz w:val="24"/>
          <w:szCs w:val="24"/>
          <w:lang w:eastAsia="en-GB"/>
        </w:rPr>
        <w:t>(</w:t>
      </w:r>
      <w:hyperlink w:anchor="page19" w:history="1">
        <w:r w:rsidRPr="00C81A68">
          <w:rPr>
            <w:rFonts w:ascii="Times New Roman" w:eastAsia="Arial" w:hAnsi="Times New Roman" w:cs="Times New Roman"/>
            <w:sz w:val="24"/>
            <w:szCs w:val="24"/>
            <w:lang w:eastAsia="en-GB"/>
          </w:rPr>
          <w:t>2018</w:t>
        </w:r>
      </w:hyperlink>
      <w:r w:rsidRPr="00C81A68">
        <w:rPr>
          <w:rFonts w:ascii="Times New Roman" w:eastAsia="Arial" w:hAnsi="Times New Roman" w:cs="Times New Roman"/>
          <w:sz w:val="24"/>
          <w:szCs w:val="24"/>
          <w:lang w:eastAsia="en-GB"/>
        </w:rPr>
        <w:t xml:space="preserve">) show that enhanced trade secret protection through IDD adoption encourages firms to take more risks, as measured by higher firm leverage. </w:t>
      </w:r>
      <w:hyperlink w:anchor="page19" w:history="1">
        <w:r w:rsidRPr="00C81A68">
          <w:rPr>
            <w:rFonts w:ascii="Times New Roman" w:eastAsia="Arial" w:hAnsi="Times New Roman" w:cs="Times New Roman"/>
            <w:sz w:val="24"/>
            <w:szCs w:val="24"/>
            <w:lang w:eastAsia="en-GB"/>
          </w:rPr>
          <w:t xml:space="preserve">Li et al. </w:t>
        </w:r>
      </w:hyperlink>
      <w:r w:rsidRPr="00C81A68">
        <w:rPr>
          <w:rFonts w:ascii="Times New Roman" w:eastAsia="Arial" w:hAnsi="Times New Roman" w:cs="Times New Roman"/>
          <w:sz w:val="24"/>
          <w:szCs w:val="24"/>
          <w:lang w:eastAsia="en-GB"/>
        </w:rPr>
        <w:t>(</w:t>
      </w:r>
      <w:hyperlink w:anchor="page19" w:history="1">
        <w:r w:rsidRPr="00C81A68">
          <w:rPr>
            <w:rFonts w:ascii="Times New Roman" w:eastAsia="Arial" w:hAnsi="Times New Roman" w:cs="Times New Roman"/>
            <w:sz w:val="24"/>
            <w:szCs w:val="24"/>
            <w:lang w:eastAsia="en-GB"/>
          </w:rPr>
          <w:t>2018</w:t>
        </w:r>
      </w:hyperlink>
      <w:r w:rsidRPr="00C81A68">
        <w:rPr>
          <w:rFonts w:ascii="Times New Roman" w:eastAsia="Calibri" w:hAnsi="Times New Roman" w:cs="Times New Roman"/>
          <w:sz w:val="24"/>
          <w:szCs w:val="24"/>
          <w:lang w:eastAsia="en-GB"/>
        </w:rPr>
        <w:t>a</w:t>
      </w:r>
      <w:r w:rsidRPr="00C81A68">
        <w:rPr>
          <w:rFonts w:ascii="Times New Roman" w:eastAsia="Arial" w:hAnsi="Times New Roman" w:cs="Times New Roman"/>
          <w:sz w:val="24"/>
          <w:szCs w:val="24"/>
          <w:lang w:eastAsia="en-GB"/>
        </w:rPr>
        <w:t xml:space="preserve">) find that IDD adoption increases the proprietary cost of disclosure and firms affected by IDD adoption have lower levels of disclosure. We extend this line of enquiry by showing that IDD adoption also affects corporate tax avoidance activities. </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The rest of the paper is structured as follows. Section 2 explains the institutional background of the IDD. Section 3 develops our hypotheses. Section 4 discusses the sample and research design while section 5 presents our main results. Section 6 provides robustness tests and section 7 concludes.</w:t>
      </w:r>
    </w:p>
    <w:p w:rsidR="00C81A68" w:rsidRPr="00C81A68" w:rsidRDefault="00C81A68" w:rsidP="00C81A68">
      <w:pPr>
        <w:numPr>
          <w:ilvl w:val="0"/>
          <w:numId w:val="2"/>
        </w:numPr>
        <w:tabs>
          <w:tab w:val="left" w:pos="480"/>
        </w:tabs>
        <w:spacing w:after="0" w:line="480" w:lineRule="auto"/>
        <w:jc w:val="center"/>
        <w:rPr>
          <w:rFonts w:ascii="Times New Roman" w:eastAsia="Arial" w:hAnsi="Times New Roman" w:cs="Times New Roman"/>
          <w:b/>
          <w:sz w:val="25"/>
          <w:szCs w:val="25"/>
          <w:lang w:eastAsia="en-GB"/>
        </w:rPr>
      </w:pPr>
      <w:r w:rsidRPr="00C81A68">
        <w:rPr>
          <w:rFonts w:ascii="Times New Roman" w:eastAsia="Arial" w:hAnsi="Times New Roman" w:cs="Times New Roman"/>
          <w:b/>
          <w:sz w:val="25"/>
          <w:szCs w:val="25"/>
          <w:lang w:eastAsia="en-GB"/>
        </w:rPr>
        <w:t>Background Information of the IDD</w:t>
      </w:r>
    </w:p>
    <w:p w:rsidR="00C81A68" w:rsidRPr="00C81A68" w:rsidRDefault="00C81A68" w:rsidP="00C81A68">
      <w:pPr>
        <w:spacing w:after="0" w:line="480" w:lineRule="auto"/>
        <w:ind w:firstLine="567"/>
        <w:jc w:val="both"/>
        <w:rPr>
          <w:rFonts w:ascii="Times New Roman" w:eastAsia="Arial" w:hAnsi="Times New Roman" w:cs="Times New Roman"/>
          <w:color w:val="0000FF"/>
          <w:sz w:val="24"/>
          <w:szCs w:val="24"/>
          <w:vertAlign w:val="superscript"/>
          <w:lang w:eastAsia="en-GB"/>
        </w:rPr>
      </w:pPr>
      <w:r w:rsidRPr="00C81A68">
        <w:rPr>
          <w:rFonts w:ascii="Times New Roman" w:eastAsia="Arial" w:hAnsi="Times New Roman" w:cs="Times New Roman"/>
          <w:sz w:val="24"/>
          <w:szCs w:val="24"/>
          <w:lang w:eastAsia="en-GB"/>
        </w:rPr>
        <w:t>Trade secrets are regarded as the most important intellectual property that adds value to a business and allows firms to maintain their competitive advantage. In the US, protection of trade secrets mainly relies on common law at the state level. One of the key laws protecting trade secrets is recognized as the Inevitable Disclosure Doctrine (IDD). Under IDD, employees can be stopped from working for rivals such work will inevitably lead to the disclosure of their former employers' trade secrets. Therefore, firms in the state where the state court has adopted the IDD can rely on it to prevent employees from being employed by rival firms.</w:t>
      </w:r>
      <w:r w:rsidRPr="00C81A68">
        <w:rPr>
          <w:rFonts w:ascii="Times New Roman" w:eastAsia="Arial" w:hAnsi="Times New Roman" w:cs="Times New Roman"/>
          <w:sz w:val="24"/>
          <w:szCs w:val="24"/>
          <w:vertAlign w:val="superscript"/>
          <w:lang w:eastAsia="en-GB"/>
        </w:rPr>
        <w:footnoteReference w:id="7"/>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The core principle of the IDD lies in the concept of “threatened misappropriation" of trade secrets (</w:t>
      </w:r>
      <w:proofErr w:type="spellStart"/>
      <w:r w:rsidRPr="00C81A68">
        <w:rPr>
          <w:rFonts w:ascii="Times New Roman" w:eastAsia="Calibri" w:hAnsi="Times New Roman" w:cs="Times New Roman"/>
          <w:sz w:val="24"/>
          <w:szCs w:val="24"/>
          <w:lang w:eastAsia="en-GB"/>
        </w:rPr>
        <w:fldChar w:fldCharType="begin"/>
      </w:r>
      <w:r w:rsidRPr="00C81A68">
        <w:rPr>
          <w:rFonts w:ascii="Times New Roman" w:eastAsia="Calibri" w:hAnsi="Times New Roman" w:cs="Times New Roman"/>
          <w:sz w:val="24"/>
          <w:szCs w:val="24"/>
          <w:lang w:eastAsia="en-GB"/>
        </w:rPr>
        <w:instrText xml:space="preserve"> HYPERLINK \l "page19" </w:instrText>
      </w:r>
      <w:r w:rsidRPr="00C81A68">
        <w:rPr>
          <w:rFonts w:ascii="Times New Roman" w:eastAsia="Calibri" w:hAnsi="Times New Roman" w:cs="Times New Roman"/>
          <w:sz w:val="24"/>
          <w:szCs w:val="24"/>
          <w:lang w:eastAsia="en-GB"/>
        </w:rPr>
        <w:fldChar w:fldCharType="separate"/>
      </w:r>
      <w:r w:rsidRPr="00C81A68">
        <w:rPr>
          <w:rFonts w:ascii="Times New Roman" w:eastAsia="Arial" w:hAnsi="Times New Roman" w:cs="Times New Roman"/>
          <w:sz w:val="24"/>
          <w:szCs w:val="24"/>
          <w:lang w:eastAsia="en-GB"/>
        </w:rPr>
        <w:t>Klasa</w:t>
      </w:r>
      <w:proofErr w:type="spellEnd"/>
      <w:r w:rsidRPr="00C81A68">
        <w:rPr>
          <w:rFonts w:ascii="Times New Roman" w:eastAsia="Arial" w:hAnsi="Times New Roman" w:cs="Times New Roman"/>
          <w:sz w:val="24"/>
          <w:szCs w:val="24"/>
          <w:lang w:eastAsia="en-GB"/>
        </w:rPr>
        <w:t xml:space="preserve"> et al.</w:t>
      </w:r>
      <w:r w:rsidRPr="00C81A68">
        <w:rPr>
          <w:rFonts w:ascii="Times New Roman" w:eastAsia="Calibri" w:hAnsi="Times New Roman" w:cs="Times New Roman"/>
          <w:sz w:val="24"/>
          <w:szCs w:val="24"/>
          <w:lang w:eastAsia="en-GB"/>
        </w:rPr>
        <w:fldChar w:fldCharType="end"/>
      </w:r>
      <w:r w:rsidRPr="00C81A68">
        <w:rPr>
          <w:rFonts w:ascii="Times New Roman" w:eastAsia="Arial" w:hAnsi="Times New Roman" w:cs="Times New Roman"/>
          <w:sz w:val="24"/>
          <w:szCs w:val="24"/>
          <w:lang w:eastAsia="en-GB"/>
        </w:rPr>
        <w:t xml:space="preserve"> </w:t>
      </w:r>
      <w:hyperlink w:anchor="page19" w:history="1">
        <w:r w:rsidRPr="00C81A68">
          <w:rPr>
            <w:rFonts w:ascii="Times New Roman" w:eastAsia="Arial" w:hAnsi="Times New Roman" w:cs="Times New Roman"/>
            <w:sz w:val="24"/>
            <w:szCs w:val="24"/>
            <w:lang w:eastAsia="en-GB"/>
          </w:rPr>
          <w:t>2018</w:t>
        </w:r>
      </w:hyperlink>
      <w:r w:rsidRPr="00C81A68">
        <w:rPr>
          <w:rFonts w:ascii="Times New Roman" w:eastAsia="Arial" w:hAnsi="Times New Roman" w:cs="Times New Roman"/>
          <w:sz w:val="24"/>
          <w:szCs w:val="24"/>
          <w:lang w:eastAsia="en-GB"/>
        </w:rPr>
        <w:t xml:space="preserve">). In other words, employers do not need to provide evidence of </w:t>
      </w:r>
      <w:r w:rsidRPr="00C81A68">
        <w:rPr>
          <w:rFonts w:ascii="Times New Roman" w:eastAsia="Arial" w:hAnsi="Times New Roman" w:cs="Times New Roman"/>
          <w:sz w:val="24"/>
          <w:szCs w:val="24"/>
          <w:lang w:eastAsia="en-GB"/>
        </w:rPr>
        <w:lastRenderedPageBreak/>
        <w:t xml:space="preserve">the actual divulgence of trade secrets by their former employees. Mere threats to the firm's trade secrets are considered enough to trigger protection under the IDD and prevention of former employees from joining rivals. The PepsiCo Inc </w:t>
      </w:r>
      <w:r w:rsidRPr="00C81A68">
        <w:rPr>
          <w:rFonts w:ascii="Times New Roman" w:eastAsia="Arial" w:hAnsi="Times New Roman" w:cs="Times New Roman"/>
          <w:i/>
          <w:sz w:val="24"/>
          <w:szCs w:val="24"/>
          <w:lang w:eastAsia="en-GB"/>
        </w:rPr>
        <w:t>v</w:t>
      </w:r>
      <w:r w:rsidRPr="00C81A68">
        <w:rPr>
          <w:rFonts w:ascii="Times New Roman" w:eastAsia="Arial" w:hAnsi="Times New Roman" w:cs="Times New Roman"/>
          <w:sz w:val="24"/>
          <w:szCs w:val="24"/>
          <w:lang w:eastAsia="en-GB"/>
        </w:rPr>
        <w:t xml:space="preserve">. Redmond, 54 F.3d 1262 (the Seventh Circuit, 1995) is a prominent case to illustrate the IDD's “threatened misappropriation" concept. William Redmond, Jr, worked for PepsiCo in its North America division between 1984 and 1994, and had access to inside information and the trade secrets of the firm. In November 1994, Redmond accepted an offer from Quaker to be the vice president of field operations for the sports drink “Gatorade”. PepsiCo and Quaker were competing head-to-head in the “sports drink” and “new age drink” markets. Based on the accusation that Redmond would inevitably disclose trade secrets or confidential information to his new employer, PepsiCo filed a suit to seek a temporary restraining order to enjoin Redmond from taking up his new job at Quaker. The district court recognized the IDD in this case and ruled against Redmond joining Quaker Oats because Redmond would inevitably disclose PepsiCo's trade secrets (such as pricing, costs, marketing information) to adequately fulfil his responsibilities at Quaker, which would give Quaker undue competitive advantage. The Seventh Circuit affirmed the district court order to enjoin Redmond from assuming his position at Quaker. </w:t>
      </w:r>
      <w:r w:rsidRPr="00C81A68">
        <w:rPr>
          <w:rFonts w:ascii="Times New Roman" w:eastAsia="Times New Roman" w:hAnsi="Times New Roman" w:cs="Arial"/>
          <w:color w:val="222222"/>
          <w:sz w:val="24"/>
          <w:szCs w:val="24"/>
          <w:shd w:val="clear" w:color="auto" w:fill="FFFFFF"/>
          <w:lang w:eastAsia="en-GB"/>
        </w:rPr>
        <w:t>The PepsiCo case has been followed by other state courts since 1995.</w:t>
      </w:r>
    </w:p>
    <w:p w:rsidR="00674F65" w:rsidRDefault="00C81A68" w:rsidP="00674F65">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Although protection of trade secrets has been, to some extent, codified into the statutory US Uniform Trade Secrets Act (UTSA), the principle of IDD is not explicitly included in the UTSA, and the common law application of IDD is independent of the UTSA (</w:t>
      </w:r>
      <w:hyperlink w:anchor="page19" w:history="1">
        <w:r w:rsidRPr="00C81A68">
          <w:rPr>
            <w:rFonts w:ascii="Times New Roman" w:eastAsia="Arial" w:hAnsi="Times New Roman" w:cs="Times New Roman"/>
            <w:sz w:val="24"/>
            <w:szCs w:val="24"/>
            <w:lang w:eastAsia="en-GB"/>
          </w:rPr>
          <w:t>Li et al.</w:t>
        </w:r>
      </w:hyperlink>
      <w:r w:rsidRPr="00C81A68">
        <w:rPr>
          <w:rFonts w:ascii="Times New Roman" w:eastAsia="Arial" w:hAnsi="Times New Roman" w:cs="Times New Roman"/>
          <w:sz w:val="24"/>
          <w:szCs w:val="24"/>
          <w:lang w:eastAsia="en-GB"/>
        </w:rPr>
        <w:t xml:space="preserve"> </w:t>
      </w:r>
      <w:hyperlink w:anchor="page19" w:history="1">
        <w:r w:rsidRPr="00C81A68">
          <w:rPr>
            <w:rFonts w:ascii="Times New Roman" w:eastAsia="Arial" w:hAnsi="Times New Roman" w:cs="Times New Roman"/>
            <w:sz w:val="24"/>
            <w:szCs w:val="24"/>
            <w:lang w:eastAsia="en-GB"/>
          </w:rPr>
          <w:t>2018</w:t>
        </w:r>
      </w:hyperlink>
      <w:r w:rsidRPr="00C81A68">
        <w:rPr>
          <w:rFonts w:ascii="Times New Roman" w:eastAsia="Calibri" w:hAnsi="Times New Roman" w:cs="Times New Roman"/>
          <w:sz w:val="24"/>
          <w:szCs w:val="24"/>
          <w:lang w:eastAsia="en-GB"/>
        </w:rPr>
        <w:t>a</w:t>
      </w:r>
      <w:r w:rsidRPr="00C81A68">
        <w:rPr>
          <w:rFonts w:ascii="Times New Roman" w:eastAsia="Arial" w:hAnsi="Times New Roman" w:cs="Times New Roman"/>
          <w:sz w:val="24"/>
          <w:szCs w:val="24"/>
          <w:lang w:eastAsia="en-GB"/>
        </w:rPr>
        <w:t xml:space="preserve">; </w:t>
      </w:r>
      <w:hyperlink w:anchor="page19" w:history="1">
        <w:proofErr w:type="spellStart"/>
        <w:r w:rsidRPr="00C81A68">
          <w:rPr>
            <w:rFonts w:ascii="Times New Roman" w:eastAsia="Arial" w:hAnsi="Times New Roman" w:cs="Times New Roman"/>
            <w:sz w:val="24"/>
            <w:szCs w:val="24"/>
            <w:lang w:eastAsia="en-GB"/>
          </w:rPr>
          <w:t>Klasa</w:t>
        </w:r>
        <w:proofErr w:type="spellEnd"/>
        <w:r w:rsidRPr="00C81A68">
          <w:rPr>
            <w:rFonts w:ascii="Times New Roman" w:eastAsia="Arial" w:hAnsi="Times New Roman" w:cs="Times New Roman"/>
            <w:sz w:val="24"/>
            <w:szCs w:val="24"/>
            <w:lang w:eastAsia="en-GB"/>
          </w:rPr>
          <w:t xml:space="preserve"> et al.</w:t>
        </w:r>
      </w:hyperlink>
      <w:r w:rsidRPr="00C81A68">
        <w:rPr>
          <w:rFonts w:ascii="Times New Roman" w:eastAsia="Arial" w:hAnsi="Times New Roman" w:cs="Times New Roman"/>
          <w:sz w:val="24"/>
          <w:szCs w:val="24"/>
          <w:lang w:eastAsia="en-GB"/>
        </w:rPr>
        <w:t xml:space="preserve"> </w:t>
      </w:r>
      <w:hyperlink w:anchor="page19" w:history="1">
        <w:r w:rsidRPr="00C81A68">
          <w:rPr>
            <w:rFonts w:ascii="Times New Roman" w:eastAsia="Arial" w:hAnsi="Times New Roman" w:cs="Times New Roman"/>
            <w:sz w:val="24"/>
            <w:szCs w:val="24"/>
            <w:lang w:eastAsia="en-GB"/>
          </w:rPr>
          <w:t>2018</w:t>
        </w:r>
      </w:hyperlink>
      <w:r w:rsidRPr="00C81A68">
        <w:rPr>
          <w:rFonts w:ascii="Times New Roman" w:eastAsia="Arial" w:hAnsi="Times New Roman" w:cs="Times New Roman"/>
          <w:sz w:val="24"/>
          <w:szCs w:val="24"/>
          <w:lang w:eastAsia="en-GB"/>
        </w:rPr>
        <w:t xml:space="preserve">). While the UTSA requires evidence of actual misappropriation of trade secrets, the IDD provides protection (such as an injunction against former employees working for competitors) based on “mere threats” to trade secrets. As evidence of actual divulgence can be hard to provide due to the confidential nature of trade secrets, the IDD will provide more </w:t>
      </w:r>
      <w:r w:rsidRPr="00C81A68">
        <w:rPr>
          <w:rFonts w:ascii="Times New Roman" w:eastAsia="Arial" w:hAnsi="Times New Roman" w:cs="Times New Roman"/>
          <w:sz w:val="24"/>
          <w:szCs w:val="24"/>
          <w:lang w:eastAsia="en-GB"/>
        </w:rPr>
        <w:lastRenderedPageBreak/>
        <w:t>protection of trade secrets than the UTSA by reducing mobility-induced leakage of trade secrets to rivals.</w:t>
      </w:r>
    </w:p>
    <w:p w:rsidR="00C81A68" w:rsidRPr="00C81A68" w:rsidRDefault="00C81A68" w:rsidP="00674F65">
      <w:pPr>
        <w:spacing w:after="0" w:line="480" w:lineRule="auto"/>
        <w:ind w:firstLine="567"/>
        <w:jc w:val="both"/>
        <w:rPr>
          <w:rFonts w:ascii="Times New Roman" w:eastAsia="Arial" w:hAnsi="Times New Roman" w:cs="Times New Roman"/>
          <w:sz w:val="24"/>
          <w:szCs w:val="24"/>
          <w:lang w:eastAsia="en-GB"/>
        </w:rPr>
      </w:pPr>
      <w:r w:rsidRPr="00674F65">
        <w:rPr>
          <w:rFonts w:ascii="Times New Roman" w:eastAsia="Arial" w:hAnsi="Times New Roman" w:cs="Times New Roman"/>
          <w:sz w:val="24"/>
          <w:szCs w:val="24"/>
          <w:lang w:eastAsia="en-GB"/>
        </w:rPr>
        <w:t xml:space="preserve">The IDD also provides stronger protection of trade secrets than the contractual protection mechanisms of trade secrets (e.g., non-disclosure agreements and non-compete covenants that are often contained in labour contracts). </w:t>
      </w:r>
      <w:r w:rsidRPr="00C81A68">
        <w:rPr>
          <w:rFonts w:ascii="Times New Roman" w:eastAsia="Arial" w:hAnsi="Times New Roman" w:cs="Times New Roman"/>
          <w:sz w:val="24"/>
          <w:szCs w:val="24"/>
          <w:lang w:eastAsia="en-GB"/>
        </w:rPr>
        <w:t>The violation of contractual agreements is often difficult to prove in court because this requires proof of the actual divulgence of trade secrets. This requirement can deter firms from pursuing protection of their secrets due to the confidential nature of the information. Even if a firm ultimately won the case, the revelation of the secrets to competitors during the legal process would cause unavoidable damage to the business. Moreover, contractual agreements are often enforceable only within the state (</w:t>
      </w:r>
      <w:proofErr w:type="spellStart"/>
      <w:r w:rsidRPr="00C81A68">
        <w:rPr>
          <w:rFonts w:ascii="Times New Roman" w:eastAsia="Calibri" w:hAnsi="Times New Roman" w:cs="Times New Roman"/>
          <w:sz w:val="24"/>
          <w:szCs w:val="24"/>
          <w:lang w:eastAsia="en-GB"/>
        </w:rPr>
        <w:fldChar w:fldCharType="begin"/>
      </w:r>
      <w:r w:rsidRPr="00C81A68">
        <w:rPr>
          <w:rFonts w:ascii="Times New Roman" w:eastAsia="Calibri" w:hAnsi="Times New Roman" w:cs="Times New Roman"/>
          <w:sz w:val="24"/>
          <w:szCs w:val="24"/>
          <w:lang w:eastAsia="en-GB"/>
        </w:rPr>
        <w:instrText xml:space="preserve"> HYPERLINK \l "page18" </w:instrText>
      </w:r>
      <w:r w:rsidRPr="00C81A68">
        <w:rPr>
          <w:rFonts w:ascii="Times New Roman" w:eastAsia="Calibri" w:hAnsi="Times New Roman" w:cs="Times New Roman"/>
          <w:sz w:val="24"/>
          <w:szCs w:val="24"/>
          <w:lang w:eastAsia="en-GB"/>
        </w:rPr>
        <w:fldChar w:fldCharType="separate"/>
      </w:r>
      <w:r w:rsidRPr="00C81A68">
        <w:rPr>
          <w:rFonts w:ascii="Times New Roman" w:eastAsia="Arial" w:hAnsi="Times New Roman" w:cs="Times New Roman"/>
          <w:sz w:val="24"/>
          <w:szCs w:val="24"/>
          <w:lang w:eastAsia="en-GB"/>
        </w:rPr>
        <w:t>Garmaise</w:t>
      </w:r>
      <w:proofErr w:type="spellEnd"/>
      <w:r w:rsidRPr="00C81A68">
        <w:rPr>
          <w:rFonts w:ascii="Times New Roman" w:eastAsia="Calibri" w:hAnsi="Times New Roman" w:cs="Times New Roman"/>
          <w:sz w:val="24"/>
          <w:szCs w:val="24"/>
          <w:lang w:eastAsia="en-GB"/>
        </w:rPr>
        <w:fldChar w:fldCharType="end"/>
      </w:r>
      <w:r w:rsidRPr="00C81A68">
        <w:rPr>
          <w:rFonts w:ascii="Times New Roman" w:eastAsia="Arial" w:hAnsi="Times New Roman" w:cs="Times New Roman"/>
          <w:sz w:val="24"/>
          <w:szCs w:val="24"/>
          <w:lang w:eastAsia="en-GB"/>
        </w:rPr>
        <w:t xml:space="preserve"> </w:t>
      </w:r>
      <w:hyperlink w:anchor="page18" w:history="1">
        <w:r w:rsidRPr="00C81A68">
          <w:rPr>
            <w:rFonts w:ascii="Times New Roman" w:eastAsia="Arial" w:hAnsi="Times New Roman" w:cs="Times New Roman"/>
            <w:sz w:val="24"/>
            <w:szCs w:val="24"/>
            <w:lang w:eastAsia="en-GB"/>
          </w:rPr>
          <w:t>2011</w:t>
        </w:r>
      </w:hyperlink>
      <w:r w:rsidRPr="00C81A68">
        <w:rPr>
          <w:rFonts w:ascii="Times New Roman" w:eastAsia="Arial" w:hAnsi="Times New Roman" w:cs="Times New Roman"/>
          <w:sz w:val="24"/>
          <w:szCs w:val="24"/>
          <w:lang w:eastAsia="en-GB"/>
        </w:rPr>
        <w:t>). If the competitor resides in another state, contractual agreements on confidentiality will be of limited assistance. In comparison, application of IDD neither suffers from these evidential and geographic limitations nor requires employers to reveal the content of their trade secrets. To summarize, IDD adoption provides more protection of trade secrets than other protection mechanisms.</w:t>
      </w:r>
    </w:p>
    <w:p w:rsidR="00C81A68" w:rsidRPr="00C81A68" w:rsidRDefault="00C81A68" w:rsidP="00C81A68">
      <w:pPr>
        <w:numPr>
          <w:ilvl w:val="0"/>
          <w:numId w:val="3"/>
        </w:numPr>
        <w:tabs>
          <w:tab w:val="left" w:pos="480"/>
        </w:tabs>
        <w:spacing w:after="0" w:line="480" w:lineRule="auto"/>
        <w:jc w:val="center"/>
        <w:rPr>
          <w:rFonts w:ascii="Times New Roman" w:eastAsia="Arial" w:hAnsi="Times New Roman" w:cs="Times New Roman"/>
          <w:b/>
          <w:sz w:val="25"/>
          <w:szCs w:val="25"/>
          <w:lang w:eastAsia="en-GB"/>
        </w:rPr>
      </w:pPr>
      <w:r w:rsidRPr="00C81A68">
        <w:rPr>
          <w:rFonts w:ascii="Times New Roman" w:eastAsia="Arial" w:hAnsi="Times New Roman" w:cs="Times New Roman"/>
          <w:b/>
          <w:sz w:val="25"/>
          <w:szCs w:val="25"/>
          <w:lang w:eastAsia="en-GB"/>
        </w:rPr>
        <w:t>Related Literature and Hypothesis Development</w:t>
      </w:r>
    </w:p>
    <w:p w:rsidR="00C81A68" w:rsidRPr="00C81A68" w:rsidRDefault="00C81A68" w:rsidP="00C81A68">
      <w:pPr>
        <w:tabs>
          <w:tab w:val="left" w:pos="480"/>
        </w:tabs>
        <w:spacing w:after="0" w:line="480" w:lineRule="auto"/>
        <w:ind w:firstLine="567"/>
        <w:jc w:val="both"/>
        <w:rPr>
          <w:rFonts w:ascii="Times New Roman" w:eastAsia="Times New Roman" w:hAnsi="Times New Roman" w:cs="Times New Roman"/>
          <w:color w:val="000000"/>
          <w:sz w:val="24"/>
          <w:szCs w:val="24"/>
          <w:shd w:val="clear" w:color="auto" w:fill="FFFFFF"/>
          <w:lang w:eastAsia="en-GB"/>
        </w:rPr>
      </w:pPr>
      <w:r w:rsidRPr="00C81A68">
        <w:rPr>
          <w:rFonts w:ascii="Times New Roman" w:eastAsia="Times New Roman" w:hAnsi="Times New Roman" w:cs="Times New Roman"/>
          <w:color w:val="000000"/>
          <w:sz w:val="24"/>
          <w:szCs w:val="24"/>
          <w:shd w:val="clear" w:color="auto" w:fill="FFFFFF"/>
          <w:lang w:eastAsia="en-GB"/>
        </w:rPr>
        <w:t>Prior research has provided several studies empirically investigating the relationship between corporate transparency and tax avoidance</w:t>
      </w:r>
      <w:r w:rsidRPr="00C81A68">
        <w:rPr>
          <w:rFonts w:ascii="Times New Roman" w:eastAsia="Times New Roman" w:hAnsi="Times New Roman" w:cs="Arial"/>
          <w:color w:val="000000"/>
          <w:sz w:val="24"/>
          <w:szCs w:val="24"/>
          <w:shd w:val="clear" w:color="auto" w:fill="FFFFFF"/>
          <w:lang w:eastAsia="en-GB"/>
        </w:rPr>
        <w:t xml:space="preserve">. Some prior studies examine the negative effect of </w:t>
      </w:r>
      <w:r w:rsidRPr="00C81A68">
        <w:rPr>
          <w:rFonts w:ascii="Times New Roman" w:eastAsia="Times New Roman" w:hAnsi="Times New Roman" w:cs="Times New Roman"/>
          <w:color w:val="000000"/>
          <w:sz w:val="24"/>
          <w:szCs w:val="24"/>
          <w:shd w:val="clear" w:color="auto" w:fill="FFFFFF"/>
          <w:lang w:eastAsia="en-GB"/>
        </w:rPr>
        <w:t xml:space="preserve">tax avoidance on corporate transparency. </w:t>
      </w:r>
      <w:bookmarkStart w:id="2" w:name="_Hlk52126679"/>
      <w:r w:rsidRPr="00C81A68">
        <w:rPr>
          <w:rFonts w:ascii="Times New Roman" w:eastAsia="Times New Roman" w:hAnsi="Times New Roman" w:cs="Times New Roman"/>
          <w:color w:val="000000"/>
          <w:sz w:val="24"/>
          <w:szCs w:val="24"/>
          <w:shd w:val="clear" w:color="auto" w:fill="FFFFFF"/>
          <w:lang w:eastAsia="en-GB"/>
        </w:rPr>
        <w:t xml:space="preserve">For example, Ayers et al. (2009) find that the information content of high tax-planning firms’ taxable income is much lower than that of low tax-planning firms. </w:t>
      </w:r>
      <w:proofErr w:type="spellStart"/>
      <w:r w:rsidRPr="00C81A68">
        <w:rPr>
          <w:rFonts w:ascii="Times New Roman" w:eastAsia="Times New Roman" w:hAnsi="Times New Roman" w:cs="Arial"/>
          <w:color w:val="000000"/>
          <w:sz w:val="24"/>
          <w:szCs w:val="24"/>
          <w:shd w:val="clear" w:color="auto" w:fill="FFFFFF"/>
          <w:lang w:eastAsia="en-GB"/>
        </w:rPr>
        <w:t>Comprix</w:t>
      </w:r>
      <w:proofErr w:type="spellEnd"/>
      <w:r w:rsidRPr="00C81A68">
        <w:rPr>
          <w:rFonts w:ascii="Times New Roman" w:eastAsia="Times New Roman" w:hAnsi="Times New Roman" w:cs="Arial"/>
          <w:color w:val="000000"/>
          <w:sz w:val="24"/>
          <w:szCs w:val="24"/>
          <w:shd w:val="clear" w:color="auto" w:fill="FFFFFF"/>
          <w:lang w:eastAsia="en-GB"/>
        </w:rPr>
        <w:t xml:space="preserve"> et al. (2011) examine the effect of tax avoidance (measured by book-tax differences) on the divergence of investor opinions. Book-tax differences reflect subjective judgement of management concerning future tax consequences and increase the opportunities of aggressive reporting. They find positive associations between book-tax differences and the measures of investor uncertainty regarding the information conveyed in </w:t>
      </w:r>
      <w:r w:rsidRPr="00C81A68">
        <w:rPr>
          <w:rFonts w:ascii="Times New Roman" w:eastAsia="Times New Roman" w:hAnsi="Times New Roman" w:cs="Arial"/>
          <w:color w:val="000000"/>
          <w:sz w:val="24"/>
          <w:szCs w:val="24"/>
          <w:shd w:val="clear" w:color="auto" w:fill="FFFFFF"/>
          <w:lang w:eastAsia="en-GB"/>
        </w:rPr>
        <w:lastRenderedPageBreak/>
        <w:t xml:space="preserve">financial reports. Balakrishnan et al. (2019) </w:t>
      </w:r>
      <w:bookmarkEnd w:id="2"/>
      <w:r w:rsidRPr="00C81A68">
        <w:rPr>
          <w:rFonts w:ascii="Times New Roman" w:eastAsia="Times New Roman" w:hAnsi="Times New Roman" w:cs="Arial"/>
          <w:color w:val="000000"/>
          <w:sz w:val="24"/>
          <w:szCs w:val="24"/>
          <w:shd w:val="clear" w:color="auto" w:fill="FFFFFF"/>
          <w:lang w:eastAsia="en-GB"/>
        </w:rPr>
        <w:t xml:space="preserve">investigate whether firms with aggressive tax avoidance have a less transparent information environment. They postulate that tax planning can increase the financial complexity of the firm, which cannot be adequately clarified through communications with outside parties. Consistent with their argument, they find evidence showing a significant association between aggressive tax planning and lower corporate transparency. </w:t>
      </w:r>
    </w:p>
    <w:p w:rsidR="00C81A68" w:rsidRPr="00C81A68" w:rsidRDefault="00C81A68" w:rsidP="00C81A68">
      <w:pPr>
        <w:tabs>
          <w:tab w:val="left" w:pos="480"/>
        </w:tabs>
        <w:spacing w:after="0" w:line="480" w:lineRule="auto"/>
        <w:ind w:firstLine="567"/>
        <w:jc w:val="both"/>
        <w:rPr>
          <w:rFonts w:ascii="Times New Roman" w:eastAsia="Times New Roman" w:hAnsi="Times New Roman" w:cs="Arial"/>
          <w:color w:val="000000"/>
          <w:sz w:val="24"/>
          <w:szCs w:val="24"/>
          <w:shd w:val="clear" w:color="auto" w:fill="FFFFFF"/>
          <w:lang w:eastAsia="en-GB"/>
        </w:rPr>
      </w:pPr>
      <w:r w:rsidRPr="00C81A68">
        <w:rPr>
          <w:rFonts w:ascii="Times New Roman" w:eastAsia="Times New Roman" w:hAnsi="Times New Roman" w:cs="Arial"/>
          <w:color w:val="000000"/>
          <w:sz w:val="24"/>
          <w:szCs w:val="24"/>
          <w:shd w:val="clear" w:color="auto" w:fill="FFFFFF"/>
          <w:lang w:eastAsia="en-GB"/>
        </w:rPr>
        <w:t xml:space="preserve">Another stream of literature analyses the impact of transparency on tax avoidance. </w:t>
      </w:r>
      <w:r w:rsidRPr="00C81A68">
        <w:rPr>
          <w:rFonts w:ascii="Times New Roman" w:eastAsia="Times New Roman" w:hAnsi="Times New Roman" w:cs="Times New Roman"/>
          <w:color w:val="000000"/>
          <w:sz w:val="24"/>
          <w:szCs w:val="24"/>
          <w:shd w:val="clear" w:color="auto" w:fill="FFFFFF"/>
          <w:lang w:eastAsia="en-GB"/>
        </w:rPr>
        <w:t xml:space="preserve">As transparency is associated with better governance and better governed firms are more likely to engage in more sustainable tax strategies, </w:t>
      </w:r>
      <w:bookmarkStart w:id="3" w:name="_Hlk52126832"/>
      <w:r w:rsidRPr="00C81A68">
        <w:rPr>
          <w:rFonts w:ascii="Times New Roman" w:eastAsia="Times New Roman" w:hAnsi="Times New Roman" w:cs="Times New Roman"/>
          <w:color w:val="000000"/>
          <w:sz w:val="24"/>
          <w:szCs w:val="24"/>
          <w:shd w:val="clear" w:color="auto" w:fill="FFFFFF"/>
          <w:lang w:eastAsia="en-GB"/>
        </w:rPr>
        <w:t>Neuman et al. (2013) show that firms</w:t>
      </w:r>
      <w:r w:rsidRPr="00C81A68">
        <w:rPr>
          <w:rFonts w:ascii="Times New Roman" w:eastAsia="Times New Roman" w:hAnsi="Times New Roman" w:cs="Times New Roman"/>
          <w:color w:val="000000"/>
          <w:sz w:val="24"/>
          <w:szCs w:val="24"/>
          <w:lang w:eastAsia="en-GB"/>
        </w:rPr>
        <w:t xml:space="preserve"> </w:t>
      </w:r>
      <w:r w:rsidRPr="00C81A68">
        <w:rPr>
          <w:rFonts w:ascii="Times New Roman" w:eastAsia="Times New Roman" w:hAnsi="Times New Roman" w:cs="Times New Roman"/>
          <w:color w:val="000000"/>
          <w:sz w:val="24"/>
          <w:szCs w:val="24"/>
          <w:shd w:val="clear" w:color="auto" w:fill="FFFFFF"/>
          <w:lang w:eastAsia="en-GB"/>
        </w:rPr>
        <w:t xml:space="preserve">with sustainable tax strategies are associated with more transparent information environments. </w:t>
      </w:r>
      <w:r w:rsidRPr="00C81A68">
        <w:rPr>
          <w:rFonts w:ascii="Times New Roman" w:eastAsia="Times New Roman" w:hAnsi="Times New Roman" w:cs="Arial"/>
          <w:color w:val="000000"/>
          <w:sz w:val="24"/>
          <w:szCs w:val="24"/>
          <w:shd w:val="clear" w:color="auto" w:fill="FFFFFF"/>
          <w:lang w:eastAsia="en-GB"/>
        </w:rPr>
        <w:t xml:space="preserve">Hanlon et al. (2015) examine the relationship between tax evasion through offshore tax havens and foreign portfolio investment. They find that improvement of information-sharing with tax havens decreases inbound investment from such tax havens, suggesting that transparency discourages tax evasion.  </w:t>
      </w:r>
      <w:proofErr w:type="spellStart"/>
      <w:r w:rsidRPr="00C81A68">
        <w:rPr>
          <w:rFonts w:ascii="Times New Roman" w:eastAsia="Times New Roman" w:hAnsi="Times New Roman" w:cs="Times New Roman"/>
          <w:color w:val="000000"/>
          <w:sz w:val="24"/>
          <w:szCs w:val="24"/>
          <w:shd w:val="clear" w:color="auto" w:fill="FFFFFF"/>
        </w:rPr>
        <w:t>Gallemore</w:t>
      </w:r>
      <w:proofErr w:type="spellEnd"/>
      <w:r w:rsidRPr="00C81A68">
        <w:rPr>
          <w:rFonts w:ascii="Times New Roman" w:eastAsia="Times New Roman" w:hAnsi="Times New Roman" w:cs="Times New Roman"/>
          <w:color w:val="000000"/>
          <w:sz w:val="24"/>
          <w:szCs w:val="24"/>
          <w:shd w:val="clear" w:color="auto" w:fill="FFFFFF"/>
        </w:rPr>
        <w:t xml:space="preserve"> and </w:t>
      </w:r>
      <w:proofErr w:type="spellStart"/>
      <w:r w:rsidRPr="00C81A68">
        <w:rPr>
          <w:rFonts w:ascii="Times New Roman" w:eastAsia="Times New Roman" w:hAnsi="Times New Roman" w:cs="Times New Roman"/>
          <w:color w:val="000000"/>
          <w:sz w:val="24"/>
          <w:szCs w:val="24"/>
          <w:shd w:val="clear" w:color="auto" w:fill="FFFFFF"/>
        </w:rPr>
        <w:t>Labro</w:t>
      </w:r>
      <w:proofErr w:type="spellEnd"/>
      <w:r w:rsidRPr="00C81A68">
        <w:rPr>
          <w:rFonts w:ascii="Times New Roman" w:eastAsia="Times New Roman" w:hAnsi="Times New Roman" w:cs="Times New Roman"/>
          <w:color w:val="000000"/>
          <w:sz w:val="24"/>
          <w:szCs w:val="24"/>
          <w:shd w:val="clear" w:color="auto" w:fill="FFFFFF"/>
        </w:rPr>
        <w:t xml:space="preserve"> (2015) argue for the importance of a firm’s internal information environment in supporting tax avoidance outcomes. They show that effective tax rates are lower for firms that have high internal information quality. </w:t>
      </w:r>
      <w:r w:rsidRPr="00C81A68">
        <w:rPr>
          <w:rFonts w:ascii="Times New Roman" w:eastAsia="Times New Roman" w:hAnsi="Times New Roman" w:cs="Arial"/>
          <w:color w:val="000000"/>
          <w:sz w:val="24"/>
          <w:szCs w:val="24"/>
          <w:shd w:val="clear" w:color="auto" w:fill="FFFFFF"/>
          <w:lang w:eastAsia="en-GB"/>
        </w:rPr>
        <w:t xml:space="preserve">Chen and Lin (2017) </w:t>
      </w:r>
      <w:bookmarkEnd w:id="3"/>
      <w:r w:rsidRPr="00C81A68">
        <w:rPr>
          <w:rFonts w:ascii="Times New Roman" w:eastAsia="Times New Roman" w:hAnsi="Times New Roman" w:cs="Arial"/>
          <w:color w:val="000000"/>
          <w:sz w:val="24"/>
          <w:szCs w:val="24"/>
          <w:shd w:val="clear" w:color="auto" w:fill="FFFFFF"/>
          <w:lang w:eastAsia="en-GB"/>
        </w:rPr>
        <w:t xml:space="preserve">investigate the effect of information asymmetry, as reflected in analyst coverage, on corporate tax avoidance. They hypothesize that analysts care about corporate tax policies and scrutiny by analysts discourages firms from engaging in risky tax aggressiveness. They find that firms avoid tax more aggressively after a reduction in analyst coverage. </w:t>
      </w:r>
      <w:r w:rsidRPr="00C81A68">
        <w:rPr>
          <w:rFonts w:ascii="Times New Roman" w:eastAsia="Times New Roman" w:hAnsi="Times New Roman" w:cs="Times New Roman"/>
          <w:color w:val="000000"/>
          <w:sz w:val="24"/>
          <w:szCs w:val="24"/>
          <w:shd w:val="clear" w:color="auto" w:fill="FFFFFF"/>
        </w:rPr>
        <w:t xml:space="preserve">Kerr (2018) investigates the association between financial reporting transparency and tax avoidance. As an opaque information environment can help the firm better obfuscate its tax liabilities to government agencies, he finds that firms with less reporting transparency exhibit higher levels of tax avoidance. </w:t>
      </w:r>
    </w:p>
    <w:p w:rsidR="00C81A68" w:rsidRPr="00C81A68" w:rsidRDefault="00C81A68" w:rsidP="00C81A68">
      <w:pPr>
        <w:tabs>
          <w:tab w:val="left" w:pos="480"/>
        </w:tabs>
        <w:spacing w:after="0" w:line="480" w:lineRule="auto"/>
        <w:ind w:firstLine="567"/>
        <w:jc w:val="both"/>
        <w:rPr>
          <w:rFonts w:ascii="Times New Roman" w:eastAsia="Arial" w:hAnsi="Times New Roman" w:cs="Times New Roman"/>
          <w:b/>
          <w:color w:val="000000"/>
          <w:sz w:val="25"/>
          <w:szCs w:val="25"/>
          <w:lang w:eastAsia="en-GB"/>
        </w:rPr>
      </w:pPr>
      <w:r w:rsidRPr="00C81A68">
        <w:rPr>
          <w:rFonts w:ascii="Times New Roman" w:eastAsia="Times New Roman" w:hAnsi="Times New Roman" w:cs="Arial"/>
          <w:color w:val="000000"/>
          <w:sz w:val="24"/>
          <w:szCs w:val="24"/>
          <w:shd w:val="clear" w:color="auto" w:fill="FFFFFF"/>
          <w:lang w:eastAsia="en-GB"/>
        </w:rPr>
        <w:lastRenderedPageBreak/>
        <w:t>These prior studies, which document evidence on the various aspects of the relationship between corporate transparency and tax avoidance, are related to our study. However, the evidence is inclusive on whether changes in a firm’s information environment can cause changes in its tax avoidance behaviour or vice versa. We aim to fill the research gap by identifying an exogenous shock to the information environment and providing new evidence on the causality of the relationship between corporate transparency and tax avoidance.</w:t>
      </w:r>
    </w:p>
    <w:p w:rsidR="00C81A68" w:rsidRPr="00C81A68" w:rsidRDefault="00C81A68" w:rsidP="00C81A68">
      <w:pPr>
        <w:tabs>
          <w:tab w:val="left" w:pos="480"/>
        </w:tabs>
        <w:spacing w:after="0" w:line="480" w:lineRule="auto"/>
        <w:ind w:firstLine="567"/>
        <w:jc w:val="both"/>
        <w:rPr>
          <w:rFonts w:ascii="Times New Roman" w:eastAsia="Arial" w:hAnsi="Times New Roman" w:cs="Times New Roman"/>
          <w:color w:val="000000"/>
          <w:sz w:val="24"/>
          <w:szCs w:val="24"/>
          <w:lang w:eastAsia="en-GB"/>
        </w:rPr>
      </w:pPr>
      <w:r w:rsidRPr="00C81A68">
        <w:rPr>
          <w:rFonts w:ascii="Times New Roman" w:eastAsia="Arial" w:hAnsi="Times New Roman" w:cs="Times New Roman"/>
          <w:color w:val="000000"/>
          <w:sz w:val="24"/>
          <w:szCs w:val="24"/>
          <w:lang w:eastAsia="en-GB"/>
        </w:rPr>
        <w:t>Protection of trade secrets has received growing attention in the finance and accounting literature (Ali, et al. 2018;</w:t>
      </w:r>
      <w:r w:rsidRPr="00C81A68">
        <w:rPr>
          <w:rFonts w:ascii="Times New Roman" w:eastAsia="Calibri" w:hAnsi="Times New Roman" w:cs="Times New Roman"/>
          <w:color w:val="000000"/>
          <w:sz w:val="24"/>
          <w:szCs w:val="24"/>
          <w:lang w:eastAsia="en-GB"/>
        </w:rPr>
        <w:t xml:space="preserve"> </w:t>
      </w:r>
      <w:hyperlink w:anchor="page19" w:history="1">
        <w:r w:rsidRPr="00C81A68">
          <w:rPr>
            <w:rFonts w:ascii="Times New Roman" w:eastAsia="Arial" w:hAnsi="Times New Roman" w:cs="Times New Roman"/>
            <w:color w:val="000000"/>
            <w:sz w:val="24"/>
            <w:szCs w:val="24"/>
            <w:lang w:eastAsia="en-GB"/>
          </w:rPr>
          <w:t>Li et al.</w:t>
        </w:r>
      </w:hyperlink>
      <w:r w:rsidRPr="00C81A68">
        <w:rPr>
          <w:rFonts w:ascii="Times New Roman" w:eastAsia="Arial" w:hAnsi="Times New Roman" w:cs="Times New Roman"/>
          <w:color w:val="000000"/>
          <w:sz w:val="24"/>
          <w:szCs w:val="24"/>
          <w:lang w:eastAsia="en-GB"/>
        </w:rPr>
        <w:t xml:space="preserve"> </w:t>
      </w:r>
      <w:hyperlink w:anchor="page19" w:history="1">
        <w:r w:rsidRPr="00C81A68">
          <w:rPr>
            <w:rFonts w:ascii="Times New Roman" w:eastAsia="Arial" w:hAnsi="Times New Roman" w:cs="Times New Roman"/>
            <w:color w:val="000000"/>
            <w:sz w:val="24"/>
            <w:szCs w:val="24"/>
            <w:lang w:eastAsia="en-GB"/>
          </w:rPr>
          <w:t>2018</w:t>
        </w:r>
      </w:hyperlink>
      <w:r w:rsidRPr="00C81A68">
        <w:rPr>
          <w:rFonts w:ascii="Times New Roman" w:eastAsia="Calibri" w:hAnsi="Times New Roman" w:cs="Times New Roman"/>
          <w:color w:val="000000"/>
          <w:sz w:val="24"/>
          <w:szCs w:val="24"/>
          <w:lang w:eastAsia="en-GB"/>
        </w:rPr>
        <w:t>a</w:t>
      </w:r>
      <w:r w:rsidRPr="00C81A68">
        <w:rPr>
          <w:rFonts w:ascii="Times New Roman" w:eastAsia="Arial" w:hAnsi="Times New Roman" w:cs="Times New Roman"/>
          <w:color w:val="000000"/>
          <w:sz w:val="24"/>
          <w:szCs w:val="24"/>
          <w:lang w:eastAsia="en-GB"/>
        </w:rPr>
        <w:t xml:space="preserve">; </w:t>
      </w:r>
      <w:hyperlink w:anchor="page19" w:history="1">
        <w:proofErr w:type="spellStart"/>
        <w:r w:rsidRPr="00C81A68">
          <w:rPr>
            <w:rFonts w:ascii="Times New Roman" w:eastAsia="Arial" w:hAnsi="Times New Roman" w:cs="Times New Roman"/>
            <w:color w:val="000000"/>
            <w:sz w:val="24"/>
            <w:szCs w:val="24"/>
            <w:lang w:eastAsia="en-GB"/>
          </w:rPr>
          <w:t>Klasa</w:t>
        </w:r>
        <w:proofErr w:type="spellEnd"/>
        <w:r w:rsidRPr="00C81A68">
          <w:rPr>
            <w:rFonts w:ascii="Times New Roman" w:eastAsia="Arial" w:hAnsi="Times New Roman" w:cs="Times New Roman"/>
            <w:color w:val="000000"/>
            <w:sz w:val="24"/>
            <w:szCs w:val="24"/>
            <w:lang w:eastAsia="en-GB"/>
          </w:rPr>
          <w:t xml:space="preserve"> et al.</w:t>
        </w:r>
      </w:hyperlink>
      <w:r w:rsidRPr="00C81A68">
        <w:rPr>
          <w:rFonts w:ascii="Times New Roman" w:eastAsia="Arial" w:hAnsi="Times New Roman" w:cs="Times New Roman"/>
          <w:color w:val="000000"/>
          <w:sz w:val="24"/>
          <w:szCs w:val="24"/>
          <w:lang w:eastAsia="en-GB"/>
        </w:rPr>
        <w:t xml:space="preserve"> </w:t>
      </w:r>
      <w:hyperlink w:anchor="page19" w:history="1">
        <w:r w:rsidRPr="00C81A68">
          <w:rPr>
            <w:rFonts w:ascii="Times New Roman" w:eastAsia="Arial" w:hAnsi="Times New Roman" w:cs="Times New Roman"/>
            <w:color w:val="000000"/>
            <w:sz w:val="24"/>
            <w:szCs w:val="24"/>
            <w:lang w:eastAsia="en-GB"/>
          </w:rPr>
          <w:t>2018</w:t>
        </w:r>
      </w:hyperlink>
      <w:r w:rsidRPr="00C81A68">
        <w:rPr>
          <w:rFonts w:ascii="Times New Roman" w:eastAsia="Arial" w:hAnsi="Times New Roman" w:cs="Times New Roman"/>
          <w:color w:val="000000"/>
          <w:sz w:val="24"/>
          <w:szCs w:val="24"/>
          <w:lang w:eastAsia="en-GB"/>
        </w:rPr>
        <w:t xml:space="preserve">). </w:t>
      </w:r>
      <w:r w:rsidR="00674F65" w:rsidRPr="00674F65">
        <w:rPr>
          <w:rFonts w:ascii="Times New Roman" w:hAnsi="Times New Roman" w:cs="Times New Roman"/>
          <w:sz w:val="24"/>
          <w:szCs w:val="24"/>
        </w:rPr>
        <w:t xml:space="preserve">Using data on CEO non-compete agreements (NCAs), </w:t>
      </w:r>
      <w:proofErr w:type="spellStart"/>
      <w:r w:rsidR="00674F65" w:rsidRPr="00674F65">
        <w:rPr>
          <w:rFonts w:ascii="Times New Roman" w:hAnsi="Times New Roman" w:cs="Times New Roman"/>
          <w:sz w:val="24"/>
          <w:szCs w:val="24"/>
        </w:rPr>
        <w:t>Kini</w:t>
      </w:r>
      <w:proofErr w:type="spellEnd"/>
      <w:r w:rsidR="00674F65" w:rsidRPr="00674F65">
        <w:rPr>
          <w:rFonts w:ascii="Times New Roman" w:hAnsi="Times New Roman" w:cs="Times New Roman"/>
          <w:sz w:val="24"/>
          <w:szCs w:val="24"/>
        </w:rPr>
        <w:t xml:space="preserve"> et al. (2020) explore the determinants and economic consequences of NCAs.</w:t>
      </w:r>
      <w:r w:rsidR="00674F65">
        <w:rPr>
          <w:rFonts w:ascii="Times New Roman" w:hAnsi="Times New Roman" w:cs="Times New Roman"/>
          <w:sz w:val="24"/>
          <w:szCs w:val="24"/>
        </w:rPr>
        <w:t xml:space="preserve"> </w:t>
      </w:r>
      <w:r w:rsidR="00674F65" w:rsidRPr="00674F65">
        <w:rPr>
          <w:rFonts w:ascii="Times New Roman" w:hAnsi="Times New Roman" w:cs="Times New Roman"/>
          <w:sz w:val="24"/>
          <w:szCs w:val="24"/>
        </w:rPr>
        <w:t xml:space="preserve">They find </w:t>
      </w:r>
      <w:r w:rsidR="001F75D4">
        <w:rPr>
          <w:rFonts w:ascii="Times New Roman" w:hAnsi="Times New Roman" w:cs="Times New Roman"/>
          <w:sz w:val="24"/>
          <w:szCs w:val="24"/>
        </w:rPr>
        <w:t xml:space="preserve">that enforceable </w:t>
      </w:r>
      <w:r w:rsidR="00674F65" w:rsidRPr="00674F65">
        <w:rPr>
          <w:rFonts w:ascii="Times New Roman" w:hAnsi="Times New Roman" w:cs="Times New Roman"/>
          <w:sz w:val="24"/>
          <w:szCs w:val="24"/>
        </w:rPr>
        <w:t xml:space="preserve">NCAs </w:t>
      </w:r>
      <w:r w:rsidR="001F75D4">
        <w:rPr>
          <w:rFonts w:ascii="Times New Roman" w:hAnsi="Times New Roman" w:cs="Times New Roman"/>
          <w:sz w:val="24"/>
          <w:szCs w:val="24"/>
        </w:rPr>
        <w:t>are positively associated with CEO compensation and more likely when departing CEOs are likely to work for competitors</w:t>
      </w:r>
      <w:r w:rsidR="00C61B45">
        <w:rPr>
          <w:rFonts w:ascii="Times New Roman" w:hAnsi="Times New Roman" w:cs="Times New Roman"/>
          <w:sz w:val="24"/>
          <w:szCs w:val="24"/>
        </w:rPr>
        <w:t xml:space="preserve">. </w:t>
      </w:r>
      <w:r w:rsidRPr="00C81A68">
        <w:rPr>
          <w:rFonts w:ascii="Times New Roman" w:eastAsia="Arial" w:hAnsi="Times New Roman" w:cs="Times New Roman"/>
          <w:color w:val="000000"/>
          <w:sz w:val="24"/>
          <w:szCs w:val="24"/>
          <w:lang w:eastAsia="en-GB"/>
        </w:rPr>
        <w:t xml:space="preserve">The growing research on trade secret protection </w:t>
      </w:r>
      <w:r w:rsidR="00C61B45">
        <w:rPr>
          <w:rFonts w:ascii="Times New Roman" w:eastAsia="Arial" w:hAnsi="Times New Roman" w:cs="Times New Roman"/>
          <w:color w:val="000000"/>
          <w:sz w:val="24"/>
          <w:szCs w:val="24"/>
          <w:lang w:eastAsia="en-GB"/>
        </w:rPr>
        <w:t xml:space="preserve">also </w:t>
      </w:r>
      <w:r w:rsidRPr="00C81A68">
        <w:rPr>
          <w:rFonts w:ascii="Times New Roman" w:eastAsia="Arial" w:hAnsi="Times New Roman" w:cs="Times New Roman"/>
          <w:color w:val="000000"/>
          <w:sz w:val="24"/>
          <w:szCs w:val="24"/>
          <w:lang w:eastAsia="en-GB"/>
        </w:rPr>
        <w:t>consistently documents that IDD adoption reduces the revelation of confidential information to competitors through employee mobility, which decreases the competitive threats confronting firms in the product market (</w:t>
      </w:r>
      <w:proofErr w:type="spellStart"/>
      <w:r w:rsidRPr="00C81A68">
        <w:rPr>
          <w:rFonts w:ascii="Times New Roman" w:eastAsia="Calibri" w:hAnsi="Times New Roman" w:cs="Times New Roman"/>
          <w:color w:val="000000"/>
          <w:sz w:val="24"/>
          <w:szCs w:val="24"/>
          <w:lang w:eastAsia="en-GB"/>
        </w:rPr>
        <w:fldChar w:fldCharType="begin"/>
      </w:r>
      <w:r w:rsidRPr="00C81A68">
        <w:rPr>
          <w:rFonts w:ascii="Times New Roman" w:eastAsia="Calibri" w:hAnsi="Times New Roman" w:cs="Times New Roman"/>
          <w:color w:val="000000"/>
          <w:sz w:val="24"/>
          <w:szCs w:val="24"/>
          <w:lang w:eastAsia="en-GB"/>
        </w:rPr>
        <w:instrText xml:space="preserve"> HYPERLINK \l "page19" </w:instrText>
      </w:r>
      <w:r w:rsidRPr="00C81A68">
        <w:rPr>
          <w:rFonts w:ascii="Times New Roman" w:eastAsia="Calibri" w:hAnsi="Times New Roman" w:cs="Times New Roman"/>
          <w:color w:val="000000"/>
          <w:sz w:val="24"/>
          <w:szCs w:val="24"/>
          <w:lang w:eastAsia="en-GB"/>
        </w:rPr>
        <w:fldChar w:fldCharType="separate"/>
      </w:r>
      <w:r w:rsidRPr="00C81A68">
        <w:rPr>
          <w:rFonts w:ascii="Times New Roman" w:eastAsia="Arial" w:hAnsi="Times New Roman" w:cs="Times New Roman"/>
          <w:color w:val="000000"/>
          <w:sz w:val="24"/>
          <w:szCs w:val="24"/>
          <w:lang w:eastAsia="en-GB"/>
        </w:rPr>
        <w:t>Png</w:t>
      </w:r>
      <w:proofErr w:type="spellEnd"/>
      <w:r w:rsidRPr="00C81A68">
        <w:rPr>
          <w:rFonts w:ascii="Times New Roman" w:eastAsia="Arial" w:hAnsi="Times New Roman" w:cs="Times New Roman"/>
          <w:color w:val="000000"/>
          <w:sz w:val="24"/>
          <w:szCs w:val="24"/>
          <w:lang w:eastAsia="en-GB"/>
        </w:rPr>
        <w:t xml:space="preserve"> et al.</w:t>
      </w:r>
      <w:r w:rsidRPr="00C81A68">
        <w:rPr>
          <w:rFonts w:ascii="Times New Roman" w:eastAsia="Calibri" w:hAnsi="Times New Roman" w:cs="Times New Roman"/>
          <w:color w:val="000000"/>
          <w:sz w:val="24"/>
          <w:szCs w:val="24"/>
          <w:lang w:eastAsia="en-GB"/>
        </w:rPr>
        <w:fldChar w:fldCharType="end"/>
      </w:r>
      <w:r w:rsidRPr="00C81A68">
        <w:rPr>
          <w:rFonts w:ascii="Times New Roman" w:eastAsia="Arial" w:hAnsi="Times New Roman" w:cs="Times New Roman"/>
          <w:color w:val="000000"/>
          <w:sz w:val="24"/>
          <w:szCs w:val="24"/>
          <w:lang w:eastAsia="en-GB"/>
        </w:rPr>
        <w:t xml:space="preserve"> </w:t>
      </w:r>
      <w:hyperlink w:anchor="page19" w:history="1">
        <w:r w:rsidRPr="00C81A68">
          <w:rPr>
            <w:rFonts w:ascii="Times New Roman" w:eastAsia="Arial" w:hAnsi="Times New Roman" w:cs="Times New Roman"/>
            <w:color w:val="000000"/>
            <w:sz w:val="24"/>
            <w:szCs w:val="24"/>
            <w:lang w:eastAsia="en-GB"/>
          </w:rPr>
          <w:t>2013</w:t>
        </w:r>
      </w:hyperlink>
      <w:r w:rsidRPr="00C81A68">
        <w:rPr>
          <w:rFonts w:ascii="Times New Roman" w:eastAsia="Arial" w:hAnsi="Times New Roman" w:cs="Times New Roman"/>
          <w:color w:val="000000"/>
          <w:sz w:val="24"/>
          <w:szCs w:val="24"/>
          <w:lang w:eastAsia="en-GB"/>
        </w:rPr>
        <w:t xml:space="preserve">; </w:t>
      </w:r>
      <w:hyperlink w:anchor="page19" w:history="1">
        <w:proofErr w:type="spellStart"/>
        <w:r w:rsidRPr="00C81A68">
          <w:rPr>
            <w:rFonts w:ascii="Times New Roman" w:eastAsia="Arial" w:hAnsi="Times New Roman" w:cs="Times New Roman"/>
            <w:color w:val="000000"/>
            <w:sz w:val="24"/>
            <w:szCs w:val="24"/>
            <w:lang w:eastAsia="en-GB"/>
          </w:rPr>
          <w:t>Klasa</w:t>
        </w:r>
        <w:proofErr w:type="spellEnd"/>
        <w:r w:rsidRPr="00C81A68">
          <w:rPr>
            <w:rFonts w:ascii="Times New Roman" w:eastAsia="Arial" w:hAnsi="Times New Roman" w:cs="Times New Roman"/>
            <w:color w:val="000000"/>
            <w:sz w:val="24"/>
            <w:szCs w:val="24"/>
            <w:lang w:eastAsia="en-GB"/>
          </w:rPr>
          <w:t xml:space="preserve"> et al.</w:t>
        </w:r>
      </w:hyperlink>
      <w:r w:rsidRPr="00C81A68">
        <w:rPr>
          <w:rFonts w:ascii="Times New Roman" w:eastAsia="Arial" w:hAnsi="Times New Roman" w:cs="Times New Roman"/>
          <w:color w:val="000000"/>
          <w:sz w:val="24"/>
          <w:szCs w:val="24"/>
          <w:lang w:eastAsia="en-GB"/>
        </w:rPr>
        <w:t xml:space="preserve"> </w:t>
      </w:r>
      <w:hyperlink w:anchor="page19" w:history="1">
        <w:r w:rsidRPr="00C81A68">
          <w:rPr>
            <w:rFonts w:ascii="Times New Roman" w:eastAsia="Arial" w:hAnsi="Times New Roman" w:cs="Times New Roman"/>
            <w:color w:val="000000"/>
            <w:sz w:val="24"/>
            <w:szCs w:val="24"/>
            <w:lang w:eastAsia="en-GB"/>
          </w:rPr>
          <w:t>2018</w:t>
        </w:r>
      </w:hyperlink>
      <w:r w:rsidRPr="00C81A68">
        <w:rPr>
          <w:rFonts w:ascii="Times New Roman" w:eastAsia="Arial" w:hAnsi="Times New Roman" w:cs="Times New Roman"/>
          <w:color w:val="000000"/>
          <w:sz w:val="24"/>
          <w:szCs w:val="24"/>
          <w:lang w:eastAsia="en-GB"/>
        </w:rPr>
        <w:t xml:space="preserve">). In what follows we discuss the mechanisms through which the protection of trade secrets, as reflected by the adoption of the IDD, can influence a firm's tax avoidance activities. </w:t>
      </w:r>
    </w:p>
    <w:p w:rsidR="00C81A68" w:rsidRPr="00C81A68" w:rsidRDefault="00C81A68" w:rsidP="00C81A68">
      <w:pPr>
        <w:tabs>
          <w:tab w:val="left" w:pos="480"/>
        </w:tabs>
        <w:spacing w:after="0" w:line="480" w:lineRule="auto"/>
        <w:ind w:firstLine="567"/>
        <w:jc w:val="both"/>
        <w:rPr>
          <w:rFonts w:ascii="Times New Roman" w:eastAsia="Calibri" w:hAnsi="Times New Roman" w:cs="Arial"/>
          <w:color w:val="000000"/>
          <w:sz w:val="24"/>
          <w:szCs w:val="24"/>
          <w:shd w:val="clear" w:color="auto" w:fill="FFFFFF"/>
          <w:lang w:eastAsia="en-GB"/>
        </w:rPr>
      </w:pPr>
      <w:r w:rsidRPr="00C81A68">
        <w:rPr>
          <w:rFonts w:ascii="Times New Roman" w:eastAsia="Arial" w:hAnsi="Times New Roman" w:cs="Times New Roman"/>
          <w:color w:val="000000"/>
          <w:sz w:val="24"/>
          <w:szCs w:val="24"/>
          <w:lang w:eastAsia="en-GB"/>
        </w:rPr>
        <w:t xml:space="preserve">Our argument focuses on the link between information transparency associated with IDD adoption and the firm’s tax avoidance incentives. We argue that </w:t>
      </w:r>
      <w:r w:rsidRPr="00C81A68">
        <w:rPr>
          <w:rFonts w:ascii="Times New Roman" w:eastAsia="Times New Roman" w:hAnsi="Times New Roman" w:cs="Times New Roman"/>
          <w:color w:val="000000"/>
          <w:sz w:val="24"/>
          <w:szCs w:val="24"/>
          <w:shd w:val="clear" w:color="auto" w:fill="FFFFFF"/>
          <w:lang w:eastAsia="en-GB"/>
        </w:rPr>
        <w:t xml:space="preserve">the adoption of the IDD generates exogenous variations in a firm's proprietary costs of disclosure and, as a result, changes the firm's overall information environment. </w:t>
      </w:r>
      <w:r w:rsidRPr="00C81A68">
        <w:rPr>
          <w:rFonts w:ascii="Times New Roman" w:eastAsia="Calibri" w:hAnsi="Times New Roman" w:cs="Arial"/>
          <w:color w:val="000000"/>
          <w:sz w:val="24"/>
          <w:szCs w:val="24"/>
          <w:shd w:val="clear" w:color="auto" w:fill="FFFFFF"/>
          <w:lang w:eastAsia="en-GB"/>
        </w:rPr>
        <w:t xml:space="preserve">First, the IDD increases a firm's proprietary costs of disclosure by increasing the marginal value of disclosure to its rivals through a substitution channel. That is, with less access to trade secrets via employees' job switching, rival firms would rely more heavily on a firm's public disclosures in discovering its proprietary information. This reliance makes the firm’s disclosure more valuable to its rivals </w:t>
      </w:r>
      <w:r w:rsidRPr="00C81A68">
        <w:rPr>
          <w:rFonts w:ascii="Times New Roman" w:eastAsia="Calibri" w:hAnsi="Times New Roman" w:cs="Arial"/>
          <w:color w:val="000000"/>
          <w:sz w:val="24"/>
          <w:szCs w:val="24"/>
          <w:shd w:val="clear" w:color="auto" w:fill="FFFFFF"/>
          <w:lang w:eastAsia="en-GB"/>
        </w:rPr>
        <w:lastRenderedPageBreak/>
        <w:t xml:space="preserve">and also means the sacrifice of higher economic value for the disclosing firm and its management (Li et al. 2018a; Ali et al. 2019; Kim et al. 2020). </w:t>
      </w:r>
    </w:p>
    <w:p w:rsidR="00C81A68" w:rsidRPr="00C81A68" w:rsidRDefault="00C81A68" w:rsidP="00C81A68">
      <w:pPr>
        <w:tabs>
          <w:tab w:val="left" w:pos="480"/>
        </w:tabs>
        <w:spacing w:after="0" w:line="480" w:lineRule="auto"/>
        <w:ind w:firstLine="567"/>
        <w:jc w:val="both"/>
        <w:rPr>
          <w:rFonts w:ascii="Times New Roman" w:eastAsia="Calibri" w:hAnsi="Times New Roman" w:cs="Arial"/>
          <w:color w:val="000000"/>
          <w:sz w:val="24"/>
          <w:szCs w:val="24"/>
          <w:lang w:eastAsia="en-GB"/>
        </w:rPr>
      </w:pPr>
      <w:r w:rsidRPr="00C81A68">
        <w:rPr>
          <w:rFonts w:ascii="Times New Roman" w:eastAsia="Calibri" w:hAnsi="Times New Roman" w:cs="Arial"/>
          <w:color w:val="000000"/>
          <w:sz w:val="24"/>
          <w:szCs w:val="24"/>
          <w:shd w:val="clear" w:color="auto" w:fill="FFFFFF"/>
          <w:lang w:eastAsia="en-GB"/>
        </w:rPr>
        <w:t>Second, for information to be protectable under trade secret laws (including the IDD), it must not be readily ascertainable by persons who could obtain economic value from its use. For example, once a firm discloses a piece of information, such as customer lists or production method in its</w:t>
      </w:r>
      <w:r w:rsidRPr="00C81A68">
        <w:rPr>
          <w:rFonts w:ascii="Times New Roman" w:eastAsia="Calibri" w:hAnsi="Times New Roman" w:cs="Arial"/>
          <w:color w:val="000000"/>
          <w:sz w:val="24"/>
          <w:szCs w:val="24"/>
          <w:lang w:eastAsia="en-GB"/>
        </w:rPr>
        <w:t xml:space="preserve"> </w:t>
      </w:r>
      <w:r w:rsidRPr="00C81A68">
        <w:rPr>
          <w:rFonts w:ascii="Times New Roman" w:eastAsia="Calibri" w:hAnsi="Times New Roman" w:cs="Arial"/>
          <w:color w:val="000000"/>
          <w:sz w:val="24"/>
          <w:szCs w:val="24"/>
          <w:shd w:val="clear" w:color="auto" w:fill="FFFFFF"/>
          <w:lang w:eastAsia="en-GB"/>
        </w:rPr>
        <w:t>financial reports, the information loses its trade secret status. Thus, to take advantage of the protection offered by the IDD, firms must avoid disclosing their proprietary information to the capital markets because such disclosure essentially makes the information less protectable by the IDD. Put in a different way, the adoption of the IDD increases the marginal benefits of nondisclosure. As a result, firms disclose less in response to IDD adoption, resulting in decreasing corporate transparency and an information environment which has deteriorated.</w:t>
      </w:r>
      <w:r w:rsidRPr="00C81A68">
        <w:rPr>
          <w:rFonts w:ascii="Times New Roman" w:eastAsia="Calibri" w:hAnsi="Times New Roman" w:cs="Arial"/>
          <w:color w:val="000000"/>
          <w:sz w:val="24"/>
          <w:szCs w:val="24"/>
          <w:lang w:eastAsia="en-GB"/>
        </w:rPr>
        <w:t xml:space="preserve"> The evidence documented in prior research is consistent</w:t>
      </w:r>
      <w:r w:rsidRPr="00C81A68">
        <w:rPr>
          <w:rFonts w:ascii="Times New Roman" w:eastAsia="Calibri" w:hAnsi="Times New Roman" w:cs="Arial"/>
          <w:color w:val="000000"/>
          <w:sz w:val="24"/>
          <w:szCs w:val="24"/>
          <w:shd w:val="clear" w:color="auto" w:fill="FFFFFF"/>
          <w:lang w:eastAsia="en-GB"/>
        </w:rPr>
        <w:t xml:space="preserve"> with this argument. For instance, Li et al. (2018a) show that firms respond to IDD adoption by reducing the level of disclosure regarding their customer identities, which are key in understanding how firms generate their taxable revenues. Ali et al. (2019) find that managers are more likely to withhold bad news after IDD adoption as restrictions on external employment opportunities under the IDD increase the costs of a job loss. Kim et al. (2020) document a significant decrease in disclosures of R&amp;D activities and other confidential information after IDD adoption. They further document a significant decrease in overall firm-specific information production, taking into consideration both proprietary and non-proprietary information. </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Calibri" w:hAnsi="Times New Roman" w:cs="Arial"/>
          <w:sz w:val="24"/>
          <w:szCs w:val="24"/>
          <w:shd w:val="clear" w:color="auto" w:fill="FFFFFF"/>
          <w:lang w:eastAsia="en-GB"/>
        </w:rPr>
        <w:t xml:space="preserve">Further, reduced transparency has been shown to be related to tax avoidance. One strand of research on tax avoidance suggests that the complexity and </w:t>
      </w:r>
      <w:proofErr w:type="spellStart"/>
      <w:r w:rsidRPr="00C81A68">
        <w:rPr>
          <w:rFonts w:ascii="Times New Roman" w:eastAsia="Calibri" w:hAnsi="Times New Roman" w:cs="Arial"/>
          <w:sz w:val="24"/>
          <w:szCs w:val="24"/>
          <w:shd w:val="clear" w:color="auto" w:fill="FFFFFF"/>
          <w:lang w:eastAsia="en-GB"/>
        </w:rPr>
        <w:t>obfuscatory</w:t>
      </w:r>
      <w:proofErr w:type="spellEnd"/>
      <w:r w:rsidRPr="00C81A68">
        <w:rPr>
          <w:rFonts w:ascii="Times New Roman" w:eastAsia="Calibri" w:hAnsi="Times New Roman" w:cs="Arial"/>
          <w:sz w:val="24"/>
          <w:szCs w:val="24"/>
          <w:shd w:val="clear" w:color="auto" w:fill="FFFFFF"/>
          <w:lang w:eastAsia="en-GB"/>
        </w:rPr>
        <w:t xml:space="preserve"> nature of tax avoidance require opacity (e.g., Desai and Dharmapala 2006; Kim et al. 2011). For example, Kim et al. (2011) argue that managers engage in tax avoidance to facilitate rent extraction through bad news hoarding activities which mask and obscure managers’ opportunistic </w:t>
      </w:r>
      <w:r w:rsidRPr="00C81A68">
        <w:rPr>
          <w:rFonts w:ascii="Times New Roman" w:eastAsia="Calibri" w:hAnsi="Times New Roman" w:cs="Arial"/>
          <w:sz w:val="24"/>
          <w:szCs w:val="24"/>
          <w:shd w:val="clear" w:color="auto" w:fill="FFFFFF"/>
          <w:lang w:eastAsia="en-GB"/>
        </w:rPr>
        <w:lastRenderedPageBreak/>
        <w:t>behaviour for extended periods. Managers prefer to increase the opacity of tax-related transactions as complexity and obfuscation are necessary to minimise the risk of tax avoidance arrangements being detected by government agencies. Therefore, as IDD adoption leads to less transparency in a firm’s information environment, it gives the firm more opportunities to engage in aggressive tax avoidance.</w:t>
      </w:r>
      <w:r w:rsidRPr="00C81A68">
        <w:rPr>
          <w:rFonts w:ascii="Times New Roman" w:eastAsia="Calibri" w:hAnsi="Times New Roman" w:cs="Arial"/>
          <w:sz w:val="24"/>
          <w:szCs w:val="24"/>
          <w:lang w:eastAsia="en-GB"/>
        </w:rPr>
        <w:t xml:space="preserve"> </w:t>
      </w:r>
      <w:r w:rsidRPr="00C81A68">
        <w:rPr>
          <w:rFonts w:ascii="Times New Roman" w:eastAsia="Arial" w:hAnsi="Times New Roman" w:cs="Times New Roman"/>
          <w:sz w:val="24"/>
          <w:szCs w:val="24"/>
          <w:lang w:eastAsia="en-GB"/>
        </w:rPr>
        <w:t>Based on the discussion, we expect a positive impact of IDD adoption on tax avoidance. Consequently, H1 is formulated as follows:</w:t>
      </w:r>
    </w:p>
    <w:p w:rsidR="00C81A68" w:rsidRPr="00C81A68" w:rsidRDefault="00C81A68" w:rsidP="00C81A68">
      <w:pPr>
        <w:spacing w:after="0" w:line="480" w:lineRule="auto"/>
        <w:ind w:firstLine="567"/>
        <w:jc w:val="both"/>
        <w:rPr>
          <w:rFonts w:ascii="Times New Roman" w:eastAsia="Arial" w:hAnsi="Times New Roman" w:cs="Times New Roman"/>
          <w:i/>
          <w:sz w:val="24"/>
          <w:szCs w:val="24"/>
          <w:lang w:eastAsia="en-GB"/>
        </w:rPr>
      </w:pPr>
      <w:r w:rsidRPr="00C81A68">
        <w:rPr>
          <w:rFonts w:ascii="Times New Roman" w:eastAsia="Arial" w:hAnsi="Times New Roman" w:cs="Times New Roman"/>
          <w:b/>
          <w:i/>
          <w:sz w:val="24"/>
          <w:szCs w:val="24"/>
          <w:lang w:eastAsia="en-GB"/>
        </w:rPr>
        <w:t>H1:</w:t>
      </w:r>
      <w:r w:rsidRPr="00C81A68">
        <w:rPr>
          <w:rFonts w:ascii="Times New Roman" w:eastAsia="Arial" w:hAnsi="Times New Roman" w:cs="Times New Roman"/>
          <w:i/>
          <w:sz w:val="24"/>
          <w:szCs w:val="24"/>
          <w:lang w:eastAsia="en-GB"/>
        </w:rPr>
        <w:t xml:space="preserve"> Protection of trade secrets through IDD adoption has a positive effect on a firm’s involvement in tax avoidance.</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 xml:space="preserve">There could be arguments against H1. For example, </w:t>
      </w:r>
      <w:proofErr w:type="spellStart"/>
      <w:r w:rsidRPr="00C81A68">
        <w:rPr>
          <w:rFonts w:ascii="Times New Roman" w:eastAsia="Arial" w:hAnsi="Times New Roman" w:cs="Times New Roman"/>
          <w:sz w:val="24"/>
          <w:szCs w:val="24"/>
          <w:lang w:eastAsia="en-GB"/>
        </w:rPr>
        <w:t>Dyreng</w:t>
      </w:r>
      <w:proofErr w:type="spellEnd"/>
      <w:r w:rsidRPr="00C81A68">
        <w:rPr>
          <w:rFonts w:ascii="Times New Roman" w:eastAsia="Arial" w:hAnsi="Times New Roman" w:cs="Times New Roman"/>
          <w:sz w:val="24"/>
          <w:szCs w:val="24"/>
          <w:lang w:eastAsia="en-GB"/>
        </w:rPr>
        <w:t xml:space="preserve"> et al. (2019) have developed a theoretical model to explicate how labour market power can influence a firm’s incentive to engage in tax avoidance. In particular, if the firm has high market power, it can partially pass the tax burden to other stakeholders such as employees and consumers, which suggests that such firms are less incentivized to avoid tax. The adoption of IDD unambiguously reduces employee mobility and enhances the labour market power of employers, which could potentially lead to less tax avoidance. A recent study by Gao et al. (2018) finds a significant decrease in firms’ upward earnings management after IDD adoption, consistent with employers having a reduced incentive to manage earnings upward when the labour market position becomes strengthened following employees’ outside opportunities being restricted by the IDD. If the same logic holds in the setting of tax avoidance, IDD adoption could result in less avoidance, which contradicts H1. Therefore, we consider the association between IDD adoption and tax avoidance as an empirical question that deserves further investigation.</w:t>
      </w:r>
    </w:p>
    <w:p w:rsidR="00C81A68" w:rsidRPr="00C81A68" w:rsidRDefault="00C81A68" w:rsidP="0010134F">
      <w:pPr>
        <w:numPr>
          <w:ilvl w:val="0"/>
          <w:numId w:val="16"/>
        </w:numPr>
        <w:tabs>
          <w:tab w:val="left" w:pos="284"/>
        </w:tabs>
        <w:spacing w:after="0" w:line="480" w:lineRule="auto"/>
        <w:ind w:left="0" w:firstLine="0"/>
        <w:contextualSpacing/>
        <w:jc w:val="center"/>
        <w:rPr>
          <w:rFonts w:ascii="Times New Roman" w:eastAsia="Arial" w:hAnsi="Times New Roman" w:cs="Times New Roman"/>
          <w:b/>
          <w:sz w:val="24"/>
          <w:szCs w:val="24"/>
          <w:lang w:eastAsia="en-GB"/>
        </w:rPr>
      </w:pPr>
      <w:r w:rsidRPr="00C81A68">
        <w:rPr>
          <w:rFonts w:ascii="Times New Roman" w:eastAsia="Arial" w:hAnsi="Times New Roman" w:cs="Times New Roman"/>
          <w:b/>
          <w:sz w:val="24"/>
          <w:szCs w:val="24"/>
          <w:lang w:eastAsia="en-GB"/>
        </w:rPr>
        <w:t>Data and Research Design</w:t>
      </w:r>
    </w:p>
    <w:p w:rsidR="00C81A68" w:rsidRPr="00C81A68" w:rsidRDefault="00C81A68" w:rsidP="00C81A68">
      <w:pPr>
        <w:autoSpaceDE w:val="0"/>
        <w:autoSpaceDN w:val="0"/>
        <w:adjustRightInd w:val="0"/>
        <w:spacing w:after="0" w:line="480" w:lineRule="auto"/>
        <w:jc w:val="both"/>
        <w:rPr>
          <w:rFonts w:ascii="Times New Roman" w:eastAsia="SimSun" w:hAnsi="Times New Roman" w:cs="Times New Roman"/>
          <w:i/>
          <w:sz w:val="24"/>
          <w:szCs w:val="24"/>
          <w:lang w:eastAsia="zh-CN"/>
        </w:rPr>
      </w:pPr>
      <w:r w:rsidRPr="00C81A68">
        <w:rPr>
          <w:rFonts w:ascii="Times New Roman" w:eastAsia="SimSun" w:hAnsi="Times New Roman" w:cs="Times New Roman"/>
          <w:i/>
          <w:sz w:val="24"/>
          <w:szCs w:val="24"/>
          <w:lang w:eastAsia="zh-CN"/>
        </w:rPr>
        <w:t>4.1 Data</w:t>
      </w:r>
    </w:p>
    <w:p w:rsidR="00C81A68" w:rsidRPr="00C81A68" w:rsidRDefault="00C81A68" w:rsidP="00C81A68">
      <w:pPr>
        <w:autoSpaceDE w:val="0"/>
        <w:autoSpaceDN w:val="0"/>
        <w:adjustRightInd w:val="0"/>
        <w:spacing w:after="0" w:line="480" w:lineRule="auto"/>
        <w:ind w:firstLine="567"/>
        <w:jc w:val="both"/>
        <w:rPr>
          <w:rFonts w:ascii="Times New Roman" w:eastAsia="SimSun" w:hAnsi="Times New Roman" w:cs="Times New Roman"/>
          <w:i/>
          <w:sz w:val="24"/>
          <w:szCs w:val="24"/>
          <w:lang w:eastAsia="zh-CN"/>
        </w:rPr>
      </w:pPr>
      <w:r w:rsidRPr="00C81A68">
        <w:rPr>
          <w:rFonts w:ascii="Times New Roman" w:eastAsia="SimSun" w:hAnsi="Times New Roman" w:cs="Times New Roman"/>
          <w:sz w:val="24"/>
          <w:szCs w:val="24"/>
          <w:lang w:eastAsia="zh-CN"/>
        </w:rPr>
        <w:t xml:space="preserve">Table 1, Panel A reports the sample selection process. We start with all firms in the </w:t>
      </w:r>
      <w:proofErr w:type="spellStart"/>
      <w:r w:rsidRPr="00C81A68">
        <w:rPr>
          <w:rFonts w:ascii="Times New Roman" w:eastAsia="SimSun" w:hAnsi="Times New Roman" w:cs="Times New Roman"/>
          <w:sz w:val="24"/>
          <w:szCs w:val="24"/>
          <w:lang w:eastAsia="zh-CN"/>
        </w:rPr>
        <w:t>Compustat</w:t>
      </w:r>
      <w:proofErr w:type="spellEnd"/>
      <w:r w:rsidRPr="00C81A68">
        <w:rPr>
          <w:rFonts w:ascii="Times New Roman" w:eastAsia="SimSun" w:hAnsi="Times New Roman" w:cs="Times New Roman"/>
          <w:sz w:val="24"/>
          <w:szCs w:val="24"/>
          <w:lang w:eastAsia="zh-CN"/>
        </w:rPr>
        <w:t xml:space="preserve"> database for the period 1977 to 2011. We exclude firms in the financial and utility </w:t>
      </w:r>
      <w:r w:rsidRPr="00C81A68">
        <w:rPr>
          <w:rFonts w:ascii="Times New Roman" w:eastAsia="SimSun" w:hAnsi="Times New Roman" w:cs="Times New Roman"/>
          <w:sz w:val="24"/>
          <w:szCs w:val="24"/>
          <w:lang w:eastAsia="zh-CN"/>
        </w:rPr>
        <w:lastRenderedPageBreak/>
        <w:t xml:space="preserve">industries (SIC code 6000-6999; 4900-4999 respectively), foreign firms, and firms with missing values for the variables used in the analyses. Our final sample consists of 70,739 frim-year observations from 1977 to 2011. </w:t>
      </w:r>
    </w:p>
    <w:p w:rsidR="00C81A68" w:rsidRPr="00C81A68" w:rsidRDefault="00C81A68" w:rsidP="00C81A68">
      <w:pPr>
        <w:autoSpaceDE w:val="0"/>
        <w:autoSpaceDN w:val="0"/>
        <w:adjustRightInd w:val="0"/>
        <w:spacing w:after="0" w:line="480" w:lineRule="auto"/>
        <w:ind w:firstLine="567"/>
        <w:jc w:val="both"/>
        <w:rPr>
          <w:rFonts w:ascii="Times New Roman" w:eastAsia="SimSun" w:hAnsi="Times New Roman" w:cs="Times New Roman"/>
          <w:sz w:val="24"/>
          <w:szCs w:val="24"/>
          <w:lang w:eastAsia="zh-CN"/>
        </w:rPr>
      </w:pPr>
      <w:r w:rsidRPr="00C81A68">
        <w:rPr>
          <w:rFonts w:ascii="Times New Roman" w:eastAsia="SimSun" w:hAnsi="Times New Roman" w:cs="Times New Roman"/>
          <w:sz w:val="24"/>
          <w:szCs w:val="24"/>
          <w:lang w:eastAsia="zh-CN"/>
        </w:rPr>
        <w:t xml:space="preserve">Table 1, Panel B presents the frequency of firm-year observations in each state during our sample period. California is the state that contributes the largest number of observations (10,386), while Arkansas is the state that contributes the least number of observations (7). </w:t>
      </w:r>
    </w:p>
    <w:p w:rsidR="00C81A68" w:rsidRPr="00C81A68" w:rsidRDefault="00C81A68" w:rsidP="00C81A68">
      <w:pPr>
        <w:autoSpaceDE w:val="0"/>
        <w:autoSpaceDN w:val="0"/>
        <w:adjustRightInd w:val="0"/>
        <w:spacing w:after="0" w:line="480" w:lineRule="auto"/>
        <w:ind w:firstLine="567"/>
        <w:jc w:val="both"/>
        <w:rPr>
          <w:rFonts w:ascii="Times New Roman" w:eastAsia="Calibri" w:hAnsi="Times New Roman" w:cs="Times New Roman"/>
          <w:sz w:val="24"/>
          <w:szCs w:val="24"/>
          <w:lang w:eastAsia="en-GB"/>
        </w:rPr>
      </w:pPr>
      <w:r w:rsidRPr="00C81A68">
        <w:rPr>
          <w:rFonts w:ascii="Times New Roman" w:eastAsia="SimSun" w:hAnsi="Times New Roman" w:cs="Times New Roman"/>
          <w:sz w:val="24"/>
          <w:szCs w:val="24"/>
          <w:lang w:eastAsia="zh-CN"/>
        </w:rPr>
        <w:t xml:space="preserve">Table 1, Panel C provides the summary statistics. The mean value of the IDD suggests that 40.9 percent of our sample observations are in the states that adopt IDD. </w:t>
      </w:r>
      <w:r w:rsidRPr="00C81A68">
        <w:rPr>
          <w:rFonts w:ascii="Times New Roman" w:eastAsia="Calibri" w:hAnsi="Times New Roman" w:cs="Times New Roman"/>
          <w:sz w:val="24"/>
          <w:szCs w:val="24"/>
          <w:lang w:eastAsia="en-GB"/>
        </w:rPr>
        <w:t>The mean of ETR is 0.278 and varies from 0.047 in the 25</w:t>
      </w:r>
      <w:r w:rsidRPr="00C81A68">
        <w:rPr>
          <w:rFonts w:ascii="Times New Roman" w:eastAsia="Calibri" w:hAnsi="Times New Roman" w:cs="Times New Roman"/>
          <w:sz w:val="24"/>
          <w:szCs w:val="24"/>
          <w:vertAlign w:val="superscript"/>
          <w:lang w:eastAsia="en-GB"/>
        </w:rPr>
        <w:t>th</w:t>
      </w:r>
      <w:r w:rsidRPr="00C81A68">
        <w:rPr>
          <w:rFonts w:ascii="Times New Roman" w:eastAsia="Calibri" w:hAnsi="Times New Roman" w:cs="Times New Roman"/>
          <w:sz w:val="24"/>
          <w:szCs w:val="24"/>
          <w:lang w:eastAsia="en-GB"/>
        </w:rPr>
        <w:t xml:space="preserve"> percentile to 0.408 in the 75</w:t>
      </w:r>
      <w:r w:rsidRPr="00C81A68">
        <w:rPr>
          <w:rFonts w:ascii="Times New Roman" w:eastAsia="Calibri" w:hAnsi="Times New Roman" w:cs="Times New Roman"/>
          <w:sz w:val="24"/>
          <w:szCs w:val="24"/>
          <w:vertAlign w:val="superscript"/>
          <w:lang w:eastAsia="en-GB"/>
        </w:rPr>
        <w:t>th</w:t>
      </w:r>
      <w:r w:rsidRPr="00C81A68">
        <w:rPr>
          <w:rFonts w:ascii="Times New Roman" w:eastAsia="Calibri" w:hAnsi="Times New Roman" w:cs="Times New Roman"/>
          <w:sz w:val="24"/>
          <w:szCs w:val="24"/>
          <w:lang w:eastAsia="en-GB"/>
        </w:rPr>
        <w:t xml:space="preserve"> percentile, implying that there is substantial variation in firms’ engagement in tax avoidance. On average, the sample’s long-term debt equals 18 percent of total assets and its foreign income constitutes 0.5 percent of total assets. The mean ROA of the sample is 1.9 percent and 43.1 percent of sample firms have net operating loss carry-forward. Finally, the mean PPE equals 32.7 percent of total assets and 9.8 percent of sample firms’ assets are intangibles.</w:t>
      </w:r>
    </w:p>
    <w:p w:rsidR="00C81A68" w:rsidRPr="00C81A68" w:rsidRDefault="00C81A68" w:rsidP="00C81A68">
      <w:pPr>
        <w:spacing w:after="0" w:line="480" w:lineRule="auto"/>
        <w:jc w:val="center"/>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[Insert Table 1 about here]</w:t>
      </w:r>
    </w:p>
    <w:p w:rsidR="00C81A68" w:rsidRPr="00C81A68" w:rsidRDefault="00C81A68" w:rsidP="00C81A68">
      <w:pPr>
        <w:tabs>
          <w:tab w:val="left" w:pos="480"/>
        </w:tabs>
        <w:spacing w:after="0" w:line="480" w:lineRule="auto"/>
        <w:jc w:val="both"/>
        <w:rPr>
          <w:rFonts w:ascii="Times New Roman" w:eastAsia="Arial" w:hAnsi="Times New Roman" w:cs="Times New Roman"/>
          <w:i/>
          <w:sz w:val="24"/>
          <w:szCs w:val="24"/>
          <w:lang w:eastAsia="en-GB"/>
        </w:rPr>
      </w:pPr>
      <w:r w:rsidRPr="00C81A68">
        <w:rPr>
          <w:rFonts w:ascii="Times New Roman" w:eastAsia="Arial" w:hAnsi="Times New Roman" w:cs="Times New Roman"/>
          <w:i/>
          <w:sz w:val="24"/>
          <w:szCs w:val="24"/>
          <w:lang w:eastAsia="en-GB"/>
        </w:rPr>
        <w:t>4.2 Research Design</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We use a difference-in-differences approach to exploit the exogenous variations in trade secret protection arising from the staggered adoption of the IDD in US states. As the protection of trade secrets is strengthened for firms in the states where the IDD has been adopted, this method effectively compares the difference in tax avoidance between the firms in the treatment group (state-years when the IDD is adopted) and those in the control group (state-years when the IDD is not adopted). In this way, we can provide evidence on the causal effects of IDD adoption on corporate tax avoidance. Our empirical model is specified as follows.</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Calibri" w:hAnsi="Times New Roman" w:cs="Times New Roman"/>
          <w:sz w:val="24"/>
          <w:szCs w:val="24"/>
        </w:rPr>
        <w:t xml:space="preserve">                              </w:t>
      </w:r>
      <w:r w:rsidRPr="00C81A68">
        <w:rPr>
          <w:rFonts w:ascii="Times New Roman" w:eastAsia="Calibri" w:hAnsi="Times New Roman" w:cs="Times New Roman"/>
          <w:position w:val="-12"/>
          <w:sz w:val="24"/>
          <w:szCs w:val="24"/>
          <w:lang w:eastAsia="en-GB"/>
        </w:rPr>
        <w:object w:dxaOrig="53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5pt;height:20.5pt" o:ole="">
            <v:imagedata r:id="rId8" o:title=""/>
          </v:shape>
          <o:OLEObject Type="Embed" ProgID="Equation.DSMT4" ShapeID="_x0000_i1025" DrawAspect="Content" ObjectID="_1671817176" r:id="rId9"/>
        </w:object>
      </w:r>
    </w:p>
    <w:p w:rsidR="00C81A68" w:rsidRPr="00C81A68" w:rsidRDefault="00C81A68" w:rsidP="00C81A68">
      <w:pPr>
        <w:spacing w:after="0" w:line="480" w:lineRule="auto"/>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lastRenderedPageBreak/>
        <w:t xml:space="preserve">where, </w:t>
      </w:r>
      <w:r w:rsidRPr="00C81A68">
        <w:rPr>
          <w:rFonts w:ascii="Times New Roman" w:eastAsia="Arial" w:hAnsi="Times New Roman" w:cs="Times New Roman"/>
          <w:i/>
          <w:sz w:val="24"/>
          <w:szCs w:val="24"/>
          <w:lang w:eastAsia="en-GB"/>
        </w:rPr>
        <w:t>Tax</w:t>
      </w:r>
      <w:r w:rsidRPr="00C81A68">
        <w:rPr>
          <w:rFonts w:ascii="Times New Roman" w:eastAsia="Arial" w:hAnsi="Times New Roman" w:cs="Times New Roman"/>
          <w:sz w:val="24"/>
          <w:szCs w:val="24"/>
          <w:lang w:eastAsia="en-GB"/>
        </w:rPr>
        <w:t xml:space="preserve"> represents our measures of corporate tax avoidance. </w:t>
      </w:r>
      <w:r w:rsidRPr="00C81A68">
        <w:rPr>
          <w:rFonts w:ascii="Times New Roman" w:eastAsia="Arial" w:hAnsi="Times New Roman" w:cs="Times New Roman"/>
          <w:i/>
          <w:sz w:val="24"/>
          <w:szCs w:val="24"/>
          <w:lang w:eastAsia="en-GB"/>
        </w:rPr>
        <w:t>Tax</w:t>
      </w:r>
      <w:r w:rsidRPr="00C81A68">
        <w:rPr>
          <w:rFonts w:ascii="Times New Roman" w:eastAsia="Arial" w:hAnsi="Times New Roman" w:cs="Times New Roman"/>
          <w:sz w:val="24"/>
          <w:szCs w:val="24"/>
          <w:lang w:eastAsia="en-GB"/>
        </w:rPr>
        <w:t xml:space="preserve"> is either the firm's effective tax rates (ETR) or book-tax differences (BTD). As tax avoidance is defined as the reduction of the firm's tax liability (</w:t>
      </w:r>
      <w:hyperlink w:anchor="page18" w:history="1">
        <w:r w:rsidRPr="00C81A68">
          <w:rPr>
            <w:rFonts w:ascii="Times New Roman" w:eastAsia="Arial" w:hAnsi="Times New Roman" w:cs="Times New Roman"/>
            <w:sz w:val="24"/>
            <w:szCs w:val="24"/>
            <w:lang w:eastAsia="en-GB"/>
          </w:rPr>
          <w:t xml:space="preserve">Hanlon and </w:t>
        </w:r>
        <w:proofErr w:type="spellStart"/>
        <w:r w:rsidRPr="00C81A68">
          <w:rPr>
            <w:rFonts w:ascii="Times New Roman" w:eastAsia="Arial" w:hAnsi="Times New Roman" w:cs="Times New Roman"/>
            <w:sz w:val="24"/>
            <w:szCs w:val="24"/>
            <w:lang w:eastAsia="en-GB"/>
          </w:rPr>
          <w:t>Heitzman</w:t>
        </w:r>
        <w:proofErr w:type="spellEnd"/>
      </w:hyperlink>
      <w:r w:rsidRPr="00C81A68">
        <w:rPr>
          <w:rFonts w:ascii="Times New Roman" w:eastAsia="Arial" w:hAnsi="Times New Roman" w:cs="Times New Roman"/>
          <w:sz w:val="24"/>
          <w:szCs w:val="24"/>
          <w:lang w:eastAsia="en-GB"/>
        </w:rPr>
        <w:t xml:space="preserve"> </w:t>
      </w:r>
      <w:hyperlink w:anchor="page18" w:history="1">
        <w:r w:rsidRPr="00C81A68">
          <w:rPr>
            <w:rFonts w:ascii="Times New Roman" w:eastAsia="Arial" w:hAnsi="Times New Roman" w:cs="Times New Roman"/>
            <w:sz w:val="24"/>
            <w:szCs w:val="24"/>
            <w:lang w:eastAsia="en-GB"/>
          </w:rPr>
          <w:t>2010</w:t>
        </w:r>
      </w:hyperlink>
      <w:r w:rsidRPr="00C81A68">
        <w:rPr>
          <w:rFonts w:ascii="Times New Roman" w:eastAsia="Arial" w:hAnsi="Times New Roman" w:cs="Times New Roman"/>
          <w:sz w:val="24"/>
          <w:szCs w:val="24"/>
          <w:lang w:eastAsia="en-GB"/>
        </w:rPr>
        <w:t>), lower effective tax rates (ETR) and higher book-tax differences (BTD) capture the effects of the whole spectrum of tax planning strategies and activities engaged by the firm to avoid tax (</w:t>
      </w:r>
      <w:proofErr w:type="spellStart"/>
      <w:r w:rsidRPr="00C81A68">
        <w:rPr>
          <w:rFonts w:ascii="Times New Roman" w:eastAsia="Calibri" w:hAnsi="Times New Roman" w:cs="Times New Roman"/>
          <w:sz w:val="24"/>
          <w:szCs w:val="24"/>
          <w:lang w:eastAsia="en-GB"/>
        </w:rPr>
        <w:fldChar w:fldCharType="begin"/>
      </w:r>
      <w:r w:rsidRPr="00C81A68">
        <w:rPr>
          <w:rFonts w:ascii="Times New Roman" w:eastAsia="Calibri" w:hAnsi="Times New Roman" w:cs="Times New Roman"/>
          <w:sz w:val="24"/>
          <w:szCs w:val="24"/>
          <w:lang w:eastAsia="en-GB"/>
        </w:rPr>
        <w:instrText xml:space="preserve"> HYPERLINK \l "page19" </w:instrText>
      </w:r>
      <w:r w:rsidRPr="00C81A68">
        <w:rPr>
          <w:rFonts w:ascii="Times New Roman" w:eastAsia="Calibri" w:hAnsi="Times New Roman" w:cs="Times New Roman"/>
          <w:sz w:val="24"/>
          <w:szCs w:val="24"/>
          <w:lang w:eastAsia="en-GB"/>
        </w:rPr>
        <w:fldChar w:fldCharType="separate"/>
      </w:r>
      <w:r w:rsidRPr="00C81A68">
        <w:rPr>
          <w:rFonts w:ascii="Times New Roman" w:eastAsia="Arial" w:hAnsi="Times New Roman" w:cs="Times New Roman"/>
          <w:sz w:val="24"/>
          <w:szCs w:val="24"/>
          <w:lang w:eastAsia="en-GB"/>
        </w:rPr>
        <w:t>Kubick</w:t>
      </w:r>
      <w:proofErr w:type="spellEnd"/>
      <w:r w:rsidRPr="00C81A68">
        <w:rPr>
          <w:rFonts w:ascii="Times New Roman" w:eastAsia="Arial" w:hAnsi="Times New Roman" w:cs="Times New Roman"/>
          <w:sz w:val="24"/>
          <w:szCs w:val="24"/>
          <w:lang w:eastAsia="en-GB"/>
        </w:rPr>
        <w:t xml:space="preserve"> et al.</w:t>
      </w:r>
      <w:r w:rsidRPr="00C81A68">
        <w:rPr>
          <w:rFonts w:ascii="Times New Roman" w:eastAsia="Calibri" w:hAnsi="Times New Roman" w:cs="Times New Roman"/>
          <w:sz w:val="24"/>
          <w:szCs w:val="24"/>
          <w:lang w:eastAsia="en-GB"/>
        </w:rPr>
        <w:fldChar w:fldCharType="end"/>
      </w:r>
      <w:r w:rsidRPr="00C81A68">
        <w:rPr>
          <w:rFonts w:ascii="Times New Roman" w:eastAsia="Arial" w:hAnsi="Times New Roman" w:cs="Times New Roman"/>
          <w:sz w:val="24"/>
          <w:szCs w:val="24"/>
          <w:lang w:eastAsia="en-GB"/>
        </w:rPr>
        <w:t xml:space="preserve"> </w:t>
      </w:r>
      <w:hyperlink w:anchor="page19" w:history="1">
        <w:r w:rsidRPr="00C81A68">
          <w:rPr>
            <w:rFonts w:ascii="Times New Roman" w:eastAsia="Arial" w:hAnsi="Times New Roman" w:cs="Times New Roman"/>
            <w:sz w:val="24"/>
            <w:szCs w:val="24"/>
            <w:lang w:eastAsia="en-GB"/>
          </w:rPr>
          <w:t>2015</w:t>
        </w:r>
      </w:hyperlink>
      <w:r w:rsidRPr="00C81A68">
        <w:rPr>
          <w:rFonts w:ascii="Times New Roman" w:eastAsia="Arial" w:hAnsi="Times New Roman" w:cs="Times New Roman"/>
          <w:sz w:val="24"/>
          <w:szCs w:val="24"/>
          <w:lang w:eastAsia="en-GB"/>
        </w:rPr>
        <w:t xml:space="preserve">). ETR is calculated as total tax expense (TXT) divided by pre-tax income (PI). ETR is based on the expense accruals and reflects the tax avoidance strategies which result in permanent book-tax differences (such as investments in tax-exempt assets or tax shelters). BTD measures the difference between a firm’s reported financial income and its taxable income. BTD is calculated as pre-tax book income (PI) less estimated taxable income ((TXFED + TXFO) / statutory marginal tax rate) divided by lagged total assets (AT). </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 xml:space="preserve">Our main variable of interest in Equation (1) is the IDD. We utilize the list of IDD adoption and rejection in US states compiled by </w:t>
      </w:r>
      <w:hyperlink w:anchor="page19" w:history="1">
        <w:proofErr w:type="spellStart"/>
        <w:r w:rsidRPr="00C81A68">
          <w:rPr>
            <w:rFonts w:ascii="Times New Roman" w:eastAsia="Arial" w:hAnsi="Times New Roman" w:cs="Times New Roman"/>
            <w:color w:val="000000"/>
            <w:sz w:val="24"/>
            <w:szCs w:val="24"/>
            <w:lang w:eastAsia="en-GB"/>
          </w:rPr>
          <w:t>Klasa</w:t>
        </w:r>
        <w:proofErr w:type="spellEnd"/>
        <w:r w:rsidRPr="00C81A68">
          <w:rPr>
            <w:rFonts w:ascii="Times New Roman" w:eastAsia="Arial" w:hAnsi="Times New Roman" w:cs="Times New Roman"/>
            <w:color w:val="000000"/>
            <w:sz w:val="24"/>
            <w:szCs w:val="24"/>
            <w:lang w:eastAsia="en-GB"/>
          </w:rPr>
          <w:t xml:space="preserve"> et al. </w:t>
        </w:r>
      </w:hyperlink>
      <w:r w:rsidRPr="00C81A68">
        <w:rPr>
          <w:rFonts w:ascii="Times New Roman" w:eastAsia="Arial" w:hAnsi="Times New Roman" w:cs="Times New Roman"/>
          <w:color w:val="000000"/>
          <w:sz w:val="24"/>
          <w:szCs w:val="24"/>
          <w:lang w:eastAsia="en-GB"/>
        </w:rPr>
        <w:t>(</w:t>
      </w:r>
      <w:hyperlink w:anchor="page19" w:history="1">
        <w:r w:rsidRPr="00C81A68">
          <w:rPr>
            <w:rFonts w:ascii="Times New Roman" w:eastAsia="Arial" w:hAnsi="Times New Roman" w:cs="Times New Roman"/>
            <w:color w:val="000000"/>
            <w:sz w:val="24"/>
            <w:szCs w:val="24"/>
            <w:lang w:eastAsia="en-GB"/>
          </w:rPr>
          <w:t>2018</w:t>
        </w:r>
      </w:hyperlink>
      <w:r w:rsidRPr="00C81A68">
        <w:rPr>
          <w:rFonts w:ascii="Times New Roman" w:eastAsia="Arial" w:hAnsi="Times New Roman" w:cs="Times New Roman"/>
          <w:color w:val="000000"/>
          <w:sz w:val="24"/>
          <w:szCs w:val="24"/>
          <w:lang w:eastAsia="en-GB"/>
        </w:rPr>
        <w:t>)</w:t>
      </w:r>
      <w:r w:rsidRPr="00C81A68">
        <w:rPr>
          <w:rFonts w:ascii="Times New Roman" w:eastAsia="Arial" w:hAnsi="Times New Roman" w:cs="Times New Roman"/>
          <w:sz w:val="24"/>
          <w:szCs w:val="24"/>
          <w:lang w:eastAsia="en-GB"/>
        </w:rPr>
        <w:t xml:space="preserve"> to code the indicator variable IDD in Equation (1).</w:t>
      </w:r>
      <w:r w:rsidRPr="00C81A68">
        <w:rPr>
          <w:rFonts w:ascii="Times New Roman" w:eastAsia="Arial" w:hAnsi="Times New Roman" w:cs="Times New Roman"/>
          <w:color w:val="000000"/>
          <w:sz w:val="24"/>
          <w:szCs w:val="24"/>
          <w:vertAlign w:val="superscript"/>
          <w:lang w:eastAsia="en-GB"/>
        </w:rPr>
        <w:footnoteReference w:id="8"/>
      </w:r>
      <w:r w:rsidRPr="00C81A68">
        <w:rPr>
          <w:rFonts w:ascii="Times New Roman" w:eastAsia="Arial" w:hAnsi="Times New Roman" w:cs="Times New Roman"/>
          <w:color w:val="000000"/>
          <w:sz w:val="24"/>
          <w:szCs w:val="24"/>
          <w:lang w:eastAsia="en-GB"/>
        </w:rPr>
        <w:t xml:space="preserve"> These precedent-setting cases and court rulings are considered to be well known by firms and, hence, firms are expected to adjust their policies in response to these trade secret laws (</w:t>
      </w:r>
      <w:hyperlink w:anchor="page19" w:history="1">
        <w:r w:rsidRPr="00C81A68">
          <w:rPr>
            <w:rFonts w:ascii="Times New Roman" w:eastAsia="Arial" w:hAnsi="Times New Roman" w:cs="Times New Roman"/>
            <w:color w:val="000000"/>
            <w:sz w:val="24"/>
            <w:szCs w:val="24"/>
            <w:lang w:eastAsia="en-GB"/>
          </w:rPr>
          <w:t>Li et al.</w:t>
        </w:r>
      </w:hyperlink>
      <w:r w:rsidRPr="00C81A68">
        <w:rPr>
          <w:rFonts w:ascii="Times New Roman" w:eastAsia="Arial" w:hAnsi="Times New Roman" w:cs="Times New Roman"/>
          <w:color w:val="000000"/>
          <w:sz w:val="24"/>
          <w:szCs w:val="24"/>
          <w:lang w:eastAsia="en-GB"/>
        </w:rPr>
        <w:t xml:space="preserve"> </w:t>
      </w:r>
      <w:hyperlink w:anchor="page19" w:history="1">
        <w:r w:rsidRPr="00C81A68">
          <w:rPr>
            <w:rFonts w:ascii="Times New Roman" w:eastAsia="Arial" w:hAnsi="Times New Roman" w:cs="Times New Roman"/>
            <w:color w:val="000000"/>
            <w:sz w:val="24"/>
            <w:szCs w:val="24"/>
            <w:lang w:eastAsia="en-GB"/>
          </w:rPr>
          <w:t>2018</w:t>
        </w:r>
      </w:hyperlink>
      <w:r w:rsidRPr="00C81A68">
        <w:rPr>
          <w:rFonts w:ascii="Times New Roman" w:eastAsia="Calibri" w:hAnsi="Times New Roman" w:cs="Times New Roman"/>
          <w:color w:val="000000"/>
          <w:sz w:val="24"/>
          <w:szCs w:val="24"/>
          <w:lang w:eastAsia="en-GB"/>
        </w:rPr>
        <w:t>a</w:t>
      </w:r>
      <w:r w:rsidRPr="00C81A68">
        <w:rPr>
          <w:rFonts w:ascii="Times New Roman" w:eastAsia="Arial" w:hAnsi="Times New Roman" w:cs="Times New Roman"/>
          <w:color w:val="000000"/>
          <w:sz w:val="24"/>
          <w:szCs w:val="24"/>
          <w:lang w:eastAsia="en-GB"/>
        </w:rPr>
        <w:t xml:space="preserve">). Following </w:t>
      </w:r>
      <w:hyperlink w:anchor="page19" w:history="1">
        <w:proofErr w:type="spellStart"/>
        <w:r w:rsidRPr="00C81A68">
          <w:rPr>
            <w:rFonts w:ascii="Times New Roman" w:eastAsia="Arial" w:hAnsi="Times New Roman" w:cs="Times New Roman"/>
            <w:color w:val="000000"/>
            <w:sz w:val="24"/>
            <w:szCs w:val="24"/>
            <w:lang w:eastAsia="en-GB"/>
          </w:rPr>
          <w:t>Klasa</w:t>
        </w:r>
        <w:proofErr w:type="spellEnd"/>
        <w:r w:rsidRPr="00C81A68">
          <w:rPr>
            <w:rFonts w:ascii="Times New Roman" w:eastAsia="Arial" w:hAnsi="Times New Roman" w:cs="Times New Roman"/>
            <w:color w:val="000000"/>
            <w:sz w:val="24"/>
            <w:szCs w:val="24"/>
            <w:lang w:eastAsia="en-GB"/>
          </w:rPr>
          <w:t xml:space="preserve"> et al. </w:t>
        </w:r>
      </w:hyperlink>
      <w:r w:rsidRPr="00C81A68">
        <w:rPr>
          <w:rFonts w:ascii="Times New Roman" w:eastAsia="Arial" w:hAnsi="Times New Roman" w:cs="Times New Roman"/>
          <w:color w:val="000000"/>
          <w:sz w:val="24"/>
          <w:szCs w:val="24"/>
          <w:lang w:eastAsia="en-GB"/>
        </w:rPr>
        <w:t>(</w:t>
      </w:r>
      <w:hyperlink w:anchor="page19" w:history="1">
        <w:r w:rsidRPr="00C81A68">
          <w:rPr>
            <w:rFonts w:ascii="Times New Roman" w:eastAsia="Arial" w:hAnsi="Times New Roman" w:cs="Times New Roman"/>
            <w:color w:val="000000"/>
            <w:sz w:val="24"/>
            <w:szCs w:val="24"/>
            <w:lang w:eastAsia="en-GB"/>
          </w:rPr>
          <w:t>2018</w:t>
        </w:r>
      </w:hyperlink>
      <w:r w:rsidRPr="00C81A68">
        <w:rPr>
          <w:rFonts w:ascii="Times New Roman" w:eastAsia="Arial" w:hAnsi="Times New Roman" w:cs="Times New Roman"/>
          <w:color w:val="000000"/>
          <w:sz w:val="24"/>
          <w:szCs w:val="24"/>
          <w:lang w:eastAsia="en-GB"/>
        </w:rPr>
        <w:t xml:space="preserve">), the IDD indicator is equal to 1 </w:t>
      </w:r>
      <w:r w:rsidRPr="00C81A68">
        <w:rPr>
          <w:rFonts w:ascii="Times New Roman" w:eastAsia="Times New Roman" w:hAnsi="Times New Roman" w:cs="Times New Roman"/>
          <w:sz w:val="24"/>
          <w:szCs w:val="24"/>
          <w:lang w:eastAsia="en-GB"/>
        </w:rPr>
        <w:t xml:space="preserve">for state-years when the IDD is adopted by the state court, and 0 in all other state-years. All other state-years include both the state-years when the prior adoption was reversed and the state-years when the IDD was never adopted by the state court. Specifically, </w:t>
      </w:r>
      <w:r w:rsidRPr="00C81A68">
        <w:rPr>
          <w:rFonts w:ascii="Times New Roman" w:eastAsia="Arial" w:hAnsi="Times New Roman" w:cs="Times New Roman"/>
          <w:color w:val="000000"/>
          <w:sz w:val="24"/>
          <w:szCs w:val="24"/>
          <w:lang w:eastAsia="en-GB"/>
        </w:rPr>
        <w:t>we set</w:t>
      </w:r>
      <w:r w:rsidRPr="00C81A68">
        <w:rPr>
          <w:rFonts w:ascii="Times New Roman" w:eastAsia="Arial" w:hAnsi="Times New Roman" w:cs="Times New Roman"/>
          <w:sz w:val="24"/>
          <w:szCs w:val="24"/>
          <w:lang w:eastAsia="en-GB"/>
        </w:rPr>
        <w:t xml:space="preserve"> the </w:t>
      </w:r>
      <w:r w:rsidRPr="00C81A68">
        <w:rPr>
          <w:rFonts w:ascii="Times New Roman" w:eastAsia="Calibri" w:hAnsi="Times New Roman" w:cs="Arial"/>
          <w:sz w:val="24"/>
          <w:szCs w:val="24"/>
          <w:lang w:eastAsia="en-GB"/>
        </w:rPr>
        <w:t xml:space="preserve">IDD indicator to zero in all years preceding the date of the precedent-setting case in a given state, and one in the year of the case and afterwards. We allow the value of the IDD indicator to revert to zero when a subsequent state court decision reverses its previous position of IDD adoption and rejects the IDD. For the other states whose case laws did not explicitly consider, </w:t>
      </w:r>
      <w:r w:rsidRPr="00C81A68">
        <w:rPr>
          <w:rFonts w:ascii="Times New Roman" w:eastAsia="Calibri" w:hAnsi="Times New Roman" w:cs="Arial"/>
          <w:sz w:val="24"/>
          <w:szCs w:val="24"/>
          <w:lang w:eastAsia="en-GB"/>
        </w:rPr>
        <w:lastRenderedPageBreak/>
        <w:t>or never accepted, the IDD, we set the IDD indicator equal to zero in every year.</w:t>
      </w:r>
      <w:r w:rsidRPr="00C81A68">
        <w:rPr>
          <w:rFonts w:ascii="Times New Roman" w:eastAsia="Arial" w:hAnsi="Times New Roman" w:cs="Times New Roman"/>
          <w:sz w:val="24"/>
          <w:szCs w:val="24"/>
          <w:lang w:eastAsia="en-GB"/>
        </w:rPr>
        <w:t xml:space="preserve"> </w:t>
      </w:r>
      <w:r w:rsidRPr="00C81A68">
        <w:rPr>
          <w:rFonts w:ascii="Times New Roman" w:eastAsia="Arial" w:hAnsi="Times New Roman" w:cs="Times New Roman"/>
          <w:color w:val="000000"/>
          <w:sz w:val="24"/>
          <w:szCs w:val="24"/>
          <w:lang w:eastAsia="en-GB"/>
        </w:rPr>
        <w:t>To test H1, we expect the coefficient on the IDD indicator to be significantly negative (positive) when the effective tax rates (book-tax differences) are used to capture the firm’s tax avoidance activities.</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 xml:space="preserve">We control for the determinants of tax avoidance activities that are documented by prior research (e.g., </w:t>
      </w:r>
      <w:hyperlink w:anchor="page18" w:history="1">
        <w:r w:rsidRPr="00C81A68">
          <w:rPr>
            <w:rFonts w:ascii="Times New Roman" w:eastAsia="Arial" w:hAnsi="Times New Roman" w:cs="Times New Roman"/>
            <w:sz w:val="24"/>
            <w:szCs w:val="24"/>
            <w:lang w:eastAsia="en-GB"/>
          </w:rPr>
          <w:t>Chen et al.</w:t>
        </w:r>
      </w:hyperlink>
      <w:r w:rsidRPr="00C81A68">
        <w:rPr>
          <w:rFonts w:ascii="Times New Roman" w:eastAsia="Arial" w:hAnsi="Times New Roman" w:cs="Times New Roman"/>
          <w:sz w:val="24"/>
          <w:szCs w:val="24"/>
          <w:lang w:eastAsia="en-GB"/>
        </w:rPr>
        <w:t xml:space="preserve"> </w:t>
      </w:r>
      <w:hyperlink w:anchor="page18" w:history="1">
        <w:r w:rsidRPr="00C81A68">
          <w:rPr>
            <w:rFonts w:ascii="Times New Roman" w:eastAsia="Arial" w:hAnsi="Times New Roman" w:cs="Times New Roman"/>
            <w:sz w:val="24"/>
            <w:szCs w:val="24"/>
            <w:lang w:eastAsia="en-GB"/>
          </w:rPr>
          <w:t>2010</w:t>
        </w:r>
      </w:hyperlink>
      <w:r w:rsidRPr="00C81A68">
        <w:rPr>
          <w:rFonts w:ascii="Times New Roman" w:eastAsia="Arial" w:hAnsi="Times New Roman" w:cs="Times New Roman"/>
          <w:sz w:val="24"/>
          <w:szCs w:val="24"/>
          <w:lang w:eastAsia="en-GB"/>
        </w:rPr>
        <w:t xml:space="preserve">; </w:t>
      </w:r>
      <w:hyperlink w:anchor="page19" w:history="1">
        <w:proofErr w:type="spellStart"/>
        <w:r w:rsidRPr="00C81A68">
          <w:rPr>
            <w:rFonts w:ascii="Times New Roman" w:eastAsia="Arial" w:hAnsi="Times New Roman" w:cs="Times New Roman"/>
            <w:sz w:val="24"/>
            <w:szCs w:val="24"/>
            <w:lang w:eastAsia="en-GB"/>
          </w:rPr>
          <w:t>Kubick</w:t>
        </w:r>
        <w:proofErr w:type="spellEnd"/>
        <w:r w:rsidRPr="00C81A68">
          <w:rPr>
            <w:rFonts w:ascii="Times New Roman" w:eastAsia="Arial" w:hAnsi="Times New Roman" w:cs="Times New Roman"/>
            <w:sz w:val="24"/>
            <w:szCs w:val="24"/>
            <w:lang w:eastAsia="en-GB"/>
          </w:rPr>
          <w:t xml:space="preserve"> et al.</w:t>
        </w:r>
      </w:hyperlink>
      <w:r w:rsidRPr="00C81A68">
        <w:rPr>
          <w:rFonts w:ascii="Times New Roman" w:eastAsia="Arial" w:hAnsi="Times New Roman" w:cs="Times New Roman"/>
          <w:sz w:val="24"/>
          <w:szCs w:val="24"/>
          <w:lang w:eastAsia="en-GB"/>
        </w:rPr>
        <w:t xml:space="preserve"> </w:t>
      </w:r>
      <w:hyperlink w:anchor="page19" w:history="1">
        <w:r w:rsidRPr="00C81A68">
          <w:rPr>
            <w:rFonts w:ascii="Times New Roman" w:eastAsia="Arial" w:hAnsi="Times New Roman" w:cs="Times New Roman"/>
            <w:sz w:val="24"/>
            <w:szCs w:val="24"/>
            <w:lang w:eastAsia="en-GB"/>
          </w:rPr>
          <w:t>2015</w:t>
        </w:r>
      </w:hyperlink>
      <w:r w:rsidRPr="00C81A68">
        <w:rPr>
          <w:rFonts w:ascii="Times New Roman" w:eastAsia="Arial" w:hAnsi="Times New Roman" w:cs="Times New Roman"/>
          <w:sz w:val="24"/>
          <w:szCs w:val="24"/>
          <w:lang w:eastAsia="en-GB"/>
        </w:rPr>
        <w:t>). In particular, we include firm size (SIZE), market-to-book ratio (MTB), leverage (LEV), return on assets (ROA), indicator for loss carry-forward (NOL), change in loss carry-forward (DNOL), foreign income (FI), property, plant and equipment (PPE), equity income in earnings (EQINC), and intangible assets (INTAN). We also include state and year fixed effects to control for any state and time-varying characteristics. The standard errors are clustered at the firm level.</w:t>
      </w:r>
      <w:bookmarkStart w:id="4" w:name="page7"/>
      <w:bookmarkEnd w:id="4"/>
    </w:p>
    <w:p w:rsidR="00C81A68" w:rsidRPr="00C81A68" w:rsidRDefault="00C81A68" w:rsidP="0010134F">
      <w:pPr>
        <w:numPr>
          <w:ilvl w:val="0"/>
          <w:numId w:val="16"/>
        </w:numPr>
        <w:tabs>
          <w:tab w:val="left" w:pos="480"/>
        </w:tabs>
        <w:spacing w:after="0" w:line="480" w:lineRule="auto"/>
        <w:ind w:left="0" w:firstLine="0"/>
        <w:contextualSpacing/>
        <w:jc w:val="center"/>
        <w:rPr>
          <w:rFonts w:ascii="Times New Roman" w:eastAsia="Arial" w:hAnsi="Times New Roman" w:cs="Times New Roman"/>
          <w:b/>
          <w:sz w:val="24"/>
          <w:szCs w:val="24"/>
          <w:lang w:eastAsia="en-GB"/>
        </w:rPr>
      </w:pPr>
      <w:r w:rsidRPr="00C81A68">
        <w:rPr>
          <w:rFonts w:ascii="Times New Roman" w:eastAsia="Arial" w:hAnsi="Times New Roman" w:cs="Times New Roman"/>
          <w:b/>
          <w:sz w:val="24"/>
          <w:szCs w:val="24"/>
          <w:lang w:eastAsia="en-GB"/>
        </w:rPr>
        <w:t>Empirical Results</w:t>
      </w:r>
    </w:p>
    <w:p w:rsidR="00C81A68" w:rsidRPr="00C81A68" w:rsidRDefault="00C81A68" w:rsidP="00C81A68">
      <w:pPr>
        <w:tabs>
          <w:tab w:val="left" w:pos="600"/>
        </w:tabs>
        <w:spacing w:after="0" w:line="480" w:lineRule="auto"/>
        <w:jc w:val="both"/>
        <w:rPr>
          <w:rFonts w:ascii="Times New Roman" w:eastAsia="Arial" w:hAnsi="Times New Roman" w:cs="Times New Roman"/>
          <w:i/>
          <w:sz w:val="24"/>
          <w:szCs w:val="24"/>
          <w:lang w:eastAsia="en-GB"/>
        </w:rPr>
      </w:pPr>
      <w:r w:rsidRPr="00C81A68">
        <w:rPr>
          <w:rFonts w:ascii="Times New Roman" w:eastAsia="Arial" w:hAnsi="Times New Roman" w:cs="Times New Roman"/>
          <w:i/>
          <w:sz w:val="24"/>
          <w:szCs w:val="24"/>
          <w:lang w:eastAsia="en-GB"/>
        </w:rPr>
        <w:t>5.1 Results of Testing H1</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 xml:space="preserve">Table 2 presents the results of estimating Equation (1). The dependent variable is ETR (BTD) in Model 1 (Model 2). The variable of interest is the IDD indicator. Across the models we introduce the firm level controls suggested by </w:t>
      </w:r>
      <w:r w:rsidRPr="00C81A68">
        <w:rPr>
          <w:rFonts w:ascii="Times New Roman" w:eastAsia="Calibri" w:hAnsi="Times New Roman" w:cs="Times New Roman"/>
          <w:sz w:val="24"/>
          <w:szCs w:val="24"/>
          <w:lang w:eastAsia="en-GB"/>
        </w:rPr>
        <w:t>prior research,</w:t>
      </w:r>
      <w:r w:rsidRPr="00C81A68">
        <w:rPr>
          <w:rFonts w:ascii="Times New Roman" w:eastAsia="Arial" w:hAnsi="Times New Roman" w:cs="Times New Roman"/>
          <w:sz w:val="24"/>
          <w:szCs w:val="24"/>
          <w:lang w:eastAsia="en-GB"/>
        </w:rPr>
        <w:t xml:space="preserve"> and we also include the industry (three-digit SIC), year and state fixed effects to account for factors that do not vary across firms within a given industry, year and state. The results in Table 2 lend support to H1, showing that firms in states where the IDD has been adopted are more aggressive in tax avoidance (reflected in lower effective tax rates and larger book-tax differences), </w:t>
      </w:r>
      <w:r w:rsidRPr="00C81A68">
        <w:rPr>
          <w:rFonts w:ascii="Times New Roman" w:eastAsia="Arial" w:hAnsi="Times New Roman" w:cs="Times New Roman"/>
          <w:i/>
          <w:sz w:val="24"/>
          <w:szCs w:val="24"/>
          <w:lang w:eastAsia="en-GB"/>
        </w:rPr>
        <w:t>ceteris paribus</w:t>
      </w:r>
      <w:r w:rsidRPr="00C81A68">
        <w:rPr>
          <w:rFonts w:ascii="Times New Roman" w:eastAsia="Arial" w:hAnsi="Times New Roman" w:cs="Times New Roman"/>
          <w:sz w:val="24"/>
          <w:szCs w:val="24"/>
          <w:lang w:eastAsia="en-GB"/>
        </w:rPr>
        <w:t xml:space="preserve">. The economic magnitudes of the findings are significant. For example, based on the results in Model 1, IDD adoption by a state is associated with a 2.51 percent reduction in the effective tax rates relative to the sample mean effective tax rates. The results in Table 2 are consistent with H1 and confirm the positive effects of IDD adoption on corporate tax avoidance. It is plausible that IDD adoption significantly increases the benefit of non-disclosure </w:t>
      </w:r>
      <w:r w:rsidRPr="00C81A68">
        <w:rPr>
          <w:rFonts w:ascii="Times New Roman" w:eastAsia="Arial" w:hAnsi="Times New Roman" w:cs="Times New Roman"/>
          <w:sz w:val="24"/>
          <w:szCs w:val="24"/>
          <w:lang w:eastAsia="en-GB"/>
        </w:rPr>
        <w:lastRenderedPageBreak/>
        <w:t>and reduces corporate transparency, which creates more flexibility for firms to engage in aggressive tax avoidance activities.</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 xml:space="preserve">In respect of the control variables, our results are broadly consistent with those documented in previous studies (e.g., </w:t>
      </w:r>
      <w:hyperlink w:anchor="page18" w:history="1">
        <w:r w:rsidRPr="00C81A68">
          <w:rPr>
            <w:rFonts w:ascii="Times New Roman" w:eastAsia="Arial" w:hAnsi="Times New Roman" w:cs="Times New Roman"/>
            <w:sz w:val="24"/>
            <w:szCs w:val="24"/>
            <w:lang w:eastAsia="en-GB"/>
          </w:rPr>
          <w:t xml:space="preserve">Chen et al. </w:t>
        </w:r>
      </w:hyperlink>
      <w:hyperlink w:anchor="page18" w:history="1">
        <w:r w:rsidRPr="00C81A68">
          <w:rPr>
            <w:rFonts w:ascii="Times New Roman" w:eastAsia="Arial" w:hAnsi="Times New Roman" w:cs="Times New Roman"/>
            <w:sz w:val="24"/>
            <w:szCs w:val="24"/>
            <w:lang w:eastAsia="en-GB"/>
          </w:rPr>
          <w:t>2010</w:t>
        </w:r>
      </w:hyperlink>
      <w:r w:rsidRPr="00C81A68">
        <w:rPr>
          <w:rFonts w:ascii="Times New Roman" w:eastAsia="Arial" w:hAnsi="Times New Roman" w:cs="Times New Roman"/>
          <w:sz w:val="24"/>
          <w:szCs w:val="24"/>
          <w:lang w:eastAsia="en-GB"/>
        </w:rPr>
        <w:t xml:space="preserve">; </w:t>
      </w:r>
      <w:hyperlink w:anchor="page19" w:history="1">
        <w:proofErr w:type="spellStart"/>
        <w:r w:rsidRPr="00C81A68">
          <w:rPr>
            <w:rFonts w:ascii="Times New Roman" w:eastAsia="Arial" w:hAnsi="Times New Roman" w:cs="Times New Roman"/>
            <w:sz w:val="24"/>
            <w:szCs w:val="24"/>
            <w:lang w:eastAsia="en-GB"/>
          </w:rPr>
          <w:t>Kubick</w:t>
        </w:r>
        <w:proofErr w:type="spellEnd"/>
        <w:r w:rsidRPr="00C81A68">
          <w:rPr>
            <w:rFonts w:ascii="Times New Roman" w:eastAsia="Arial" w:hAnsi="Times New Roman" w:cs="Times New Roman"/>
            <w:sz w:val="24"/>
            <w:szCs w:val="24"/>
            <w:lang w:eastAsia="en-GB"/>
          </w:rPr>
          <w:t xml:space="preserve"> et al. </w:t>
        </w:r>
      </w:hyperlink>
      <w:hyperlink w:anchor="page19" w:history="1">
        <w:r w:rsidRPr="00C81A68">
          <w:rPr>
            <w:rFonts w:ascii="Times New Roman" w:eastAsia="Arial" w:hAnsi="Times New Roman" w:cs="Times New Roman"/>
            <w:sz w:val="24"/>
            <w:szCs w:val="24"/>
            <w:lang w:eastAsia="en-GB"/>
          </w:rPr>
          <w:t>2015</w:t>
        </w:r>
      </w:hyperlink>
      <w:r w:rsidRPr="00C81A68">
        <w:rPr>
          <w:rFonts w:ascii="Times New Roman" w:eastAsia="Arial" w:hAnsi="Times New Roman" w:cs="Times New Roman"/>
          <w:sz w:val="24"/>
          <w:szCs w:val="24"/>
          <w:lang w:eastAsia="en-GB"/>
        </w:rPr>
        <w:t>). We find that the coefficients on firm size, leverage, return-on-assets, change in loss carry-forward and intangible assets are significantly positive, which indicate that large, highly leveraged, more profitable firms and firms with higher intangible assets are less likely to engage in tax avoidance. In contrast, the coefficients on MTB, NOL, PPE and EQINC are significantly negative, which suggest that firms with better investment opportunities, loss carry-forward, higher tangible assets and more equity income are more likely to avoid tax.</w:t>
      </w:r>
    </w:p>
    <w:p w:rsidR="00C81A68" w:rsidRPr="00C81A68" w:rsidRDefault="00C81A68" w:rsidP="00C81A68">
      <w:pPr>
        <w:spacing w:after="0" w:line="480" w:lineRule="auto"/>
        <w:jc w:val="center"/>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[Insert Table 2 about here]</w:t>
      </w:r>
    </w:p>
    <w:p w:rsidR="00C81A68" w:rsidRPr="00C81A68" w:rsidRDefault="00C81A68" w:rsidP="00C81A68">
      <w:pPr>
        <w:tabs>
          <w:tab w:val="left" w:pos="600"/>
        </w:tabs>
        <w:spacing w:after="0" w:line="480" w:lineRule="auto"/>
        <w:jc w:val="both"/>
        <w:rPr>
          <w:rFonts w:ascii="Times New Roman" w:eastAsia="Arial" w:hAnsi="Times New Roman" w:cs="Times New Roman"/>
          <w:i/>
          <w:sz w:val="24"/>
          <w:szCs w:val="24"/>
          <w:lang w:eastAsia="en-GB"/>
        </w:rPr>
      </w:pPr>
      <w:r w:rsidRPr="00C81A68">
        <w:rPr>
          <w:rFonts w:ascii="Times New Roman" w:eastAsia="Arial" w:hAnsi="Times New Roman" w:cs="Times New Roman"/>
          <w:i/>
          <w:sz w:val="24"/>
          <w:szCs w:val="24"/>
          <w:lang w:eastAsia="en-GB"/>
        </w:rPr>
        <w:t>5.2 Further Analyses</w:t>
      </w:r>
    </w:p>
    <w:p w:rsidR="00C81A68" w:rsidRPr="00C81A68" w:rsidRDefault="00C81A68" w:rsidP="00C81A68">
      <w:pPr>
        <w:spacing w:after="0" w:line="480" w:lineRule="auto"/>
        <w:ind w:firstLine="567"/>
        <w:jc w:val="both"/>
        <w:rPr>
          <w:rFonts w:ascii="Times New Roman" w:eastAsia="Calibri" w:hAnsi="Times New Roman" w:cs="Times New Roman"/>
          <w:color w:val="222222"/>
          <w:sz w:val="24"/>
          <w:szCs w:val="24"/>
          <w:shd w:val="clear" w:color="auto" w:fill="FFFFFF"/>
          <w:lang w:eastAsia="en-GB"/>
        </w:rPr>
      </w:pPr>
      <w:r w:rsidRPr="00C81A68">
        <w:rPr>
          <w:rFonts w:ascii="Times New Roman" w:eastAsia="Times New Roman" w:hAnsi="Times New Roman" w:cs="Times New Roman"/>
          <w:color w:val="222222"/>
          <w:sz w:val="24"/>
          <w:szCs w:val="24"/>
          <w:lang w:eastAsia="en-GB"/>
        </w:rPr>
        <w:t xml:space="preserve">In this section we test whether the impact of IDD adoption on tax avoidance differs in firms with different levels of internal information quality (IIQ) </w:t>
      </w:r>
      <w:r w:rsidRPr="00C81A68">
        <w:rPr>
          <w:rFonts w:ascii="Times New Roman" w:eastAsia="Times New Roman" w:hAnsi="Times New Roman" w:cs="Times New Roman"/>
          <w:i/>
          <w:color w:val="222222"/>
          <w:sz w:val="24"/>
          <w:szCs w:val="24"/>
          <w:lang w:eastAsia="en-GB"/>
        </w:rPr>
        <w:t>ex ante</w:t>
      </w:r>
      <w:r w:rsidRPr="00C81A68">
        <w:rPr>
          <w:rFonts w:ascii="Times New Roman" w:eastAsia="Times New Roman" w:hAnsi="Times New Roman" w:cs="Times New Roman"/>
          <w:color w:val="222222"/>
          <w:sz w:val="24"/>
          <w:szCs w:val="24"/>
          <w:lang w:eastAsia="en-GB"/>
        </w:rPr>
        <w:t xml:space="preserve">. Following the literature (e.g., </w:t>
      </w:r>
      <w:r w:rsidRPr="00C81A68">
        <w:rPr>
          <w:rFonts w:ascii="Times New Roman" w:eastAsia="Calibri" w:hAnsi="Times New Roman" w:cs="Times New Roman"/>
          <w:color w:val="222222"/>
          <w:sz w:val="24"/>
          <w:szCs w:val="24"/>
          <w:shd w:val="clear" w:color="auto" w:fill="FFFFFF"/>
          <w:lang w:eastAsia="en-GB"/>
        </w:rPr>
        <w:t xml:space="preserve">Chen and Lin 2017; Kerr 2018), we use analyst coverage and absolute value of discretionary accruals as the proxies of IIQ, with the assumption that firms followed by more analysts and reporting smaller absolute discretionary accruals have better </w:t>
      </w:r>
      <w:r w:rsidRPr="00C81A68">
        <w:rPr>
          <w:rFonts w:ascii="Times New Roman" w:eastAsia="Times New Roman" w:hAnsi="Times New Roman" w:cs="Times New Roman"/>
          <w:color w:val="222222"/>
          <w:sz w:val="24"/>
          <w:szCs w:val="24"/>
          <w:lang w:eastAsia="en-GB"/>
        </w:rPr>
        <w:t>internal information quality (IIQ)</w:t>
      </w:r>
      <w:r w:rsidRPr="00C81A68">
        <w:rPr>
          <w:rFonts w:ascii="Times New Roman" w:eastAsia="Calibri" w:hAnsi="Times New Roman" w:cs="Times New Roman"/>
          <w:color w:val="222222"/>
          <w:sz w:val="24"/>
          <w:szCs w:val="24"/>
          <w:shd w:val="clear" w:color="auto" w:fill="FFFFFF"/>
          <w:lang w:eastAsia="en-GB"/>
        </w:rPr>
        <w:t xml:space="preserve">. Empirically, we partition the sample based on the sample median analyst coverage (absolute discretionary accruals). Then we run Equation (1) in these sub-samples and compare the coefficients on the IDD indicator between high and low IIQ firms. We expect the effect of IDD adoption on tax avoidance to be more pronounced in the sub-sample characterised with low IIQ, since IDD adoption would play a more important role in obfuscating the information environment for these firms and enable them to be more aggressive in tax avoidance. </w:t>
      </w:r>
    </w:p>
    <w:p w:rsidR="00C81A68" w:rsidRPr="00C81A68" w:rsidRDefault="00C81A68" w:rsidP="008A720D">
      <w:pPr>
        <w:spacing w:after="0" w:line="480" w:lineRule="auto"/>
        <w:ind w:firstLine="567"/>
        <w:jc w:val="both"/>
        <w:rPr>
          <w:rFonts w:ascii="Times New Roman" w:eastAsia="Times New Roman" w:hAnsi="Times New Roman" w:cs="Times New Roman"/>
          <w:color w:val="222222"/>
          <w:sz w:val="24"/>
          <w:szCs w:val="24"/>
          <w:lang w:eastAsia="en-GB"/>
        </w:rPr>
      </w:pPr>
      <w:r w:rsidRPr="00C81A68">
        <w:rPr>
          <w:rFonts w:ascii="Times New Roman" w:eastAsia="Calibri" w:hAnsi="Times New Roman" w:cs="Times New Roman"/>
          <w:color w:val="222222"/>
          <w:sz w:val="24"/>
          <w:szCs w:val="24"/>
          <w:shd w:val="clear" w:color="auto" w:fill="FFFFFF"/>
          <w:lang w:eastAsia="en-GB"/>
        </w:rPr>
        <w:lastRenderedPageBreak/>
        <w:t xml:space="preserve">The results, presented in Table 3 are consistent with our prediction. In Panel A, the tax avoidance measure is effective tax rates. We observe the positive impact of IDD adoption on tax avoidance is significant only in the sub-sample with less-than-median analyst coverage. The positive impact of IDD adoption on tax avoidance is significant in both sub-samples when IIQ is measured with absolute discretionary accruals, but the magnitude of IDD coefficient is lager in the sub-sample with higher-than-median absolute discretionary accruals (low IIQ). We report similar findings when tax avoidance is measured with book-tax differences in Panel B.  The coefficient on the IDD is significant only in the sub-sample with less-than-median analyst coverage, and the magnitude of the coefficient on the IDD is larger in the sub-sample with higher-than-median absolute discretionary accruals. The results are consistent with the argument that IDD adoption increases the benefit of non-disclosure of proprietary information and provides more opportunity for firms to more aggressively avoid tax. Such a positive impact of IDD adoption on tax avoidance is found to be more salient among firms with lower </w:t>
      </w:r>
      <w:r w:rsidRPr="00C81A68">
        <w:rPr>
          <w:rFonts w:ascii="Times New Roman" w:eastAsia="Times New Roman" w:hAnsi="Times New Roman" w:cs="Times New Roman"/>
          <w:color w:val="222222"/>
          <w:sz w:val="24"/>
          <w:szCs w:val="24"/>
          <w:lang w:eastAsia="en-GB"/>
        </w:rPr>
        <w:t>internal information quality</w:t>
      </w:r>
      <w:r w:rsidRPr="00C81A68">
        <w:rPr>
          <w:rFonts w:ascii="Times New Roman" w:eastAsia="Calibri" w:hAnsi="Times New Roman" w:cs="Times New Roman"/>
          <w:color w:val="222222"/>
          <w:sz w:val="24"/>
          <w:szCs w:val="24"/>
          <w:shd w:val="clear" w:color="auto" w:fill="FFFFFF"/>
          <w:lang w:eastAsia="en-GB"/>
        </w:rPr>
        <w:t>.</w:t>
      </w:r>
    </w:p>
    <w:p w:rsidR="00C81A68" w:rsidRPr="00C81A68" w:rsidRDefault="00C81A68" w:rsidP="008A720D">
      <w:pPr>
        <w:spacing w:after="0" w:line="480" w:lineRule="auto"/>
        <w:jc w:val="center"/>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[Insert Table 3 here]</w:t>
      </w:r>
    </w:p>
    <w:p w:rsidR="00C81A68" w:rsidRPr="00C81A68" w:rsidRDefault="00C81A68" w:rsidP="00D0417E">
      <w:pPr>
        <w:numPr>
          <w:ilvl w:val="0"/>
          <w:numId w:val="16"/>
        </w:numPr>
        <w:tabs>
          <w:tab w:val="left" w:pos="480"/>
        </w:tabs>
        <w:spacing w:after="0" w:line="480" w:lineRule="auto"/>
        <w:ind w:left="0" w:firstLine="0"/>
        <w:contextualSpacing/>
        <w:jc w:val="center"/>
        <w:rPr>
          <w:rFonts w:ascii="Times New Roman" w:eastAsia="Arial" w:hAnsi="Times New Roman" w:cs="Times New Roman"/>
          <w:b/>
          <w:sz w:val="24"/>
          <w:szCs w:val="24"/>
          <w:lang w:eastAsia="en-GB"/>
        </w:rPr>
      </w:pPr>
      <w:r w:rsidRPr="00C81A68">
        <w:rPr>
          <w:rFonts w:ascii="Times New Roman" w:eastAsia="Arial" w:hAnsi="Times New Roman" w:cs="Times New Roman"/>
          <w:b/>
          <w:sz w:val="24"/>
          <w:szCs w:val="24"/>
          <w:lang w:eastAsia="en-GB"/>
        </w:rPr>
        <w:t>Robustness Tests</w:t>
      </w:r>
    </w:p>
    <w:p w:rsidR="00C81A68" w:rsidRPr="00C81A68" w:rsidRDefault="00C81A68" w:rsidP="00C81A68">
      <w:pPr>
        <w:tabs>
          <w:tab w:val="left" w:pos="600"/>
        </w:tabs>
        <w:spacing w:after="0" w:line="480" w:lineRule="auto"/>
        <w:jc w:val="both"/>
        <w:rPr>
          <w:rFonts w:ascii="Times New Roman" w:eastAsia="Arial" w:hAnsi="Times New Roman" w:cs="Times New Roman"/>
          <w:i/>
          <w:sz w:val="24"/>
          <w:szCs w:val="24"/>
          <w:lang w:eastAsia="en-GB"/>
        </w:rPr>
      </w:pPr>
      <w:r w:rsidRPr="00C81A68">
        <w:rPr>
          <w:rFonts w:ascii="Times New Roman" w:eastAsia="Arial" w:hAnsi="Times New Roman" w:cs="Times New Roman"/>
          <w:i/>
          <w:sz w:val="24"/>
          <w:szCs w:val="24"/>
          <w:lang w:eastAsia="en-GB"/>
        </w:rPr>
        <w:t xml:space="preserve">6.1 Timing of IDD Adoption </w:t>
      </w:r>
    </w:p>
    <w:p w:rsidR="00C81A68" w:rsidRPr="00C81A68" w:rsidRDefault="00C81A68" w:rsidP="00C81A68">
      <w:pPr>
        <w:spacing w:after="0" w:line="480" w:lineRule="auto"/>
        <w:ind w:firstLine="567"/>
        <w:jc w:val="both"/>
        <w:rPr>
          <w:rFonts w:ascii="Times New Roman" w:eastAsia="Arial" w:hAnsi="Times New Roman" w:cs="Times New Roman"/>
          <w:color w:val="000000"/>
          <w:sz w:val="24"/>
          <w:szCs w:val="24"/>
          <w:lang w:eastAsia="en-GB"/>
        </w:rPr>
      </w:pPr>
      <w:r w:rsidRPr="00C81A68">
        <w:rPr>
          <w:rFonts w:ascii="Times New Roman" w:eastAsia="Arial" w:hAnsi="Times New Roman" w:cs="Times New Roman"/>
          <w:sz w:val="24"/>
          <w:szCs w:val="24"/>
          <w:lang w:eastAsia="en-GB"/>
        </w:rPr>
        <w:t xml:space="preserve">Our interpretation of a causal effect of IDD adoption on corporate tax avoidance relies on a critical assumption, commonly known as the “parallel trends assumption". This assumption requires that the trends in outcomes between the treated and control groups are similar before the exogeneous shock. In our context, this translates into the similar levels of tax avoidance activities between firms in states that have adopted the IDD and those in states that have not. </w:t>
      </w:r>
      <w:r w:rsidRPr="00C81A68">
        <w:rPr>
          <w:rFonts w:ascii="Times New Roman" w:eastAsia="Arial" w:hAnsi="Times New Roman" w:cs="Times New Roman"/>
          <w:color w:val="000000"/>
          <w:sz w:val="24"/>
          <w:szCs w:val="24"/>
          <w:lang w:eastAsia="en-GB"/>
        </w:rPr>
        <w:t xml:space="preserve">In this section, we explore whether the parallel-trend assumption is satisfied before IDD adoption. Specifically, we re-estimate our baseline specifications (Models 1 and 2 in Table 2) by replacing the IDD indicator with four lead-lag terms. They are: IDD Adoption </w:t>
      </w:r>
      <w:r w:rsidRPr="00C81A68">
        <w:rPr>
          <w:rFonts w:ascii="Times New Roman" w:eastAsia="Arial" w:hAnsi="Times New Roman" w:cs="Times New Roman"/>
          <w:color w:val="000000"/>
          <w:sz w:val="24"/>
          <w:szCs w:val="24"/>
          <w:vertAlign w:val="superscript"/>
          <w:lang w:eastAsia="en-GB"/>
        </w:rPr>
        <w:t>-</w:t>
      </w:r>
      <w:r w:rsidRPr="00C81A68">
        <w:rPr>
          <w:rFonts w:ascii="Times New Roman" w:eastAsia="Arial" w:hAnsi="Times New Roman" w:cs="Times New Roman"/>
          <w:color w:val="000000"/>
          <w:sz w:val="24"/>
          <w:szCs w:val="24"/>
          <w:vertAlign w:val="superscript"/>
          <w:lang w:eastAsia="en-GB"/>
        </w:rPr>
        <w:lastRenderedPageBreak/>
        <w:t>2</w:t>
      </w:r>
      <w:r w:rsidRPr="00C81A68">
        <w:rPr>
          <w:rFonts w:ascii="Times New Roman" w:eastAsia="Arial" w:hAnsi="Times New Roman" w:cs="Times New Roman"/>
          <w:color w:val="000000"/>
          <w:sz w:val="24"/>
          <w:szCs w:val="24"/>
          <w:lang w:eastAsia="en-GB"/>
        </w:rPr>
        <w:t xml:space="preserve">, IDD Adoption </w:t>
      </w:r>
      <w:r w:rsidRPr="00C81A68">
        <w:rPr>
          <w:rFonts w:ascii="Times New Roman" w:eastAsia="Arial" w:hAnsi="Times New Roman" w:cs="Times New Roman"/>
          <w:color w:val="000000"/>
          <w:sz w:val="24"/>
          <w:szCs w:val="24"/>
          <w:vertAlign w:val="superscript"/>
          <w:lang w:eastAsia="en-GB"/>
        </w:rPr>
        <w:t>-1</w:t>
      </w:r>
      <w:r w:rsidRPr="00C81A68">
        <w:rPr>
          <w:rFonts w:ascii="Times New Roman" w:eastAsia="Arial" w:hAnsi="Times New Roman" w:cs="Times New Roman"/>
          <w:color w:val="000000"/>
          <w:sz w:val="24"/>
          <w:szCs w:val="24"/>
          <w:lang w:eastAsia="en-GB"/>
        </w:rPr>
        <w:t>, IDD Adoption</w:t>
      </w:r>
      <w:r w:rsidRPr="00C81A68">
        <w:rPr>
          <w:rFonts w:ascii="Times New Roman" w:eastAsia="Arial" w:hAnsi="Times New Roman" w:cs="Times New Roman"/>
          <w:color w:val="000000"/>
          <w:sz w:val="24"/>
          <w:szCs w:val="24"/>
          <w:vertAlign w:val="superscript"/>
          <w:lang w:eastAsia="en-GB"/>
        </w:rPr>
        <w:t>0</w:t>
      </w:r>
      <w:r w:rsidRPr="00C81A68">
        <w:rPr>
          <w:rFonts w:ascii="Times New Roman" w:eastAsia="Arial" w:hAnsi="Times New Roman" w:cs="Times New Roman"/>
          <w:color w:val="000000"/>
          <w:sz w:val="24"/>
          <w:szCs w:val="24"/>
          <w:lang w:eastAsia="en-GB"/>
        </w:rPr>
        <w:t>, IDD Adoption</w:t>
      </w:r>
      <w:r w:rsidRPr="00C81A68">
        <w:rPr>
          <w:rFonts w:ascii="Times New Roman" w:eastAsia="Arial" w:hAnsi="Times New Roman" w:cs="Times New Roman"/>
          <w:color w:val="000000"/>
          <w:sz w:val="24"/>
          <w:szCs w:val="24"/>
          <w:vertAlign w:val="superscript"/>
          <w:lang w:eastAsia="en-GB"/>
        </w:rPr>
        <w:t>+1</w:t>
      </w:r>
      <w:r w:rsidRPr="00C81A68">
        <w:rPr>
          <w:rFonts w:ascii="Times New Roman" w:eastAsia="Arial" w:hAnsi="Times New Roman" w:cs="Times New Roman"/>
          <w:color w:val="000000"/>
          <w:sz w:val="24"/>
          <w:szCs w:val="24"/>
          <w:lang w:eastAsia="en-GB"/>
        </w:rPr>
        <w:t xml:space="preserve"> and IDD Adoption</w:t>
      </w:r>
      <w:r w:rsidRPr="00C81A68">
        <w:rPr>
          <w:rFonts w:ascii="Times New Roman" w:eastAsia="Arial" w:hAnsi="Times New Roman" w:cs="Times New Roman"/>
          <w:color w:val="000000"/>
          <w:sz w:val="24"/>
          <w:szCs w:val="24"/>
          <w:vertAlign w:val="superscript"/>
          <w:lang w:eastAsia="en-GB"/>
        </w:rPr>
        <w:t>2+</w:t>
      </w:r>
      <w:r w:rsidRPr="00C81A68">
        <w:rPr>
          <w:rFonts w:ascii="Times New Roman" w:eastAsia="Arial" w:hAnsi="Times New Roman" w:cs="Times New Roman"/>
          <w:color w:val="000000"/>
          <w:sz w:val="24"/>
          <w:szCs w:val="24"/>
          <w:lang w:eastAsia="en-GB"/>
        </w:rPr>
        <w:t xml:space="preserve">, which are equal to one if the firm is headquartered in a state that will adopt the IDD in two years, will adopt the IDD in one year, adopted the IDD in the current year, adopted the IDD one year ago, or adopted the IDD two or more years ago, respectively, and zero otherwise. In addition, we also include a dummy variable of IDD Rejection, which equals one if the state where the firm is headquartered has rejected the previously adopted IDD in year t, and zero otherwise. Year, industry and state fixed effects are included in the analyses. </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color w:val="000000"/>
          <w:sz w:val="24"/>
          <w:szCs w:val="24"/>
          <w:lang w:eastAsia="en-GB"/>
        </w:rPr>
        <w:t xml:space="preserve">In Models 1 and 2 of Table 4, we find that the coefficients on IDD Adoption </w:t>
      </w:r>
      <w:r w:rsidRPr="00C81A68">
        <w:rPr>
          <w:rFonts w:ascii="Times New Roman" w:eastAsia="Arial" w:hAnsi="Times New Roman" w:cs="Times New Roman"/>
          <w:color w:val="000000"/>
          <w:sz w:val="24"/>
          <w:szCs w:val="24"/>
          <w:vertAlign w:val="superscript"/>
          <w:lang w:eastAsia="en-GB"/>
        </w:rPr>
        <w:t>-2</w:t>
      </w:r>
      <w:r w:rsidRPr="00C81A68">
        <w:rPr>
          <w:rFonts w:ascii="Times New Roman" w:eastAsia="Arial" w:hAnsi="Times New Roman" w:cs="Times New Roman"/>
          <w:color w:val="000000"/>
          <w:sz w:val="24"/>
          <w:szCs w:val="24"/>
          <w:lang w:eastAsia="en-GB"/>
        </w:rPr>
        <w:t>, IDD Adoption</w:t>
      </w:r>
      <w:r w:rsidRPr="00C81A68">
        <w:rPr>
          <w:rFonts w:ascii="Times New Roman" w:eastAsia="Arial" w:hAnsi="Times New Roman" w:cs="Times New Roman"/>
          <w:color w:val="000000"/>
          <w:sz w:val="24"/>
          <w:szCs w:val="24"/>
          <w:vertAlign w:val="superscript"/>
          <w:lang w:eastAsia="en-GB"/>
        </w:rPr>
        <w:t>-1</w:t>
      </w:r>
      <w:r w:rsidRPr="00C81A68">
        <w:rPr>
          <w:rFonts w:ascii="Times New Roman" w:eastAsia="Arial" w:hAnsi="Times New Roman" w:cs="Times New Roman"/>
          <w:color w:val="000000"/>
          <w:sz w:val="24"/>
          <w:szCs w:val="24"/>
          <w:lang w:eastAsia="en-GB"/>
        </w:rPr>
        <w:t>, IDD Adoption</w:t>
      </w:r>
      <w:r w:rsidRPr="00C81A68">
        <w:rPr>
          <w:rFonts w:ascii="Times New Roman" w:eastAsia="Arial" w:hAnsi="Times New Roman" w:cs="Times New Roman"/>
          <w:color w:val="000000"/>
          <w:sz w:val="24"/>
          <w:szCs w:val="24"/>
          <w:vertAlign w:val="superscript"/>
          <w:lang w:eastAsia="en-GB"/>
        </w:rPr>
        <w:t>0</w:t>
      </w:r>
      <w:r w:rsidRPr="00C81A68">
        <w:rPr>
          <w:rFonts w:ascii="Times New Roman" w:eastAsia="Arial" w:hAnsi="Times New Roman" w:cs="Times New Roman"/>
          <w:color w:val="000000"/>
          <w:sz w:val="24"/>
          <w:szCs w:val="24"/>
          <w:lang w:eastAsia="en-GB"/>
        </w:rPr>
        <w:t xml:space="preserve"> and IDD Adoption</w:t>
      </w:r>
      <w:r w:rsidRPr="00C81A68">
        <w:rPr>
          <w:rFonts w:ascii="Times New Roman" w:eastAsia="Arial" w:hAnsi="Times New Roman" w:cs="Times New Roman"/>
          <w:color w:val="000000"/>
          <w:sz w:val="24"/>
          <w:szCs w:val="24"/>
          <w:vertAlign w:val="superscript"/>
          <w:lang w:eastAsia="en-GB"/>
        </w:rPr>
        <w:t>+1</w:t>
      </w:r>
      <w:r w:rsidRPr="00C81A68">
        <w:rPr>
          <w:rFonts w:ascii="Times New Roman" w:eastAsia="Arial" w:hAnsi="Times New Roman" w:cs="Times New Roman"/>
          <w:color w:val="000000"/>
          <w:sz w:val="24"/>
          <w:szCs w:val="24"/>
          <w:lang w:eastAsia="en-GB"/>
        </w:rPr>
        <w:t xml:space="preserve"> are all insignificant. In contrast, we report that the coefficient on IDD Adoption</w:t>
      </w:r>
      <w:r w:rsidRPr="00C81A68">
        <w:rPr>
          <w:rFonts w:ascii="Times New Roman" w:eastAsia="Arial" w:hAnsi="Times New Roman" w:cs="Times New Roman"/>
          <w:color w:val="000000"/>
          <w:sz w:val="24"/>
          <w:szCs w:val="24"/>
          <w:vertAlign w:val="superscript"/>
          <w:lang w:eastAsia="en-GB"/>
        </w:rPr>
        <w:t>2+</w:t>
      </w:r>
      <w:r w:rsidRPr="00C81A68">
        <w:rPr>
          <w:rFonts w:ascii="Times New Roman" w:eastAsia="Arial" w:hAnsi="Times New Roman" w:cs="Times New Roman"/>
          <w:color w:val="000000"/>
          <w:sz w:val="24"/>
          <w:szCs w:val="24"/>
          <w:lang w:eastAsia="en-GB"/>
        </w:rPr>
        <w:t xml:space="preserve"> is negative (positive) and significant in Model 1 where effective tax rates are the dependent variable (Model 2 where book-tax differences are the dependent variable). These results suggest that firms started engaging in more aggressive tax avoidance strategies after the adoption of the IDD, but not before. It is plausible that the ETR (BTD) becomes lower (larger) two years after adoption of the IDD, since it takes time for the benefit of tax avoidance strategies to materialize. Importantly, the coefficient on IDD Rejection is positive and significant in Model 1 (the coefficient is insignificant in Model 2), which suggests a decrease in tax avoidance after the IDD has been rejected in a state in which IDD was previously adopted. After the rejection of the IDD, trade secrets can be more easily divulged to competitors with the mobility of key employees. Such competitive threats reduce the certainty of future earnings and the benefit of tax avoidance and the return from investment on tax avoidance becomes lower. Hence, firms would engage in tax avoidance to a lesser extent after IDD rejection. Collectively, our results provide evidence supporting a positive impact of IDD adoption on tax avoidance.</w:t>
      </w:r>
    </w:p>
    <w:p w:rsidR="00C81A68" w:rsidRPr="00C81A68" w:rsidRDefault="00C81A68" w:rsidP="00C81A68">
      <w:pPr>
        <w:spacing w:after="0" w:line="480" w:lineRule="auto"/>
        <w:jc w:val="center"/>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[Insert Table 4 here]</w:t>
      </w:r>
    </w:p>
    <w:p w:rsidR="00C81A68" w:rsidRPr="00C81A68" w:rsidRDefault="00C81A68" w:rsidP="00C81A68">
      <w:pPr>
        <w:tabs>
          <w:tab w:val="left" w:pos="600"/>
        </w:tabs>
        <w:spacing w:after="0" w:line="480" w:lineRule="auto"/>
        <w:jc w:val="both"/>
        <w:rPr>
          <w:rFonts w:ascii="Times New Roman" w:eastAsia="Arial" w:hAnsi="Times New Roman" w:cs="Times New Roman"/>
          <w:i/>
          <w:sz w:val="24"/>
          <w:szCs w:val="24"/>
          <w:lang w:eastAsia="en-GB"/>
        </w:rPr>
      </w:pPr>
      <w:r w:rsidRPr="00C81A68">
        <w:rPr>
          <w:rFonts w:ascii="Times New Roman" w:eastAsia="Arial" w:hAnsi="Times New Roman" w:cs="Times New Roman"/>
          <w:i/>
          <w:sz w:val="24"/>
          <w:szCs w:val="24"/>
          <w:lang w:eastAsia="en-GB"/>
        </w:rPr>
        <w:t>6.2 Dealing with Local Economic Conditions</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lastRenderedPageBreak/>
        <w:t>One alternative explanation for our main results is that changes in unobservable local economic conditions (e.g., poor investment opportunities) are associated with both state courts' decisions on the IDD and firms' corporate tax avoidance strategies.</w:t>
      </w:r>
      <w:r w:rsidRPr="00C81A68">
        <w:rPr>
          <w:rFonts w:ascii="Times New Roman" w:eastAsia="Arial" w:hAnsi="Times New Roman" w:cs="Times New Roman"/>
          <w:sz w:val="24"/>
          <w:szCs w:val="24"/>
          <w:vertAlign w:val="superscript"/>
          <w:lang w:eastAsia="en-GB"/>
        </w:rPr>
        <w:footnoteReference w:id="9"/>
      </w:r>
      <w:hyperlink w:anchor="page15" w:history="1">
        <w:r w:rsidRPr="00C81A68">
          <w:rPr>
            <w:rFonts w:ascii="Times New Roman" w:eastAsia="Arial" w:hAnsi="Times New Roman" w:cs="Times New Roman"/>
            <w:sz w:val="24"/>
            <w:szCs w:val="24"/>
            <w:lang w:eastAsia="en-GB"/>
          </w:rPr>
          <w:t xml:space="preserve"> </w:t>
        </w:r>
      </w:hyperlink>
      <w:r w:rsidRPr="00C81A68">
        <w:rPr>
          <w:rFonts w:ascii="Times New Roman" w:eastAsia="Arial" w:hAnsi="Times New Roman" w:cs="Times New Roman"/>
          <w:sz w:val="24"/>
          <w:szCs w:val="24"/>
          <w:lang w:eastAsia="en-GB"/>
        </w:rPr>
        <w:t xml:space="preserve">If this is the case, then the observed relationship between the IDD and corporate tax avoidance could be spurious. In this section, we address such concerns by matching each IDD-adoption state (treatment group) with its neighbouring non-IDD-adoption states (control group). </w:t>
      </w:r>
    </w:p>
    <w:p w:rsidR="00C81A68" w:rsidRPr="00C81A68" w:rsidRDefault="000A0E61" w:rsidP="00C81A68">
      <w:pPr>
        <w:spacing w:after="0" w:line="480" w:lineRule="auto"/>
        <w:ind w:firstLine="567"/>
        <w:jc w:val="both"/>
        <w:rPr>
          <w:rFonts w:ascii="Times New Roman" w:eastAsia="Arial" w:hAnsi="Times New Roman" w:cs="Times New Roman"/>
          <w:sz w:val="24"/>
          <w:szCs w:val="24"/>
          <w:lang w:eastAsia="en-GB"/>
        </w:rPr>
      </w:pPr>
      <w:hyperlink w:anchor="page19" w:history="1">
        <w:r w:rsidR="00C81A68" w:rsidRPr="00C81A68">
          <w:rPr>
            <w:rFonts w:ascii="Times New Roman" w:eastAsia="Arial" w:hAnsi="Times New Roman" w:cs="Times New Roman"/>
            <w:sz w:val="24"/>
            <w:szCs w:val="24"/>
            <w:lang w:eastAsia="en-GB"/>
          </w:rPr>
          <w:t xml:space="preserve">Li et al. </w:t>
        </w:r>
      </w:hyperlink>
      <w:r w:rsidR="00C81A68" w:rsidRPr="00C81A68">
        <w:rPr>
          <w:rFonts w:ascii="Times New Roman" w:eastAsia="Arial" w:hAnsi="Times New Roman" w:cs="Times New Roman"/>
          <w:sz w:val="24"/>
          <w:szCs w:val="24"/>
          <w:lang w:eastAsia="en-GB"/>
        </w:rPr>
        <w:t>(</w:t>
      </w:r>
      <w:hyperlink w:anchor="page19" w:history="1">
        <w:r w:rsidR="00C81A68" w:rsidRPr="00C81A68">
          <w:rPr>
            <w:rFonts w:ascii="Times New Roman" w:eastAsia="Arial" w:hAnsi="Times New Roman" w:cs="Times New Roman"/>
            <w:sz w:val="24"/>
            <w:szCs w:val="24"/>
            <w:lang w:eastAsia="en-GB"/>
          </w:rPr>
          <w:t>2018</w:t>
        </w:r>
      </w:hyperlink>
      <w:r w:rsidR="00C81A68" w:rsidRPr="00C81A68">
        <w:rPr>
          <w:rFonts w:ascii="Times New Roman" w:eastAsia="Calibri" w:hAnsi="Times New Roman" w:cs="Times New Roman"/>
          <w:sz w:val="24"/>
          <w:szCs w:val="24"/>
          <w:lang w:eastAsia="en-GB"/>
        </w:rPr>
        <w:t>a</w:t>
      </w:r>
      <w:r w:rsidR="00C81A68" w:rsidRPr="00C81A68">
        <w:rPr>
          <w:rFonts w:ascii="Times New Roman" w:eastAsia="Arial" w:hAnsi="Times New Roman" w:cs="Times New Roman"/>
          <w:sz w:val="24"/>
          <w:szCs w:val="24"/>
          <w:lang w:eastAsia="en-GB"/>
        </w:rPr>
        <w:t>) argue that unobserved changes in economic conditions are likely to spread across neighbouring states, thus making them exposed to the same local economic conditions. Therefore, the neighbouring-state matching allows us to compare the corporate tax avoidance activities of firms in the state that experience similar economic conditions.</w:t>
      </w:r>
      <w:r w:rsidR="00C81A68" w:rsidRPr="00C81A68">
        <w:rPr>
          <w:rFonts w:ascii="Times New Roman" w:eastAsia="Arial" w:hAnsi="Times New Roman" w:cs="Times New Roman"/>
          <w:sz w:val="24"/>
          <w:szCs w:val="24"/>
          <w:vertAlign w:val="superscript"/>
          <w:lang w:eastAsia="en-GB"/>
        </w:rPr>
        <w:footnoteReference w:id="10"/>
      </w:r>
      <w:r w:rsidR="00C81A68" w:rsidRPr="00C81A68">
        <w:rPr>
          <w:rFonts w:ascii="Times New Roman" w:eastAsia="Arial" w:hAnsi="Times New Roman" w:cs="Times New Roman"/>
          <w:sz w:val="24"/>
          <w:szCs w:val="24"/>
          <w:lang w:eastAsia="en-GB"/>
        </w:rPr>
        <w:t xml:space="preserve"> If the observed impact for the full sample is exclusively driven by any omitted variables related to local economic conditions, then one should expect the relationship between IDD adoption and tax avoidance to be insignificant. In Models 1 and 2 of Table 5, we re-estimate Equation (1) using the neighbouring-state matched sample. Our results show that the coefficient on the IDD continues to be negative and statistically significant at the one percent level, which suggests a decrease in effective tax rates and an increase in book-tax differences following IDD adoption. Collectively, these results suggest that the likelihood of unobservable changes in the local economic conditions are unlikely to drive the significant impact of the IDD on tax avoidance behaviour.</w:t>
      </w:r>
    </w:p>
    <w:p w:rsidR="00C81A68" w:rsidRPr="00C81A68" w:rsidRDefault="00C81A68" w:rsidP="00C81A68">
      <w:pPr>
        <w:spacing w:after="0" w:line="480" w:lineRule="auto"/>
        <w:jc w:val="center"/>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[Insert Table 5 here]</w:t>
      </w:r>
    </w:p>
    <w:p w:rsidR="00C81A68" w:rsidRPr="00C81A68" w:rsidRDefault="00C81A68" w:rsidP="00C81A68">
      <w:pPr>
        <w:tabs>
          <w:tab w:val="left" w:pos="600"/>
        </w:tabs>
        <w:spacing w:after="0" w:line="480" w:lineRule="auto"/>
        <w:jc w:val="both"/>
        <w:rPr>
          <w:rFonts w:ascii="Times New Roman" w:eastAsia="Arial" w:hAnsi="Times New Roman" w:cs="Times New Roman"/>
          <w:i/>
          <w:sz w:val="24"/>
          <w:szCs w:val="24"/>
          <w:lang w:eastAsia="en-GB"/>
        </w:rPr>
      </w:pPr>
      <w:r w:rsidRPr="00C81A68">
        <w:rPr>
          <w:rFonts w:ascii="Times New Roman" w:eastAsia="Arial" w:hAnsi="Times New Roman" w:cs="Times New Roman"/>
          <w:i/>
          <w:sz w:val="24"/>
          <w:szCs w:val="24"/>
          <w:lang w:eastAsia="en-GB"/>
        </w:rPr>
        <w:t>6.3 Alternative Measures of Tax Avoidance</w:t>
      </w:r>
    </w:p>
    <w:p w:rsidR="00C81A68" w:rsidRPr="00C81A68" w:rsidRDefault="00C81A68" w:rsidP="00D0417E">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lastRenderedPageBreak/>
        <w:t>In the main analysis we use book effective tax rates (ETR) and book-tax differences (BTD) as the primary proxies of tax avoidance. In this section, we employ alternative measures of tax avoidance to rule out that our results are driven by the choice of specific tax avoidance measures.</w:t>
      </w:r>
      <w:r w:rsidR="00D0417E">
        <w:rPr>
          <w:rFonts w:ascii="Times New Roman" w:eastAsia="Arial" w:hAnsi="Times New Roman" w:cs="Times New Roman"/>
          <w:sz w:val="24"/>
          <w:szCs w:val="24"/>
          <w:lang w:eastAsia="en-GB"/>
        </w:rPr>
        <w:t xml:space="preserve"> </w:t>
      </w:r>
      <w:r w:rsidRPr="00C81A68">
        <w:rPr>
          <w:rFonts w:ascii="Times New Roman" w:eastAsia="Arial" w:hAnsi="Times New Roman" w:cs="Times New Roman"/>
          <w:sz w:val="24"/>
          <w:szCs w:val="24"/>
          <w:lang w:eastAsia="en-GB"/>
        </w:rPr>
        <w:t>Table 6 presents the results of estimating Equation (1) using alternative measures of tax avoidance. In Model 1 of Table 6, the dependent variable is the long-run effective tax rates (LRETR), which are calculated as the sum of total tax expense from year t-4 to year t, divided by the sum of pre-tax book income, accumulated over the same period (</w:t>
      </w:r>
      <w:proofErr w:type="spellStart"/>
      <w:r w:rsidRPr="00C81A68">
        <w:rPr>
          <w:rFonts w:ascii="Calibri" w:eastAsia="Calibri" w:hAnsi="Calibri" w:cs="Arial"/>
          <w:sz w:val="20"/>
          <w:szCs w:val="20"/>
          <w:lang w:eastAsia="en-GB"/>
        </w:rPr>
        <w:fldChar w:fldCharType="begin"/>
      </w:r>
      <w:r w:rsidRPr="00C81A68">
        <w:rPr>
          <w:rFonts w:ascii="Calibri" w:eastAsia="Calibri" w:hAnsi="Calibri" w:cs="Arial"/>
          <w:sz w:val="20"/>
          <w:szCs w:val="20"/>
          <w:lang w:eastAsia="en-GB"/>
        </w:rPr>
        <w:instrText xml:space="preserve"> HYPERLINK \l "page18" </w:instrText>
      </w:r>
      <w:r w:rsidRPr="00C81A68">
        <w:rPr>
          <w:rFonts w:ascii="Calibri" w:eastAsia="Calibri" w:hAnsi="Calibri" w:cs="Arial"/>
          <w:sz w:val="20"/>
          <w:szCs w:val="20"/>
          <w:lang w:eastAsia="en-GB"/>
        </w:rPr>
        <w:fldChar w:fldCharType="separate"/>
      </w:r>
      <w:r w:rsidRPr="00C81A68">
        <w:rPr>
          <w:rFonts w:ascii="Times New Roman" w:eastAsia="Arial" w:hAnsi="Times New Roman" w:cs="Times New Roman"/>
          <w:sz w:val="24"/>
          <w:szCs w:val="24"/>
          <w:lang w:eastAsia="en-GB"/>
        </w:rPr>
        <w:t>Dyreng</w:t>
      </w:r>
      <w:proofErr w:type="spellEnd"/>
      <w:r w:rsidRPr="00C81A68">
        <w:rPr>
          <w:rFonts w:ascii="Times New Roman" w:eastAsia="Arial" w:hAnsi="Times New Roman" w:cs="Times New Roman"/>
          <w:sz w:val="24"/>
          <w:szCs w:val="24"/>
          <w:lang w:eastAsia="en-GB"/>
        </w:rPr>
        <w:t xml:space="preserve"> et al. </w:t>
      </w:r>
      <w:r w:rsidRPr="00C81A68">
        <w:rPr>
          <w:rFonts w:ascii="Times New Roman" w:eastAsia="Arial" w:hAnsi="Times New Roman" w:cs="Times New Roman"/>
          <w:sz w:val="24"/>
          <w:szCs w:val="24"/>
          <w:lang w:eastAsia="en-GB"/>
        </w:rPr>
        <w:fldChar w:fldCharType="end"/>
      </w:r>
      <w:hyperlink w:anchor="page18" w:history="1">
        <w:r w:rsidRPr="00C81A68">
          <w:rPr>
            <w:rFonts w:ascii="Times New Roman" w:eastAsia="Arial" w:hAnsi="Times New Roman" w:cs="Times New Roman"/>
            <w:sz w:val="24"/>
            <w:szCs w:val="24"/>
            <w:lang w:eastAsia="en-GB"/>
          </w:rPr>
          <w:t>2008</w:t>
        </w:r>
      </w:hyperlink>
      <w:r w:rsidRPr="00C81A68">
        <w:rPr>
          <w:rFonts w:ascii="Times New Roman" w:eastAsia="Arial" w:hAnsi="Times New Roman" w:cs="Times New Roman"/>
          <w:sz w:val="24"/>
          <w:szCs w:val="24"/>
          <w:lang w:eastAsia="en-GB"/>
        </w:rPr>
        <w:t xml:space="preserve">; </w:t>
      </w:r>
      <w:hyperlink w:anchor="page19" w:history="1">
        <w:proofErr w:type="spellStart"/>
        <w:r w:rsidRPr="00C81A68">
          <w:rPr>
            <w:rFonts w:ascii="Times New Roman" w:eastAsia="Arial" w:hAnsi="Times New Roman" w:cs="Times New Roman"/>
            <w:sz w:val="24"/>
            <w:szCs w:val="24"/>
            <w:lang w:eastAsia="en-GB"/>
          </w:rPr>
          <w:t>Kubick</w:t>
        </w:r>
        <w:proofErr w:type="spellEnd"/>
        <w:r w:rsidRPr="00C81A68">
          <w:rPr>
            <w:rFonts w:ascii="Times New Roman" w:eastAsia="Arial" w:hAnsi="Times New Roman" w:cs="Times New Roman"/>
            <w:sz w:val="24"/>
            <w:szCs w:val="24"/>
            <w:lang w:eastAsia="en-GB"/>
          </w:rPr>
          <w:t xml:space="preserve"> et al. </w:t>
        </w:r>
      </w:hyperlink>
      <w:hyperlink w:anchor="page19" w:history="1">
        <w:r w:rsidRPr="00C81A68">
          <w:rPr>
            <w:rFonts w:ascii="Times New Roman" w:eastAsia="Arial" w:hAnsi="Times New Roman" w:cs="Times New Roman"/>
            <w:sz w:val="24"/>
            <w:szCs w:val="24"/>
            <w:lang w:eastAsia="en-GB"/>
          </w:rPr>
          <w:t>2015</w:t>
        </w:r>
      </w:hyperlink>
      <w:r w:rsidRPr="00C81A68">
        <w:rPr>
          <w:rFonts w:ascii="Times New Roman" w:eastAsia="Arial" w:hAnsi="Times New Roman" w:cs="Times New Roman"/>
          <w:sz w:val="24"/>
          <w:szCs w:val="24"/>
          <w:lang w:eastAsia="en-GB"/>
        </w:rPr>
        <w:t>). We find the coefficient on the IDD to be negative and significant at the one percent level. In Models 2 and 3, we use ETR2, which is calculated as current tax expense divided by net income before extraordinary items plus current tax expense plus minority interest less extraordinary items less equity in earnings and ETR3, which is calculated as total tax expense less change in deferred tax divided by operating cash flow, respectively (</w:t>
      </w:r>
      <w:hyperlink w:anchor="page19" w:history="1">
        <w:r w:rsidRPr="00C81A68">
          <w:rPr>
            <w:rFonts w:ascii="Times New Roman" w:eastAsia="Arial" w:hAnsi="Times New Roman" w:cs="Times New Roman"/>
            <w:sz w:val="24"/>
            <w:szCs w:val="24"/>
            <w:lang w:eastAsia="en-GB"/>
          </w:rPr>
          <w:t>Lennox et al.</w:t>
        </w:r>
      </w:hyperlink>
      <w:r w:rsidRPr="00C81A68">
        <w:rPr>
          <w:rFonts w:ascii="Times New Roman" w:eastAsia="Arial" w:hAnsi="Times New Roman" w:cs="Times New Roman"/>
          <w:sz w:val="24"/>
          <w:szCs w:val="24"/>
          <w:lang w:eastAsia="en-GB"/>
        </w:rPr>
        <w:t xml:space="preserve"> </w:t>
      </w:r>
      <w:hyperlink w:anchor="page19" w:history="1">
        <w:r w:rsidRPr="00C81A68">
          <w:rPr>
            <w:rFonts w:ascii="Times New Roman" w:eastAsia="Arial" w:hAnsi="Times New Roman" w:cs="Times New Roman"/>
            <w:sz w:val="24"/>
            <w:szCs w:val="24"/>
            <w:lang w:eastAsia="en-GB"/>
          </w:rPr>
          <w:t>2013</w:t>
        </w:r>
      </w:hyperlink>
      <w:r w:rsidRPr="00C81A68">
        <w:rPr>
          <w:rFonts w:ascii="Times New Roman" w:eastAsia="Arial" w:hAnsi="Times New Roman" w:cs="Times New Roman"/>
          <w:sz w:val="24"/>
          <w:szCs w:val="24"/>
          <w:lang w:eastAsia="en-GB"/>
        </w:rPr>
        <w:t xml:space="preserve">). Our results show that, in both models, the impact of the IDD on tax avoidance continues to remain statistically significant. </w:t>
      </w:r>
    </w:p>
    <w:p w:rsidR="00C81A68" w:rsidRPr="00C81A68" w:rsidRDefault="00C81A68" w:rsidP="00C81A68">
      <w:pPr>
        <w:spacing w:after="0" w:line="480" w:lineRule="auto"/>
        <w:ind w:firstLine="567"/>
        <w:jc w:val="both"/>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Next, in Model 4 of Table 6, we consider whether our inference holds if we replace ETR measure with Cash ETR, which is defined as cash taxes paid divided by pre-tax income (</w:t>
      </w:r>
      <w:proofErr w:type="spellStart"/>
      <w:r w:rsidRPr="00C81A68">
        <w:rPr>
          <w:rFonts w:ascii="Calibri" w:eastAsia="Calibri" w:hAnsi="Calibri" w:cs="Arial"/>
          <w:sz w:val="20"/>
          <w:szCs w:val="20"/>
          <w:lang w:eastAsia="en-GB"/>
        </w:rPr>
        <w:fldChar w:fldCharType="begin"/>
      </w:r>
      <w:r w:rsidRPr="00C81A68">
        <w:rPr>
          <w:rFonts w:ascii="Calibri" w:eastAsia="Calibri" w:hAnsi="Calibri" w:cs="Arial"/>
          <w:sz w:val="20"/>
          <w:szCs w:val="20"/>
          <w:lang w:eastAsia="en-GB"/>
        </w:rPr>
        <w:instrText xml:space="preserve"> HYPERLINK \l "page19" </w:instrText>
      </w:r>
      <w:r w:rsidRPr="00C81A68">
        <w:rPr>
          <w:rFonts w:ascii="Calibri" w:eastAsia="Calibri" w:hAnsi="Calibri" w:cs="Arial"/>
          <w:sz w:val="20"/>
          <w:szCs w:val="20"/>
          <w:lang w:eastAsia="en-GB"/>
        </w:rPr>
        <w:fldChar w:fldCharType="separate"/>
      </w:r>
      <w:r w:rsidRPr="00C81A68">
        <w:rPr>
          <w:rFonts w:ascii="Times New Roman" w:eastAsia="Arial" w:hAnsi="Times New Roman" w:cs="Times New Roman"/>
          <w:sz w:val="24"/>
          <w:szCs w:val="24"/>
          <w:lang w:eastAsia="en-GB"/>
        </w:rPr>
        <w:t>Kubick</w:t>
      </w:r>
      <w:proofErr w:type="spellEnd"/>
      <w:r w:rsidRPr="00C81A68">
        <w:rPr>
          <w:rFonts w:ascii="Times New Roman" w:eastAsia="Arial" w:hAnsi="Times New Roman" w:cs="Times New Roman"/>
          <w:sz w:val="24"/>
          <w:szCs w:val="24"/>
          <w:lang w:eastAsia="en-GB"/>
        </w:rPr>
        <w:t xml:space="preserve"> et al. </w:t>
      </w:r>
      <w:r w:rsidRPr="00C81A68">
        <w:rPr>
          <w:rFonts w:ascii="Times New Roman" w:eastAsia="Arial" w:hAnsi="Times New Roman" w:cs="Times New Roman"/>
          <w:sz w:val="24"/>
          <w:szCs w:val="24"/>
          <w:lang w:eastAsia="en-GB"/>
        </w:rPr>
        <w:fldChar w:fldCharType="end"/>
      </w:r>
      <w:hyperlink w:anchor="page19" w:history="1">
        <w:r w:rsidRPr="00C81A68">
          <w:rPr>
            <w:rFonts w:ascii="Times New Roman" w:eastAsia="Arial" w:hAnsi="Times New Roman" w:cs="Times New Roman"/>
            <w:sz w:val="24"/>
            <w:szCs w:val="24"/>
            <w:lang w:eastAsia="en-GB"/>
          </w:rPr>
          <w:t>2015</w:t>
        </w:r>
      </w:hyperlink>
      <w:r w:rsidRPr="00C81A68">
        <w:rPr>
          <w:rFonts w:ascii="Times New Roman" w:eastAsia="Arial" w:hAnsi="Times New Roman" w:cs="Times New Roman"/>
          <w:sz w:val="24"/>
          <w:szCs w:val="24"/>
          <w:lang w:eastAsia="en-GB"/>
        </w:rPr>
        <w:t>). The rationale behind using Cash ETR is that it reflects deferral strategies that produce temporary cash savings by decreasing (increasing) cash taxes in the current (future) period (</w:t>
      </w:r>
      <w:hyperlink w:anchor="page18" w:history="1">
        <w:r w:rsidRPr="00C81A68">
          <w:rPr>
            <w:rFonts w:ascii="Times New Roman" w:eastAsia="Arial" w:hAnsi="Times New Roman" w:cs="Times New Roman"/>
            <w:sz w:val="24"/>
            <w:szCs w:val="24"/>
            <w:lang w:eastAsia="en-GB"/>
          </w:rPr>
          <w:t>Edwards et al.</w:t>
        </w:r>
      </w:hyperlink>
      <w:r w:rsidRPr="00C81A68">
        <w:rPr>
          <w:rFonts w:ascii="Times New Roman" w:eastAsia="Arial" w:hAnsi="Times New Roman" w:cs="Times New Roman"/>
          <w:sz w:val="24"/>
          <w:szCs w:val="24"/>
          <w:lang w:eastAsia="en-GB"/>
        </w:rPr>
        <w:t xml:space="preserve"> </w:t>
      </w:r>
      <w:hyperlink w:anchor="page18" w:history="1">
        <w:r w:rsidRPr="00C81A68">
          <w:rPr>
            <w:rFonts w:ascii="Times New Roman" w:eastAsia="Arial" w:hAnsi="Times New Roman" w:cs="Times New Roman"/>
            <w:sz w:val="24"/>
            <w:szCs w:val="24"/>
            <w:lang w:eastAsia="en-GB"/>
          </w:rPr>
          <w:t>2016</w:t>
        </w:r>
      </w:hyperlink>
      <w:r w:rsidRPr="00C81A68">
        <w:rPr>
          <w:rFonts w:ascii="Times New Roman" w:eastAsia="Arial" w:hAnsi="Times New Roman" w:cs="Times New Roman"/>
          <w:sz w:val="24"/>
          <w:szCs w:val="24"/>
          <w:lang w:eastAsia="en-GB"/>
        </w:rPr>
        <w:t>). We continue to find a significantly negative effect of the IDD on cash ETR. Finally, in Model 5, we use the probability of engaging in tax shelter (SHELTER), which is defined as a dummy variable that equals one if a firm's estimated probability</w:t>
      </w:r>
      <w:hyperlink w:anchor="page16" w:history="1">
        <w:r w:rsidRPr="00C81A68">
          <w:rPr>
            <w:rFonts w:ascii="Times New Roman" w:eastAsia="Arial" w:hAnsi="Times New Roman" w:cs="Times New Roman"/>
            <w:sz w:val="24"/>
            <w:szCs w:val="24"/>
            <w:lang w:eastAsia="en-GB"/>
          </w:rPr>
          <w:t xml:space="preserve"> </w:t>
        </w:r>
      </w:hyperlink>
      <w:r w:rsidRPr="00C81A68">
        <w:rPr>
          <w:rFonts w:ascii="Times New Roman" w:eastAsia="Arial" w:hAnsi="Times New Roman" w:cs="Times New Roman"/>
          <w:sz w:val="24"/>
          <w:szCs w:val="24"/>
          <w:lang w:eastAsia="en-GB"/>
        </w:rPr>
        <w:t>of using tax shelter is above the yearly sample median, and zero otherwise.</w:t>
      </w:r>
      <w:r w:rsidRPr="00C81A68">
        <w:rPr>
          <w:rFonts w:ascii="Times New Roman" w:eastAsia="Arial" w:hAnsi="Times New Roman" w:cs="Times New Roman"/>
          <w:sz w:val="24"/>
          <w:szCs w:val="24"/>
          <w:vertAlign w:val="superscript"/>
          <w:lang w:eastAsia="en-GB"/>
        </w:rPr>
        <w:footnoteReference w:id="11"/>
      </w:r>
      <w:r w:rsidRPr="00C81A68">
        <w:rPr>
          <w:rFonts w:ascii="Times New Roman" w:eastAsia="Arial" w:hAnsi="Times New Roman" w:cs="Times New Roman"/>
          <w:sz w:val="24"/>
          <w:szCs w:val="24"/>
          <w:lang w:eastAsia="en-GB"/>
        </w:rPr>
        <w:t xml:space="preserve"> We show that the </w:t>
      </w:r>
      <w:r w:rsidRPr="00C81A68">
        <w:rPr>
          <w:rFonts w:ascii="Times New Roman" w:eastAsia="Arial" w:hAnsi="Times New Roman" w:cs="Times New Roman"/>
          <w:sz w:val="24"/>
          <w:szCs w:val="24"/>
          <w:lang w:eastAsia="en-GB"/>
        </w:rPr>
        <w:lastRenderedPageBreak/>
        <w:t>coefficient on the IDD to be positive and significant. The results imply that firms in states that have adopted IDD have a higher likelihood of using tax shelters to engage in tax avoidance. These results show that our main findings of estimating Equation (1) are robust to the use of alternative measures of tax avoidance.</w:t>
      </w:r>
    </w:p>
    <w:p w:rsidR="00C81A68" w:rsidRPr="00C81A68" w:rsidRDefault="00C81A68" w:rsidP="00C81A68">
      <w:pPr>
        <w:spacing w:after="0" w:line="480" w:lineRule="auto"/>
        <w:jc w:val="center"/>
        <w:rPr>
          <w:rFonts w:ascii="Times New Roman" w:eastAsia="Arial" w:hAnsi="Times New Roman" w:cs="Times New Roman"/>
          <w:sz w:val="24"/>
          <w:szCs w:val="24"/>
          <w:lang w:eastAsia="en-GB"/>
        </w:rPr>
      </w:pPr>
      <w:r w:rsidRPr="00C81A68">
        <w:rPr>
          <w:rFonts w:ascii="Times New Roman" w:eastAsia="Arial" w:hAnsi="Times New Roman" w:cs="Times New Roman"/>
          <w:sz w:val="24"/>
          <w:szCs w:val="24"/>
          <w:lang w:eastAsia="en-GB"/>
        </w:rPr>
        <w:t>[Insert Table 6 here]</w:t>
      </w:r>
    </w:p>
    <w:p w:rsidR="00C81A68" w:rsidRPr="00C81A68" w:rsidRDefault="00C81A68" w:rsidP="00C81A68">
      <w:pPr>
        <w:tabs>
          <w:tab w:val="left" w:pos="600"/>
        </w:tabs>
        <w:spacing w:after="0" w:line="480" w:lineRule="auto"/>
        <w:jc w:val="both"/>
        <w:rPr>
          <w:rFonts w:ascii="Times New Roman" w:eastAsia="Arial" w:hAnsi="Times New Roman" w:cs="Times New Roman"/>
          <w:i/>
          <w:sz w:val="24"/>
          <w:szCs w:val="24"/>
          <w:lang w:eastAsia="en-GB"/>
        </w:rPr>
      </w:pPr>
      <w:r w:rsidRPr="00C81A68">
        <w:rPr>
          <w:rFonts w:ascii="Times New Roman" w:eastAsia="Arial" w:hAnsi="Times New Roman" w:cs="Times New Roman"/>
          <w:i/>
          <w:sz w:val="24"/>
          <w:szCs w:val="24"/>
          <w:lang w:eastAsia="en-GB"/>
        </w:rPr>
        <w:t>6.4 Removing Non-Precedent Setting States</w:t>
      </w:r>
    </w:p>
    <w:p w:rsidR="00C81A68" w:rsidRPr="00C81A68" w:rsidRDefault="00C81A68" w:rsidP="00C81A68">
      <w:pPr>
        <w:spacing w:after="0" w:line="480" w:lineRule="auto"/>
        <w:ind w:firstLine="567"/>
        <w:jc w:val="both"/>
        <w:rPr>
          <w:rFonts w:ascii="Times New Roman" w:eastAsia="Arial" w:hAnsi="Times New Roman" w:cs="Times New Roman"/>
          <w:color w:val="000000"/>
          <w:sz w:val="24"/>
          <w:szCs w:val="24"/>
          <w:lang w:eastAsia="en-GB"/>
        </w:rPr>
      </w:pPr>
      <w:r w:rsidRPr="00C81A68">
        <w:rPr>
          <w:rFonts w:ascii="Times New Roman" w:eastAsia="Arial" w:hAnsi="Times New Roman" w:cs="Times New Roman"/>
          <w:color w:val="000000"/>
          <w:sz w:val="24"/>
          <w:szCs w:val="24"/>
          <w:lang w:eastAsia="en-GB"/>
        </w:rPr>
        <w:t xml:space="preserve">In this section, we assess the robustness of our results by dropping observations in states that never adopted the IDD. We do so because </w:t>
      </w:r>
      <w:hyperlink w:anchor="page19" w:history="1">
        <w:r w:rsidRPr="00C81A68">
          <w:rPr>
            <w:rFonts w:ascii="Times New Roman" w:eastAsia="Arial" w:hAnsi="Times New Roman" w:cs="Times New Roman"/>
            <w:color w:val="000000"/>
            <w:sz w:val="24"/>
            <w:szCs w:val="24"/>
            <w:lang w:eastAsia="en-GB"/>
          </w:rPr>
          <w:t xml:space="preserve">Li et al. </w:t>
        </w:r>
      </w:hyperlink>
      <w:r w:rsidRPr="00C81A68">
        <w:rPr>
          <w:rFonts w:ascii="Times New Roman" w:eastAsia="Arial" w:hAnsi="Times New Roman" w:cs="Times New Roman"/>
          <w:color w:val="000000"/>
          <w:sz w:val="24"/>
          <w:szCs w:val="24"/>
          <w:lang w:eastAsia="en-GB"/>
        </w:rPr>
        <w:t>(</w:t>
      </w:r>
      <w:hyperlink w:anchor="page19" w:history="1">
        <w:r w:rsidRPr="00C81A68">
          <w:rPr>
            <w:rFonts w:ascii="Times New Roman" w:eastAsia="Arial" w:hAnsi="Times New Roman" w:cs="Times New Roman"/>
            <w:color w:val="000000"/>
            <w:sz w:val="24"/>
            <w:szCs w:val="24"/>
            <w:lang w:eastAsia="en-GB"/>
          </w:rPr>
          <w:t>2018</w:t>
        </w:r>
      </w:hyperlink>
      <w:r w:rsidRPr="00C81A68">
        <w:rPr>
          <w:rFonts w:ascii="Times New Roman" w:eastAsia="Calibri" w:hAnsi="Times New Roman" w:cs="Times New Roman"/>
          <w:color w:val="000000"/>
          <w:sz w:val="24"/>
          <w:szCs w:val="24"/>
          <w:lang w:eastAsia="en-GB"/>
        </w:rPr>
        <w:t>a</w:t>
      </w:r>
      <w:r w:rsidRPr="00C81A68">
        <w:rPr>
          <w:rFonts w:ascii="Times New Roman" w:eastAsia="Arial" w:hAnsi="Times New Roman" w:cs="Times New Roman"/>
          <w:color w:val="000000"/>
          <w:sz w:val="24"/>
          <w:szCs w:val="24"/>
          <w:lang w:eastAsia="en-GB"/>
        </w:rPr>
        <w:t xml:space="preserve">) suggest a court will study previous decisions on the IDD before ruling a new IDD case. In contrast, if a state court has never considered the IDD, then it remains unclear whether the IDD would be viable in that state. Compared with non-precedent setting states, precedent setting states should have clearer and stronger position on trade secret protection. Therefore, the effect of IDD adoption on tax avoidance is expected to hold after observations from non-precedent setting states are removed. The results, as presented in Panel A of Table 7, lend credence to our prediction. </w:t>
      </w:r>
    </w:p>
    <w:p w:rsidR="00C81A68" w:rsidRPr="00C81A68" w:rsidRDefault="00C81A68" w:rsidP="00C81A68">
      <w:pPr>
        <w:spacing w:after="0" w:line="480" w:lineRule="auto"/>
        <w:jc w:val="both"/>
        <w:rPr>
          <w:rFonts w:ascii="Times New Roman" w:eastAsia="Times New Roman" w:hAnsi="Times New Roman" w:cs="Times New Roman"/>
          <w:i/>
          <w:sz w:val="24"/>
          <w:szCs w:val="24"/>
          <w:lang w:eastAsia="en-GB"/>
        </w:rPr>
      </w:pPr>
      <w:r w:rsidRPr="00C81A68">
        <w:rPr>
          <w:rFonts w:ascii="Times New Roman" w:eastAsia="Times New Roman" w:hAnsi="Times New Roman" w:cs="Times New Roman"/>
          <w:i/>
          <w:sz w:val="24"/>
          <w:szCs w:val="24"/>
          <w:lang w:eastAsia="en-GB"/>
        </w:rPr>
        <w:t>6.5 Placebo Test</w:t>
      </w:r>
    </w:p>
    <w:p w:rsidR="008A720D" w:rsidRDefault="00C81A68" w:rsidP="00C81A68">
      <w:pPr>
        <w:spacing w:after="0" w:line="480" w:lineRule="auto"/>
        <w:ind w:firstLine="567"/>
        <w:jc w:val="both"/>
        <w:rPr>
          <w:rFonts w:ascii="Times New Roman" w:eastAsia="Times New Roman" w:hAnsi="Times New Roman" w:cs="Times New Roman"/>
          <w:sz w:val="24"/>
          <w:szCs w:val="24"/>
          <w:lang w:eastAsia="en-GB"/>
        </w:rPr>
      </w:pPr>
      <w:r w:rsidRPr="00C81A68">
        <w:rPr>
          <w:rFonts w:ascii="Times New Roman" w:eastAsia="Times New Roman" w:hAnsi="Times New Roman" w:cs="Times New Roman"/>
          <w:sz w:val="24"/>
          <w:szCs w:val="24"/>
          <w:lang w:eastAsia="en-GB"/>
        </w:rPr>
        <w:t xml:space="preserve">To further demonstrate the credibility of our results, we conduct the Placebo test in this section. Specifically, we randomly assign a pseudo-IDD adoption (rejection) year, which is different from the actual IDD adoption (rejection) year, for each state that adopted (rejected) the IDD. Then we use this pseudo-IDD year to create an indicator variable, </w:t>
      </w:r>
      <w:r w:rsidRPr="00C81A68">
        <w:rPr>
          <w:rFonts w:ascii="Times New Roman" w:eastAsia="Times New Roman" w:hAnsi="Times New Roman" w:cs="Times New Roman"/>
          <w:i/>
          <w:sz w:val="24"/>
          <w:szCs w:val="24"/>
          <w:lang w:eastAsia="en-GB"/>
        </w:rPr>
        <w:t>Placebo IDD</w:t>
      </w:r>
      <w:r w:rsidRPr="00C81A68">
        <w:rPr>
          <w:rFonts w:ascii="Times New Roman" w:eastAsia="Times New Roman" w:hAnsi="Times New Roman" w:cs="Times New Roman"/>
          <w:sz w:val="24"/>
          <w:szCs w:val="24"/>
          <w:lang w:eastAsia="en-GB"/>
        </w:rPr>
        <w:t xml:space="preserve">, following the same procedures used in our main tests. We re-estimate Equation (1) by replacing the IDD in Equation (1) with </w:t>
      </w:r>
      <w:r w:rsidRPr="00C81A68">
        <w:rPr>
          <w:rFonts w:ascii="Times New Roman" w:eastAsia="Times New Roman" w:hAnsi="Times New Roman" w:cs="Times New Roman"/>
          <w:i/>
          <w:sz w:val="24"/>
          <w:szCs w:val="24"/>
          <w:lang w:eastAsia="en-GB"/>
        </w:rPr>
        <w:t>Placebo IDD</w:t>
      </w:r>
      <w:r w:rsidRPr="00C81A68">
        <w:rPr>
          <w:rFonts w:ascii="Times New Roman" w:eastAsia="Times New Roman" w:hAnsi="Times New Roman" w:cs="Times New Roman"/>
          <w:sz w:val="24"/>
          <w:szCs w:val="24"/>
          <w:lang w:eastAsia="en-GB"/>
        </w:rPr>
        <w:t>. The results of the placebo test are reported in Panel B of Table 7. As shown in</w:t>
      </w:r>
      <w:r w:rsidR="008A720D">
        <w:rPr>
          <w:rFonts w:ascii="Times New Roman" w:eastAsia="Times New Roman" w:hAnsi="Times New Roman" w:cs="Times New Roman"/>
          <w:sz w:val="24"/>
          <w:szCs w:val="24"/>
          <w:lang w:eastAsia="en-GB"/>
        </w:rPr>
        <w:t xml:space="preserve"> Panel B</w:t>
      </w:r>
      <w:r w:rsidRPr="00C81A68">
        <w:rPr>
          <w:rFonts w:ascii="Times New Roman" w:eastAsia="Times New Roman" w:hAnsi="Times New Roman" w:cs="Times New Roman"/>
          <w:sz w:val="24"/>
          <w:szCs w:val="24"/>
          <w:lang w:eastAsia="en-GB"/>
        </w:rPr>
        <w:t xml:space="preserve">, the coefficients on </w:t>
      </w:r>
      <w:r w:rsidRPr="00C81A68">
        <w:rPr>
          <w:rFonts w:ascii="Times New Roman" w:eastAsia="Times New Roman" w:hAnsi="Times New Roman" w:cs="Times New Roman"/>
          <w:i/>
          <w:sz w:val="24"/>
          <w:szCs w:val="24"/>
          <w:lang w:eastAsia="en-GB"/>
        </w:rPr>
        <w:t xml:space="preserve">Placebo IDD </w:t>
      </w:r>
      <w:r w:rsidRPr="00C81A68">
        <w:rPr>
          <w:rFonts w:ascii="Times New Roman" w:eastAsia="Times New Roman" w:hAnsi="Times New Roman" w:cs="Times New Roman"/>
          <w:sz w:val="24"/>
          <w:szCs w:val="24"/>
          <w:lang w:eastAsia="en-GB"/>
        </w:rPr>
        <w:t xml:space="preserve">are insignificant, suggesting that these randomly selected pseudo-IDD adoption (rejection) years are not </w:t>
      </w:r>
      <w:r w:rsidRPr="00C81A68">
        <w:rPr>
          <w:rFonts w:ascii="Times New Roman" w:eastAsia="Times New Roman" w:hAnsi="Times New Roman" w:cs="Times New Roman"/>
          <w:sz w:val="24"/>
          <w:szCs w:val="24"/>
          <w:lang w:eastAsia="en-GB"/>
        </w:rPr>
        <w:lastRenderedPageBreak/>
        <w:t>significantly associated with corporate tax avoidance. The placebo analyses enhance the credibility of our main results by showing that our main results are not observable for randomly selected years that are different from the actual IDD adoption (rejection) years.</w:t>
      </w:r>
    </w:p>
    <w:p w:rsidR="00C81A68" w:rsidRPr="00C81A68" w:rsidRDefault="00C81A68" w:rsidP="008A720D">
      <w:pPr>
        <w:spacing w:after="0" w:line="480" w:lineRule="auto"/>
        <w:jc w:val="center"/>
        <w:rPr>
          <w:rFonts w:ascii="Times New Roman" w:eastAsia="Arial" w:hAnsi="Times New Roman" w:cs="Times New Roman"/>
          <w:sz w:val="24"/>
          <w:szCs w:val="24"/>
          <w:lang w:eastAsia="en-GB"/>
        </w:rPr>
      </w:pPr>
      <w:r w:rsidRPr="00C81A68">
        <w:rPr>
          <w:rFonts w:ascii="Times New Roman" w:eastAsia="Times New Roman" w:hAnsi="Times New Roman" w:cs="Times New Roman"/>
          <w:sz w:val="24"/>
          <w:szCs w:val="24"/>
          <w:lang w:eastAsia="en-GB"/>
        </w:rPr>
        <w:t xml:space="preserve"> </w:t>
      </w:r>
      <w:r w:rsidR="008A720D" w:rsidRPr="00C81A68">
        <w:rPr>
          <w:rFonts w:ascii="Times New Roman" w:eastAsia="Arial" w:hAnsi="Times New Roman" w:cs="Times New Roman"/>
          <w:sz w:val="24"/>
          <w:szCs w:val="24"/>
          <w:lang w:eastAsia="en-GB"/>
        </w:rPr>
        <w:t>[Insert Table 7 here]</w:t>
      </w:r>
    </w:p>
    <w:p w:rsidR="00C81A68" w:rsidRPr="00C81A68" w:rsidRDefault="00C81A68" w:rsidP="00C81A68">
      <w:pPr>
        <w:spacing w:after="0" w:line="480" w:lineRule="auto"/>
        <w:jc w:val="both"/>
        <w:rPr>
          <w:rFonts w:ascii="Times New Roman" w:eastAsia="Times New Roman" w:hAnsi="Times New Roman" w:cs="Times New Roman"/>
          <w:i/>
          <w:sz w:val="24"/>
          <w:szCs w:val="24"/>
          <w:lang w:eastAsia="en-GB"/>
        </w:rPr>
      </w:pPr>
      <w:r w:rsidRPr="00C81A68">
        <w:rPr>
          <w:rFonts w:ascii="Times New Roman" w:eastAsia="Times New Roman" w:hAnsi="Times New Roman" w:cs="Times New Roman"/>
          <w:i/>
          <w:sz w:val="24"/>
          <w:szCs w:val="24"/>
          <w:lang w:eastAsia="en-GB"/>
        </w:rPr>
        <w:t>6.6 Propensity-Score Matching</w:t>
      </w:r>
    </w:p>
    <w:p w:rsidR="00C81A68" w:rsidRPr="00C81A68" w:rsidRDefault="00BF3084" w:rsidP="00C81A68">
      <w:pPr>
        <w:spacing w:after="0" w:line="480" w:lineRule="auto"/>
        <w:ind w:firstLine="567"/>
        <w:jc w:val="both"/>
        <w:rPr>
          <w:rFonts w:ascii="Times New Roman" w:eastAsia="Arial" w:hAnsi="Times New Roman" w:cs="Times New Roman"/>
          <w:sz w:val="24"/>
          <w:szCs w:val="24"/>
          <w:lang w:val="en-US"/>
        </w:rPr>
      </w:pPr>
      <w:r>
        <w:rPr>
          <w:rFonts w:ascii="Times New Roman" w:eastAsia="Arial" w:hAnsi="Times New Roman" w:cs="Times New Roman"/>
          <w:sz w:val="24"/>
          <w:szCs w:val="24"/>
          <w:lang w:eastAsia="en-GB"/>
        </w:rPr>
        <w:t>W</w:t>
      </w:r>
      <w:r w:rsidR="00C81A68" w:rsidRPr="00C81A68">
        <w:rPr>
          <w:rFonts w:ascii="Times New Roman" w:eastAsia="Arial" w:hAnsi="Times New Roman" w:cs="Times New Roman"/>
          <w:sz w:val="24"/>
          <w:szCs w:val="24"/>
          <w:lang w:eastAsia="en-GB"/>
        </w:rPr>
        <w:t xml:space="preserve">e </w:t>
      </w:r>
      <w:r>
        <w:rPr>
          <w:rFonts w:ascii="Times New Roman" w:eastAsia="Arial" w:hAnsi="Times New Roman" w:cs="Times New Roman"/>
          <w:sz w:val="24"/>
          <w:szCs w:val="24"/>
          <w:lang w:eastAsia="en-GB"/>
        </w:rPr>
        <w:t xml:space="preserve">also </w:t>
      </w:r>
      <w:r w:rsidR="00C81A68" w:rsidRPr="00C81A68">
        <w:rPr>
          <w:rFonts w:ascii="Times New Roman" w:eastAsia="Arial" w:hAnsi="Times New Roman" w:cs="Times New Roman"/>
          <w:sz w:val="24"/>
          <w:szCs w:val="24"/>
          <w:lang w:eastAsia="en-GB"/>
        </w:rPr>
        <w:t>use propensity-score matching (PSM) to ensure that the treatment group has similar observable characteristics to the control group before IDD adoption. We focus on the following firm-level variables</w:t>
      </w:r>
      <w:r>
        <w:rPr>
          <w:rFonts w:ascii="Times New Roman" w:eastAsia="Arial" w:hAnsi="Times New Roman" w:cs="Times New Roman"/>
          <w:sz w:val="24"/>
          <w:szCs w:val="24"/>
          <w:lang w:eastAsia="en-GB"/>
        </w:rPr>
        <w:t xml:space="preserve"> in the matching process</w:t>
      </w:r>
      <w:r w:rsidR="00C81A68" w:rsidRPr="00C81A68">
        <w:rPr>
          <w:rFonts w:ascii="Times New Roman" w:eastAsia="Arial" w:hAnsi="Times New Roman" w:cs="Times New Roman"/>
          <w:sz w:val="24"/>
          <w:szCs w:val="24"/>
          <w:lang w:eastAsia="en-GB"/>
        </w:rPr>
        <w:t xml:space="preserve">: firm size, market-to-book, leverage and ROA. We use a nearest neighbour-matching approach without replacement subject to a calliper constraint of 0.01. That is, without replacement, we match each “treatment firm” (a firm headquartered in states that have adopted the IDD) with one matching firm (a firm headquartered in a state that has not adopted the IDD) with the closet propensity scores within a maximum distance of one percent. We have 24,387 (22,412) observations for this analysis when the dependent variable is ETR (BTD). The matching </w:t>
      </w:r>
      <w:r>
        <w:rPr>
          <w:rFonts w:ascii="Times New Roman" w:eastAsia="Arial" w:hAnsi="Times New Roman" w:cs="Times New Roman"/>
          <w:sz w:val="24"/>
          <w:szCs w:val="24"/>
          <w:lang w:eastAsia="en-GB"/>
        </w:rPr>
        <w:t xml:space="preserve">is </w:t>
      </w:r>
      <w:r w:rsidR="00C81A68" w:rsidRPr="00C81A68">
        <w:rPr>
          <w:rFonts w:ascii="Times New Roman" w:eastAsia="Arial" w:hAnsi="Times New Roman" w:cs="Times New Roman"/>
          <w:sz w:val="24"/>
          <w:szCs w:val="24"/>
          <w:lang w:eastAsia="en-GB"/>
        </w:rPr>
        <w:t xml:space="preserve">successful </w:t>
      </w:r>
      <w:r>
        <w:rPr>
          <w:rFonts w:ascii="Times New Roman" w:eastAsia="Arial" w:hAnsi="Times New Roman" w:cs="Times New Roman"/>
          <w:sz w:val="24"/>
          <w:szCs w:val="24"/>
          <w:lang w:eastAsia="en-GB"/>
        </w:rPr>
        <w:t xml:space="preserve">as </w:t>
      </w:r>
      <w:r w:rsidR="00C81A68" w:rsidRPr="00C81A68">
        <w:rPr>
          <w:rFonts w:ascii="Times New Roman" w:eastAsia="Arial" w:hAnsi="Times New Roman" w:cs="Times New Roman"/>
          <w:sz w:val="24"/>
          <w:szCs w:val="24"/>
          <w:lang w:eastAsia="en-GB"/>
        </w:rPr>
        <w:t xml:space="preserve">the normalized difference of firm-specific variables between the treatment and control groups is insignificant. We repeat the regression analysis using the PSM sample, and </w:t>
      </w:r>
      <w:r>
        <w:rPr>
          <w:rFonts w:ascii="Times New Roman" w:eastAsia="Arial" w:hAnsi="Times New Roman" w:cs="Times New Roman"/>
          <w:sz w:val="24"/>
          <w:szCs w:val="24"/>
          <w:lang w:eastAsia="en-GB"/>
        </w:rPr>
        <w:t xml:space="preserve">the </w:t>
      </w:r>
      <w:proofErr w:type="spellStart"/>
      <w:r>
        <w:rPr>
          <w:rFonts w:ascii="Times New Roman" w:eastAsia="Arial" w:hAnsi="Times New Roman" w:cs="Times New Roman"/>
          <w:sz w:val="24"/>
          <w:szCs w:val="24"/>
          <w:lang w:eastAsia="en-GB"/>
        </w:rPr>
        <w:t>untabulated</w:t>
      </w:r>
      <w:proofErr w:type="spellEnd"/>
      <w:r>
        <w:rPr>
          <w:rFonts w:ascii="Times New Roman" w:eastAsia="Arial" w:hAnsi="Times New Roman" w:cs="Times New Roman"/>
          <w:sz w:val="24"/>
          <w:szCs w:val="24"/>
          <w:lang w:eastAsia="en-GB"/>
        </w:rPr>
        <w:t xml:space="preserve"> result</w:t>
      </w:r>
      <w:r w:rsidR="00C81A68" w:rsidRPr="00C81A68">
        <w:rPr>
          <w:rFonts w:ascii="Times New Roman" w:eastAsia="Arial" w:hAnsi="Times New Roman" w:cs="Times New Roman"/>
          <w:sz w:val="24"/>
          <w:szCs w:val="24"/>
          <w:lang w:eastAsia="en-GB"/>
        </w:rPr>
        <w:t>s remain qualitatively unchanged and continue to show a significantly positive effect of IDD adoption on tax avoidance.</w:t>
      </w:r>
    </w:p>
    <w:p w:rsidR="00C81A68" w:rsidRPr="00C81A68" w:rsidRDefault="00C81A68" w:rsidP="00C81A68">
      <w:pPr>
        <w:spacing w:after="0" w:line="480" w:lineRule="auto"/>
        <w:jc w:val="both"/>
        <w:rPr>
          <w:rFonts w:ascii="Times New Roman" w:eastAsia="Times New Roman" w:hAnsi="Times New Roman" w:cs="Times New Roman"/>
          <w:i/>
          <w:sz w:val="24"/>
          <w:szCs w:val="24"/>
          <w:lang w:eastAsia="en-GB"/>
        </w:rPr>
      </w:pPr>
      <w:r w:rsidRPr="00C81A68">
        <w:rPr>
          <w:rFonts w:ascii="Times New Roman" w:eastAsia="Times New Roman" w:hAnsi="Times New Roman" w:cs="Times New Roman"/>
          <w:i/>
          <w:sz w:val="24"/>
          <w:szCs w:val="24"/>
          <w:lang w:eastAsia="en-GB"/>
        </w:rPr>
        <w:t>6.7 Instrumental Variable Estimation</w:t>
      </w:r>
    </w:p>
    <w:p w:rsidR="00C81A68" w:rsidRPr="00C81A68" w:rsidRDefault="00C81A68" w:rsidP="008A720D">
      <w:pPr>
        <w:spacing w:after="0" w:line="480" w:lineRule="auto"/>
        <w:ind w:firstLine="567"/>
        <w:contextualSpacing/>
        <w:mirrorIndents/>
        <w:jc w:val="both"/>
        <w:rPr>
          <w:rFonts w:ascii="Times New Roman" w:eastAsia="Times New Roman" w:hAnsi="Times New Roman" w:cs="Times New Roman"/>
          <w:sz w:val="24"/>
          <w:szCs w:val="24"/>
          <w:lang w:eastAsia="en-GB"/>
        </w:rPr>
      </w:pPr>
      <w:r w:rsidRPr="00C81A68">
        <w:rPr>
          <w:rFonts w:ascii="Times New Roman" w:eastAsia="Calibri" w:hAnsi="Times New Roman" w:cs="Times New Roman"/>
          <w:sz w:val="24"/>
          <w:szCs w:val="24"/>
          <w:lang w:eastAsia="en-GB"/>
        </w:rPr>
        <w:t xml:space="preserve">To address the self-selection bias that </w:t>
      </w:r>
      <w:r w:rsidRPr="00C81A68">
        <w:rPr>
          <w:rFonts w:ascii="Times New Roman" w:eastAsia="Calibri" w:hAnsi="Times New Roman" w:cs="Times New Roman"/>
          <w:color w:val="222222"/>
          <w:sz w:val="24"/>
          <w:szCs w:val="24"/>
          <w:shd w:val="clear" w:color="auto" w:fill="FFFFFF"/>
          <w:lang w:eastAsia="en-GB"/>
        </w:rPr>
        <w:t xml:space="preserve">firms who adopt aggressive tax avoidance strategies may intentionally locate their headquarters in states that have adopted the IDD, </w:t>
      </w:r>
      <w:r w:rsidRPr="00C81A68">
        <w:rPr>
          <w:rFonts w:ascii="Times New Roman" w:eastAsia="Calibri" w:hAnsi="Times New Roman" w:cs="Times New Roman"/>
          <w:sz w:val="24"/>
          <w:szCs w:val="24"/>
          <w:lang w:eastAsia="en-GB"/>
        </w:rPr>
        <w:t xml:space="preserve">we employ an instrumental variable (IV) approach. This requires us to find a suitable instrument that satisfies both the relevance (i.e., associated with the IDD) and exclusion (i.e., no direct effect on the firm’s tax rates except through the IDD). To do so, we focus our attention on state-level factors that could influence the likelihood that a state court would adopt the IDD.  </w:t>
      </w:r>
      <w:r w:rsidRPr="00C81A68">
        <w:rPr>
          <w:rFonts w:ascii="Times New Roman" w:eastAsia="Calibri" w:hAnsi="Times New Roman" w:cs="Times New Roman"/>
          <w:sz w:val="24"/>
          <w:szCs w:val="24"/>
          <w:lang w:eastAsia="en-GB"/>
        </w:rPr>
        <w:lastRenderedPageBreak/>
        <w:t xml:space="preserve">Specifically, we use </w:t>
      </w:r>
      <w:r w:rsidRPr="00C81A68">
        <w:rPr>
          <w:rFonts w:ascii="Times New Roman" w:eastAsia="Calibri" w:hAnsi="Times New Roman" w:cs="Times New Roman"/>
          <w:i/>
          <w:sz w:val="24"/>
          <w:szCs w:val="24"/>
          <w:lang w:eastAsia="en-GB"/>
        </w:rPr>
        <w:t>State Rivals</w:t>
      </w:r>
      <w:r w:rsidRPr="00C81A68">
        <w:rPr>
          <w:rFonts w:ascii="Times New Roman" w:eastAsia="Calibri" w:hAnsi="Times New Roman" w:cs="Times New Roman"/>
          <w:sz w:val="24"/>
          <w:szCs w:val="24"/>
          <w:lang w:eastAsia="en-GB"/>
        </w:rPr>
        <w:t xml:space="preserve">, as our main instrument, which is a dummy variable that equals one if the number of firms headquartered in the same state that operate in the same three-digit SIC code during the year is larger than the sample median, and zero otherwise (Gao et al. 2018). Gao et al. (2018) show that employees have better employment mobility when there are large numbers of industry peer firms available in the local labour market. Therefore, the risk of rival firms poaching employees with the knowledge of trade secrets is relatively higher in these states, making it more likely for state courts to adopt the IDD. We thus hypothesize that the higher number of industry rivals within the same state, the higher the likelihood the states recognizes the IDD. In the first stage, we use the instrumental variable to predict the likelihood that IDD would be adopted by a state, and in the second stage analysis, the predicted likelihood of IDD adoption is used to replace the IDD in Equation (1). The </w:t>
      </w:r>
      <w:proofErr w:type="spellStart"/>
      <w:r w:rsidR="00BF3084">
        <w:rPr>
          <w:rFonts w:ascii="Times New Roman" w:eastAsia="Calibri" w:hAnsi="Times New Roman" w:cs="Times New Roman"/>
          <w:sz w:val="24"/>
          <w:szCs w:val="24"/>
          <w:lang w:eastAsia="en-GB"/>
        </w:rPr>
        <w:t>untabulated</w:t>
      </w:r>
      <w:proofErr w:type="spellEnd"/>
      <w:r w:rsidR="00BF3084">
        <w:rPr>
          <w:rFonts w:ascii="Times New Roman" w:eastAsia="Calibri" w:hAnsi="Times New Roman" w:cs="Times New Roman"/>
          <w:sz w:val="24"/>
          <w:szCs w:val="24"/>
          <w:lang w:eastAsia="en-GB"/>
        </w:rPr>
        <w:t xml:space="preserve"> </w:t>
      </w:r>
      <w:r w:rsidRPr="00C81A68">
        <w:rPr>
          <w:rFonts w:ascii="Times New Roman" w:eastAsia="Calibri" w:hAnsi="Times New Roman" w:cs="Times New Roman"/>
          <w:sz w:val="24"/>
          <w:szCs w:val="24"/>
          <w:lang w:eastAsia="en-GB"/>
        </w:rPr>
        <w:t>results</w:t>
      </w:r>
      <w:r w:rsidR="00BF3084">
        <w:rPr>
          <w:rFonts w:ascii="Times New Roman" w:eastAsia="Calibri" w:hAnsi="Times New Roman" w:cs="Times New Roman"/>
          <w:sz w:val="24"/>
          <w:szCs w:val="24"/>
          <w:lang w:eastAsia="en-GB"/>
        </w:rPr>
        <w:t xml:space="preserve"> </w:t>
      </w:r>
      <w:r w:rsidRPr="00C81A68">
        <w:rPr>
          <w:rFonts w:ascii="Times New Roman" w:eastAsia="Times New Roman" w:hAnsi="Times New Roman" w:cs="Times New Roman"/>
          <w:sz w:val="24"/>
          <w:szCs w:val="24"/>
          <w:lang w:eastAsia="en-GB"/>
        </w:rPr>
        <w:t>show that the predicted IDD continues to have a positive effect on tax avoidance (measured with effective tax rates and book-tax differences).</w:t>
      </w:r>
    </w:p>
    <w:p w:rsidR="00C81A68" w:rsidRPr="00C81A68" w:rsidRDefault="00C81A68" w:rsidP="0010134F">
      <w:pPr>
        <w:numPr>
          <w:ilvl w:val="0"/>
          <w:numId w:val="16"/>
        </w:numPr>
        <w:tabs>
          <w:tab w:val="left" w:pos="480"/>
        </w:tabs>
        <w:spacing w:after="0" w:line="480" w:lineRule="auto"/>
        <w:ind w:left="0" w:firstLine="0"/>
        <w:contextualSpacing/>
        <w:jc w:val="center"/>
        <w:rPr>
          <w:rFonts w:ascii="Times New Roman" w:eastAsia="Arial" w:hAnsi="Times New Roman" w:cs="Times New Roman"/>
          <w:b/>
          <w:sz w:val="24"/>
          <w:szCs w:val="24"/>
          <w:lang w:eastAsia="en-GB"/>
        </w:rPr>
      </w:pPr>
      <w:r w:rsidRPr="00C81A68">
        <w:rPr>
          <w:rFonts w:ascii="Times New Roman" w:eastAsia="Arial" w:hAnsi="Times New Roman" w:cs="Times New Roman"/>
          <w:b/>
          <w:sz w:val="24"/>
          <w:szCs w:val="24"/>
          <w:lang w:eastAsia="en-GB"/>
        </w:rPr>
        <w:t>Conclusion</w:t>
      </w:r>
      <w:r w:rsidR="00737012">
        <w:rPr>
          <w:rFonts w:ascii="Times New Roman" w:eastAsia="Arial" w:hAnsi="Times New Roman" w:cs="Times New Roman"/>
          <w:b/>
          <w:sz w:val="24"/>
          <w:szCs w:val="24"/>
          <w:lang w:eastAsia="en-GB"/>
        </w:rPr>
        <w:t>s</w:t>
      </w:r>
      <w:r w:rsidRPr="00C81A68">
        <w:rPr>
          <w:rFonts w:ascii="Times New Roman" w:eastAsia="Arial" w:hAnsi="Times New Roman" w:cs="Times New Roman"/>
          <w:b/>
          <w:sz w:val="24"/>
          <w:szCs w:val="24"/>
          <w:lang w:eastAsia="en-GB"/>
        </w:rPr>
        <w:t xml:space="preserve"> and Discussion</w:t>
      </w:r>
      <w:r w:rsidR="00737012">
        <w:rPr>
          <w:rFonts w:ascii="Times New Roman" w:eastAsia="Arial" w:hAnsi="Times New Roman" w:cs="Times New Roman"/>
          <w:b/>
          <w:sz w:val="24"/>
          <w:szCs w:val="24"/>
          <w:lang w:eastAsia="en-GB"/>
        </w:rPr>
        <w:t>s</w:t>
      </w:r>
    </w:p>
    <w:p w:rsidR="00C81A68" w:rsidRPr="00C81A68" w:rsidRDefault="00C81A68" w:rsidP="00C81A68">
      <w:pPr>
        <w:autoSpaceDE w:val="0"/>
        <w:autoSpaceDN w:val="0"/>
        <w:adjustRightInd w:val="0"/>
        <w:spacing w:after="0" w:line="480" w:lineRule="auto"/>
        <w:ind w:firstLine="567"/>
        <w:jc w:val="both"/>
        <w:rPr>
          <w:rFonts w:ascii="Times New Roman" w:eastAsia="Arial" w:hAnsi="Times New Roman" w:cs="Times New Roman"/>
          <w:color w:val="000000"/>
          <w:sz w:val="24"/>
          <w:szCs w:val="24"/>
          <w:lang w:eastAsia="en-GB"/>
        </w:rPr>
      </w:pPr>
      <w:r w:rsidRPr="00C81A68">
        <w:rPr>
          <w:rFonts w:ascii="Times New Roman" w:eastAsia="SimSun" w:hAnsi="Times New Roman" w:cs="Times New Roman"/>
          <w:color w:val="000000"/>
          <w:sz w:val="24"/>
          <w:szCs w:val="24"/>
          <w:lang w:eastAsia="zh-CN"/>
        </w:rPr>
        <w:t>In this paper we examine the impact of the protection of trade secrets through IDD adoption on corporate tax avoidance. The IDD is a legal doctrine that protects a firm’s trade secrets through reducing labour mobility induced information leakage to its competitors. We hypothesize that IDD adoption significantly increases the benefit of non-disclosure of proprietary information, which decreases information transparency and helps firms mask their tax avoidance activities</w:t>
      </w:r>
      <w:r w:rsidRPr="00C81A68">
        <w:rPr>
          <w:rFonts w:ascii="Times New Roman" w:eastAsia="Arial" w:hAnsi="Times New Roman" w:cs="Times New Roman"/>
          <w:color w:val="000000"/>
          <w:sz w:val="24"/>
          <w:szCs w:val="24"/>
          <w:lang w:eastAsia="en-GB"/>
        </w:rPr>
        <w:t xml:space="preserve">. </w:t>
      </w:r>
      <w:r w:rsidR="0004146D">
        <w:rPr>
          <w:rFonts w:ascii="Times New Roman" w:eastAsia="Arial" w:hAnsi="Times New Roman" w:cs="Times New Roman"/>
          <w:color w:val="000000"/>
          <w:sz w:val="24"/>
          <w:szCs w:val="24"/>
          <w:lang w:eastAsia="en-GB"/>
        </w:rPr>
        <w:t xml:space="preserve">Using a </w:t>
      </w:r>
      <w:r w:rsidRPr="00C81A68">
        <w:rPr>
          <w:rFonts w:ascii="Times New Roman" w:eastAsia="Arial" w:hAnsi="Times New Roman" w:cs="Times New Roman"/>
          <w:color w:val="000000"/>
          <w:sz w:val="24"/>
          <w:szCs w:val="24"/>
          <w:lang w:eastAsia="en-GB"/>
        </w:rPr>
        <w:t>difference-in-differences analysis</w:t>
      </w:r>
      <w:r w:rsidR="0004146D">
        <w:rPr>
          <w:rFonts w:ascii="Times New Roman" w:eastAsia="Arial" w:hAnsi="Times New Roman" w:cs="Times New Roman"/>
          <w:color w:val="000000"/>
          <w:sz w:val="24"/>
          <w:szCs w:val="24"/>
          <w:lang w:eastAsia="en-GB"/>
        </w:rPr>
        <w:t>, we find</w:t>
      </w:r>
      <w:r w:rsidRPr="00C81A68">
        <w:rPr>
          <w:rFonts w:ascii="Times New Roman" w:eastAsia="Arial" w:hAnsi="Times New Roman" w:cs="Times New Roman"/>
          <w:color w:val="000000"/>
          <w:sz w:val="24"/>
          <w:szCs w:val="24"/>
          <w:lang w:eastAsia="en-GB"/>
        </w:rPr>
        <w:t xml:space="preserve"> that firms located in states that have adopted the IDD engage in more aggressive tax avoidance than those in non-adopting states. </w:t>
      </w:r>
      <w:r w:rsidR="0004146D">
        <w:rPr>
          <w:rFonts w:ascii="Times New Roman" w:eastAsia="Arial" w:hAnsi="Times New Roman" w:cs="Times New Roman"/>
          <w:color w:val="000000"/>
          <w:sz w:val="24"/>
          <w:szCs w:val="24"/>
          <w:lang w:eastAsia="en-GB"/>
        </w:rPr>
        <w:t xml:space="preserve">Using analyst coverage and discretionary accruals as the </w:t>
      </w:r>
      <w:r w:rsidR="0004146D" w:rsidRPr="006C512F">
        <w:rPr>
          <w:rFonts w:ascii="Times New Roman" w:eastAsia="Arial" w:hAnsi="Times New Roman" w:cs="Times New Roman"/>
          <w:i/>
          <w:color w:val="000000"/>
          <w:sz w:val="24"/>
          <w:szCs w:val="24"/>
          <w:lang w:eastAsia="en-GB"/>
        </w:rPr>
        <w:t>ex-ante</w:t>
      </w:r>
      <w:r w:rsidR="0004146D">
        <w:rPr>
          <w:rFonts w:ascii="Times New Roman" w:eastAsia="Arial" w:hAnsi="Times New Roman" w:cs="Times New Roman"/>
          <w:color w:val="000000"/>
          <w:sz w:val="24"/>
          <w:szCs w:val="24"/>
          <w:lang w:eastAsia="en-GB"/>
        </w:rPr>
        <w:t xml:space="preserve"> measures of internal information quality, w</w:t>
      </w:r>
      <w:r w:rsidRPr="00C81A68">
        <w:rPr>
          <w:rFonts w:ascii="Times New Roman" w:eastAsia="Arial" w:hAnsi="Times New Roman" w:cs="Times New Roman"/>
          <w:color w:val="000000"/>
          <w:sz w:val="24"/>
          <w:szCs w:val="24"/>
          <w:lang w:eastAsia="en-GB"/>
        </w:rPr>
        <w:t xml:space="preserve">e further find that </w:t>
      </w:r>
      <w:r w:rsidR="0004146D">
        <w:rPr>
          <w:rFonts w:ascii="Times New Roman" w:eastAsia="Arial" w:hAnsi="Times New Roman" w:cs="Times New Roman"/>
          <w:color w:val="000000"/>
          <w:sz w:val="24"/>
          <w:szCs w:val="24"/>
          <w:lang w:eastAsia="en-GB"/>
        </w:rPr>
        <w:t xml:space="preserve">the </w:t>
      </w:r>
      <w:r w:rsidRPr="00C81A68">
        <w:rPr>
          <w:rFonts w:ascii="Times New Roman" w:eastAsia="Arial" w:hAnsi="Times New Roman" w:cs="Times New Roman"/>
          <w:color w:val="000000"/>
          <w:sz w:val="24"/>
          <w:szCs w:val="24"/>
          <w:lang w:eastAsia="en-GB"/>
        </w:rPr>
        <w:t xml:space="preserve">impact </w:t>
      </w:r>
      <w:r w:rsidR="0004146D">
        <w:rPr>
          <w:rFonts w:ascii="Times New Roman" w:eastAsia="Arial" w:hAnsi="Times New Roman" w:cs="Times New Roman"/>
          <w:color w:val="000000"/>
          <w:sz w:val="24"/>
          <w:szCs w:val="24"/>
          <w:lang w:eastAsia="en-GB"/>
        </w:rPr>
        <w:t xml:space="preserve">of IDD adoption on corporate tax avoidance </w:t>
      </w:r>
      <w:r w:rsidRPr="00C81A68">
        <w:rPr>
          <w:rFonts w:ascii="Times New Roman" w:eastAsia="Arial" w:hAnsi="Times New Roman" w:cs="Times New Roman"/>
          <w:color w:val="000000"/>
          <w:sz w:val="24"/>
          <w:szCs w:val="24"/>
          <w:lang w:eastAsia="en-GB"/>
        </w:rPr>
        <w:t xml:space="preserve">is more </w:t>
      </w:r>
      <w:r w:rsidR="0004146D">
        <w:rPr>
          <w:rFonts w:ascii="Times New Roman" w:eastAsia="Arial" w:hAnsi="Times New Roman" w:cs="Times New Roman"/>
          <w:color w:val="000000"/>
          <w:sz w:val="24"/>
          <w:szCs w:val="24"/>
          <w:lang w:eastAsia="en-GB"/>
        </w:rPr>
        <w:t xml:space="preserve">salient </w:t>
      </w:r>
      <w:r w:rsidRPr="00C81A68">
        <w:rPr>
          <w:rFonts w:ascii="Times New Roman" w:eastAsia="Arial" w:hAnsi="Times New Roman" w:cs="Times New Roman"/>
          <w:color w:val="000000"/>
          <w:sz w:val="24"/>
          <w:szCs w:val="24"/>
          <w:lang w:eastAsia="en-GB"/>
        </w:rPr>
        <w:t xml:space="preserve">for firms with </w:t>
      </w:r>
      <w:r w:rsidR="0004146D">
        <w:rPr>
          <w:rFonts w:ascii="Times New Roman" w:eastAsia="Arial" w:hAnsi="Times New Roman" w:cs="Times New Roman"/>
          <w:color w:val="000000"/>
          <w:sz w:val="24"/>
          <w:szCs w:val="24"/>
          <w:lang w:eastAsia="en-GB"/>
        </w:rPr>
        <w:t xml:space="preserve">low </w:t>
      </w:r>
      <w:r w:rsidRPr="00C81A68">
        <w:rPr>
          <w:rFonts w:ascii="Times New Roman" w:eastAsia="Arial" w:hAnsi="Times New Roman" w:cs="Times New Roman"/>
          <w:color w:val="000000"/>
          <w:sz w:val="24"/>
          <w:szCs w:val="24"/>
          <w:lang w:eastAsia="en-GB"/>
        </w:rPr>
        <w:t>internal information quality.</w:t>
      </w:r>
      <w:r w:rsidR="00B9588B">
        <w:rPr>
          <w:rFonts w:ascii="Times New Roman" w:eastAsia="Arial" w:hAnsi="Times New Roman" w:cs="Times New Roman"/>
          <w:color w:val="000000"/>
          <w:sz w:val="24"/>
          <w:szCs w:val="24"/>
          <w:lang w:eastAsia="en-GB"/>
        </w:rPr>
        <w:t xml:space="preserve"> The results are </w:t>
      </w:r>
      <w:r w:rsidR="00B9588B">
        <w:rPr>
          <w:rFonts w:ascii="Times New Roman" w:eastAsia="Arial" w:hAnsi="Times New Roman" w:cs="Times New Roman"/>
          <w:color w:val="000000"/>
          <w:sz w:val="24"/>
          <w:szCs w:val="24"/>
          <w:lang w:eastAsia="en-GB"/>
        </w:rPr>
        <w:lastRenderedPageBreak/>
        <w:t xml:space="preserve">consistent with our hypothesis that IDD adoption reduces corporate transparency and provides more opportunities for firms to avoid tax. </w:t>
      </w:r>
      <w:r w:rsidR="00234AA6">
        <w:rPr>
          <w:rFonts w:ascii="Times New Roman" w:eastAsia="Arial" w:hAnsi="Times New Roman" w:cs="Times New Roman"/>
          <w:color w:val="000000"/>
          <w:sz w:val="24"/>
          <w:szCs w:val="24"/>
          <w:lang w:eastAsia="en-GB"/>
        </w:rPr>
        <w:t xml:space="preserve">We also conduct a </w:t>
      </w:r>
      <w:r w:rsidR="00C44720">
        <w:rPr>
          <w:rFonts w:ascii="Times New Roman" w:eastAsia="Arial" w:hAnsi="Times New Roman" w:cs="Times New Roman"/>
          <w:color w:val="000000"/>
          <w:sz w:val="24"/>
          <w:szCs w:val="24"/>
          <w:lang w:eastAsia="en-GB"/>
        </w:rPr>
        <w:t xml:space="preserve">battery </w:t>
      </w:r>
      <w:r w:rsidR="00234AA6">
        <w:rPr>
          <w:rFonts w:ascii="Times New Roman" w:eastAsia="Arial" w:hAnsi="Times New Roman" w:cs="Times New Roman"/>
          <w:color w:val="000000"/>
          <w:sz w:val="24"/>
          <w:szCs w:val="24"/>
          <w:lang w:eastAsia="en-GB"/>
        </w:rPr>
        <w:t>of robustness tests</w:t>
      </w:r>
      <w:r w:rsidR="008B6BE4">
        <w:rPr>
          <w:rFonts w:ascii="Times New Roman" w:eastAsia="Arial" w:hAnsi="Times New Roman" w:cs="Times New Roman"/>
          <w:color w:val="000000"/>
          <w:sz w:val="24"/>
          <w:szCs w:val="24"/>
          <w:lang w:eastAsia="en-GB"/>
        </w:rPr>
        <w:t xml:space="preserve">, which include addressing </w:t>
      </w:r>
      <w:r w:rsidR="00E6230F">
        <w:rPr>
          <w:rFonts w:ascii="Times New Roman" w:eastAsia="Arial" w:hAnsi="Times New Roman" w:cs="Times New Roman"/>
          <w:color w:val="000000"/>
          <w:sz w:val="24"/>
          <w:szCs w:val="24"/>
          <w:lang w:eastAsia="en-GB"/>
        </w:rPr>
        <w:t xml:space="preserve">the </w:t>
      </w:r>
      <w:r w:rsidR="008B6BE4">
        <w:rPr>
          <w:rFonts w:ascii="Times New Roman" w:eastAsia="Arial" w:hAnsi="Times New Roman" w:cs="Times New Roman"/>
          <w:color w:val="000000"/>
          <w:sz w:val="24"/>
          <w:szCs w:val="24"/>
          <w:lang w:eastAsia="en-GB"/>
        </w:rPr>
        <w:t xml:space="preserve">timing of IDD adoption and local economic conditions, </w:t>
      </w:r>
      <w:r w:rsidR="00E6230F">
        <w:rPr>
          <w:rFonts w:ascii="Times New Roman" w:eastAsia="Arial" w:hAnsi="Times New Roman" w:cs="Times New Roman"/>
          <w:color w:val="000000"/>
          <w:sz w:val="24"/>
          <w:szCs w:val="24"/>
          <w:lang w:eastAsia="en-GB"/>
        </w:rPr>
        <w:t xml:space="preserve">adopting </w:t>
      </w:r>
      <w:r w:rsidR="008B6BE4">
        <w:rPr>
          <w:rFonts w:ascii="Times New Roman" w:eastAsia="Arial" w:hAnsi="Times New Roman" w:cs="Times New Roman"/>
          <w:color w:val="000000"/>
          <w:sz w:val="24"/>
          <w:szCs w:val="24"/>
          <w:lang w:eastAsia="en-GB"/>
        </w:rPr>
        <w:t xml:space="preserve">alternative measures of tax avoidance, neighbouring-state and propensity-score matchings, instrumental variable approach, and Placebo test. Our results persist through these sensitivity checks.   </w:t>
      </w:r>
    </w:p>
    <w:p w:rsidR="00C44720" w:rsidRDefault="00C81A68" w:rsidP="00C81A68">
      <w:pPr>
        <w:spacing w:after="0" w:line="480" w:lineRule="auto"/>
        <w:ind w:firstLine="567"/>
        <w:jc w:val="both"/>
        <w:rPr>
          <w:rFonts w:ascii="Times New Roman" w:eastAsia="Arial" w:hAnsi="Times New Roman" w:cs="Times New Roman"/>
          <w:color w:val="000000"/>
          <w:sz w:val="24"/>
          <w:szCs w:val="24"/>
          <w:lang w:eastAsia="en-GB"/>
        </w:rPr>
      </w:pPr>
      <w:r w:rsidRPr="00C81A68">
        <w:rPr>
          <w:rFonts w:ascii="Times New Roman" w:eastAsia="Arial" w:hAnsi="Times New Roman" w:cs="Times New Roman"/>
          <w:color w:val="000000"/>
          <w:sz w:val="24"/>
          <w:szCs w:val="24"/>
          <w:lang w:eastAsia="en-GB"/>
        </w:rPr>
        <w:t>Our findings</w:t>
      </w:r>
      <w:r w:rsidR="0004146D">
        <w:rPr>
          <w:rFonts w:ascii="Times New Roman" w:eastAsia="Arial" w:hAnsi="Times New Roman" w:cs="Times New Roman"/>
          <w:color w:val="000000"/>
          <w:sz w:val="24"/>
          <w:szCs w:val="24"/>
          <w:lang w:eastAsia="en-GB"/>
        </w:rPr>
        <w:t xml:space="preserve"> </w:t>
      </w:r>
      <w:r w:rsidR="003153AF">
        <w:rPr>
          <w:rFonts w:ascii="Times New Roman" w:eastAsia="Arial" w:hAnsi="Times New Roman" w:cs="Times New Roman"/>
          <w:color w:val="000000"/>
          <w:sz w:val="24"/>
          <w:szCs w:val="24"/>
          <w:lang w:eastAsia="en-GB"/>
        </w:rPr>
        <w:t xml:space="preserve">indicate </w:t>
      </w:r>
      <w:r w:rsidRPr="00C81A68">
        <w:rPr>
          <w:rFonts w:ascii="Times New Roman" w:eastAsia="Arial" w:hAnsi="Times New Roman" w:cs="Times New Roman"/>
          <w:color w:val="000000"/>
          <w:sz w:val="24"/>
          <w:szCs w:val="24"/>
          <w:lang w:eastAsia="en-GB"/>
        </w:rPr>
        <w:t>that IDD adoption impos</w:t>
      </w:r>
      <w:r w:rsidR="00576AA3">
        <w:rPr>
          <w:rFonts w:ascii="Times New Roman" w:eastAsia="Arial" w:hAnsi="Times New Roman" w:cs="Times New Roman"/>
          <w:color w:val="000000"/>
          <w:sz w:val="24"/>
          <w:szCs w:val="24"/>
          <w:lang w:eastAsia="en-GB"/>
        </w:rPr>
        <w:t>es</w:t>
      </w:r>
      <w:r w:rsidRPr="00C81A68">
        <w:rPr>
          <w:rFonts w:ascii="Times New Roman" w:eastAsia="Arial" w:hAnsi="Times New Roman" w:cs="Times New Roman"/>
          <w:color w:val="000000"/>
          <w:sz w:val="24"/>
          <w:szCs w:val="24"/>
          <w:lang w:eastAsia="en-GB"/>
        </w:rPr>
        <w:t xml:space="preserve"> a direct impact on corporate tax avoidance.</w:t>
      </w:r>
      <w:r w:rsidRPr="003153AF">
        <w:rPr>
          <w:rFonts w:ascii="Times New Roman" w:eastAsia="Arial" w:hAnsi="Times New Roman" w:cs="Times New Roman"/>
          <w:sz w:val="24"/>
          <w:szCs w:val="24"/>
          <w:lang w:eastAsia="en-GB"/>
        </w:rPr>
        <w:t xml:space="preserve"> </w:t>
      </w:r>
      <w:r w:rsidR="001614B8" w:rsidRPr="003153AF">
        <w:rPr>
          <w:rFonts w:ascii="Times New Roman" w:eastAsia="Arial" w:hAnsi="Times New Roman" w:cs="Times New Roman"/>
          <w:sz w:val="24"/>
          <w:szCs w:val="24"/>
          <w:lang w:eastAsia="en-GB"/>
        </w:rPr>
        <w:t xml:space="preserve">Since the main consideration of IDD adoption is to maintain a balance between employers’ interests in trade secret protection and employees’ interests in labour mobility (Harris 2000), corporate tax avoidance is an unintended consequence of IDD adoption. </w:t>
      </w:r>
      <w:r w:rsidR="001614B8" w:rsidRPr="003153AF">
        <w:rPr>
          <w:rFonts w:ascii="Times New Roman" w:eastAsia="Calibri" w:hAnsi="Times New Roman" w:cs="Times New Roman"/>
          <w:sz w:val="24"/>
          <w:szCs w:val="24"/>
          <w:lang w:eastAsia="en-GB"/>
        </w:rPr>
        <w:t xml:space="preserve">Given that firms in states where the IDD has been adopted are more likely to engage in tax avoidance, these firms are subject to higher tax risk and such risk needs to be factored into the decision-making process of investors and policy makers. Our findings also suggest the importance of maintaining corporate transparency in deterring tax avoidance activities. </w:t>
      </w:r>
      <w:r w:rsidR="00B27F45" w:rsidRPr="003153AF">
        <w:rPr>
          <w:rFonts w:ascii="Times New Roman" w:eastAsia="Calibri" w:hAnsi="Times New Roman" w:cs="Times New Roman"/>
          <w:sz w:val="24"/>
          <w:szCs w:val="24"/>
          <w:lang w:eastAsia="en-GB"/>
        </w:rPr>
        <w:t xml:space="preserve">IDD adoption </w:t>
      </w:r>
      <w:r w:rsidR="003153AF">
        <w:rPr>
          <w:rFonts w:ascii="Times New Roman" w:eastAsia="Arial" w:hAnsi="Times New Roman" w:cs="Times New Roman"/>
          <w:color w:val="000000"/>
          <w:sz w:val="24"/>
          <w:szCs w:val="24"/>
          <w:lang w:eastAsia="en-GB"/>
        </w:rPr>
        <w:t xml:space="preserve">creates an endogenous shock to </w:t>
      </w:r>
      <w:r w:rsidR="00D77E8C" w:rsidRPr="00C81A68">
        <w:rPr>
          <w:rFonts w:ascii="Times New Roman" w:eastAsia="Arial" w:hAnsi="Times New Roman" w:cs="Times New Roman"/>
          <w:color w:val="000000"/>
          <w:sz w:val="24"/>
          <w:szCs w:val="24"/>
          <w:lang w:eastAsia="en-GB"/>
        </w:rPr>
        <w:t>corporate information environment, thereby</w:t>
      </w:r>
      <w:r w:rsidR="008B6BE4">
        <w:rPr>
          <w:rFonts w:ascii="Times New Roman" w:eastAsia="Arial" w:hAnsi="Times New Roman" w:cs="Times New Roman"/>
          <w:color w:val="000000"/>
          <w:sz w:val="24"/>
          <w:szCs w:val="24"/>
          <w:lang w:eastAsia="en-GB"/>
        </w:rPr>
        <w:t xml:space="preserve"> providing a natural experiment on the causal relationship between corporate information environment and tax avoidance. </w:t>
      </w:r>
      <w:r w:rsidR="003153AF">
        <w:rPr>
          <w:rFonts w:ascii="Times New Roman" w:eastAsia="Arial" w:hAnsi="Times New Roman" w:cs="Times New Roman"/>
          <w:color w:val="000000"/>
          <w:sz w:val="24"/>
          <w:szCs w:val="24"/>
          <w:lang w:eastAsia="en-GB"/>
        </w:rPr>
        <w:t xml:space="preserve">By </w:t>
      </w:r>
      <w:r w:rsidR="008B6BE4">
        <w:rPr>
          <w:rFonts w:ascii="Times New Roman" w:eastAsia="Arial" w:hAnsi="Times New Roman" w:cs="Times New Roman"/>
          <w:color w:val="000000"/>
          <w:sz w:val="24"/>
          <w:szCs w:val="24"/>
          <w:lang w:eastAsia="en-GB"/>
        </w:rPr>
        <w:t>show</w:t>
      </w:r>
      <w:r w:rsidR="003153AF">
        <w:rPr>
          <w:rFonts w:ascii="Times New Roman" w:eastAsia="Arial" w:hAnsi="Times New Roman" w:cs="Times New Roman"/>
          <w:color w:val="000000"/>
          <w:sz w:val="24"/>
          <w:szCs w:val="24"/>
          <w:lang w:eastAsia="en-GB"/>
        </w:rPr>
        <w:t>ing</w:t>
      </w:r>
      <w:r w:rsidR="008B6BE4">
        <w:rPr>
          <w:rFonts w:ascii="Times New Roman" w:eastAsia="Arial" w:hAnsi="Times New Roman" w:cs="Times New Roman"/>
          <w:color w:val="000000"/>
          <w:sz w:val="24"/>
          <w:szCs w:val="24"/>
          <w:lang w:eastAsia="en-GB"/>
        </w:rPr>
        <w:t xml:space="preserve"> that reduced transparency </w:t>
      </w:r>
      <w:r w:rsidR="008B68B9">
        <w:rPr>
          <w:rFonts w:ascii="Times New Roman" w:eastAsia="Arial" w:hAnsi="Times New Roman" w:cs="Times New Roman"/>
          <w:color w:val="000000"/>
          <w:sz w:val="24"/>
          <w:szCs w:val="24"/>
          <w:lang w:eastAsia="en-GB"/>
        </w:rPr>
        <w:t xml:space="preserve">after IDD adoption </w:t>
      </w:r>
      <w:r w:rsidR="008B6BE4">
        <w:rPr>
          <w:rFonts w:ascii="Times New Roman" w:eastAsia="Arial" w:hAnsi="Times New Roman" w:cs="Times New Roman"/>
          <w:color w:val="000000"/>
          <w:sz w:val="24"/>
          <w:szCs w:val="24"/>
          <w:lang w:eastAsia="en-GB"/>
        </w:rPr>
        <w:t>leads to more aggressive tax avoidance behaviour</w:t>
      </w:r>
      <w:r w:rsidR="003153AF">
        <w:rPr>
          <w:rFonts w:ascii="Times New Roman" w:eastAsia="Arial" w:hAnsi="Times New Roman" w:cs="Times New Roman"/>
          <w:color w:val="000000"/>
          <w:sz w:val="24"/>
          <w:szCs w:val="24"/>
          <w:lang w:eastAsia="en-GB"/>
        </w:rPr>
        <w:t>, our study</w:t>
      </w:r>
      <w:r w:rsidR="008B6BE4">
        <w:rPr>
          <w:rFonts w:ascii="Times New Roman" w:eastAsia="Arial" w:hAnsi="Times New Roman" w:cs="Times New Roman"/>
          <w:color w:val="000000"/>
          <w:sz w:val="24"/>
          <w:szCs w:val="24"/>
          <w:lang w:eastAsia="en-GB"/>
        </w:rPr>
        <w:t xml:space="preserve"> shed</w:t>
      </w:r>
      <w:r w:rsidR="003153AF">
        <w:rPr>
          <w:rFonts w:ascii="Times New Roman" w:eastAsia="Arial" w:hAnsi="Times New Roman" w:cs="Times New Roman"/>
          <w:color w:val="000000"/>
          <w:sz w:val="24"/>
          <w:szCs w:val="24"/>
          <w:lang w:eastAsia="en-GB"/>
        </w:rPr>
        <w:t>s</w:t>
      </w:r>
      <w:r w:rsidR="008B6BE4">
        <w:rPr>
          <w:rFonts w:ascii="Times New Roman" w:eastAsia="Arial" w:hAnsi="Times New Roman" w:cs="Times New Roman"/>
          <w:color w:val="000000"/>
          <w:sz w:val="24"/>
          <w:szCs w:val="24"/>
          <w:lang w:eastAsia="en-GB"/>
        </w:rPr>
        <w:t xml:space="preserve"> more light on the debate and mixed evidence in prior literature on the relation</w:t>
      </w:r>
      <w:r w:rsidR="00E6230F">
        <w:rPr>
          <w:rFonts w:ascii="Times New Roman" w:eastAsia="Arial" w:hAnsi="Times New Roman" w:cs="Times New Roman"/>
          <w:color w:val="000000"/>
          <w:sz w:val="24"/>
          <w:szCs w:val="24"/>
          <w:lang w:eastAsia="en-GB"/>
        </w:rPr>
        <w:t>ship</w:t>
      </w:r>
      <w:r w:rsidR="008B6BE4">
        <w:rPr>
          <w:rFonts w:ascii="Times New Roman" w:eastAsia="Arial" w:hAnsi="Times New Roman" w:cs="Times New Roman"/>
          <w:color w:val="000000"/>
          <w:sz w:val="24"/>
          <w:szCs w:val="24"/>
          <w:lang w:eastAsia="en-GB"/>
        </w:rPr>
        <w:t xml:space="preserve"> between information asymmetry and tax avoidance.</w:t>
      </w:r>
    </w:p>
    <w:p w:rsidR="00C81A68" w:rsidRPr="00C81A68" w:rsidRDefault="00C44720" w:rsidP="00C81A68">
      <w:pPr>
        <w:spacing w:after="0" w:line="480" w:lineRule="auto"/>
        <w:ind w:firstLine="567"/>
        <w:jc w:val="both"/>
        <w:rPr>
          <w:rFonts w:ascii="Times New Roman" w:eastAsia="Calibri" w:hAnsi="Times New Roman" w:cs="Arial"/>
          <w:sz w:val="24"/>
          <w:szCs w:val="24"/>
          <w:highlight w:val="yellow"/>
          <w:lang w:eastAsia="en-GB"/>
        </w:rPr>
      </w:pPr>
      <w:r>
        <w:rPr>
          <w:rFonts w:ascii="Times New Roman" w:eastAsia="Arial" w:hAnsi="Times New Roman" w:cs="Times New Roman"/>
          <w:color w:val="000000"/>
          <w:sz w:val="24"/>
          <w:szCs w:val="24"/>
          <w:lang w:eastAsia="en-GB"/>
        </w:rPr>
        <w:t xml:space="preserve">Our study is subject to several limitations. </w:t>
      </w:r>
      <w:r w:rsidR="00E6230F">
        <w:rPr>
          <w:rFonts w:ascii="Times New Roman" w:eastAsia="Arial" w:hAnsi="Times New Roman" w:cs="Times New Roman"/>
          <w:color w:val="000000"/>
          <w:sz w:val="24"/>
          <w:szCs w:val="24"/>
          <w:lang w:eastAsia="en-GB"/>
        </w:rPr>
        <w:t>First, a</w:t>
      </w:r>
      <w:r w:rsidR="000575B8">
        <w:rPr>
          <w:rFonts w:ascii="Times New Roman" w:eastAsia="Arial" w:hAnsi="Times New Roman" w:cs="Times New Roman"/>
          <w:color w:val="000000"/>
          <w:sz w:val="24"/>
          <w:szCs w:val="24"/>
          <w:lang w:eastAsia="en-GB"/>
        </w:rPr>
        <w:t xml:space="preserve">s information environment is </w:t>
      </w:r>
      <w:r w:rsidR="00E6230F">
        <w:rPr>
          <w:rFonts w:ascii="Times New Roman" w:eastAsia="Arial" w:hAnsi="Times New Roman" w:cs="Times New Roman"/>
          <w:color w:val="000000"/>
          <w:sz w:val="24"/>
          <w:szCs w:val="24"/>
          <w:lang w:eastAsia="en-GB"/>
        </w:rPr>
        <w:t xml:space="preserve">not directly </w:t>
      </w:r>
      <w:r w:rsidR="000575B8">
        <w:rPr>
          <w:rFonts w:ascii="Times New Roman" w:eastAsia="Arial" w:hAnsi="Times New Roman" w:cs="Times New Roman"/>
          <w:color w:val="000000"/>
          <w:sz w:val="24"/>
          <w:szCs w:val="24"/>
          <w:lang w:eastAsia="en-GB"/>
        </w:rPr>
        <w:t xml:space="preserve">observable, we rely on the adoption of the IDD to infer the changes in the firm’s information environment. We also rely on </w:t>
      </w:r>
      <w:r w:rsidR="00E6230F">
        <w:rPr>
          <w:rFonts w:ascii="Times New Roman" w:eastAsia="Arial" w:hAnsi="Times New Roman" w:cs="Times New Roman"/>
          <w:color w:val="000000"/>
          <w:sz w:val="24"/>
          <w:szCs w:val="24"/>
          <w:lang w:eastAsia="en-GB"/>
        </w:rPr>
        <w:t xml:space="preserve">the </w:t>
      </w:r>
      <w:r w:rsidR="000575B8">
        <w:rPr>
          <w:rFonts w:ascii="Times New Roman" w:eastAsia="Arial" w:hAnsi="Times New Roman" w:cs="Times New Roman"/>
          <w:color w:val="000000"/>
          <w:sz w:val="24"/>
          <w:szCs w:val="24"/>
          <w:lang w:eastAsia="en-GB"/>
        </w:rPr>
        <w:t xml:space="preserve">measures of analyst coverage and discretionary accruals to infer the quality of the firm’s internal information environment. Moreover, our tax avoidance measures are limited to the </w:t>
      </w:r>
      <w:r w:rsidR="00E919A3">
        <w:rPr>
          <w:rFonts w:ascii="Times New Roman" w:eastAsia="Arial" w:hAnsi="Times New Roman" w:cs="Times New Roman"/>
          <w:color w:val="000000"/>
          <w:sz w:val="24"/>
          <w:szCs w:val="24"/>
          <w:lang w:eastAsia="en-GB"/>
        </w:rPr>
        <w:t xml:space="preserve">direct </w:t>
      </w:r>
      <w:r w:rsidR="000575B8">
        <w:rPr>
          <w:rFonts w:ascii="Times New Roman" w:eastAsia="Arial" w:hAnsi="Times New Roman" w:cs="Times New Roman"/>
          <w:color w:val="000000"/>
          <w:sz w:val="24"/>
          <w:szCs w:val="24"/>
          <w:lang w:eastAsia="en-GB"/>
        </w:rPr>
        <w:t xml:space="preserve">tax avoidance </w:t>
      </w:r>
      <w:r w:rsidR="0026363D">
        <w:rPr>
          <w:rFonts w:ascii="Times New Roman" w:eastAsia="Arial" w:hAnsi="Times New Roman" w:cs="Times New Roman"/>
          <w:color w:val="000000"/>
          <w:sz w:val="24"/>
          <w:szCs w:val="24"/>
          <w:lang w:eastAsia="en-GB"/>
        </w:rPr>
        <w:t>measures</w:t>
      </w:r>
      <w:r w:rsidR="00E6230F">
        <w:rPr>
          <w:rFonts w:ascii="Times New Roman" w:eastAsia="Arial" w:hAnsi="Times New Roman" w:cs="Times New Roman"/>
          <w:color w:val="000000"/>
          <w:sz w:val="24"/>
          <w:szCs w:val="24"/>
          <w:lang w:eastAsia="en-GB"/>
        </w:rPr>
        <w:t xml:space="preserve"> of</w:t>
      </w:r>
      <w:r w:rsidR="000575B8">
        <w:rPr>
          <w:rFonts w:ascii="Times New Roman" w:eastAsia="Arial" w:hAnsi="Times New Roman" w:cs="Times New Roman"/>
          <w:color w:val="000000"/>
          <w:sz w:val="24"/>
          <w:szCs w:val="24"/>
          <w:lang w:eastAsia="en-GB"/>
        </w:rPr>
        <w:t xml:space="preserve"> effective tax rates and book-tax differences. These measures </w:t>
      </w:r>
      <w:r w:rsidR="00E6230F">
        <w:rPr>
          <w:rFonts w:ascii="Times New Roman" w:eastAsia="Arial" w:hAnsi="Times New Roman" w:cs="Times New Roman"/>
          <w:color w:val="000000"/>
          <w:sz w:val="24"/>
          <w:szCs w:val="24"/>
          <w:lang w:eastAsia="en-GB"/>
        </w:rPr>
        <w:t xml:space="preserve">could </w:t>
      </w:r>
      <w:r w:rsidR="000575B8">
        <w:rPr>
          <w:rFonts w:ascii="Times New Roman" w:eastAsia="Arial" w:hAnsi="Times New Roman" w:cs="Times New Roman"/>
          <w:color w:val="000000"/>
          <w:sz w:val="24"/>
          <w:szCs w:val="24"/>
          <w:lang w:eastAsia="en-GB"/>
        </w:rPr>
        <w:t xml:space="preserve">capture </w:t>
      </w:r>
      <w:r w:rsidR="00E6230F">
        <w:rPr>
          <w:rFonts w:ascii="Times New Roman" w:eastAsia="Arial" w:hAnsi="Times New Roman" w:cs="Times New Roman"/>
          <w:color w:val="000000"/>
          <w:sz w:val="24"/>
          <w:szCs w:val="24"/>
          <w:lang w:eastAsia="en-GB"/>
        </w:rPr>
        <w:t xml:space="preserve">the firm’s overall tax avoidance strategy </w:t>
      </w:r>
      <w:r w:rsidR="00E6230F">
        <w:rPr>
          <w:rFonts w:ascii="Times New Roman" w:eastAsia="Arial" w:hAnsi="Times New Roman" w:cs="Times New Roman"/>
          <w:color w:val="000000"/>
          <w:sz w:val="24"/>
          <w:szCs w:val="24"/>
          <w:lang w:eastAsia="en-GB"/>
        </w:rPr>
        <w:lastRenderedPageBreak/>
        <w:t xml:space="preserve">with errors as they do not consider potential tax </w:t>
      </w:r>
      <w:r w:rsidR="0026363D">
        <w:rPr>
          <w:rFonts w:ascii="Times New Roman" w:eastAsia="Arial" w:hAnsi="Times New Roman" w:cs="Times New Roman"/>
          <w:color w:val="000000"/>
          <w:sz w:val="24"/>
          <w:szCs w:val="24"/>
          <w:lang w:eastAsia="en-GB"/>
        </w:rPr>
        <w:t xml:space="preserve">planning </w:t>
      </w:r>
      <w:r w:rsidR="000575B8">
        <w:rPr>
          <w:rFonts w:ascii="Times New Roman" w:eastAsia="Arial" w:hAnsi="Times New Roman" w:cs="Times New Roman"/>
          <w:color w:val="000000"/>
          <w:sz w:val="24"/>
          <w:szCs w:val="24"/>
          <w:lang w:eastAsia="en-GB"/>
        </w:rPr>
        <w:t>activities</w:t>
      </w:r>
      <w:r w:rsidR="00E919A3">
        <w:rPr>
          <w:rFonts w:ascii="Times New Roman" w:eastAsia="Arial" w:hAnsi="Times New Roman" w:cs="Times New Roman"/>
          <w:color w:val="000000"/>
          <w:sz w:val="24"/>
          <w:szCs w:val="24"/>
          <w:lang w:eastAsia="en-GB"/>
        </w:rPr>
        <w:t xml:space="preserve"> that only indirect</w:t>
      </w:r>
      <w:r w:rsidR="00D670A5">
        <w:rPr>
          <w:rFonts w:ascii="Times New Roman" w:eastAsia="Arial" w:hAnsi="Times New Roman" w:cs="Times New Roman"/>
          <w:color w:val="000000"/>
          <w:sz w:val="24"/>
          <w:szCs w:val="24"/>
          <w:lang w:eastAsia="en-GB"/>
        </w:rPr>
        <w:t>ly</w:t>
      </w:r>
      <w:r w:rsidR="00E919A3">
        <w:rPr>
          <w:rFonts w:ascii="Times New Roman" w:eastAsia="Arial" w:hAnsi="Times New Roman" w:cs="Times New Roman"/>
          <w:color w:val="000000"/>
          <w:sz w:val="24"/>
          <w:szCs w:val="24"/>
          <w:lang w:eastAsia="en-GB"/>
        </w:rPr>
        <w:t xml:space="preserve"> </w:t>
      </w:r>
      <w:r w:rsidR="00494FF9">
        <w:rPr>
          <w:rFonts w:ascii="Times New Roman" w:eastAsia="Arial" w:hAnsi="Times New Roman" w:cs="Times New Roman"/>
          <w:color w:val="000000"/>
          <w:sz w:val="24"/>
          <w:szCs w:val="24"/>
          <w:lang w:eastAsia="en-GB"/>
        </w:rPr>
        <w:t xml:space="preserve">affect </w:t>
      </w:r>
      <w:r w:rsidR="00E919A3">
        <w:rPr>
          <w:rFonts w:ascii="Times New Roman" w:eastAsia="Arial" w:hAnsi="Times New Roman" w:cs="Times New Roman"/>
          <w:color w:val="000000"/>
          <w:sz w:val="24"/>
          <w:szCs w:val="24"/>
          <w:lang w:eastAsia="en-GB"/>
        </w:rPr>
        <w:t>tax avoidance</w:t>
      </w:r>
      <w:r w:rsidR="000575B8">
        <w:rPr>
          <w:rFonts w:ascii="Times New Roman" w:eastAsia="Arial" w:hAnsi="Times New Roman" w:cs="Times New Roman"/>
          <w:color w:val="000000"/>
          <w:sz w:val="24"/>
          <w:szCs w:val="24"/>
          <w:lang w:eastAsia="en-GB"/>
        </w:rPr>
        <w:t>.</w:t>
      </w:r>
      <w:r w:rsidR="0026363D">
        <w:rPr>
          <w:rFonts w:ascii="Times New Roman" w:eastAsia="Arial" w:hAnsi="Times New Roman" w:cs="Times New Roman"/>
          <w:color w:val="000000"/>
          <w:sz w:val="24"/>
          <w:szCs w:val="24"/>
          <w:lang w:eastAsia="en-GB"/>
        </w:rPr>
        <w:t xml:space="preserve"> Finally, it is possible that IDD adoption </w:t>
      </w:r>
      <w:r w:rsidR="00E6230F">
        <w:rPr>
          <w:rFonts w:ascii="Times New Roman" w:eastAsia="Arial" w:hAnsi="Times New Roman" w:cs="Times New Roman"/>
          <w:color w:val="000000"/>
          <w:sz w:val="24"/>
          <w:szCs w:val="24"/>
          <w:lang w:eastAsia="en-GB"/>
        </w:rPr>
        <w:t xml:space="preserve">is </w:t>
      </w:r>
      <w:r w:rsidR="0026363D">
        <w:rPr>
          <w:rFonts w:ascii="Times New Roman" w:eastAsia="Arial" w:hAnsi="Times New Roman" w:cs="Times New Roman"/>
          <w:color w:val="000000"/>
          <w:sz w:val="24"/>
          <w:szCs w:val="24"/>
          <w:lang w:eastAsia="en-GB"/>
        </w:rPr>
        <w:t>confound</w:t>
      </w:r>
      <w:r w:rsidR="00E6230F">
        <w:rPr>
          <w:rFonts w:ascii="Times New Roman" w:eastAsia="Arial" w:hAnsi="Times New Roman" w:cs="Times New Roman"/>
          <w:color w:val="000000"/>
          <w:sz w:val="24"/>
          <w:szCs w:val="24"/>
          <w:lang w:eastAsia="en-GB"/>
        </w:rPr>
        <w:t>ed</w:t>
      </w:r>
      <w:r w:rsidR="0026363D">
        <w:rPr>
          <w:rFonts w:ascii="Times New Roman" w:eastAsia="Arial" w:hAnsi="Times New Roman" w:cs="Times New Roman"/>
          <w:color w:val="000000"/>
          <w:sz w:val="24"/>
          <w:szCs w:val="24"/>
          <w:lang w:eastAsia="en-GB"/>
        </w:rPr>
        <w:t xml:space="preserve"> with </w:t>
      </w:r>
      <w:r w:rsidR="00BA1BF8">
        <w:rPr>
          <w:rFonts w:ascii="Times New Roman" w:eastAsia="Arial" w:hAnsi="Times New Roman" w:cs="Times New Roman"/>
          <w:color w:val="000000"/>
          <w:sz w:val="24"/>
          <w:szCs w:val="24"/>
          <w:lang w:eastAsia="en-GB"/>
        </w:rPr>
        <w:t xml:space="preserve">the </w:t>
      </w:r>
      <w:r w:rsidR="0026363D">
        <w:rPr>
          <w:rFonts w:ascii="Times New Roman" w:eastAsia="Arial" w:hAnsi="Times New Roman" w:cs="Times New Roman"/>
          <w:color w:val="000000"/>
          <w:sz w:val="24"/>
          <w:szCs w:val="24"/>
          <w:lang w:eastAsia="en-GB"/>
        </w:rPr>
        <w:t>changes in unobservable economic and governance environments. Although our difference-in-differences analysis and matching process can significantly reduce the</w:t>
      </w:r>
      <w:r w:rsidR="00434B74">
        <w:rPr>
          <w:rFonts w:ascii="Times New Roman" w:eastAsia="Arial" w:hAnsi="Times New Roman" w:cs="Times New Roman"/>
          <w:color w:val="000000"/>
          <w:sz w:val="24"/>
          <w:szCs w:val="24"/>
          <w:lang w:eastAsia="en-GB"/>
        </w:rPr>
        <w:t>se</w:t>
      </w:r>
      <w:r w:rsidR="0026363D">
        <w:rPr>
          <w:rFonts w:ascii="Times New Roman" w:eastAsia="Arial" w:hAnsi="Times New Roman" w:cs="Times New Roman"/>
          <w:color w:val="000000"/>
          <w:sz w:val="24"/>
          <w:szCs w:val="24"/>
          <w:lang w:eastAsia="en-GB"/>
        </w:rPr>
        <w:t xml:space="preserve"> endogeneity concerns, we can not completely rule out alternative explanations.   </w:t>
      </w:r>
      <w:r w:rsidR="000575B8">
        <w:rPr>
          <w:rFonts w:ascii="Times New Roman" w:eastAsia="Arial" w:hAnsi="Times New Roman" w:cs="Times New Roman"/>
          <w:color w:val="000000"/>
          <w:sz w:val="24"/>
          <w:szCs w:val="24"/>
          <w:lang w:eastAsia="en-GB"/>
        </w:rPr>
        <w:t xml:space="preserve"> </w:t>
      </w:r>
    </w:p>
    <w:p w:rsidR="00C81A68" w:rsidRPr="00C44720" w:rsidRDefault="00650EBA" w:rsidP="001D3567">
      <w:pPr>
        <w:spacing w:after="0" w:line="480" w:lineRule="auto"/>
        <w:ind w:firstLine="567"/>
        <w:jc w:val="both"/>
        <w:rPr>
          <w:rFonts w:ascii="Times New Roman" w:eastAsia="Calibri" w:hAnsi="Times New Roman" w:cs="Arial"/>
          <w:sz w:val="24"/>
          <w:szCs w:val="24"/>
          <w:lang w:eastAsia="en-GB"/>
        </w:rPr>
      </w:pPr>
      <w:r w:rsidRPr="00C44720">
        <w:rPr>
          <w:rFonts w:ascii="Times New Roman" w:eastAsia="Calibri" w:hAnsi="Times New Roman" w:cs="Arial"/>
          <w:sz w:val="24"/>
          <w:szCs w:val="24"/>
          <w:lang w:eastAsia="en-GB"/>
        </w:rPr>
        <w:t xml:space="preserve">Our </w:t>
      </w:r>
      <w:r w:rsidR="004D1FA8">
        <w:rPr>
          <w:rFonts w:ascii="Times New Roman" w:eastAsia="Calibri" w:hAnsi="Times New Roman" w:cs="Arial"/>
          <w:sz w:val="24"/>
          <w:szCs w:val="24"/>
          <w:lang w:eastAsia="en-GB"/>
        </w:rPr>
        <w:t xml:space="preserve">study has </w:t>
      </w:r>
      <w:r w:rsidR="00E64D51">
        <w:rPr>
          <w:rFonts w:ascii="Times New Roman" w:eastAsia="Calibri" w:hAnsi="Times New Roman" w:cs="Arial"/>
          <w:sz w:val="24"/>
          <w:szCs w:val="24"/>
          <w:lang w:eastAsia="en-GB"/>
        </w:rPr>
        <w:t xml:space="preserve">managerial </w:t>
      </w:r>
      <w:r w:rsidR="00C44720">
        <w:rPr>
          <w:rFonts w:ascii="Times New Roman" w:eastAsia="Calibri" w:hAnsi="Times New Roman" w:cs="Arial"/>
          <w:sz w:val="24"/>
          <w:szCs w:val="24"/>
          <w:lang w:eastAsia="en-GB"/>
        </w:rPr>
        <w:t xml:space="preserve">implications. </w:t>
      </w:r>
      <w:r w:rsidR="00336912">
        <w:rPr>
          <w:rFonts w:ascii="Times New Roman" w:eastAsia="Calibri" w:hAnsi="Times New Roman" w:cs="Arial"/>
          <w:sz w:val="24"/>
          <w:szCs w:val="24"/>
          <w:lang w:eastAsia="en-GB"/>
        </w:rPr>
        <w:t>Corporate tax planning form</w:t>
      </w:r>
      <w:r w:rsidR="001D3567">
        <w:rPr>
          <w:rFonts w:ascii="Times New Roman" w:eastAsia="Calibri" w:hAnsi="Times New Roman" w:cs="Arial"/>
          <w:sz w:val="24"/>
          <w:szCs w:val="24"/>
          <w:lang w:eastAsia="en-GB"/>
        </w:rPr>
        <w:t>s</w:t>
      </w:r>
      <w:r w:rsidR="00336912">
        <w:rPr>
          <w:rFonts w:ascii="Times New Roman" w:eastAsia="Calibri" w:hAnsi="Times New Roman" w:cs="Arial"/>
          <w:sz w:val="24"/>
          <w:szCs w:val="24"/>
          <w:lang w:eastAsia="en-GB"/>
        </w:rPr>
        <w:t xml:space="preserve"> an important part of </w:t>
      </w:r>
      <w:r w:rsidR="001D3567">
        <w:rPr>
          <w:rFonts w:ascii="Times New Roman" w:eastAsia="Calibri" w:hAnsi="Times New Roman" w:cs="Arial"/>
          <w:sz w:val="24"/>
          <w:szCs w:val="24"/>
          <w:lang w:eastAsia="en-GB"/>
        </w:rPr>
        <w:t>managers’ responsibilities. Understanding the effect of IDD adoption on corporate tax might affect how managers choose their tax strategies based on the location of the business. Since regulators and investors are concerned with corporate transparency and tax avoidance, m</w:t>
      </w:r>
      <w:r w:rsidR="00C81A68" w:rsidRPr="00C44720">
        <w:rPr>
          <w:rFonts w:ascii="Times New Roman" w:eastAsia="Calibri" w:hAnsi="Times New Roman" w:cs="Arial"/>
          <w:sz w:val="24"/>
          <w:szCs w:val="24"/>
          <w:lang w:eastAsia="en-GB"/>
        </w:rPr>
        <w:t xml:space="preserve">anagers </w:t>
      </w:r>
      <w:r w:rsidR="001D3567">
        <w:rPr>
          <w:rFonts w:ascii="Times New Roman" w:eastAsia="Calibri" w:hAnsi="Times New Roman" w:cs="Arial"/>
          <w:sz w:val="24"/>
          <w:szCs w:val="24"/>
          <w:lang w:eastAsia="en-GB"/>
        </w:rPr>
        <w:t xml:space="preserve">of the firms located in states that have adopted the IDD </w:t>
      </w:r>
      <w:r w:rsidR="00C81A68" w:rsidRPr="00C44720">
        <w:rPr>
          <w:rFonts w:ascii="Times New Roman" w:eastAsia="Calibri" w:hAnsi="Times New Roman" w:cs="Arial"/>
          <w:sz w:val="24"/>
          <w:szCs w:val="24"/>
          <w:lang w:eastAsia="en-GB"/>
        </w:rPr>
        <w:t xml:space="preserve">might </w:t>
      </w:r>
      <w:r w:rsidR="001D3567">
        <w:rPr>
          <w:rFonts w:ascii="Times New Roman" w:eastAsia="Calibri" w:hAnsi="Times New Roman" w:cs="Arial"/>
          <w:sz w:val="24"/>
          <w:szCs w:val="24"/>
          <w:lang w:eastAsia="en-GB"/>
        </w:rPr>
        <w:t>also want to</w:t>
      </w:r>
      <w:r w:rsidR="00A73944">
        <w:rPr>
          <w:rFonts w:ascii="Times New Roman" w:eastAsia="Calibri" w:hAnsi="Times New Roman" w:cs="Arial"/>
          <w:sz w:val="24"/>
          <w:szCs w:val="24"/>
          <w:lang w:eastAsia="en-GB"/>
        </w:rPr>
        <w:t xml:space="preserve"> better</w:t>
      </w:r>
      <w:r w:rsidR="001D3567">
        <w:rPr>
          <w:rFonts w:ascii="Times New Roman" w:eastAsia="Calibri" w:hAnsi="Times New Roman" w:cs="Arial"/>
          <w:sz w:val="24"/>
          <w:szCs w:val="24"/>
          <w:lang w:eastAsia="en-GB"/>
        </w:rPr>
        <w:t xml:space="preserve"> </w:t>
      </w:r>
      <w:r w:rsidR="00C81A68" w:rsidRPr="00C44720">
        <w:rPr>
          <w:rFonts w:ascii="Times New Roman" w:eastAsia="Calibri" w:hAnsi="Times New Roman" w:cs="Arial"/>
          <w:sz w:val="24"/>
          <w:szCs w:val="24"/>
          <w:lang w:eastAsia="en-GB"/>
        </w:rPr>
        <w:t>u</w:t>
      </w:r>
      <w:r w:rsidR="00A73944">
        <w:rPr>
          <w:rFonts w:ascii="Times New Roman" w:eastAsia="Calibri" w:hAnsi="Times New Roman" w:cs="Arial"/>
          <w:sz w:val="24"/>
          <w:szCs w:val="24"/>
          <w:lang w:eastAsia="en-GB"/>
        </w:rPr>
        <w:t>tilise</w:t>
      </w:r>
      <w:r w:rsidR="00C81A68" w:rsidRPr="00C44720">
        <w:rPr>
          <w:rFonts w:ascii="Times New Roman" w:eastAsia="Calibri" w:hAnsi="Times New Roman" w:cs="Arial"/>
          <w:sz w:val="24"/>
          <w:szCs w:val="24"/>
          <w:lang w:eastAsia="en-GB"/>
        </w:rPr>
        <w:t xml:space="preserve"> voluntary disclosure</w:t>
      </w:r>
      <w:r w:rsidR="001D3567">
        <w:rPr>
          <w:rFonts w:ascii="Times New Roman" w:eastAsia="Calibri" w:hAnsi="Times New Roman" w:cs="Arial"/>
          <w:sz w:val="24"/>
          <w:szCs w:val="24"/>
          <w:lang w:eastAsia="en-GB"/>
        </w:rPr>
        <w:t>s</w:t>
      </w:r>
      <w:r w:rsidR="00C81A68" w:rsidRPr="00C44720">
        <w:rPr>
          <w:rFonts w:ascii="Times New Roman" w:eastAsia="Calibri" w:hAnsi="Times New Roman" w:cs="Arial"/>
          <w:sz w:val="24"/>
          <w:szCs w:val="24"/>
          <w:lang w:eastAsia="en-GB"/>
        </w:rPr>
        <w:t xml:space="preserve"> to mitigate </w:t>
      </w:r>
      <w:r w:rsidR="001D3567">
        <w:rPr>
          <w:rFonts w:ascii="Times New Roman" w:eastAsia="Calibri" w:hAnsi="Times New Roman" w:cs="Arial"/>
          <w:sz w:val="24"/>
          <w:szCs w:val="24"/>
          <w:lang w:eastAsia="en-GB"/>
        </w:rPr>
        <w:t xml:space="preserve">any </w:t>
      </w:r>
      <w:r w:rsidR="00C81A68" w:rsidRPr="00C44720">
        <w:rPr>
          <w:rFonts w:ascii="Times New Roman" w:eastAsia="Calibri" w:hAnsi="Times New Roman" w:cs="Arial"/>
          <w:sz w:val="24"/>
          <w:szCs w:val="24"/>
          <w:lang w:eastAsia="en-GB"/>
        </w:rPr>
        <w:t>concern</w:t>
      </w:r>
      <w:r w:rsidR="001D3567">
        <w:rPr>
          <w:rFonts w:ascii="Times New Roman" w:eastAsia="Calibri" w:hAnsi="Times New Roman" w:cs="Arial"/>
          <w:sz w:val="24"/>
          <w:szCs w:val="24"/>
          <w:lang w:eastAsia="en-GB"/>
        </w:rPr>
        <w:t>s</w:t>
      </w:r>
      <w:r w:rsidR="00C81A68" w:rsidRPr="00C44720">
        <w:rPr>
          <w:rFonts w:ascii="Times New Roman" w:eastAsia="Calibri" w:hAnsi="Times New Roman" w:cs="Arial"/>
          <w:sz w:val="24"/>
          <w:szCs w:val="24"/>
          <w:lang w:eastAsia="en-GB"/>
        </w:rPr>
        <w:t xml:space="preserve"> of greater </w:t>
      </w:r>
      <w:r w:rsidR="001D3567">
        <w:rPr>
          <w:rFonts w:ascii="Times New Roman" w:eastAsia="Calibri" w:hAnsi="Times New Roman" w:cs="Arial"/>
          <w:sz w:val="24"/>
          <w:szCs w:val="24"/>
          <w:lang w:eastAsia="en-GB"/>
        </w:rPr>
        <w:t>information asymmetry and</w:t>
      </w:r>
      <w:r w:rsidR="00C81A68" w:rsidRPr="00C44720">
        <w:rPr>
          <w:rFonts w:ascii="Times New Roman" w:eastAsia="Calibri" w:hAnsi="Times New Roman" w:cs="Arial"/>
          <w:sz w:val="24"/>
          <w:szCs w:val="24"/>
          <w:lang w:eastAsia="en-GB"/>
        </w:rPr>
        <w:t xml:space="preserve"> </w:t>
      </w:r>
      <w:r w:rsidR="00ED1327">
        <w:rPr>
          <w:rFonts w:ascii="Times New Roman" w:eastAsia="Calibri" w:hAnsi="Times New Roman" w:cs="Arial"/>
          <w:sz w:val="24"/>
          <w:szCs w:val="24"/>
          <w:lang w:eastAsia="en-GB"/>
        </w:rPr>
        <w:t xml:space="preserve">tax </w:t>
      </w:r>
      <w:r w:rsidR="00C81A68" w:rsidRPr="00C44720">
        <w:rPr>
          <w:rFonts w:ascii="Times New Roman" w:eastAsia="Calibri" w:hAnsi="Times New Roman" w:cs="Arial"/>
          <w:sz w:val="24"/>
          <w:szCs w:val="24"/>
          <w:lang w:eastAsia="en-GB"/>
        </w:rPr>
        <w:t>risk from</w:t>
      </w:r>
      <w:r w:rsidR="00ED1327">
        <w:rPr>
          <w:rFonts w:ascii="Times New Roman" w:eastAsia="Calibri" w:hAnsi="Times New Roman" w:cs="Arial"/>
          <w:sz w:val="24"/>
          <w:szCs w:val="24"/>
          <w:lang w:eastAsia="en-GB"/>
        </w:rPr>
        <w:t xml:space="preserve"> relevant stakeholders</w:t>
      </w:r>
      <w:r w:rsidR="00C81A68" w:rsidRPr="00C44720">
        <w:rPr>
          <w:rFonts w:ascii="Times New Roman" w:eastAsia="Calibri" w:hAnsi="Times New Roman" w:cs="Arial"/>
          <w:sz w:val="24"/>
          <w:szCs w:val="24"/>
          <w:lang w:eastAsia="en-GB"/>
        </w:rPr>
        <w:t>.</w:t>
      </w:r>
      <w:r w:rsidR="001D3567">
        <w:rPr>
          <w:rFonts w:ascii="Times New Roman" w:eastAsia="Calibri" w:hAnsi="Times New Roman" w:cs="Arial"/>
          <w:sz w:val="24"/>
          <w:szCs w:val="24"/>
          <w:lang w:eastAsia="en-GB"/>
        </w:rPr>
        <w:t xml:space="preserve"> </w:t>
      </w:r>
      <w:r w:rsidR="00942158">
        <w:rPr>
          <w:rFonts w:ascii="Times New Roman" w:eastAsia="Calibri" w:hAnsi="Times New Roman" w:cs="Arial"/>
          <w:sz w:val="24"/>
          <w:szCs w:val="24"/>
          <w:lang w:eastAsia="en-GB"/>
        </w:rPr>
        <w:t xml:space="preserve">Our study opens revenues for future research on identifying </w:t>
      </w:r>
      <w:r w:rsidR="005F70BA">
        <w:rPr>
          <w:rFonts w:ascii="Times New Roman" w:eastAsia="Calibri" w:hAnsi="Times New Roman" w:cs="Arial"/>
          <w:sz w:val="24"/>
          <w:szCs w:val="24"/>
          <w:lang w:eastAsia="en-GB"/>
        </w:rPr>
        <w:t xml:space="preserve">specific </w:t>
      </w:r>
      <w:r w:rsidR="00942158">
        <w:rPr>
          <w:rFonts w:ascii="Times New Roman" w:eastAsia="Calibri" w:hAnsi="Times New Roman" w:cs="Arial"/>
          <w:sz w:val="24"/>
          <w:szCs w:val="24"/>
          <w:lang w:eastAsia="en-GB"/>
        </w:rPr>
        <w:t xml:space="preserve">characteristics of corporate information environment </w:t>
      </w:r>
      <w:r w:rsidR="005F70BA">
        <w:rPr>
          <w:rFonts w:ascii="Times New Roman" w:eastAsia="Calibri" w:hAnsi="Times New Roman" w:cs="Arial"/>
          <w:sz w:val="24"/>
          <w:szCs w:val="24"/>
          <w:lang w:eastAsia="en-GB"/>
        </w:rPr>
        <w:t xml:space="preserve">associated with </w:t>
      </w:r>
      <w:r w:rsidR="00942158">
        <w:rPr>
          <w:rFonts w:ascii="Times New Roman" w:eastAsia="Calibri" w:hAnsi="Times New Roman" w:cs="Arial"/>
          <w:sz w:val="24"/>
          <w:szCs w:val="24"/>
          <w:lang w:eastAsia="en-GB"/>
        </w:rPr>
        <w:t>tax avoidance</w:t>
      </w:r>
      <w:r w:rsidR="005F70BA">
        <w:rPr>
          <w:rFonts w:ascii="Times New Roman" w:eastAsia="Calibri" w:hAnsi="Times New Roman" w:cs="Arial"/>
          <w:sz w:val="24"/>
          <w:szCs w:val="24"/>
          <w:lang w:eastAsia="en-GB"/>
        </w:rPr>
        <w:t xml:space="preserve"> and other channels that might interact with corporate information environment to influence managers’ decision</w:t>
      </w:r>
      <w:r w:rsidR="00176D4E">
        <w:rPr>
          <w:rFonts w:ascii="Times New Roman" w:eastAsia="Calibri" w:hAnsi="Times New Roman" w:cs="Arial"/>
          <w:sz w:val="24"/>
          <w:szCs w:val="24"/>
          <w:lang w:eastAsia="en-GB"/>
        </w:rPr>
        <w:t>s</w:t>
      </w:r>
      <w:r w:rsidR="005F70BA">
        <w:rPr>
          <w:rFonts w:ascii="Times New Roman" w:eastAsia="Calibri" w:hAnsi="Times New Roman" w:cs="Arial"/>
          <w:sz w:val="24"/>
          <w:szCs w:val="24"/>
          <w:lang w:eastAsia="en-GB"/>
        </w:rPr>
        <w:t xml:space="preserve"> to engage in tax planning and avoidance. </w:t>
      </w:r>
      <w:r w:rsidR="00A73944">
        <w:rPr>
          <w:rFonts w:ascii="Times New Roman" w:eastAsia="Calibri" w:hAnsi="Times New Roman" w:cs="Arial"/>
          <w:sz w:val="24"/>
          <w:szCs w:val="24"/>
          <w:lang w:eastAsia="en-GB"/>
        </w:rPr>
        <w:t xml:space="preserve">Providing more insight on </w:t>
      </w:r>
      <w:r w:rsidR="005F70BA">
        <w:rPr>
          <w:rFonts w:ascii="Times New Roman" w:eastAsia="Calibri" w:hAnsi="Times New Roman" w:cs="Arial"/>
          <w:sz w:val="24"/>
          <w:szCs w:val="24"/>
          <w:lang w:eastAsia="en-GB"/>
        </w:rPr>
        <w:t xml:space="preserve">the relationship between the characteristics of corporate environment and tax avoidance behaviour would be an important contribution to the literature. </w:t>
      </w:r>
    </w:p>
    <w:p w:rsidR="00C81A68" w:rsidRPr="00C81A68" w:rsidRDefault="00C81A68" w:rsidP="00C81A68">
      <w:pPr>
        <w:autoSpaceDE w:val="0"/>
        <w:autoSpaceDN w:val="0"/>
        <w:adjustRightInd w:val="0"/>
        <w:spacing w:after="0" w:line="480" w:lineRule="auto"/>
        <w:ind w:firstLine="567"/>
        <w:jc w:val="both"/>
        <w:rPr>
          <w:rFonts w:ascii="Times New Roman" w:eastAsia="SimSun" w:hAnsi="Times New Roman" w:cs="Times New Roman"/>
          <w:color w:val="000000"/>
          <w:sz w:val="24"/>
          <w:szCs w:val="24"/>
          <w:lang w:eastAsia="zh-CN"/>
        </w:rPr>
      </w:pPr>
    </w:p>
    <w:p w:rsidR="00C81A68" w:rsidRPr="00C81A68" w:rsidRDefault="00C81A68" w:rsidP="00C81A68">
      <w:pPr>
        <w:spacing w:after="0" w:line="480" w:lineRule="auto"/>
        <w:ind w:firstLine="567"/>
        <w:jc w:val="both"/>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sectPr w:rsidR="00C81A68" w:rsidRPr="00C81A68" w:rsidSect="009032B3">
          <w:pgSz w:w="11906" w:h="16838"/>
          <w:pgMar w:top="1440" w:right="1440" w:bottom="1440" w:left="1440" w:header="709" w:footer="709" w:gutter="0"/>
          <w:cols w:space="708"/>
          <w:docGrid w:linePitch="360"/>
        </w:sectPr>
      </w:pPr>
    </w:p>
    <w:p w:rsidR="00C81A68" w:rsidRPr="00C81A68" w:rsidRDefault="00C81A68" w:rsidP="008C5651">
      <w:pPr>
        <w:spacing w:after="0" w:line="240" w:lineRule="auto"/>
        <w:jc w:val="center"/>
        <w:rPr>
          <w:rFonts w:ascii="Times New Roman" w:eastAsia="Arial" w:hAnsi="Times New Roman" w:cs="Times New Roman"/>
          <w:b/>
          <w:sz w:val="28"/>
          <w:szCs w:val="28"/>
          <w:lang w:eastAsia="en-GB"/>
        </w:rPr>
      </w:pPr>
      <w:r w:rsidRPr="00C81A68">
        <w:rPr>
          <w:rFonts w:ascii="Times New Roman" w:eastAsia="Arial" w:hAnsi="Times New Roman" w:cs="Times New Roman"/>
          <w:b/>
          <w:sz w:val="28"/>
          <w:szCs w:val="28"/>
          <w:lang w:eastAsia="en-GB"/>
        </w:rPr>
        <w:lastRenderedPageBreak/>
        <w:t>References</w:t>
      </w:r>
    </w:p>
    <w:p w:rsidR="00C81A68" w:rsidRPr="00C81A68" w:rsidRDefault="00C81A68" w:rsidP="00C81A68">
      <w:pPr>
        <w:spacing w:after="0" w:line="240" w:lineRule="auto"/>
        <w:rPr>
          <w:rFonts w:ascii="Times New Roman" w:eastAsia="Arial" w:hAnsi="Times New Roman" w:cs="Times New Roman"/>
          <w:b/>
          <w:sz w:val="28"/>
          <w:szCs w:val="28"/>
          <w:lang w:eastAsia="en-GB"/>
        </w:rPr>
      </w:pPr>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 xml:space="preserve">Ali, A., Li, N., &amp; Zhang, W. (2019). Restrictions on managers’ outside employment opportunities and asymmetric disclosure of bad news relative to good news. </w:t>
      </w:r>
      <w:r w:rsidRPr="008C5651">
        <w:rPr>
          <w:rFonts w:ascii="Times New Roman" w:eastAsia="Arial" w:hAnsi="Times New Roman" w:cs="Times New Roman"/>
          <w:i/>
          <w:color w:val="000000"/>
          <w:sz w:val="24"/>
          <w:szCs w:val="24"/>
          <w:lang w:eastAsia="en-GB"/>
        </w:rPr>
        <w:t xml:space="preserve">The Accounting Review </w:t>
      </w:r>
      <w:r w:rsidRPr="008C5651">
        <w:rPr>
          <w:rFonts w:ascii="Times New Roman" w:eastAsia="Arial" w:hAnsi="Times New Roman" w:cs="Times New Roman"/>
          <w:color w:val="000000"/>
          <w:sz w:val="24"/>
          <w:szCs w:val="24"/>
          <w:lang w:eastAsia="en-GB"/>
        </w:rPr>
        <w:t xml:space="preserve">94 (5): 1–25. </w:t>
      </w:r>
      <w:hyperlink r:id="rId10" w:tgtFrame="_blank" w:history="1">
        <w:r w:rsidRPr="008C5651">
          <w:rPr>
            <w:rFonts w:ascii="Times New Roman" w:eastAsia="Calibri" w:hAnsi="Times New Roman" w:cs="Times New Roman"/>
            <w:bCs/>
            <w:color w:val="000000"/>
            <w:sz w:val="24"/>
            <w:szCs w:val="24"/>
            <w:u w:val="single"/>
            <w:bdr w:val="none" w:sz="0" w:space="0" w:color="auto" w:frame="1"/>
            <w:shd w:val="clear" w:color="auto" w:fill="FFFFFF"/>
            <w:lang w:eastAsia="en-GB"/>
          </w:rPr>
          <w:t>https://doi.org/10.2308/accr-52314</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Times New Roman" w:hAnsi="Times New Roman" w:cs="Times New Roman"/>
          <w:color w:val="000000"/>
          <w:sz w:val="24"/>
          <w:szCs w:val="24"/>
          <w:shd w:val="clear" w:color="auto" w:fill="FFFFFF"/>
          <w:lang w:eastAsia="en-GB"/>
        </w:rPr>
        <w:t xml:space="preserve">Ayers, B., Jiang, C., &amp; </w:t>
      </w:r>
      <w:proofErr w:type="spellStart"/>
      <w:r w:rsidRPr="008C5651">
        <w:rPr>
          <w:rFonts w:ascii="Times New Roman" w:eastAsia="Times New Roman" w:hAnsi="Times New Roman" w:cs="Times New Roman"/>
          <w:color w:val="000000"/>
          <w:sz w:val="24"/>
          <w:szCs w:val="24"/>
          <w:shd w:val="clear" w:color="auto" w:fill="FFFFFF"/>
          <w:lang w:eastAsia="en-GB"/>
        </w:rPr>
        <w:t>Laplante</w:t>
      </w:r>
      <w:proofErr w:type="spellEnd"/>
      <w:r w:rsidRPr="008C5651">
        <w:rPr>
          <w:rFonts w:ascii="Times New Roman" w:eastAsia="Times New Roman" w:hAnsi="Times New Roman" w:cs="Times New Roman"/>
          <w:color w:val="000000"/>
          <w:sz w:val="24"/>
          <w:szCs w:val="24"/>
          <w:shd w:val="clear" w:color="auto" w:fill="FFFFFF"/>
          <w:lang w:eastAsia="en-GB"/>
        </w:rPr>
        <w:t xml:space="preserve">, S. (2009). Taxable income as a performance measure: the effects of tax planning and earnings quality. </w:t>
      </w:r>
      <w:r w:rsidRPr="008C5651">
        <w:rPr>
          <w:rFonts w:ascii="Times New Roman" w:eastAsia="Times New Roman" w:hAnsi="Times New Roman" w:cs="Times New Roman"/>
          <w:i/>
          <w:color w:val="000000"/>
          <w:sz w:val="24"/>
          <w:szCs w:val="24"/>
          <w:shd w:val="clear" w:color="auto" w:fill="FFFFFF"/>
          <w:lang w:eastAsia="en-GB"/>
        </w:rPr>
        <w:t>Contemporary Accounting Research</w:t>
      </w:r>
      <w:r w:rsidRPr="008C5651">
        <w:rPr>
          <w:rFonts w:ascii="Times New Roman" w:eastAsia="Times New Roman" w:hAnsi="Times New Roman" w:cs="Times New Roman"/>
          <w:color w:val="000000"/>
          <w:sz w:val="24"/>
          <w:szCs w:val="24"/>
          <w:shd w:val="clear" w:color="auto" w:fill="FFFFFF"/>
          <w:lang w:eastAsia="en-GB"/>
        </w:rPr>
        <w:t xml:space="preserve"> 26 (1): 15–54. </w:t>
      </w:r>
      <w:hyperlink r:id="rId11" w:history="1">
        <w:r w:rsidRPr="008C5651">
          <w:rPr>
            <w:rFonts w:ascii="Times New Roman" w:eastAsia="Calibri" w:hAnsi="Times New Roman" w:cs="Times New Roman"/>
            <w:bCs/>
            <w:color w:val="000000"/>
            <w:sz w:val="24"/>
            <w:szCs w:val="24"/>
            <w:u w:val="single"/>
            <w:shd w:val="clear" w:color="auto" w:fill="FFFFFF"/>
            <w:lang w:eastAsia="en-GB"/>
          </w:rPr>
          <w:t>https://doi.org/10.1506/car.26.1.1</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Times New Roman" w:hAnsi="Times New Roman" w:cs="Times New Roman"/>
          <w:color w:val="000000"/>
          <w:sz w:val="24"/>
          <w:szCs w:val="24"/>
          <w:shd w:val="clear" w:color="auto" w:fill="FFFFFF"/>
          <w:lang w:eastAsia="en-GB"/>
        </w:rPr>
        <w:t xml:space="preserve">Balakrishnan, K., Blouin, J. and W. </w:t>
      </w:r>
      <w:proofErr w:type="spellStart"/>
      <w:r w:rsidRPr="008C5651">
        <w:rPr>
          <w:rFonts w:ascii="Times New Roman" w:eastAsia="Times New Roman" w:hAnsi="Times New Roman" w:cs="Times New Roman"/>
          <w:color w:val="000000"/>
          <w:sz w:val="24"/>
          <w:szCs w:val="24"/>
          <w:shd w:val="clear" w:color="auto" w:fill="FFFFFF"/>
          <w:lang w:eastAsia="en-GB"/>
        </w:rPr>
        <w:t>Guay</w:t>
      </w:r>
      <w:proofErr w:type="spellEnd"/>
      <w:r w:rsidRPr="008C5651">
        <w:rPr>
          <w:rFonts w:ascii="Times New Roman" w:eastAsia="Times New Roman" w:hAnsi="Times New Roman" w:cs="Times New Roman"/>
          <w:color w:val="000000"/>
          <w:sz w:val="24"/>
          <w:szCs w:val="24"/>
          <w:shd w:val="clear" w:color="auto" w:fill="FFFFFF"/>
          <w:lang w:eastAsia="en-GB"/>
        </w:rPr>
        <w:t xml:space="preserve">. 2019. Tax aggressiveness and corporate transparency. </w:t>
      </w:r>
      <w:r w:rsidRPr="008C5651">
        <w:rPr>
          <w:rFonts w:ascii="Times New Roman" w:eastAsia="Times New Roman" w:hAnsi="Times New Roman" w:cs="Times New Roman"/>
          <w:i/>
          <w:color w:val="000000"/>
          <w:sz w:val="24"/>
          <w:szCs w:val="24"/>
          <w:shd w:val="clear" w:color="auto" w:fill="FFFFFF"/>
          <w:lang w:eastAsia="en-GB"/>
        </w:rPr>
        <w:t>The Accounting Review</w:t>
      </w:r>
      <w:r w:rsidRPr="008C5651">
        <w:rPr>
          <w:rFonts w:ascii="Times New Roman" w:eastAsia="Times New Roman" w:hAnsi="Times New Roman" w:cs="Times New Roman"/>
          <w:color w:val="000000"/>
          <w:sz w:val="24"/>
          <w:szCs w:val="24"/>
          <w:shd w:val="clear" w:color="auto" w:fill="FFFFFF"/>
          <w:lang w:eastAsia="en-GB"/>
        </w:rPr>
        <w:t xml:space="preserve"> 94 (1): 45–69. </w:t>
      </w:r>
      <w:hyperlink r:id="rId12" w:tgtFrame="_blank" w:history="1">
        <w:r w:rsidRPr="008C5651">
          <w:rPr>
            <w:rFonts w:ascii="Times New Roman" w:eastAsia="Calibri" w:hAnsi="Times New Roman" w:cs="Times New Roman"/>
            <w:bCs/>
            <w:color w:val="000000"/>
            <w:sz w:val="24"/>
            <w:szCs w:val="24"/>
            <w:u w:val="single"/>
            <w:bdr w:val="none" w:sz="0" w:space="0" w:color="auto" w:frame="1"/>
            <w:shd w:val="clear" w:color="auto" w:fill="FFFFFF"/>
            <w:lang w:eastAsia="en-GB"/>
          </w:rPr>
          <w:t>https://doi.org/10.2308/accr-52130</w:t>
        </w:r>
      </w:hyperlink>
    </w:p>
    <w:p w:rsidR="00072D8F" w:rsidRDefault="00C81A68" w:rsidP="00072D8F">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 xml:space="preserve">Chen, S., Chen, X., Cheng, Q., &amp; Shevlin, T. (2010). Are family firms more tax aggressive than non-family firms? </w:t>
      </w:r>
      <w:r w:rsidRPr="008C5651">
        <w:rPr>
          <w:rFonts w:ascii="Times New Roman" w:eastAsia="Arial" w:hAnsi="Times New Roman" w:cs="Times New Roman"/>
          <w:i/>
          <w:color w:val="000000"/>
          <w:sz w:val="24"/>
          <w:szCs w:val="24"/>
          <w:lang w:eastAsia="en-GB"/>
        </w:rPr>
        <w:t>Journal of Financial Economics</w:t>
      </w:r>
      <w:r w:rsidRPr="008C5651">
        <w:rPr>
          <w:rFonts w:ascii="Times New Roman" w:eastAsia="Arial" w:hAnsi="Times New Roman" w:cs="Times New Roman"/>
          <w:color w:val="000000"/>
          <w:sz w:val="24"/>
          <w:szCs w:val="24"/>
          <w:lang w:eastAsia="en-GB"/>
        </w:rPr>
        <w:t xml:space="preserve"> 95 (1): 41–61. </w:t>
      </w:r>
      <w:hyperlink r:id="rId13" w:tgtFrame="_blank" w:tooltip="Persistent link using digital object identifier" w:history="1">
        <w:r w:rsidRPr="008C5651">
          <w:rPr>
            <w:rFonts w:ascii="Times New Roman" w:eastAsia="Calibri" w:hAnsi="Times New Roman" w:cs="Times New Roman"/>
            <w:color w:val="000000"/>
            <w:sz w:val="24"/>
            <w:szCs w:val="24"/>
            <w:u w:val="single"/>
            <w:lang w:eastAsia="en-GB"/>
          </w:rPr>
          <w:t>https://doi.org/10.1016/j.jfineco.2009.02.003</w:t>
        </w:r>
      </w:hyperlink>
    </w:p>
    <w:p w:rsidR="00DE60E4" w:rsidRDefault="00C81A68" w:rsidP="00DE60E4">
      <w:pPr>
        <w:spacing w:after="0" w:line="360" w:lineRule="auto"/>
        <w:ind w:left="454" w:hanging="454"/>
        <w:jc w:val="both"/>
        <w:rPr>
          <w:rFonts w:ascii="Times New Roman" w:hAnsi="Times New Roman" w:cs="Times New Roman"/>
          <w:sz w:val="24"/>
          <w:szCs w:val="24"/>
        </w:rPr>
      </w:pPr>
      <w:r w:rsidRPr="008C5651">
        <w:rPr>
          <w:rFonts w:ascii="Times New Roman" w:eastAsia="Times New Roman" w:hAnsi="Times New Roman" w:cs="Times New Roman"/>
          <w:color w:val="000000"/>
          <w:sz w:val="24"/>
          <w:szCs w:val="24"/>
          <w:shd w:val="clear" w:color="auto" w:fill="FFFFFF"/>
          <w:lang w:eastAsia="en-GB"/>
        </w:rPr>
        <w:t xml:space="preserve">Chen, T., &amp; Lin, C. (2017). Does information asymmetry affect corporate tax aggressiveness? </w:t>
      </w:r>
      <w:r w:rsidRPr="008C5651">
        <w:rPr>
          <w:rFonts w:ascii="Times New Roman" w:eastAsia="Times New Roman" w:hAnsi="Times New Roman" w:cs="Times New Roman"/>
          <w:i/>
          <w:color w:val="000000"/>
          <w:sz w:val="24"/>
          <w:szCs w:val="24"/>
          <w:shd w:val="clear" w:color="auto" w:fill="FFFFFF"/>
          <w:lang w:eastAsia="en-GB"/>
        </w:rPr>
        <w:t>Journal of Financial and Quantitative Analysis</w:t>
      </w:r>
      <w:r w:rsidRPr="008C5651">
        <w:rPr>
          <w:rFonts w:ascii="Times New Roman" w:eastAsia="Times New Roman" w:hAnsi="Times New Roman" w:cs="Times New Roman"/>
          <w:color w:val="000000"/>
          <w:sz w:val="24"/>
          <w:szCs w:val="24"/>
          <w:shd w:val="clear" w:color="auto" w:fill="FFFFFF"/>
          <w:lang w:eastAsia="en-GB"/>
        </w:rPr>
        <w:t xml:space="preserve"> 52 (5): 2053–2081. </w:t>
      </w:r>
      <w:hyperlink r:id="rId14" w:tgtFrame="_blank" w:history="1">
        <w:r w:rsidR="00072D8F" w:rsidRPr="00072D8F">
          <w:rPr>
            <w:rFonts w:ascii="Times New Roman" w:hAnsi="Times New Roman" w:cs="Times New Roman"/>
            <w:sz w:val="24"/>
            <w:szCs w:val="24"/>
            <w:u w:val="single"/>
          </w:rPr>
          <w:t>https://doi.org/10.1017/S0022109017000576</w:t>
        </w:r>
      </w:hyperlink>
    </w:p>
    <w:p w:rsidR="00DE60E4" w:rsidRPr="00DE60E4" w:rsidRDefault="00DE60E4" w:rsidP="00DE60E4">
      <w:pPr>
        <w:spacing w:after="0" w:line="360" w:lineRule="auto"/>
        <w:ind w:left="454" w:hanging="454"/>
        <w:jc w:val="both"/>
        <w:rPr>
          <w:rFonts w:ascii="Times New Roman" w:hAnsi="Times New Roman" w:cs="Times New Roman"/>
          <w:sz w:val="24"/>
          <w:szCs w:val="24"/>
        </w:rPr>
      </w:pPr>
      <w:r w:rsidRPr="00DE60E4">
        <w:rPr>
          <w:rFonts w:ascii="Times New Roman" w:eastAsia="Calibri" w:hAnsi="Times New Roman" w:cs="Times New Roman"/>
          <w:sz w:val="24"/>
          <w:szCs w:val="24"/>
          <w:lang w:eastAsia="en-GB"/>
        </w:rPr>
        <w:t>Chen, D., Gao, H., &amp; Ma, Y. (2020). Human capital driven acquisition: Evidence from the Inevitable Disclosure Doctrine.</w:t>
      </w:r>
      <w:r w:rsidRPr="00DE60E4">
        <w:rPr>
          <w:rFonts w:ascii="Times New Roman" w:eastAsia="Calibri" w:hAnsi="Times New Roman" w:cs="Times New Roman"/>
          <w:i/>
          <w:iCs/>
          <w:sz w:val="24"/>
          <w:szCs w:val="24"/>
          <w:lang w:eastAsia="en-GB"/>
        </w:rPr>
        <w:t xml:space="preserve"> Management Science, forthcoming</w:t>
      </w:r>
      <w:r w:rsidRPr="00DE60E4">
        <w:rPr>
          <w:rFonts w:ascii="Times New Roman" w:eastAsia="Calibri" w:hAnsi="Times New Roman" w:cs="Times New Roman"/>
          <w:sz w:val="24"/>
          <w:szCs w:val="24"/>
          <w:lang w:eastAsia="en-GB"/>
        </w:rPr>
        <w:t xml:space="preserve">. </w:t>
      </w:r>
      <w:hyperlink r:id="rId15" w:history="1">
        <w:r w:rsidRPr="00DE60E4">
          <w:rPr>
            <w:rFonts w:ascii="Times New Roman" w:hAnsi="Times New Roman" w:cs="Times New Roman"/>
            <w:sz w:val="24"/>
            <w:szCs w:val="24"/>
            <w:u w:val="single"/>
            <w:shd w:val="clear" w:color="auto" w:fill="FFFFFF"/>
          </w:rPr>
          <w:t>https://doi.org/10.1287/mnsc.2020.3707</w:t>
        </w:r>
      </w:hyperlink>
    </w:p>
    <w:p w:rsidR="000A0E61" w:rsidRDefault="00C81A68" w:rsidP="000A0E61">
      <w:pPr>
        <w:spacing w:after="0" w:line="360" w:lineRule="auto"/>
        <w:ind w:left="454" w:hanging="454"/>
        <w:jc w:val="both"/>
        <w:rPr>
          <w:rFonts w:ascii="Times New Roman" w:eastAsia="Calibri" w:hAnsi="Times New Roman" w:cs="Times New Roman"/>
          <w:bCs/>
          <w:color w:val="000000"/>
          <w:sz w:val="24"/>
          <w:szCs w:val="24"/>
          <w:u w:val="single"/>
          <w:bdr w:val="none" w:sz="0" w:space="0" w:color="auto" w:frame="1"/>
          <w:shd w:val="clear" w:color="auto" w:fill="FFFFFF"/>
          <w:lang w:eastAsia="en-GB"/>
        </w:rPr>
      </w:pPr>
      <w:proofErr w:type="spellStart"/>
      <w:r w:rsidRPr="008C5651">
        <w:rPr>
          <w:rFonts w:ascii="Times New Roman" w:eastAsia="Times New Roman" w:hAnsi="Times New Roman" w:cs="Times New Roman"/>
          <w:color w:val="000000"/>
          <w:sz w:val="24"/>
          <w:szCs w:val="24"/>
          <w:shd w:val="clear" w:color="auto" w:fill="FFFFFF"/>
          <w:lang w:eastAsia="en-GB"/>
        </w:rPr>
        <w:t>Comprix</w:t>
      </w:r>
      <w:proofErr w:type="spellEnd"/>
      <w:r w:rsidRPr="008C5651">
        <w:rPr>
          <w:rFonts w:ascii="Times New Roman" w:eastAsia="Times New Roman" w:hAnsi="Times New Roman" w:cs="Times New Roman"/>
          <w:color w:val="000000"/>
          <w:sz w:val="24"/>
          <w:szCs w:val="24"/>
          <w:shd w:val="clear" w:color="auto" w:fill="FFFFFF"/>
          <w:lang w:eastAsia="en-GB"/>
        </w:rPr>
        <w:t xml:space="preserve">, J., R. Graham &amp; Moore, J. (2011). Empirical evidence on the impact of book-tax differences on divergence of opinion among investors. </w:t>
      </w:r>
      <w:r w:rsidRPr="008C5651">
        <w:rPr>
          <w:rFonts w:ascii="Times New Roman" w:eastAsia="Times New Roman" w:hAnsi="Times New Roman" w:cs="Times New Roman"/>
          <w:i/>
          <w:color w:val="000000"/>
          <w:sz w:val="24"/>
          <w:szCs w:val="24"/>
          <w:shd w:val="clear" w:color="auto" w:fill="FFFFFF"/>
          <w:lang w:eastAsia="en-GB"/>
        </w:rPr>
        <w:t>Journal of the American Taxation Association</w:t>
      </w:r>
      <w:r w:rsidRPr="008C5651">
        <w:rPr>
          <w:rFonts w:ascii="Times New Roman" w:eastAsia="Times New Roman" w:hAnsi="Times New Roman" w:cs="Times New Roman"/>
          <w:color w:val="000000"/>
          <w:sz w:val="24"/>
          <w:szCs w:val="24"/>
          <w:shd w:val="clear" w:color="auto" w:fill="FFFFFF"/>
          <w:lang w:eastAsia="en-GB"/>
        </w:rPr>
        <w:t xml:space="preserve"> 33 (1): 51</w:t>
      </w:r>
      <w:bookmarkStart w:id="5" w:name="_Hlk52894140"/>
      <w:r w:rsidRPr="008C5651">
        <w:rPr>
          <w:rFonts w:ascii="Times New Roman" w:eastAsia="Times New Roman" w:hAnsi="Times New Roman" w:cs="Times New Roman"/>
          <w:color w:val="000000"/>
          <w:sz w:val="24"/>
          <w:szCs w:val="24"/>
          <w:shd w:val="clear" w:color="auto" w:fill="FFFFFF"/>
          <w:lang w:eastAsia="en-GB"/>
        </w:rPr>
        <w:t>–</w:t>
      </w:r>
      <w:bookmarkEnd w:id="5"/>
      <w:r w:rsidRPr="008C5651">
        <w:rPr>
          <w:rFonts w:ascii="Times New Roman" w:eastAsia="Times New Roman" w:hAnsi="Times New Roman" w:cs="Times New Roman"/>
          <w:color w:val="000000"/>
          <w:sz w:val="24"/>
          <w:szCs w:val="24"/>
          <w:shd w:val="clear" w:color="auto" w:fill="FFFFFF"/>
          <w:lang w:eastAsia="en-GB"/>
        </w:rPr>
        <w:t xml:space="preserve">78. </w:t>
      </w:r>
      <w:hyperlink r:id="rId16" w:tgtFrame="_blank" w:history="1">
        <w:r w:rsidRPr="008C5651">
          <w:rPr>
            <w:rFonts w:ascii="Times New Roman" w:eastAsia="Calibri" w:hAnsi="Times New Roman" w:cs="Times New Roman"/>
            <w:bCs/>
            <w:color w:val="000000"/>
            <w:sz w:val="24"/>
            <w:szCs w:val="24"/>
            <w:u w:val="single"/>
            <w:bdr w:val="none" w:sz="0" w:space="0" w:color="auto" w:frame="1"/>
            <w:shd w:val="clear" w:color="auto" w:fill="FFFFFF"/>
            <w:lang w:eastAsia="en-GB"/>
          </w:rPr>
          <w:t>https://doi.org/10.2308/jata.2011.33.1.51</w:t>
        </w:r>
      </w:hyperlink>
    </w:p>
    <w:p w:rsidR="000A0E61" w:rsidRPr="00DE60E4" w:rsidRDefault="000A0E61" w:rsidP="00DE60E4">
      <w:pPr>
        <w:spacing w:after="0" w:line="360" w:lineRule="auto"/>
        <w:ind w:left="454" w:hanging="454"/>
        <w:jc w:val="both"/>
        <w:rPr>
          <w:rFonts w:ascii="Times New Roman" w:eastAsia="Calibri" w:hAnsi="Times New Roman" w:cs="Times New Roman"/>
          <w:bCs/>
          <w:color w:val="000000"/>
          <w:sz w:val="24"/>
          <w:szCs w:val="24"/>
          <w:u w:val="single"/>
          <w:bdr w:val="none" w:sz="0" w:space="0" w:color="auto" w:frame="1"/>
          <w:shd w:val="clear" w:color="auto" w:fill="FFFFFF"/>
          <w:lang w:eastAsia="en-GB"/>
        </w:rPr>
      </w:pPr>
      <w:proofErr w:type="spellStart"/>
      <w:r w:rsidRPr="0059245F">
        <w:rPr>
          <w:rFonts w:ascii="Times New Roman" w:eastAsia="Calibri" w:hAnsi="Times New Roman" w:cs="Times New Roman"/>
          <w:sz w:val="24"/>
          <w:szCs w:val="24"/>
          <w:lang w:eastAsia="en-GB"/>
        </w:rPr>
        <w:t>Dechow</w:t>
      </w:r>
      <w:proofErr w:type="spellEnd"/>
      <w:r w:rsidRPr="0059245F">
        <w:rPr>
          <w:rFonts w:ascii="Times New Roman" w:eastAsia="Calibri" w:hAnsi="Times New Roman" w:cs="Times New Roman"/>
          <w:sz w:val="24"/>
          <w:szCs w:val="24"/>
          <w:lang w:eastAsia="en-GB"/>
        </w:rPr>
        <w:t xml:space="preserve">, P. M., Sloan, R. G., </w:t>
      </w:r>
      <w:r>
        <w:rPr>
          <w:rFonts w:ascii="Times New Roman" w:eastAsia="Calibri" w:hAnsi="Times New Roman" w:cs="Times New Roman"/>
          <w:sz w:val="24"/>
          <w:szCs w:val="24"/>
          <w:lang w:eastAsia="en-GB"/>
        </w:rPr>
        <w:t xml:space="preserve">&amp; </w:t>
      </w:r>
      <w:r w:rsidRPr="0059245F">
        <w:rPr>
          <w:rFonts w:ascii="Times New Roman" w:eastAsia="Calibri" w:hAnsi="Times New Roman" w:cs="Times New Roman"/>
          <w:sz w:val="24"/>
          <w:szCs w:val="24"/>
          <w:lang w:eastAsia="en-GB"/>
        </w:rPr>
        <w:t>Sweeney, A. P. (1995)</w:t>
      </w:r>
      <w:r w:rsidR="00DE60E4">
        <w:rPr>
          <w:rFonts w:ascii="Times New Roman" w:eastAsia="Calibri" w:hAnsi="Times New Roman" w:cs="Times New Roman"/>
          <w:sz w:val="24"/>
          <w:szCs w:val="24"/>
          <w:lang w:eastAsia="en-GB"/>
        </w:rPr>
        <w:t>.</w:t>
      </w:r>
      <w:r w:rsidRPr="0059245F">
        <w:rPr>
          <w:rFonts w:ascii="Times New Roman" w:eastAsia="Calibri" w:hAnsi="Times New Roman" w:cs="Times New Roman"/>
          <w:sz w:val="24"/>
          <w:szCs w:val="24"/>
          <w:lang w:eastAsia="en-GB"/>
        </w:rPr>
        <w:t xml:space="preserve"> Detecting earnings management. </w:t>
      </w:r>
      <w:r w:rsidRPr="0059245F">
        <w:rPr>
          <w:rFonts w:ascii="Times New Roman" w:eastAsia="Calibri" w:hAnsi="Times New Roman" w:cs="Times New Roman"/>
          <w:i/>
          <w:iCs/>
          <w:sz w:val="24"/>
          <w:szCs w:val="24"/>
          <w:lang w:eastAsia="en-GB"/>
        </w:rPr>
        <w:t>The Accounting Review</w:t>
      </w:r>
      <w:r w:rsidRPr="0059245F">
        <w:rPr>
          <w:rFonts w:ascii="Times New Roman" w:eastAsia="Calibri" w:hAnsi="Times New Roman" w:cs="Times New Roman"/>
          <w:sz w:val="24"/>
          <w:szCs w:val="24"/>
          <w:lang w:eastAsia="en-GB"/>
        </w:rPr>
        <w:t xml:space="preserve"> 70 (2)</w:t>
      </w:r>
      <w:r>
        <w:rPr>
          <w:rFonts w:ascii="Times New Roman" w:eastAsia="Calibri" w:hAnsi="Times New Roman" w:cs="Times New Roman"/>
          <w:sz w:val="24"/>
          <w:szCs w:val="24"/>
          <w:lang w:eastAsia="en-GB"/>
        </w:rPr>
        <w:t>:</w:t>
      </w:r>
      <w:r w:rsidRPr="0059245F">
        <w:rPr>
          <w:rFonts w:ascii="Times New Roman" w:eastAsia="Calibri" w:hAnsi="Times New Roman" w:cs="Times New Roman"/>
          <w:sz w:val="24"/>
          <w:szCs w:val="24"/>
          <w:lang w:eastAsia="en-GB"/>
        </w:rPr>
        <w:t xml:space="preserve"> 193–225.</w:t>
      </w:r>
      <w:r w:rsidRPr="00C917F4">
        <w:rPr>
          <w:rFonts w:ascii="Times New Roman" w:hAnsi="Times New Roman" w:cs="Times New Roman"/>
          <w:sz w:val="24"/>
          <w:szCs w:val="24"/>
          <w:lang w:val="en"/>
        </w:rPr>
        <w:t xml:space="preserve"> </w:t>
      </w:r>
      <w:r w:rsidRPr="00C917F4">
        <w:rPr>
          <w:rFonts w:ascii="Times New Roman" w:hAnsi="Times New Roman" w:cs="Times New Roman"/>
          <w:sz w:val="24"/>
          <w:szCs w:val="24"/>
          <w:u w:val="single"/>
          <w:lang w:val="en"/>
        </w:rPr>
        <w:t>https://www.jstor.org/stable/248303</w:t>
      </w:r>
    </w:p>
    <w:p w:rsidR="00C81A68" w:rsidRPr="008C5651" w:rsidRDefault="00C81A68" w:rsidP="008C5651">
      <w:pPr>
        <w:spacing w:after="0" w:line="360" w:lineRule="auto"/>
        <w:ind w:left="454" w:hanging="454"/>
        <w:jc w:val="both"/>
        <w:rPr>
          <w:rFonts w:ascii="Times New Roman" w:eastAsia="Times New Roman" w:hAnsi="Times New Roman" w:cs="Times New Roman"/>
          <w:color w:val="000000"/>
          <w:sz w:val="24"/>
          <w:szCs w:val="24"/>
          <w:shd w:val="clear" w:color="auto" w:fill="FFFFFF"/>
          <w:lang w:eastAsia="en-GB"/>
        </w:rPr>
      </w:pPr>
      <w:r w:rsidRPr="008C5651">
        <w:rPr>
          <w:rFonts w:ascii="Times New Roman" w:eastAsia="Times New Roman" w:hAnsi="Times New Roman" w:cs="Times New Roman"/>
          <w:color w:val="000000"/>
          <w:sz w:val="24"/>
          <w:szCs w:val="24"/>
          <w:shd w:val="clear" w:color="auto" w:fill="FFFFFF"/>
          <w:lang w:eastAsia="en-GB"/>
        </w:rPr>
        <w:t xml:space="preserve">Desai, M. A., &amp; Dharmapala, D. </w:t>
      </w:r>
      <w:r w:rsidR="00CA6F65">
        <w:rPr>
          <w:rFonts w:ascii="Times New Roman" w:eastAsia="Times New Roman" w:hAnsi="Times New Roman" w:cs="Times New Roman"/>
          <w:color w:val="000000"/>
          <w:sz w:val="24"/>
          <w:szCs w:val="24"/>
          <w:shd w:val="clear" w:color="auto" w:fill="FFFFFF"/>
          <w:lang w:eastAsia="en-GB"/>
        </w:rPr>
        <w:t>(</w:t>
      </w:r>
      <w:r w:rsidRPr="008C5651">
        <w:rPr>
          <w:rFonts w:ascii="Times New Roman" w:eastAsia="Times New Roman" w:hAnsi="Times New Roman" w:cs="Times New Roman"/>
          <w:color w:val="000000"/>
          <w:sz w:val="24"/>
          <w:szCs w:val="24"/>
          <w:shd w:val="clear" w:color="auto" w:fill="FFFFFF"/>
          <w:lang w:eastAsia="en-GB"/>
        </w:rPr>
        <w:t>2006</w:t>
      </w:r>
      <w:r w:rsidR="00CA6F65">
        <w:rPr>
          <w:rFonts w:ascii="Times New Roman" w:eastAsia="Times New Roman" w:hAnsi="Times New Roman" w:cs="Times New Roman"/>
          <w:color w:val="000000"/>
          <w:sz w:val="24"/>
          <w:szCs w:val="24"/>
          <w:shd w:val="clear" w:color="auto" w:fill="FFFFFF"/>
          <w:lang w:eastAsia="en-GB"/>
        </w:rPr>
        <w:t>)</w:t>
      </w:r>
      <w:r w:rsidRPr="008C5651">
        <w:rPr>
          <w:rFonts w:ascii="Times New Roman" w:eastAsia="Times New Roman" w:hAnsi="Times New Roman" w:cs="Times New Roman"/>
          <w:color w:val="000000"/>
          <w:sz w:val="24"/>
          <w:szCs w:val="24"/>
          <w:shd w:val="clear" w:color="auto" w:fill="FFFFFF"/>
          <w:lang w:eastAsia="en-GB"/>
        </w:rPr>
        <w:t xml:space="preserve">. Corporate tax avoidance and high-powered incentives. </w:t>
      </w:r>
      <w:r w:rsidRPr="008C5651">
        <w:rPr>
          <w:rFonts w:ascii="Times New Roman" w:eastAsia="Times New Roman" w:hAnsi="Times New Roman" w:cs="Times New Roman"/>
          <w:i/>
          <w:color w:val="000000"/>
          <w:sz w:val="24"/>
          <w:szCs w:val="24"/>
          <w:shd w:val="clear" w:color="auto" w:fill="FFFFFF"/>
          <w:lang w:eastAsia="en-GB"/>
        </w:rPr>
        <w:t>Journal of Financial Economics</w:t>
      </w:r>
      <w:r w:rsidRPr="008C5651">
        <w:rPr>
          <w:rFonts w:ascii="Times New Roman" w:eastAsia="Times New Roman" w:hAnsi="Times New Roman" w:cs="Times New Roman"/>
          <w:color w:val="000000"/>
          <w:sz w:val="24"/>
          <w:szCs w:val="24"/>
          <w:shd w:val="clear" w:color="auto" w:fill="FFFFFF"/>
          <w:lang w:eastAsia="en-GB"/>
        </w:rPr>
        <w:t xml:space="preserve"> 79 (1): 145–179. </w:t>
      </w:r>
      <w:hyperlink r:id="rId17" w:tgtFrame="_blank" w:tooltip="Persistent link using digital object identifier" w:history="1">
        <w:r w:rsidRPr="008C5651">
          <w:rPr>
            <w:rFonts w:ascii="Times New Roman" w:eastAsia="Calibri" w:hAnsi="Times New Roman" w:cs="Times New Roman"/>
            <w:color w:val="000000"/>
            <w:sz w:val="24"/>
            <w:szCs w:val="24"/>
            <w:u w:val="single"/>
            <w:lang w:eastAsia="en-GB"/>
          </w:rPr>
          <w:t>https://doi.org/10.1016/j.jfineco.2005.02.002</w:t>
        </w:r>
      </w:hyperlink>
    </w:p>
    <w:p w:rsidR="00DE60E4" w:rsidRPr="00DE60E4" w:rsidRDefault="00C81A68" w:rsidP="00DE60E4">
      <w:pPr>
        <w:spacing w:after="0" w:line="360" w:lineRule="auto"/>
        <w:ind w:left="454" w:hanging="454"/>
        <w:jc w:val="both"/>
        <w:rPr>
          <w:rFonts w:ascii="Times New Roman" w:eastAsia="Calibri" w:hAnsi="Times New Roman" w:cs="Times New Roman"/>
          <w:spacing w:val="-5"/>
          <w:sz w:val="24"/>
          <w:szCs w:val="24"/>
          <w:u w:val="single"/>
          <w:shd w:val="clear" w:color="auto" w:fill="FFFFFF"/>
          <w:lang w:eastAsia="en-GB"/>
        </w:rPr>
      </w:pPr>
      <w:r w:rsidRPr="008C5651">
        <w:rPr>
          <w:rFonts w:ascii="Times New Roman" w:eastAsia="Times New Roman" w:hAnsi="Times New Roman" w:cs="Times New Roman"/>
          <w:color w:val="000000"/>
          <w:sz w:val="24"/>
          <w:szCs w:val="24"/>
          <w:shd w:val="clear" w:color="auto" w:fill="FFFFFF"/>
          <w:lang w:eastAsia="en-GB"/>
        </w:rPr>
        <w:t xml:space="preserve">Desai, M. A., &amp; Dharmapala, D. (2009). Earnings management, corporate tax shelters, and book-tax alignment. </w:t>
      </w:r>
      <w:r w:rsidRPr="008C5651">
        <w:rPr>
          <w:rFonts w:ascii="Times New Roman" w:eastAsia="Times New Roman" w:hAnsi="Times New Roman" w:cs="Times New Roman"/>
          <w:i/>
          <w:color w:val="000000"/>
          <w:sz w:val="24"/>
          <w:szCs w:val="24"/>
          <w:shd w:val="clear" w:color="auto" w:fill="FFFFFF"/>
          <w:lang w:eastAsia="en-GB"/>
        </w:rPr>
        <w:t>National Tax Journal</w:t>
      </w:r>
      <w:r w:rsidRPr="008C5651">
        <w:rPr>
          <w:rFonts w:ascii="Times New Roman" w:eastAsia="Times New Roman" w:hAnsi="Times New Roman" w:cs="Times New Roman"/>
          <w:color w:val="000000"/>
          <w:sz w:val="24"/>
          <w:szCs w:val="24"/>
          <w:shd w:val="clear" w:color="auto" w:fill="FFFFFF"/>
          <w:lang w:eastAsia="en-GB"/>
        </w:rPr>
        <w:t xml:space="preserve"> 62 (1): 169–186. </w:t>
      </w:r>
      <w:hyperlink r:id="rId18" w:history="1">
        <w:r w:rsidR="00DE60E4" w:rsidRPr="00DE60E4">
          <w:rPr>
            <w:rStyle w:val="Hyperlink"/>
            <w:rFonts w:ascii="Times New Roman" w:eastAsia="Calibri" w:hAnsi="Times New Roman" w:cs="Times New Roman"/>
            <w:color w:val="auto"/>
            <w:spacing w:val="-5"/>
            <w:sz w:val="24"/>
            <w:szCs w:val="24"/>
            <w:shd w:val="clear" w:color="auto" w:fill="FFFFFF"/>
            <w:lang w:eastAsia="en-GB"/>
          </w:rPr>
          <w:t>https://www.jstor.org/stable/41790634</w:t>
        </w:r>
      </w:hyperlink>
    </w:p>
    <w:p w:rsidR="00DE60E4" w:rsidRPr="0059245F" w:rsidRDefault="00DE60E4" w:rsidP="00DE60E4">
      <w:pPr>
        <w:spacing w:after="0" w:line="360" w:lineRule="auto"/>
        <w:ind w:left="454" w:hanging="454"/>
        <w:jc w:val="both"/>
        <w:rPr>
          <w:rFonts w:ascii="Times New Roman" w:eastAsia="Calibri" w:hAnsi="Times New Roman" w:cs="Times New Roman"/>
          <w:color w:val="000000"/>
          <w:spacing w:val="-5"/>
          <w:sz w:val="24"/>
          <w:szCs w:val="24"/>
          <w:u w:val="single"/>
          <w:shd w:val="clear" w:color="auto" w:fill="FFFFFF"/>
          <w:lang w:eastAsia="en-GB"/>
        </w:rPr>
      </w:pPr>
      <w:r w:rsidRPr="0059245F">
        <w:rPr>
          <w:rFonts w:ascii="Times New Roman" w:eastAsia="Calibri" w:hAnsi="Times New Roman" w:cs="Times New Roman"/>
          <w:sz w:val="24"/>
          <w:szCs w:val="24"/>
          <w:lang w:eastAsia="en-GB"/>
        </w:rPr>
        <w:t>Dey, A.</w:t>
      </w:r>
      <w:r w:rsidR="00F578F5">
        <w:rPr>
          <w:rFonts w:ascii="Times New Roman" w:eastAsia="Calibri" w:hAnsi="Times New Roman" w:cs="Times New Roman"/>
          <w:sz w:val="24"/>
          <w:szCs w:val="24"/>
          <w:lang w:eastAsia="en-GB"/>
        </w:rPr>
        <w:t>,</w:t>
      </w:r>
      <w:r w:rsidRPr="0059245F">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&amp;</w:t>
      </w:r>
      <w:r w:rsidRPr="0059245F">
        <w:rPr>
          <w:rFonts w:ascii="Times New Roman" w:eastAsia="Calibri" w:hAnsi="Times New Roman" w:cs="Times New Roman"/>
          <w:sz w:val="24"/>
          <w:szCs w:val="24"/>
          <w:lang w:eastAsia="en-GB"/>
        </w:rPr>
        <w:t xml:space="preserve"> White, J. T. (2020)</w:t>
      </w:r>
      <w:r>
        <w:rPr>
          <w:rFonts w:ascii="Times New Roman" w:eastAsia="Calibri" w:hAnsi="Times New Roman" w:cs="Times New Roman"/>
          <w:sz w:val="24"/>
          <w:szCs w:val="24"/>
          <w:lang w:eastAsia="en-GB"/>
        </w:rPr>
        <w:t>.</w:t>
      </w:r>
      <w:r w:rsidRPr="0059245F">
        <w:rPr>
          <w:rFonts w:ascii="Times New Roman" w:eastAsia="Calibri" w:hAnsi="Times New Roman" w:cs="Times New Roman"/>
          <w:sz w:val="24"/>
          <w:szCs w:val="24"/>
          <w:lang w:eastAsia="en-GB"/>
        </w:rPr>
        <w:t xml:space="preserve"> </w:t>
      </w:r>
      <w:proofErr w:type="spellStart"/>
      <w:r w:rsidRPr="0059245F">
        <w:rPr>
          <w:rFonts w:ascii="Times New Roman" w:eastAsia="Calibri" w:hAnsi="Times New Roman" w:cs="Times New Roman"/>
          <w:sz w:val="24"/>
          <w:szCs w:val="24"/>
          <w:lang w:eastAsia="en-GB"/>
        </w:rPr>
        <w:t>Labor</w:t>
      </w:r>
      <w:proofErr w:type="spellEnd"/>
      <w:r w:rsidRPr="0059245F">
        <w:rPr>
          <w:rFonts w:ascii="Times New Roman" w:eastAsia="Calibri" w:hAnsi="Times New Roman" w:cs="Times New Roman"/>
          <w:sz w:val="24"/>
          <w:szCs w:val="24"/>
          <w:lang w:eastAsia="en-GB"/>
        </w:rPr>
        <w:t xml:space="preserve"> Mobility and Antitakeover Provisions. </w:t>
      </w:r>
      <w:r w:rsidRPr="0059245F">
        <w:rPr>
          <w:rFonts w:ascii="Times New Roman" w:eastAsia="Calibri" w:hAnsi="Times New Roman" w:cs="Times New Roman"/>
          <w:iCs/>
          <w:sz w:val="24"/>
          <w:szCs w:val="24"/>
          <w:lang w:eastAsia="en-GB"/>
        </w:rPr>
        <w:t xml:space="preserve">Working </w:t>
      </w:r>
      <w:r w:rsidRPr="00473910">
        <w:rPr>
          <w:rFonts w:ascii="Times New Roman" w:eastAsia="Calibri" w:hAnsi="Times New Roman" w:cs="Times New Roman"/>
          <w:iCs/>
          <w:sz w:val="24"/>
          <w:szCs w:val="24"/>
          <w:lang w:eastAsia="en-GB"/>
        </w:rPr>
        <w:t>p</w:t>
      </w:r>
      <w:r w:rsidRPr="0059245F">
        <w:rPr>
          <w:rFonts w:ascii="Times New Roman" w:eastAsia="Calibri" w:hAnsi="Times New Roman" w:cs="Times New Roman"/>
          <w:iCs/>
          <w:sz w:val="24"/>
          <w:szCs w:val="24"/>
          <w:lang w:eastAsia="en-GB"/>
        </w:rPr>
        <w:t>aper</w:t>
      </w:r>
      <w:r w:rsidRPr="00473910">
        <w:rPr>
          <w:rFonts w:ascii="Times New Roman" w:eastAsia="Calibri" w:hAnsi="Times New Roman" w:cs="Times New Roman"/>
          <w:iCs/>
          <w:sz w:val="24"/>
          <w:szCs w:val="24"/>
          <w:lang w:eastAsia="en-GB"/>
        </w:rPr>
        <w:t xml:space="preserve">, </w:t>
      </w:r>
      <w:r w:rsidRPr="0059245F">
        <w:rPr>
          <w:rFonts w:ascii="Times New Roman" w:eastAsia="Calibri" w:hAnsi="Times New Roman" w:cs="Times New Roman"/>
          <w:iCs/>
          <w:sz w:val="24"/>
          <w:szCs w:val="24"/>
          <w:lang w:eastAsia="en-GB"/>
        </w:rPr>
        <w:t>Harvard Business School</w:t>
      </w:r>
      <w:r w:rsidRPr="00473910">
        <w:rPr>
          <w:rFonts w:ascii="Times New Roman" w:eastAsia="Calibri" w:hAnsi="Times New Roman" w:cs="Times New Roman"/>
          <w:sz w:val="24"/>
          <w:szCs w:val="24"/>
          <w:lang w:eastAsia="en-GB"/>
        </w:rPr>
        <w:t>.</w:t>
      </w:r>
      <w:r w:rsidRPr="00C917F4">
        <w:rPr>
          <w:rFonts w:ascii="Times New Roman" w:eastAsia="Calibri" w:hAnsi="Times New Roman" w:cs="Times New Roman"/>
          <w:sz w:val="24"/>
          <w:szCs w:val="24"/>
          <w:lang w:eastAsia="en-GB"/>
        </w:rPr>
        <w:t xml:space="preserve"> </w:t>
      </w:r>
      <w:r w:rsidRPr="00C917F4">
        <w:rPr>
          <w:rFonts w:ascii="Times New Roman" w:eastAsia="Calibri" w:hAnsi="Times New Roman" w:cs="Times New Roman"/>
          <w:sz w:val="24"/>
          <w:szCs w:val="24"/>
          <w:u w:val="single"/>
          <w:lang w:eastAsia="en-GB"/>
        </w:rPr>
        <w:t>https://papers.ssrn.com/sol3/papers.cfm?abstract_id=3161661</w:t>
      </w:r>
    </w:p>
    <w:p w:rsidR="00DE60E4" w:rsidRPr="008C5651" w:rsidRDefault="00DE60E4" w:rsidP="008C5651">
      <w:pPr>
        <w:spacing w:after="0" w:line="360" w:lineRule="auto"/>
        <w:ind w:left="454" w:hanging="454"/>
        <w:jc w:val="both"/>
        <w:rPr>
          <w:rFonts w:ascii="Times New Roman" w:eastAsia="Times New Roman" w:hAnsi="Times New Roman" w:cs="Times New Roman"/>
          <w:color w:val="000000"/>
          <w:sz w:val="24"/>
          <w:szCs w:val="24"/>
          <w:shd w:val="clear" w:color="auto" w:fill="FFFFFF"/>
          <w:lang w:eastAsia="en-GB"/>
        </w:rPr>
      </w:pPr>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proofErr w:type="spellStart"/>
      <w:r w:rsidRPr="008C5651">
        <w:rPr>
          <w:rFonts w:ascii="Times New Roman" w:eastAsia="Arial" w:hAnsi="Times New Roman" w:cs="Times New Roman"/>
          <w:color w:val="000000"/>
          <w:sz w:val="24"/>
          <w:szCs w:val="24"/>
          <w:lang w:eastAsia="en-GB"/>
        </w:rPr>
        <w:lastRenderedPageBreak/>
        <w:t>Dyreng</w:t>
      </w:r>
      <w:proofErr w:type="spellEnd"/>
      <w:r w:rsidRPr="008C5651">
        <w:rPr>
          <w:rFonts w:ascii="Times New Roman" w:eastAsia="Arial" w:hAnsi="Times New Roman" w:cs="Times New Roman"/>
          <w:color w:val="000000"/>
          <w:sz w:val="24"/>
          <w:szCs w:val="24"/>
          <w:lang w:eastAsia="en-GB"/>
        </w:rPr>
        <w:t xml:space="preserve">, S. D., Hanlon, M., &amp; Maydew, E. (2008). Long-run corporate tax avoidance. </w:t>
      </w:r>
      <w:hyperlink r:id="rId19" w:history="1">
        <w:r w:rsidRPr="008C5651">
          <w:rPr>
            <w:rFonts w:ascii="Times New Roman" w:eastAsia="Arial" w:hAnsi="Times New Roman" w:cs="Times New Roman"/>
            <w:i/>
            <w:color w:val="000000"/>
            <w:sz w:val="24"/>
            <w:szCs w:val="24"/>
            <w:lang w:eastAsia="en-GB"/>
          </w:rPr>
          <w:t>The Accounting</w:t>
        </w:r>
      </w:hyperlink>
      <w:r w:rsidRPr="008C5651">
        <w:rPr>
          <w:rFonts w:ascii="Times New Roman" w:eastAsia="Arial" w:hAnsi="Times New Roman" w:cs="Times New Roman"/>
          <w:i/>
          <w:color w:val="000000"/>
          <w:sz w:val="24"/>
          <w:szCs w:val="24"/>
          <w:lang w:eastAsia="en-GB"/>
        </w:rPr>
        <w:t xml:space="preserve"> </w:t>
      </w:r>
      <w:hyperlink r:id="rId20" w:history="1">
        <w:r w:rsidRPr="008C5651">
          <w:rPr>
            <w:rFonts w:ascii="Times New Roman" w:eastAsia="Arial" w:hAnsi="Times New Roman" w:cs="Times New Roman"/>
            <w:i/>
            <w:color w:val="000000"/>
            <w:sz w:val="24"/>
            <w:szCs w:val="24"/>
            <w:lang w:eastAsia="en-GB"/>
          </w:rPr>
          <w:t xml:space="preserve">Review </w:t>
        </w:r>
      </w:hyperlink>
      <w:r w:rsidRPr="008C5651">
        <w:rPr>
          <w:rFonts w:ascii="Times New Roman" w:eastAsia="Arial" w:hAnsi="Times New Roman" w:cs="Times New Roman"/>
          <w:color w:val="000000"/>
          <w:sz w:val="24"/>
          <w:szCs w:val="24"/>
          <w:lang w:eastAsia="en-GB"/>
        </w:rPr>
        <w:t xml:space="preserve">83 (1): 61–82. </w:t>
      </w:r>
      <w:hyperlink r:id="rId21" w:tgtFrame="_blank" w:history="1">
        <w:r w:rsidRPr="008C5651">
          <w:rPr>
            <w:rFonts w:ascii="Times New Roman" w:eastAsia="Calibri" w:hAnsi="Times New Roman" w:cs="Times New Roman"/>
            <w:bCs/>
            <w:color w:val="000000"/>
            <w:sz w:val="24"/>
            <w:szCs w:val="24"/>
            <w:u w:val="single"/>
            <w:bdr w:val="none" w:sz="0" w:space="0" w:color="auto" w:frame="1"/>
            <w:shd w:val="clear" w:color="auto" w:fill="FFFFFF"/>
            <w:lang w:eastAsia="en-GB"/>
          </w:rPr>
          <w:t>https://doi.org/10.2308/accr.2008.83.1.61</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proofErr w:type="spellStart"/>
      <w:r w:rsidRPr="008C5651">
        <w:rPr>
          <w:rFonts w:ascii="Times New Roman" w:eastAsia="Arial" w:hAnsi="Times New Roman" w:cs="Times New Roman"/>
          <w:color w:val="000000"/>
          <w:sz w:val="24"/>
          <w:szCs w:val="24"/>
          <w:lang w:eastAsia="en-GB"/>
        </w:rPr>
        <w:t>Dyreng</w:t>
      </w:r>
      <w:proofErr w:type="spellEnd"/>
      <w:r w:rsidRPr="008C5651">
        <w:rPr>
          <w:rFonts w:ascii="Times New Roman" w:eastAsia="Arial" w:hAnsi="Times New Roman" w:cs="Times New Roman"/>
          <w:color w:val="000000"/>
          <w:sz w:val="24"/>
          <w:szCs w:val="24"/>
          <w:lang w:eastAsia="en-GB"/>
        </w:rPr>
        <w:t xml:space="preserve">, S., Jacob, M., Jing, X., &amp; Muller, A. (2019). Tax incidence and tax avoidance. Working paper, Duke University and WHU-Otto </w:t>
      </w:r>
      <w:proofErr w:type="spellStart"/>
      <w:r w:rsidRPr="008C5651">
        <w:rPr>
          <w:rFonts w:ascii="Times New Roman" w:eastAsia="Arial" w:hAnsi="Times New Roman" w:cs="Times New Roman"/>
          <w:color w:val="000000"/>
          <w:sz w:val="24"/>
          <w:szCs w:val="24"/>
          <w:lang w:eastAsia="en-GB"/>
        </w:rPr>
        <w:t>Beisheim</w:t>
      </w:r>
      <w:proofErr w:type="spellEnd"/>
      <w:r w:rsidRPr="008C5651">
        <w:rPr>
          <w:rFonts w:ascii="Times New Roman" w:eastAsia="Arial" w:hAnsi="Times New Roman" w:cs="Times New Roman"/>
          <w:color w:val="000000"/>
          <w:sz w:val="24"/>
          <w:szCs w:val="24"/>
          <w:lang w:eastAsia="en-GB"/>
        </w:rPr>
        <w:t xml:space="preserve"> School of Management. </w:t>
      </w:r>
      <w:hyperlink r:id="rId22" w:tgtFrame="_blank" w:history="1">
        <w:r w:rsidRPr="008C5651">
          <w:rPr>
            <w:rFonts w:ascii="Times New Roman" w:eastAsia="Calibri" w:hAnsi="Times New Roman" w:cs="Times New Roman"/>
            <w:color w:val="000000"/>
            <w:sz w:val="24"/>
            <w:szCs w:val="24"/>
            <w:u w:val="single"/>
            <w:shd w:val="clear" w:color="auto" w:fill="FFFFFF"/>
            <w:lang w:eastAsia="en-GB"/>
          </w:rPr>
          <w:t>http://dx.doi.org/10.2139/ssrn.3070239</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 xml:space="preserve">Edwards, A., Schwab, C., and T. Shevlin. </w:t>
      </w:r>
      <w:r w:rsidR="00CA6F65">
        <w:rPr>
          <w:rFonts w:ascii="Times New Roman" w:eastAsia="Arial" w:hAnsi="Times New Roman" w:cs="Times New Roman"/>
          <w:color w:val="000000"/>
          <w:sz w:val="24"/>
          <w:szCs w:val="24"/>
          <w:lang w:eastAsia="en-GB"/>
        </w:rPr>
        <w:t>(</w:t>
      </w:r>
      <w:r w:rsidRPr="008C5651">
        <w:rPr>
          <w:rFonts w:ascii="Times New Roman" w:eastAsia="Arial" w:hAnsi="Times New Roman" w:cs="Times New Roman"/>
          <w:color w:val="000000"/>
          <w:sz w:val="24"/>
          <w:szCs w:val="24"/>
          <w:lang w:eastAsia="en-GB"/>
        </w:rPr>
        <w:t>2016</w:t>
      </w:r>
      <w:r w:rsidR="00CA6F65">
        <w:rPr>
          <w:rFonts w:ascii="Times New Roman" w:eastAsia="Arial" w:hAnsi="Times New Roman" w:cs="Times New Roman"/>
          <w:color w:val="000000"/>
          <w:sz w:val="24"/>
          <w:szCs w:val="24"/>
          <w:lang w:eastAsia="en-GB"/>
        </w:rPr>
        <w:t>)</w:t>
      </w:r>
      <w:r w:rsidRPr="008C5651">
        <w:rPr>
          <w:rFonts w:ascii="Times New Roman" w:eastAsia="Arial" w:hAnsi="Times New Roman" w:cs="Times New Roman"/>
          <w:color w:val="000000"/>
          <w:sz w:val="24"/>
          <w:szCs w:val="24"/>
          <w:lang w:eastAsia="en-GB"/>
        </w:rPr>
        <w:t xml:space="preserve">. Financial constraints and cash tax savings. </w:t>
      </w:r>
      <w:r w:rsidRPr="008C5651">
        <w:rPr>
          <w:rFonts w:ascii="Times New Roman" w:eastAsia="Arial" w:hAnsi="Times New Roman" w:cs="Times New Roman"/>
          <w:i/>
          <w:color w:val="000000"/>
          <w:sz w:val="24"/>
          <w:szCs w:val="24"/>
          <w:lang w:eastAsia="en-GB"/>
        </w:rPr>
        <w:t>The Accounting Review</w:t>
      </w:r>
      <w:r w:rsidRPr="008C5651">
        <w:rPr>
          <w:rFonts w:ascii="Times New Roman" w:eastAsia="Arial" w:hAnsi="Times New Roman" w:cs="Times New Roman"/>
          <w:color w:val="000000"/>
          <w:sz w:val="24"/>
          <w:szCs w:val="24"/>
          <w:lang w:eastAsia="en-GB"/>
        </w:rPr>
        <w:t xml:space="preserve"> 91 (3): 859–881. </w:t>
      </w:r>
      <w:hyperlink r:id="rId23" w:tgtFrame="_blank" w:history="1">
        <w:r w:rsidRPr="008C5651">
          <w:rPr>
            <w:rFonts w:ascii="Times New Roman" w:eastAsia="Calibri" w:hAnsi="Times New Roman" w:cs="Times New Roman"/>
            <w:bCs/>
            <w:color w:val="000000"/>
            <w:sz w:val="24"/>
            <w:szCs w:val="24"/>
            <w:u w:val="single"/>
            <w:bdr w:val="none" w:sz="0" w:space="0" w:color="auto" w:frame="1"/>
            <w:shd w:val="clear" w:color="auto" w:fill="FFFFFF"/>
            <w:lang w:eastAsia="en-GB"/>
          </w:rPr>
          <w:t>https://doi.org/10.2308/accr-51282</w:t>
        </w:r>
      </w:hyperlink>
    </w:p>
    <w:p w:rsidR="00DE60E4" w:rsidRDefault="00C81A68" w:rsidP="00DE60E4">
      <w:pPr>
        <w:spacing w:after="0" w:line="360" w:lineRule="auto"/>
        <w:ind w:left="454" w:hanging="454"/>
        <w:jc w:val="both"/>
        <w:rPr>
          <w:rFonts w:ascii="Times New Roman" w:eastAsia="Calibri" w:hAnsi="Times New Roman" w:cs="Times New Roman"/>
          <w:color w:val="000000"/>
          <w:sz w:val="24"/>
          <w:szCs w:val="24"/>
          <w:u w:val="single"/>
          <w:lang w:eastAsia="en-GB"/>
        </w:rPr>
      </w:pPr>
      <w:proofErr w:type="spellStart"/>
      <w:r w:rsidRPr="008C5651">
        <w:rPr>
          <w:rFonts w:ascii="Times New Roman" w:eastAsia="Times New Roman" w:hAnsi="Times New Roman" w:cs="Times New Roman"/>
          <w:color w:val="000000"/>
          <w:sz w:val="24"/>
          <w:szCs w:val="24"/>
          <w:shd w:val="clear" w:color="auto" w:fill="FFFFFF"/>
        </w:rPr>
        <w:t>Gallemore</w:t>
      </w:r>
      <w:proofErr w:type="spellEnd"/>
      <w:r w:rsidRPr="008C5651">
        <w:rPr>
          <w:rFonts w:ascii="Times New Roman" w:eastAsia="Times New Roman" w:hAnsi="Times New Roman" w:cs="Times New Roman"/>
          <w:color w:val="000000"/>
          <w:sz w:val="24"/>
          <w:szCs w:val="24"/>
          <w:shd w:val="clear" w:color="auto" w:fill="FFFFFF"/>
        </w:rPr>
        <w:t>, J.</w:t>
      </w:r>
      <w:r w:rsidR="00F578F5">
        <w:rPr>
          <w:rFonts w:ascii="Times New Roman" w:eastAsia="Times New Roman" w:hAnsi="Times New Roman" w:cs="Times New Roman"/>
          <w:color w:val="000000"/>
          <w:sz w:val="24"/>
          <w:szCs w:val="24"/>
          <w:shd w:val="clear" w:color="auto" w:fill="FFFFFF"/>
        </w:rPr>
        <w:t>,</w:t>
      </w:r>
      <w:r w:rsidRPr="008C5651">
        <w:rPr>
          <w:rFonts w:ascii="Times New Roman" w:eastAsia="Times New Roman" w:hAnsi="Times New Roman" w:cs="Times New Roman"/>
          <w:color w:val="000000"/>
          <w:sz w:val="24"/>
          <w:szCs w:val="24"/>
          <w:shd w:val="clear" w:color="auto" w:fill="FFFFFF"/>
        </w:rPr>
        <w:t xml:space="preserve"> &amp; </w:t>
      </w:r>
      <w:proofErr w:type="spellStart"/>
      <w:r w:rsidRPr="008C5651">
        <w:rPr>
          <w:rFonts w:ascii="Times New Roman" w:eastAsia="Times New Roman" w:hAnsi="Times New Roman" w:cs="Times New Roman"/>
          <w:color w:val="000000"/>
          <w:sz w:val="24"/>
          <w:szCs w:val="24"/>
          <w:shd w:val="clear" w:color="auto" w:fill="FFFFFF"/>
        </w:rPr>
        <w:t>Labro</w:t>
      </w:r>
      <w:proofErr w:type="spellEnd"/>
      <w:r w:rsidRPr="008C5651">
        <w:rPr>
          <w:rFonts w:ascii="Times New Roman" w:eastAsia="Times New Roman" w:hAnsi="Times New Roman" w:cs="Times New Roman"/>
          <w:color w:val="000000"/>
          <w:sz w:val="24"/>
          <w:szCs w:val="24"/>
          <w:shd w:val="clear" w:color="auto" w:fill="FFFFFF"/>
        </w:rPr>
        <w:t xml:space="preserve">, E. (2015). The importance of the internal information environment for tax avoidance. </w:t>
      </w:r>
      <w:r w:rsidRPr="008C5651">
        <w:rPr>
          <w:rFonts w:ascii="Times New Roman" w:eastAsia="Times New Roman" w:hAnsi="Times New Roman" w:cs="Times New Roman"/>
          <w:i/>
          <w:color w:val="000000"/>
          <w:sz w:val="24"/>
          <w:szCs w:val="24"/>
          <w:shd w:val="clear" w:color="auto" w:fill="FFFFFF"/>
        </w:rPr>
        <w:t>Journal of Accounting and Economics</w:t>
      </w:r>
      <w:r w:rsidRPr="008C5651">
        <w:rPr>
          <w:rFonts w:ascii="Times New Roman" w:eastAsia="Times New Roman" w:hAnsi="Times New Roman" w:cs="Times New Roman"/>
          <w:color w:val="000000"/>
          <w:sz w:val="24"/>
          <w:szCs w:val="24"/>
          <w:shd w:val="clear" w:color="auto" w:fill="FFFFFF"/>
        </w:rPr>
        <w:t xml:space="preserve"> 60 (1):149–167. </w:t>
      </w:r>
      <w:hyperlink r:id="rId24" w:tgtFrame="_blank" w:tooltip="Persistent link using digital object identifier" w:history="1">
        <w:r w:rsidRPr="008C5651">
          <w:rPr>
            <w:rFonts w:ascii="Times New Roman" w:eastAsia="Calibri" w:hAnsi="Times New Roman" w:cs="Times New Roman"/>
            <w:color w:val="000000"/>
            <w:sz w:val="24"/>
            <w:szCs w:val="24"/>
            <w:u w:val="single"/>
            <w:lang w:eastAsia="en-GB"/>
          </w:rPr>
          <w:t>https://doi.org/10.1016/j.jacceco.2014.09.005</w:t>
        </w:r>
      </w:hyperlink>
    </w:p>
    <w:p w:rsidR="00DE60E4" w:rsidRPr="00DE60E4" w:rsidRDefault="00DE60E4" w:rsidP="00DE60E4">
      <w:pPr>
        <w:spacing w:after="0" w:line="360" w:lineRule="auto"/>
        <w:ind w:left="454" w:hanging="454"/>
        <w:jc w:val="both"/>
        <w:rPr>
          <w:rFonts w:ascii="Times New Roman" w:eastAsia="Calibri" w:hAnsi="Times New Roman" w:cs="Times New Roman"/>
          <w:color w:val="000000"/>
          <w:sz w:val="24"/>
          <w:szCs w:val="24"/>
          <w:u w:val="single"/>
          <w:lang w:eastAsia="en-GB"/>
        </w:rPr>
      </w:pPr>
      <w:r w:rsidRPr="0059245F">
        <w:rPr>
          <w:rFonts w:ascii="Times New Roman" w:eastAsia="Calibri" w:hAnsi="Times New Roman" w:cs="Times New Roman"/>
          <w:sz w:val="24"/>
          <w:szCs w:val="24"/>
          <w:lang w:eastAsia="en-GB"/>
        </w:rPr>
        <w:t xml:space="preserve">Gao, H., Luo, J., </w:t>
      </w:r>
      <w:r>
        <w:rPr>
          <w:rFonts w:ascii="Times New Roman" w:eastAsia="Calibri" w:hAnsi="Times New Roman" w:cs="Times New Roman"/>
          <w:sz w:val="24"/>
          <w:szCs w:val="24"/>
          <w:lang w:eastAsia="en-GB"/>
        </w:rPr>
        <w:t xml:space="preserve">&amp; </w:t>
      </w:r>
      <w:r w:rsidRPr="0059245F">
        <w:rPr>
          <w:rFonts w:ascii="Times New Roman" w:eastAsia="Calibri" w:hAnsi="Times New Roman" w:cs="Times New Roman"/>
          <w:sz w:val="24"/>
          <w:szCs w:val="24"/>
          <w:lang w:eastAsia="en-GB"/>
        </w:rPr>
        <w:t>Tang, T. (2015)</w:t>
      </w:r>
      <w:r>
        <w:rPr>
          <w:rFonts w:ascii="Times New Roman" w:eastAsia="Calibri" w:hAnsi="Times New Roman" w:cs="Times New Roman"/>
          <w:sz w:val="24"/>
          <w:szCs w:val="24"/>
          <w:lang w:eastAsia="en-GB"/>
        </w:rPr>
        <w:t>.</w:t>
      </w:r>
      <w:r w:rsidRPr="0059245F">
        <w:rPr>
          <w:rFonts w:ascii="Times New Roman" w:eastAsia="Calibri" w:hAnsi="Times New Roman" w:cs="Times New Roman"/>
          <w:sz w:val="24"/>
          <w:szCs w:val="24"/>
          <w:lang w:eastAsia="en-GB"/>
        </w:rPr>
        <w:t xml:space="preserve"> Effects of managerial </w:t>
      </w:r>
      <w:proofErr w:type="spellStart"/>
      <w:r w:rsidRPr="0059245F">
        <w:rPr>
          <w:rFonts w:ascii="Times New Roman" w:eastAsia="Calibri" w:hAnsi="Times New Roman" w:cs="Times New Roman"/>
          <w:sz w:val="24"/>
          <w:szCs w:val="24"/>
          <w:lang w:eastAsia="en-GB"/>
        </w:rPr>
        <w:t>labor</w:t>
      </w:r>
      <w:proofErr w:type="spellEnd"/>
      <w:r w:rsidRPr="0059245F">
        <w:rPr>
          <w:rFonts w:ascii="Times New Roman" w:eastAsia="Calibri" w:hAnsi="Times New Roman" w:cs="Times New Roman"/>
          <w:sz w:val="24"/>
          <w:szCs w:val="24"/>
          <w:lang w:eastAsia="en-GB"/>
        </w:rPr>
        <w:t xml:space="preserve"> market on executive compensation: Evidence from job-hopping. </w:t>
      </w:r>
      <w:r w:rsidRPr="0059245F">
        <w:rPr>
          <w:rFonts w:ascii="Times New Roman" w:eastAsia="Calibri" w:hAnsi="Times New Roman" w:cs="Times New Roman"/>
          <w:i/>
          <w:iCs/>
          <w:sz w:val="24"/>
          <w:szCs w:val="24"/>
          <w:lang w:eastAsia="en-GB"/>
        </w:rPr>
        <w:t>Journal of Accounting and Economics</w:t>
      </w:r>
      <w:r w:rsidRPr="0059245F">
        <w:rPr>
          <w:rFonts w:ascii="Times New Roman" w:eastAsia="Calibri" w:hAnsi="Times New Roman" w:cs="Times New Roman"/>
          <w:sz w:val="24"/>
          <w:szCs w:val="24"/>
          <w:lang w:eastAsia="en-GB"/>
        </w:rPr>
        <w:t xml:space="preserve"> 59</w:t>
      </w:r>
      <w:r>
        <w:rPr>
          <w:rFonts w:ascii="Times New Roman" w:eastAsia="Calibri" w:hAnsi="Times New Roman" w:cs="Times New Roman"/>
          <w:sz w:val="24"/>
          <w:szCs w:val="24"/>
          <w:lang w:eastAsia="en-GB"/>
        </w:rPr>
        <w:t xml:space="preserve"> (2</w:t>
      </w:r>
      <w:r w:rsidRPr="0059245F">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3):</w:t>
      </w:r>
      <w:r w:rsidRPr="0059245F">
        <w:rPr>
          <w:rFonts w:ascii="Times New Roman" w:eastAsia="Calibri" w:hAnsi="Times New Roman" w:cs="Times New Roman"/>
          <w:sz w:val="24"/>
          <w:szCs w:val="24"/>
          <w:lang w:eastAsia="en-GB"/>
        </w:rPr>
        <w:t xml:space="preserve"> 203–220. </w:t>
      </w:r>
      <w:hyperlink r:id="rId25" w:history="1">
        <w:r w:rsidRPr="00C917F4">
          <w:rPr>
            <w:rFonts w:ascii="Times New Roman" w:eastAsia="Calibri" w:hAnsi="Times New Roman" w:cs="Times New Roman"/>
            <w:sz w:val="24"/>
            <w:szCs w:val="24"/>
            <w:u w:val="single"/>
            <w:lang w:eastAsia="en-GB"/>
          </w:rPr>
          <w:t>https://doi.org/10.1016/j.jacceco.2015.02.001</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 xml:space="preserve">Gao, H., Zhang, H., &amp; Zhang, J. (2018). Employee turnover likelihood and earnings management: evidence from the inevitable disclosure doctrine. </w:t>
      </w:r>
      <w:r w:rsidRPr="008C5651">
        <w:rPr>
          <w:rFonts w:ascii="Times New Roman" w:eastAsia="Arial" w:hAnsi="Times New Roman" w:cs="Times New Roman"/>
          <w:i/>
          <w:color w:val="000000"/>
          <w:sz w:val="24"/>
          <w:szCs w:val="24"/>
          <w:lang w:eastAsia="en-GB"/>
        </w:rPr>
        <w:t>Review of Accounting Studies</w:t>
      </w:r>
      <w:r w:rsidRPr="008C5651">
        <w:rPr>
          <w:rFonts w:ascii="Times New Roman" w:eastAsia="Arial" w:hAnsi="Times New Roman" w:cs="Times New Roman"/>
          <w:color w:val="000000"/>
          <w:sz w:val="24"/>
          <w:szCs w:val="24"/>
          <w:lang w:eastAsia="en-GB"/>
        </w:rPr>
        <w:t xml:space="preserve"> 23 (4): 1424–1470. </w:t>
      </w:r>
      <w:r w:rsidRPr="00072D8F">
        <w:rPr>
          <w:rFonts w:ascii="Times New Roman" w:eastAsia="Calibri" w:hAnsi="Times New Roman" w:cs="Times New Roman"/>
          <w:color w:val="000000"/>
          <w:sz w:val="24"/>
          <w:szCs w:val="24"/>
          <w:u w:val="single"/>
          <w:shd w:val="clear" w:color="auto" w:fill="FCFCFC"/>
          <w:lang w:eastAsia="en-GB"/>
        </w:rPr>
        <w:t>https://doi.org/10.1007/s11142-018-9475-x</w:t>
      </w:r>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proofErr w:type="spellStart"/>
      <w:r w:rsidRPr="008C5651">
        <w:rPr>
          <w:rFonts w:ascii="Times New Roman" w:eastAsia="Arial" w:hAnsi="Times New Roman" w:cs="Times New Roman"/>
          <w:color w:val="000000"/>
          <w:sz w:val="24"/>
          <w:szCs w:val="24"/>
          <w:lang w:eastAsia="en-GB"/>
        </w:rPr>
        <w:t>Garmaise</w:t>
      </w:r>
      <w:proofErr w:type="spellEnd"/>
      <w:r w:rsidRPr="008C5651">
        <w:rPr>
          <w:rFonts w:ascii="Times New Roman" w:eastAsia="Arial" w:hAnsi="Times New Roman" w:cs="Times New Roman"/>
          <w:color w:val="000000"/>
          <w:sz w:val="24"/>
          <w:szCs w:val="24"/>
          <w:lang w:eastAsia="en-GB"/>
        </w:rPr>
        <w:t>, M.</w:t>
      </w:r>
      <w:r w:rsidR="00CA6F65">
        <w:rPr>
          <w:rFonts w:ascii="Times New Roman" w:eastAsia="Arial" w:hAnsi="Times New Roman" w:cs="Times New Roman"/>
          <w:color w:val="000000"/>
          <w:sz w:val="24"/>
          <w:szCs w:val="24"/>
          <w:lang w:eastAsia="en-GB"/>
        </w:rPr>
        <w:t xml:space="preserve"> </w:t>
      </w:r>
      <w:r w:rsidRPr="008C5651">
        <w:rPr>
          <w:rFonts w:ascii="Times New Roman" w:eastAsia="Arial" w:hAnsi="Times New Roman" w:cs="Times New Roman"/>
          <w:color w:val="000000"/>
          <w:sz w:val="24"/>
          <w:szCs w:val="24"/>
          <w:lang w:eastAsia="en-GB"/>
        </w:rPr>
        <w:t xml:space="preserve">J. (2011). Ties that truly bind: non-competition agreements, executive compensation, and firm investment. </w:t>
      </w:r>
      <w:r w:rsidRPr="008C5651">
        <w:rPr>
          <w:rFonts w:ascii="Times New Roman" w:eastAsia="Arial" w:hAnsi="Times New Roman" w:cs="Times New Roman"/>
          <w:i/>
          <w:color w:val="000000"/>
          <w:sz w:val="24"/>
          <w:szCs w:val="24"/>
          <w:lang w:eastAsia="en-GB"/>
        </w:rPr>
        <w:t>The Journal of Law, Economics, and Organization</w:t>
      </w:r>
      <w:r w:rsidRPr="008C5651">
        <w:rPr>
          <w:rFonts w:ascii="Times New Roman" w:eastAsia="Arial" w:hAnsi="Times New Roman" w:cs="Times New Roman"/>
          <w:color w:val="000000"/>
          <w:sz w:val="24"/>
          <w:szCs w:val="24"/>
          <w:lang w:eastAsia="en-GB"/>
        </w:rPr>
        <w:t xml:space="preserve"> 27 (2): 376–425. </w:t>
      </w:r>
      <w:hyperlink r:id="rId26" w:history="1">
        <w:r w:rsidRPr="008C5651">
          <w:rPr>
            <w:rFonts w:ascii="Times New Roman" w:eastAsia="Calibri" w:hAnsi="Times New Roman" w:cs="Times New Roman"/>
            <w:color w:val="000000"/>
            <w:sz w:val="24"/>
            <w:szCs w:val="24"/>
            <w:u w:val="single"/>
            <w:bdr w:val="none" w:sz="0" w:space="0" w:color="auto" w:frame="1"/>
            <w:shd w:val="clear" w:color="auto" w:fill="FFFFFF"/>
            <w:lang w:eastAsia="en-GB"/>
          </w:rPr>
          <w:t>https://doi.org/10.1093/jleo/ewp033</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 xml:space="preserve">Graham, J. R., Hanlon, M., Shevlin, T., &amp; Shroff, N. (2013). Incentives for tax planning and avoidance: evidence from the field. </w:t>
      </w:r>
      <w:hyperlink r:id="rId27" w:history="1">
        <w:r w:rsidRPr="008C5651">
          <w:rPr>
            <w:rFonts w:ascii="Times New Roman" w:eastAsia="Arial" w:hAnsi="Times New Roman" w:cs="Times New Roman"/>
            <w:i/>
            <w:color w:val="000000"/>
            <w:sz w:val="24"/>
            <w:szCs w:val="24"/>
            <w:lang w:eastAsia="en-GB"/>
          </w:rPr>
          <w:t>The Accounting Review</w:t>
        </w:r>
        <w:r w:rsidRPr="008C5651">
          <w:rPr>
            <w:rFonts w:ascii="Times New Roman" w:eastAsia="Arial" w:hAnsi="Times New Roman" w:cs="Times New Roman"/>
            <w:color w:val="000000"/>
            <w:sz w:val="24"/>
            <w:szCs w:val="24"/>
            <w:lang w:eastAsia="en-GB"/>
          </w:rPr>
          <w:t xml:space="preserve"> </w:t>
        </w:r>
      </w:hyperlink>
      <w:r w:rsidRPr="008C5651">
        <w:rPr>
          <w:rFonts w:ascii="Times New Roman" w:eastAsia="Arial" w:hAnsi="Times New Roman" w:cs="Times New Roman"/>
          <w:color w:val="000000"/>
          <w:sz w:val="24"/>
          <w:szCs w:val="24"/>
          <w:lang w:eastAsia="en-GB"/>
        </w:rPr>
        <w:t>89 (3): 991–1023. h</w:t>
      </w:r>
      <w:hyperlink r:id="rId28" w:tgtFrame="_blank" w:history="1">
        <w:r w:rsidRPr="008C5651">
          <w:rPr>
            <w:rFonts w:ascii="Times New Roman" w:eastAsia="Calibri" w:hAnsi="Times New Roman" w:cs="Times New Roman"/>
            <w:bCs/>
            <w:color w:val="000000"/>
            <w:sz w:val="24"/>
            <w:szCs w:val="24"/>
            <w:u w:val="single"/>
            <w:bdr w:val="none" w:sz="0" w:space="0" w:color="auto" w:frame="1"/>
            <w:shd w:val="clear" w:color="auto" w:fill="FFFFFF"/>
            <w:lang w:eastAsia="en-GB"/>
          </w:rPr>
          <w:t>ttps://doi.org/10.2308/accr-50678</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Times New Roman" w:hAnsi="Times New Roman" w:cs="Times New Roman"/>
          <w:color w:val="000000"/>
          <w:sz w:val="24"/>
          <w:szCs w:val="24"/>
          <w:shd w:val="clear" w:color="auto" w:fill="FFFFFF"/>
          <w:lang w:eastAsia="en-GB"/>
        </w:rPr>
        <w:t>Hanlon, M., Maydew</w:t>
      </w:r>
      <w:r w:rsidR="00EC001E">
        <w:rPr>
          <w:rFonts w:ascii="Times New Roman" w:eastAsia="Times New Roman" w:hAnsi="Times New Roman" w:cs="Times New Roman"/>
          <w:color w:val="000000"/>
          <w:sz w:val="24"/>
          <w:szCs w:val="24"/>
          <w:shd w:val="clear" w:color="auto" w:fill="FFFFFF"/>
          <w:lang w:eastAsia="en-GB"/>
        </w:rPr>
        <w:t xml:space="preserve">, </w:t>
      </w:r>
      <w:r w:rsidR="00EC001E" w:rsidRPr="008C5651">
        <w:rPr>
          <w:rFonts w:ascii="Times New Roman" w:eastAsia="Times New Roman" w:hAnsi="Times New Roman" w:cs="Times New Roman"/>
          <w:color w:val="000000"/>
          <w:sz w:val="24"/>
          <w:szCs w:val="24"/>
          <w:shd w:val="clear" w:color="auto" w:fill="FFFFFF"/>
          <w:lang w:eastAsia="en-GB"/>
        </w:rPr>
        <w:t>E.</w:t>
      </w:r>
      <w:r w:rsidR="00EC001E">
        <w:rPr>
          <w:rFonts w:ascii="Times New Roman" w:eastAsia="Times New Roman" w:hAnsi="Times New Roman" w:cs="Times New Roman"/>
          <w:color w:val="000000"/>
          <w:sz w:val="24"/>
          <w:szCs w:val="24"/>
          <w:shd w:val="clear" w:color="auto" w:fill="FFFFFF"/>
          <w:lang w:eastAsia="en-GB"/>
        </w:rPr>
        <w:t>,</w:t>
      </w:r>
      <w:r w:rsidRPr="008C5651">
        <w:rPr>
          <w:rFonts w:ascii="Times New Roman" w:eastAsia="Times New Roman" w:hAnsi="Times New Roman" w:cs="Times New Roman"/>
          <w:color w:val="000000"/>
          <w:sz w:val="24"/>
          <w:szCs w:val="24"/>
          <w:shd w:val="clear" w:color="auto" w:fill="FFFFFF"/>
          <w:lang w:eastAsia="en-GB"/>
        </w:rPr>
        <w:t xml:space="preserve"> &amp; </w:t>
      </w:r>
      <w:proofErr w:type="spellStart"/>
      <w:r w:rsidRPr="008C5651">
        <w:rPr>
          <w:rFonts w:ascii="Times New Roman" w:eastAsia="Times New Roman" w:hAnsi="Times New Roman" w:cs="Times New Roman"/>
          <w:color w:val="000000"/>
          <w:sz w:val="24"/>
          <w:szCs w:val="24"/>
          <w:shd w:val="clear" w:color="auto" w:fill="FFFFFF"/>
          <w:lang w:eastAsia="en-GB"/>
        </w:rPr>
        <w:t>Thornock</w:t>
      </w:r>
      <w:proofErr w:type="spellEnd"/>
      <w:r w:rsidRPr="008C5651">
        <w:rPr>
          <w:rFonts w:ascii="Times New Roman" w:eastAsia="Times New Roman" w:hAnsi="Times New Roman" w:cs="Times New Roman"/>
          <w:color w:val="000000"/>
          <w:sz w:val="24"/>
          <w:szCs w:val="24"/>
          <w:shd w:val="clear" w:color="auto" w:fill="FFFFFF"/>
          <w:lang w:eastAsia="en-GB"/>
        </w:rPr>
        <w:t xml:space="preserve">, J. (2015). Taking the long way home: U.S. tax evasion and offshore investments in U.S. equity and debt markets. </w:t>
      </w:r>
      <w:r w:rsidRPr="008C5651">
        <w:rPr>
          <w:rFonts w:ascii="Times New Roman" w:eastAsia="Times New Roman" w:hAnsi="Times New Roman" w:cs="Times New Roman"/>
          <w:i/>
          <w:color w:val="000000"/>
          <w:sz w:val="24"/>
          <w:szCs w:val="24"/>
          <w:shd w:val="clear" w:color="auto" w:fill="FFFFFF"/>
          <w:lang w:eastAsia="en-GB"/>
        </w:rPr>
        <w:t>Journal of Finance</w:t>
      </w:r>
      <w:r w:rsidRPr="008C5651">
        <w:rPr>
          <w:rFonts w:ascii="Times New Roman" w:eastAsia="Times New Roman" w:hAnsi="Times New Roman" w:cs="Times New Roman"/>
          <w:color w:val="000000"/>
          <w:sz w:val="24"/>
          <w:szCs w:val="24"/>
          <w:shd w:val="clear" w:color="auto" w:fill="FFFFFF"/>
          <w:lang w:eastAsia="en-GB"/>
        </w:rPr>
        <w:t xml:space="preserve"> 70 (1): 257–287. </w:t>
      </w:r>
      <w:r w:rsidRPr="008C5651">
        <w:rPr>
          <w:rFonts w:ascii="Times New Roman" w:eastAsia="Calibri" w:hAnsi="Times New Roman" w:cs="Times New Roman"/>
          <w:color w:val="000000"/>
          <w:sz w:val="24"/>
          <w:szCs w:val="24"/>
          <w:shd w:val="clear" w:color="auto" w:fill="FFFFFF"/>
          <w:lang w:eastAsia="en-GB"/>
        </w:rPr>
        <w:t> </w:t>
      </w:r>
      <w:hyperlink r:id="rId29" w:history="1">
        <w:r w:rsidRPr="008C5651">
          <w:rPr>
            <w:rFonts w:ascii="Times New Roman" w:eastAsia="Calibri" w:hAnsi="Times New Roman" w:cs="Times New Roman"/>
            <w:bCs/>
            <w:color w:val="000000"/>
            <w:sz w:val="24"/>
            <w:szCs w:val="24"/>
            <w:u w:val="single"/>
            <w:lang w:eastAsia="en-GB"/>
          </w:rPr>
          <w:t>https://doi.org/10.1111/jofi.12120</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 xml:space="preserve">Hanlon, M., &amp; </w:t>
      </w:r>
      <w:proofErr w:type="spellStart"/>
      <w:r w:rsidRPr="008C5651">
        <w:rPr>
          <w:rFonts w:ascii="Times New Roman" w:eastAsia="Arial" w:hAnsi="Times New Roman" w:cs="Times New Roman"/>
          <w:color w:val="000000"/>
          <w:sz w:val="24"/>
          <w:szCs w:val="24"/>
          <w:lang w:eastAsia="en-GB"/>
        </w:rPr>
        <w:t>Heitzman</w:t>
      </w:r>
      <w:proofErr w:type="spellEnd"/>
      <w:r w:rsidRPr="008C5651">
        <w:rPr>
          <w:rFonts w:ascii="Times New Roman" w:eastAsia="Arial" w:hAnsi="Times New Roman" w:cs="Times New Roman"/>
          <w:color w:val="000000"/>
          <w:sz w:val="24"/>
          <w:szCs w:val="24"/>
          <w:lang w:eastAsia="en-GB"/>
        </w:rPr>
        <w:t xml:space="preserve">, S. (2010). A review of tax research. </w:t>
      </w:r>
      <w:r w:rsidRPr="008C5651">
        <w:rPr>
          <w:rFonts w:ascii="Times New Roman" w:eastAsia="Arial" w:hAnsi="Times New Roman" w:cs="Times New Roman"/>
          <w:i/>
          <w:color w:val="000000"/>
          <w:sz w:val="24"/>
          <w:szCs w:val="24"/>
          <w:lang w:eastAsia="en-GB"/>
        </w:rPr>
        <w:t>Journal of Accounting and Economics</w:t>
      </w:r>
      <w:r w:rsidRPr="008C5651">
        <w:rPr>
          <w:rFonts w:ascii="Times New Roman" w:eastAsia="Arial" w:hAnsi="Times New Roman" w:cs="Times New Roman"/>
          <w:color w:val="000000"/>
          <w:sz w:val="24"/>
          <w:szCs w:val="24"/>
          <w:lang w:eastAsia="en-GB"/>
        </w:rPr>
        <w:t xml:space="preserve"> 50 (2-3): 127–178. </w:t>
      </w:r>
      <w:hyperlink r:id="rId30" w:tgtFrame="_blank" w:tooltip="Persistent link using digital object identifier" w:history="1">
        <w:r w:rsidRPr="008C5651">
          <w:rPr>
            <w:rFonts w:ascii="Times New Roman" w:eastAsia="Calibri" w:hAnsi="Times New Roman" w:cs="Times New Roman"/>
            <w:color w:val="000000"/>
            <w:sz w:val="24"/>
            <w:szCs w:val="24"/>
            <w:u w:val="single"/>
            <w:lang w:eastAsia="en-GB"/>
          </w:rPr>
          <w:t>https://doi.org/10.1016/j.jacceco.2010.09.002</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Harris, J.</w:t>
      </w:r>
      <w:r w:rsidR="00EC001E">
        <w:rPr>
          <w:rFonts w:ascii="Times New Roman" w:eastAsia="Arial" w:hAnsi="Times New Roman" w:cs="Times New Roman"/>
          <w:color w:val="000000"/>
          <w:sz w:val="24"/>
          <w:szCs w:val="24"/>
          <w:lang w:eastAsia="en-GB"/>
        </w:rPr>
        <w:t xml:space="preserve"> </w:t>
      </w:r>
      <w:r w:rsidRPr="008C5651">
        <w:rPr>
          <w:rFonts w:ascii="Times New Roman" w:eastAsia="Arial" w:hAnsi="Times New Roman" w:cs="Times New Roman"/>
          <w:color w:val="000000"/>
          <w:sz w:val="24"/>
          <w:szCs w:val="24"/>
          <w:lang w:eastAsia="en-GB"/>
        </w:rPr>
        <w:t xml:space="preserve">O. 2000. Doctrine of inevitable disclosure: A proposal to balance employer and employee interests. </w:t>
      </w:r>
      <w:r w:rsidRPr="008C5651">
        <w:rPr>
          <w:rFonts w:ascii="Times New Roman" w:eastAsia="Arial" w:hAnsi="Times New Roman" w:cs="Times New Roman"/>
          <w:i/>
          <w:color w:val="000000"/>
          <w:sz w:val="24"/>
          <w:szCs w:val="24"/>
          <w:lang w:eastAsia="en-GB"/>
        </w:rPr>
        <w:t>Washington University Law Review</w:t>
      </w:r>
      <w:r w:rsidRPr="008C5651">
        <w:rPr>
          <w:rFonts w:ascii="Times New Roman" w:eastAsia="Arial" w:hAnsi="Times New Roman" w:cs="Times New Roman"/>
          <w:color w:val="000000"/>
          <w:sz w:val="24"/>
          <w:szCs w:val="24"/>
          <w:lang w:eastAsia="en-GB"/>
        </w:rPr>
        <w:t xml:space="preserve"> 78 (1): 325–345. </w:t>
      </w:r>
      <w:hyperlink r:id="rId31" w:history="1">
        <w:r w:rsidRPr="008C5651">
          <w:rPr>
            <w:rFonts w:ascii="Times New Roman" w:eastAsia="Calibri" w:hAnsi="Times New Roman" w:cs="Times New Roman"/>
            <w:color w:val="000000"/>
            <w:sz w:val="24"/>
            <w:szCs w:val="24"/>
            <w:u w:val="single"/>
            <w:lang w:eastAsia="en-GB"/>
          </w:rPr>
          <w:t>https://openscholarship.wustl.edu/law_lawreview/vol78/iss1/7</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Times New Roman" w:hAnsi="Times New Roman" w:cs="Times New Roman"/>
          <w:color w:val="000000"/>
          <w:sz w:val="24"/>
          <w:szCs w:val="24"/>
          <w:lang w:eastAsia="en-GB"/>
        </w:rPr>
        <w:t xml:space="preserve">Joshi, P., </w:t>
      </w:r>
      <w:proofErr w:type="spellStart"/>
      <w:r w:rsidRPr="008C5651">
        <w:rPr>
          <w:rFonts w:ascii="Times New Roman" w:eastAsia="Times New Roman" w:hAnsi="Times New Roman" w:cs="Times New Roman"/>
          <w:color w:val="000000"/>
          <w:sz w:val="24"/>
          <w:szCs w:val="24"/>
          <w:lang w:eastAsia="en-GB"/>
        </w:rPr>
        <w:t>Outslay</w:t>
      </w:r>
      <w:proofErr w:type="spellEnd"/>
      <w:r w:rsidRPr="008C5651">
        <w:rPr>
          <w:rFonts w:ascii="Times New Roman" w:eastAsia="Times New Roman" w:hAnsi="Times New Roman" w:cs="Times New Roman"/>
          <w:color w:val="000000"/>
          <w:sz w:val="24"/>
          <w:szCs w:val="24"/>
          <w:lang w:eastAsia="en-GB"/>
        </w:rPr>
        <w:t xml:space="preserve">, </w:t>
      </w:r>
      <w:r w:rsidR="00EC001E" w:rsidRPr="008C5651">
        <w:rPr>
          <w:rFonts w:ascii="Times New Roman" w:eastAsia="Times New Roman" w:hAnsi="Times New Roman" w:cs="Times New Roman"/>
          <w:color w:val="000000"/>
          <w:sz w:val="24"/>
          <w:szCs w:val="24"/>
          <w:lang w:eastAsia="en-GB"/>
        </w:rPr>
        <w:t>E.</w:t>
      </w:r>
      <w:r w:rsidR="00EC001E">
        <w:rPr>
          <w:rFonts w:ascii="Times New Roman" w:eastAsia="Times New Roman" w:hAnsi="Times New Roman" w:cs="Times New Roman"/>
          <w:color w:val="000000"/>
          <w:sz w:val="24"/>
          <w:szCs w:val="24"/>
          <w:lang w:eastAsia="en-GB"/>
        </w:rPr>
        <w:t xml:space="preserve">, </w:t>
      </w:r>
      <w:r w:rsidRPr="008C5651">
        <w:rPr>
          <w:rFonts w:ascii="Times New Roman" w:eastAsia="Times New Roman" w:hAnsi="Times New Roman" w:cs="Times New Roman"/>
          <w:color w:val="000000"/>
          <w:sz w:val="24"/>
          <w:szCs w:val="24"/>
          <w:lang w:eastAsia="en-GB"/>
        </w:rPr>
        <w:t xml:space="preserve">&amp; Persson, A. (2020). Does public country-by-country reporting deter tax avoidance and income shifting? evidence from the European banking industry. </w:t>
      </w:r>
      <w:r w:rsidRPr="008C5651">
        <w:rPr>
          <w:rFonts w:ascii="Times New Roman" w:eastAsia="Times New Roman" w:hAnsi="Times New Roman" w:cs="Times New Roman"/>
          <w:i/>
          <w:color w:val="000000"/>
          <w:sz w:val="24"/>
          <w:szCs w:val="24"/>
          <w:shd w:val="clear" w:color="auto" w:fill="FFFFFF"/>
          <w:lang w:eastAsia="en-GB"/>
        </w:rPr>
        <w:t>Contemporary Accounting Research</w:t>
      </w:r>
      <w:r w:rsidRPr="008C5651">
        <w:rPr>
          <w:rFonts w:ascii="Times New Roman" w:eastAsia="Times New Roman" w:hAnsi="Times New Roman" w:cs="Times New Roman"/>
          <w:color w:val="000000"/>
          <w:sz w:val="24"/>
          <w:szCs w:val="24"/>
          <w:shd w:val="clear" w:color="auto" w:fill="FFFFFF"/>
          <w:lang w:eastAsia="en-GB"/>
        </w:rPr>
        <w:t>, 37(4), 2357-2397</w:t>
      </w:r>
      <w:r w:rsidRPr="008C5651">
        <w:rPr>
          <w:rFonts w:ascii="Times New Roman" w:eastAsia="Times New Roman" w:hAnsi="Times New Roman" w:cs="Times New Roman"/>
          <w:i/>
          <w:color w:val="000000"/>
          <w:sz w:val="24"/>
          <w:szCs w:val="24"/>
          <w:shd w:val="clear" w:color="auto" w:fill="FFFFFF"/>
          <w:lang w:eastAsia="en-GB"/>
        </w:rPr>
        <w:t xml:space="preserve">. </w:t>
      </w:r>
      <w:r w:rsidRPr="008C5651">
        <w:rPr>
          <w:rFonts w:ascii="Times New Roman" w:eastAsia="Calibri" w:hAnsi="Times New Roman" w:cs="Times New Roman"/>
          <w:color w:val="000000"/>
          <w:sz w:val="24"/>
          <w:szCs w:val="24"/>
          <w:shd w:val="clear" w:color="auto" w:fill="FFFFFF"/>
          <w:lang w:eastAsia="en-GB"/>
        </w:rPr>
        <w:t> </w:t>
      </w:r>
      <w:hyperlink r:id="rId32" w:history="1">
        <w:r w:rsidRPr="008C5651">
          <w:rPr>
            <w:rFonts w:ascii="Times New Roman" w:eastAsia="Calibri" w:hAnsi="Times New Roman" w:cs="Times New Roman"/>
            <w:bCs/>
            <w:color w:val="000000"/>
            <w:sz w:val="24"/>
            <w:szCs w:val="24"/>
            <w:u w:val="single"/>
            <w:lang w:eastAsia="en-GB"/>
          </w:rPr>
          <w:t>https://doi.org/10.1111/1911-3846.12601</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Times New Roman" w:hAnsi="Times New Roman" w:cs="Times New Roman"/>
          <w:color w:val="000000"/>
          <w:sz w:val="24"/>
          <w:szCs w:val="24"/>
          <w:shd w:val="clear" w:color="auto" w:fill="FFFFFF"/>
          <w:lang w:eastAsia="en-GB"/>
        </w:rPr>
        <w:lastRenderedPageBreak/>
        <w:t xml:space="preserve">Kerr, J. (2018). Transparency, information shocks, and tax avoidance. </w:t>
      </w:r>
      <w:r w:rsidRPr="008C5651">
        <w:rPr>
          <w:rFonts w:ascii="Times New Roman" w:eastAsia="Times New Roman" w:hAnsi="Times New Roman" w:cs="Times New Roman"/>
          <w:i/>
          <w:color w:val="000000"/>
          <w:sz w:val="24"/>
          <w:szCs w:val="24"/>
          <w:shd w:val="clear" w:color="auto" w:fill="FFFFFF"/>
          <w:lang w:eastAsia="en-GB"/>
        </w:rPr>
        <w:t>Contemporary Accounting Research</w:t>
      </w:r>
      <w:r w:rsidRPr="008C5651">
        <w:rPr>
          <w:rFonts w:ascii="Times New Roman" w:eastAsia="Times New Roman" w:hAnsi="Times New Roman" w:cs="Times New Roman"/>
          <w:color w:val="000000"/>
          <w:sz w:val="24"/>
          <w:szCs w:val="24"/>
          <w:shd w:val="clear" w:color="auto" w:fill="FFFFFF"/>
          <w:lang w:eastAsia="en-GB"/>
        </w:rPr>
        <w:t xml:space="preserve"> 36 (2): 1146–1183. </w:t>
      </w:r>
      <w:hyperlink r:id="rId33" w:history="1">
        <w:r w:rsidRPr="008C5651">
          <w:rPr>
            <w:rFonts w:ascii="Times New Roman" w:eastAsia="Calibri" w:hAnsi="Times New Roman" w:cs="Times New Roman"/>
            <w:bCs/>
            <w:color w:val="000000"/>
            <w:sz w:val="24"/>
            <w:szCs w:val="24"/>
            <w:u w:val="single"/>
            <w:shd w:val="clear" w:color="auto" w:fill="FFFFFF"/>
            <w:lang w:eastAsia="en-GB"/>
          </w:rPr>
          <w:t>https://doi.org/10.1111/1911-3846.12449</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 xml:space="preserve">Kim, J. B., Li, Y., &amp; Zhang, L. (2011). Corporate tax avoidance and stock price crash risk: firm-level analysis. </w:t>
      </w:r>
      <w:hyperlink r:id="rId34" w:history="1">
        <w:r w:rsidRPr="008C5651">
          <w:rPr>
            <w:rFonts w:ascii="Times New Roman" w:eastAsia="Arial" w:hAnsi="Times New Roman" w:cs="Times New Roman"/>
            <w:i/>
            <w:color w:val="000000"/>
            <w:sz w:val="24"/>
            <w:szCs w:val="24"/>
            <w:lang w:eastAsia="en-GB"/>
          </w:rPr>
          <w:t>Journal of Financial Economics</w:t>
        </w:r>
        <w:r w:rsidRPr="008C5651">
          <w:rPr>
            <w:rFonts w:ascii="Times New Roman" w:eastAsia="Arial" w:hAnsi="Times New Roman" w:cs="Times New Roman"/>
            <w:color w:val="000000"/>
            <w:sz w:val="24"/>
            <w:szCs w:val="24"/>
            <w:lang w:eastAsia="en-GB"/>
          </w:rPr>
          <w:t xml:space="preserve"> </w:t>
        </w:r>
      </w:hyperlink>
      <w:r w:rsidRPr="008C5651">
        <w:rPr>
          <w:rFonts w:ascii="Times New Roman" w:eastAsia="Arial" w:hAnsi="Times New Roman" w:cs="Times New Roman"/>
          <w:color w:val="000000"/>
          <w:sz w:val="24"/>
          <w:szCs w:val="24"/>
          <w:lang w:eastAsia="en-GB"/>
        </w:rPr>
        <w:t xml:space="preserve">100 (3): 639–662. </w:t>
      </w:r>
      <w:hyperlink r:id="rId35" w:tgtFrame="_blank" w:tooltip="Persistent link using digital object identifier" w:history="1">
        <w:r w:rsidRPr="008C5651">
          <w:rPr>
            <w:rFonts w:ascii="Times New Roman" w:eastAsia="Calibri" w:hAnsi="Times New Roman" w:cs="Times New Roman"/>
            <w:color w:val="000000"/>
            <w:sz w:val="24"/>
            <w:szCs w:val="24"/>
            <w:u w:val="single"/>
            <w:lang w:eastAsia="en-GB"/>
          </w:rPr>
          <w:t>https://doi.org/10.1016/j.jfineco.2010.07.007</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 xml:space="preserve">Kim, Y., </w:t>
      </w:r>
      <w:proofErr w:type="spellStart"/>
      <w:r w:rsidRPr="008C5651">
        <w:rPr>
          <w:rFonts w:ascii="Times New Roman" w:eastAsia="Arial" w:hAnsi="Times New Roman" w:cs="Times New Roman"/>
          <w:color w:val="000000"/>
          <w:sz w:val="24"/>
          <w:szCs w:val="24"/>
          <w:lang w:eastAsia="en-GB"/>
        </w:rPr>
        <w:t>Su</w:t>
      </w:r>
      <w:proofErr w:type="spellEnd"/>
      <w:r w:rsidRPr="008C5651">
        <w:rPr>
          <w:rFonts w:ascii="Times New Roman" w:eastAsia="Arial" w:hAnsi="Times New Roman" w:cs="Times New Roman"/>
          <w:color w:val="000000"/>
          <w:sz w:val="24"/>
          <w:szCs w:val="24"/>
          <w:lang w:eastAsia="en-GB"/>
        </w:rPr>
        <w:t xml:space="preserve">, L., Wang, Z., &amp; Wu, H. </w:t>
      </w:r>
      <w:r w:rsidR="00CA6F65">
        <w:rPr>
          <w:rFonts w:ascii="Times New Roman" w:eastAsia="Arial" w:hAnsi="Times New Roman" w:cs="Times New Roman"/>
          <w:color w:val="000000"/>
          <w:sz w:val="24"/>
          <w:szCs w:val="24"/>
          <w:lang w:eastAsia="en-GB"/>
        </w:rPr>
        <w:t>(</w:t>
      </w:r>
      <w:r w:rsidRPr="008C5651">
        <w:rPr>
          <w:rFonts w:ascii="Times New Roman" w:eastAsia="Arial" w:hAnsi="Times New Roman" w:cs="Times New Roman"/>
          <w:color w:val="000000"/>
          <w:sz w:val="24"/>
          <w:szCs w:val="24"/>
          <w:lang w:eastAsia="en-GB"/>
        </w:rPr>
        <w:t>2020</w:t>
      </w:r>
      <w:r w:rsidR="00CA6F65">
        <w:rPr>
          <w:rFonts w:ascii="Times New Roman" w:eastAsia="Arial" w:hAnsi="Times New Roman" w:cs="Times New Roman"/>
          <w:color w:val="000000"/>
          <w:sz w:val="24"/>
          <w:szCs w:val="24"/>
          <w:lang w:eastAsia="en-GB"/>
        </w:rPr>
        <w:t>)</w:t>
      </w:r>
      <w:r w:rsidRPr="008C5651">
        <w:rPr>
          <w:rFonts w:ascii="Times New Roman" w:eastAsia="Arial" w:hAnsi="Times New Roman" w:cs="Times New Roman"/>
          <w:color w:val="000000"/>
          <w:sz w:val="24"/>
          <w:szCs w:val="24"/>
          <w:lang w:eastAsia="en-GB"/>
        </w:rPr>
        <w:t xml:space="preserve">. The effect of trade secret law and stock price synchronicity. </w:t>
      </w:r>
      <w:r w:rsidRPr="008C5651">
        <w:rPr>
          <w:rFonts w:ascii="Times New Roman" w:eastAsia="Arial" w:hAnsi="Times New Roman" w:cs="Times New Roman"/>
          <w:i/>
          <w:color w:val="000000"/>
          <w:sz w:val="24"/>
          <w:szCs w:val="24"/>
          <w:lang w:eastAsia="en-GB"/>
        </w:rPr>
        <w:t>The Accounting Review, forthcoming</w:t>
      </w:r>
      <w:r w:rsidRPr="008C5651">
        <w:rPr>
          <w:rFonts w:ascii="Times New Roman" w:eastAsia="Arial" w:hAnsi="Times New Roman" w:cs="Times New Roman"/>
          <w:color w:val="000000"/>
          <w:sz w:val="24"/>
          <w:szCs w:val="24"/>
          <w:lang w:eastAsia="en-GB"/>
        </w:rPr>
        <w:t xml:space="preserve">. </w:t>
      </w:r>
      <w:hyperlink r:id="rId36" w:tgtFrame="_blank" w:history="1">
        <w:r w:rsidRPr="008C5651">
          <w:rPr>
            <w:rFonts w:ascii="Times New Roman" w:eastAsia="Calibri" w:hAnsi="Times New Roman" w:cs="Times New Roman"/>
            <w:bCs/>
            <w:color w:val="000000"/>
            <w:sz w:val="24"/>
            <w:szCs w:val="24"/>
            <w:u w:val="single"/>
            <w:bdr w:val="none" w:sz="0" w:space="0" w:color="auto" w:frame="1"/>
            <w:lang w:eastAsia="en-GB"/>
          </w:rPr>
          <w:t>https://doi.org/10.2308/tar-2017-0425</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proofErr w:type="spellStart"/>
      <w:r w:rsidRPr="008C5651">
        <w:rPr>
          <w:rFonts w:ascii="Times New Roman" w:eastAsia="Calibri" w:hAnsi="Times New Roman" w:cs="Times New Roman"/>
          <w:color w:val="000000"/>
          <w:sz w:val="24"/>
          <w:szCs w:val="24"/>
          <w:shd w:val="clear" w:color="auto" w:fill="FFFFFF"/>
          <w:lang w:eastAsia="en-GB"/>
        </w:rPr>
        <w:t>Kini</w:t>
      </w:r>
      <w:proofErr w:type="spellEnd"/>
      <w:r w:rsidRPr="008C5651">
        <w:rPr>
          <w:rFonts w:ascii="Times New Roman" w:eastAsia="Calibri" w:hAnsi="Times New Roman" w:cs="Times New Roman"/>
          <w:color w:val="000000"/>
          <w:sz w:val="24"/>
          <w:szCs w:val="24"/>
          <w:shd w:val="clear" w:color="auto" w:fill="FFFFFF"/>
          <w:lang w:eastAsia="en-GB"/>
        </w:rPr>
        <w:t xml:space="preserve">, O., Williams, R., &amp; Yin, S. (2020). CEO Non-Compete agreements, job Risk, and compensation. </w:t>
      </w:r>
      <w:r w:rsidRPr="008C5651">
        <w:rPr>
          <w:rFonts w:ascii="Times New Roman" w:eastAsia="Calibri" w:hAnsi="Times New Roman" w:cs="Times New Roman"/>
          <w:i/>
          <w:color w:val="000000"/>
          <w:sz w:val="24"/>
          <w:szCs w:val="24"/>
          <w:shd w:val="clear" w:color="auto" w:fill="FFFFFF"/>
          <w:lang w:eastAsia="en-GB"/>
        </w:rPr>
        <w:t>Review of Financial Studies</w:t>
      </w:r>
      <w:r w:rsidRPr="008C5651">
        <w:rPr>
          <w:rFonts w:ascii="Times New Roman" w:eastAsia="Calibri" w:hAnsi="Times New Roman" w:cs="Times New Roman"/>
          <w:color w:val="000000"/>
          <w:sz w:val="24"/>
          <w:szCs w:val="24"/>
          <w:shd w:val="clear" w:color="auto" w:fill="FFFFFF"/>
          <w:lang w:eastAsia="en-GB"/>
        </w:rPr>
        <w:t xml:space="preserve">, forthcoming. </w:t>
      </w:r>
      <w:hyperlink r:id="rId37" w:history="1">
        <w:r w:rsidRPr="008C5651">
          <w:rPr>
            <w:rFonts w:ascii="Times New Roman" w:eastAsia="Calibri" w:hAnsi="Times New Roman" w:cs="Times New Roman"/>
            <w:color w:val="000000"/>
            <w:sz w:val="24"/>
            <w:szCs w:val="24"/>
            <w:u w:val="single"/>
            <w:bdr w:val="none" w:sz="0" w:space="0" w:color="auto" w:frame="1"/>
            <w:shd w:val="clear" w:color="auto" w:fill="FFFFFF"/>
            <w:lang w:eastAsia="en-GB"/>
          </w:rPr>
          <w:t>https://doi.org/10.1093/rfs/hhaa103</w:t>
        </w:r>
      </w:hyperlink>
    </w:p>
    <w:p w:rsidR="00DE60E4" w:rsidRDefault="00C81A68" w:rsidP="00DE60E4">
      <w:pPr>
        <w:spacing w:after="0" w:line="360" w:lineRule="auto"/>
        <w:ind w:left="454" w:hanging="454"/>
        <w:jc w:val="both"/>
        <w:rPr>
          <w:rFonts w:ascii="Times New Roman" w:eastAsia="Calibri" w:hAnsi="Times New Roman" w:cs="Times New Roman"/>
          <w:color w:val="000000"/>
          <w:sz w:val="24"/>
          <w:szCs w:val="24"/>
          <w:u w:val="single"/>
          <w:lang w:eastAsia="en-GB"/>
        </w:rPr>
      </w:pPr>
      <w:proofErr w:type="spellStart"/>
      <w:r w:rsidRPr="008C5651">
        <w:rPr>
          <w:rFonts w:ascii="Times New Roman" w:eastAsia="Arial" w:hAnsi="Times New Roman" w:cs="Times New Roman"/>
          <w:color w:val="000000"/>
          <w:sz w:val="24"/>
          <w:szCs w:val="24"/>
          <w:lang w:eastAsia="en-GB"/>
        </w:rPr>
        <w:t>Klasa</w:t>
      </w:r>
      <w:proofErr w:type="spellEnd"/>
      <w:r w:rsidRPr="008C5651">
        <w:rPr>
          <w:rFonts w:ascii="Times New Roman" w:eastAsia="Arial" w:hAnsi="Times New Roman" w:cs="Times New Roman"/>
          <w:color w:val="000000"/>
          <w:sz w:val="24"/>
          <w:szCs w:val="24"/>
          <w:lang w:eastAsia="en-GB"/>
        </w:rPr>
        <w:t xml:space="preserve">, S., Ortiz-Molina, H., </w:t>
      </w:r>
      <w:proofErr w:type="spellStart"/>
      <w:r w:rsidRPr="008C5651">
        <w:rPr>
          <w:rFonts w:ascii="Times New Roman" w:eastAsia="Arial" w:hAnsi="Times New Roman" w:cs="Times New Roman"/>
          <w:color w:val="000000"/>
          <w:sz w:val="24"/>
          <w:szCs w:val="24"/>
          <w:lang w:eastAsia="en-GB"/>
        </w:rPr>
        <w:t>Serfling</w:t>
      </w:r>
      <w:proofErr w:type="spellEnd"/>
      <w:r w:rsidRPr="008C5651">
        <w:rPr>
          <w:rFonts w:ascii="Times New Roman" w:eastAsia="Arial" w:hAnsi="Times New Roman" w:cs="Times New Roman"/>
          <w:color w:val="000000"/>
          <w:sz w:val="24"/>
          <w:szCs w:val="24"/>
          <w:lang w:eastAsia="en-GB"/>
        </w:rPr>
        <w:t xml:space="preserve">, M., and S. Srinivasan. 2018. Protection of trade secrets and capital structure decisions. </w:t>
      </w:r>
      <w:r w:rsidRPr="008C5651">
        <w:rPr>
          <w:rFonts w:ascii="Times New Roman" w:eastAsia="Arial" w:hAnsi="Times New Roman" w:cs="Times New Roman"/>
          <w:i/>
          <w:color w:val="000000"/>
          <w:sz w:val="24"/>
          <w:szCs w:val="24"/>
          <w:lang w:eastAsia="en-GB"/>
        </w:rPr>
        <w:t>Journal of Financial Economics</w:t>
      </w:r>
      <w:r w:rsidRPr="008C5651">
        <w:rPr>
          <w:rFonts w:ascii="Times New Roman" w:eastAsia="Arial" w:hAnsi="Times New Roman" w:cs="Times New Roman"/>
          <w:color w:val="000000"/>
          <w:sz w:val="24"/>
          <w:szCs w:val="24"/>
          <w:lang w:eastAsia="en-GB"/>
        </w:rPr>
        <w:t xml:space="preserve"> 128 (2): 266–286. </w:t>
      </w:r>
      <w:hyperlink r:id="rId38" w:tgtFrame="_blank" w:tooltip="Persistent link using digital object identifier" w:history="1">
        <w:r w:rsidRPr="008C5651">
          <w:rPr>
            <w:rFonts w:ascii="Times New Roman" w:eastAsia="Calibri" w:hAnsi="Times New Roman" w:cs="Times New Roman"/>
            <w:color w:val="000000"/>
            <w:sz w:val="24"/>
            <w:szCs w:val="24"/>
            <w:u w:val="single"/>
            <w:lang w:eastAsia="en-GB"/>
          </w:rPr>
          <w:t>https://doi.org/10.1016/j.jfineco.2018.02.008</w:t>
        </w:r>
      </w:hyperlink>
    </w:p>
    <w:p w:rsidR="00DE60E4" w:rsidRPr="00DE60E4" w:rsidRDefault="00DE60E4" w:rsidP="00DE60E4">
      <w:pPr>
        <w:spacing w:after="0" w:line="360" w:lineRule="auto"/>
        <w:ind w:left="454" w:hanging="454"/>
        <w:jc w:val="both"/>
        <w:rPr>
          <w:rFonts w:ascii="Times New Roman" w:eastAsia="Calibri" w:hAnsi="Times New Roman" w:cs="Times New Roman"/>
          <w:color w:val="000000"/>
          <w:sz w:val="24"/>
          <w:szCs w:val="24"/>
          <w:u w:val="single"/>
          <w:lang w:eastAsia="en-GB"/>
        </w:rPr>
      </w:pPr>
      <w:r w:rsidRPr="00DE60E4">
        <w:rPr>
          <w:rFonts w:ascii="Times New Roman" w:eastAsia="Calibri" w:hAnsi="Times New Roman" w:cs="Times New Roman"/>
          <w:sz w:val="24"/>
          <w:szCs w:val="24"/>
          <w:lang w:eastAsia="en-GB"/>
        </w:rPr>
        <w:t xml:space="preserve">Kothari, S. P., Leone, A. J., &amp; </w:t>
      </w:r>
      <w:proofErr w:type="spellStart"/>
      <w:r w:rsidRPr="00DE60E4">
        <w:rPr>
          <w:rFonts w:ascii="Times New Roman" w:eastAsia="Calibri" w:hAnsi="Times New Roman" w:cs="Times New Roman"/>
          <w:sz w:val="24"/>
          <w:szCs w:val="24"/>
          <w:lang w:eastAsia="en-GB"/>
        </w:rPr>
        <w:t>Wasley</w:t>
      </w:r>
      <w:proofErr w:type="spellEnd"/>
      <w:r w:rsidRPr="00DE60E4">
        <w:rPr>
          <w:rFonts w:ascii="Times New Roman" w:eastAsia="Calibri" w:hAnsi="Times New Roman" w:cs="Times New Roman"/>
          <w:sz w:val="24"/>
          <w:szCs w:val="24"/>
          <w:lang w:eastAsia="en-GB"/>
        </w:rPr>
        <w:t>, C. E. (2005)</w:t>
      </w:r>
      <w:r>
        <w:rPr>
          <w:rFonts w:ascii="Times New Roman" w:eastAsia="Calibri" w:hAnsi="Times New Roman" w:cs="Times New Roman"/>
          <w:sz w:val="24"/>
          <w:szCs w:val="24"/>
          <w:lang w:eastAsia="en-GB"/>
        </w:rPr>
        <w:t>.</w:t>
      </w:r>
      <w:r w:rsidRPr="00DE60E4">
        <w:rPr>
          <w:rFonts w:ascii="Times New Roman" w:eastAsia="Calibri" w:hAnsi="Times New Roman" w:cs="Times New Roman"/>
          <w:sz w:val="24"/>
          <w:szCs w:val="24"/>
          <w:lang w:eastAsia="en-GB"/>
        </w:rPr>
        <w:t xml:space="preserve"> Performance matched discretionary accrual measures. </w:t>
      </w:r>
      <w:r w:rsidRPr="00DE60E4">
        <w:rPr>
          <w:rFonts w:ascii="Times New Roman" w:eastAsia="Calibri" w:hAnsi="Times New Roman" w:cs="Times New Roman"/>
          <w:i/>
          <w:iCs/>
          <w:sz w:val="24"/>
          <w:szCs w:val="24"/>
          <w:lang w:eastAsia="en-GB"/>
        </w:rPr>
        <w:t xml:space="preserve">Journal of Accounting and Economics </w:t>
      </w:r>
      <w:r w:rsidRPr="00DE60E4">
        <w:rPr>
          <w:rFonts w:ascii="Times New Roman" w:eastAsia="Calibri" w:hAnsi="Times New Roman" w:cs="Times New Roman"/>
          <w:sz w:val="24"/>
          <w:szCs w:val="24"/>
          <w:lang w:eastAsia="en-GB"/>
        </w:rPr>
        <w:t xml:space="preserve">39 (1): 163–197. </w:t>
      </w:r>
      <w:hyperlink r:id="rId39" w:history="1">
        <w:r w:rsidRPr="00DE60E4">
          <w:rPr>
            <w:rFonts w:ascii="Times New Roman" w:eastAsia="Calibri" w:hAnsi="Times New Roman" w:cs="Times New Roman"/>
            <w:sz w:val="24"/>
            <w:szCs w:val="24"/>
            <w:u w:val="single"/>
            <w:lang w:eastAsia="en-GB"/>
          </w:rPr>
          <w:t>https://doi.org/10.1016/j.jacceco.2004.11.002</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proofErr w:type="spellStart"/>
      <w:r w:rsidRPr="008C5651">
        <w:rPr>
          <w:rFonts w:ascii="Times New Roman" w:eastAsia="Arial" w:hAnsi="Times New Roman" w:cs="Times New Roman"/>
          <w:color w:val="000000"/>
          <w:sz w:val="24"/>
          <w:szCs w:val="24"/>
          <w:lang w:eastAsia="en-GB"/>
        </w:rPr>
        <w:t>Kubick</w:t>
      </w:r>
      <w:proofErr w:type="spellEnd"/>
      <w:r w:rsidRPr="008C5651">
        <w:rPr>
          <w:rFonts w:ascii="Times New Roman" w:eastAsia="Arial" w:hAnsi="Times New Roman" w:cs="Times New Roman"/>
          <w:color w:val="000000"/>
          <w:sz w:val="24"/>
          <w:szCs w:val="24"/>
          <w:lang w:eastAsia="en-GB"/>
        </w:rPr>
        <w:t xml:space="preserve">, T. R., Lynch, D. P., Mayberry, M. A., and T. C. Omer. 2015. Product market power and tax avoidance: market leaders, mimicking strategies, and stock returns. </w:t>
      </w:r>
      <w:r w:rsidRPr="008C5651">
        <w:rPr>
          <w:rFonts w:ascii="Times New Roman" w:eastAsia="Arial" w:hAnsi="Times New Roman" w:cs="Times New Roman"/>
          <w:i/>
          <w:color w:val="000000"/>
          <w:sz w:val="24"/>
          <w:szCs w:val="24"/>
          <w:lang w:eastAsia="en-GB"/>
        </w:rPr>
        <w:t>The Accounting Review</w:t>
      </w:r>
      <w:r w:rsidRPr="008C5651">
        <w:rPr>
          <w:rFonts w:ascii="Times New Roman" w:eastAsia="Arial" w:hAnsi="Times New Roman" w:cs="Times New Roman"/>
          <w:color w:val="000000"/>
          <w:sz w:val="24"/>
          <w:szCs w:val="24"/>
          <w:lang w:eastAsia="en-GB"/>
        </w:rPr>
        <w:t xml:space="preserve"> 90 (2): 675–702. </w:t>
      </w:r>
      <w:hyperlink r:id="rId40" w:tgtFrame="_blank" w:history="1">
        <w:r w:rsidRPr="008C5651">
          <w:rPr>
            <w:rFonts w:ascii="Times New Roman" w:eastAsia="Calibri" w:hAnsi="Times New Roman" w:cs="Times New Roman"/>
            <w:bCs/>
            <w:color w:val="000000"/>
            <w:sz w:val="24"/>
            <w:szCs w:val="24"/>
            <w:u w:val="single"/>
            <w:bdr w:val="none" w:sz="0" w:space="0" w:color="auto" w:frame="1"/>
            <w:shd w:val="clear" w:color="auto" w:fill="FFFFFF"/>
            <w:lang w:eastAsia="en-GB"/>
          </w:rPr>
          <w:t>https://doi.org/10.2308/accr-50883</w:t>
        </w:r>
      </w:hyperlink>
    </w:p>
    <w:p w:rsidR="00C81A68" w:rsidRPr="008C5651" w:rsidRDefault="00C81A68" w:rsidP="008C5651">
      <w:pPr>
        <w:tabs>
          <w:tab w:val="left" w:pos="4380"/>
        </w:tabs>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 xml:space="preserve">Law, K. K., </w:t>
      </w:r>
      <w:r w:rsidR="00EC001E">
        <w:rPr>
          <w:rFonts w:ascii="Times New Roman" w:eastAsia="Arial" w:hAnsi="Times New Roman" w:cs="Times New Roman"/>
          <w:color w:val="000000"/>
          <w:sz w:val="24"/>
          <w:szCs w:val="24"/>
          <w:lang w:eastAsia="en-GB"/>
        </w:rPr>
        <w:t>&amp;</w:t>
      </w:r>
      <w:r w:rsidRPr="008C5651">
        <w:rPr>
          <w:rFonts w:ascii="Times New Roman" w:eastAsia="Arial" w:hAnsi="Times New Roman" w:cs="Times New Roman"/>
          <w:color w:val="000000"/>
          <w:sz w:val="24"/>
          <w:szCs w:val="24"/>
          <w:lang w:eastAsia="en-GB"/>
        </w:rPr>
        <w:t xml:space="preserve"> Mills</w:t>
      </w:r>
      <w:r w:rsidR="00EC001E">
        <w:rPr>
          <w:rFonts w:ascii="Times New Roman" w:eastAsia="Arial" w:hAnsi="Times New Roman" w:cs="Times New Roman"/>
          <w:color w:val="000000"/>
          <w:sz w:val="24"/>
          <w:szCs w:val="24"/>
          <w:lang w:eastAsia="en-GB"/>
        </w:rPr>
        <w:t xml:space="preserve">, </w:t>
      </w:r>
      <w:r w:rsidR="00EC001E" w:rsidRPr="008C5651">
        <w:rPr>
          <w:rFonts w:ascii="Times New Roman" w:eastAsia="Arial" w:hAnsi="Times New Roman" w:cs="Times New Roman"/>
          <w:color w:val="000000"/>
          <w:sz w:val="24"/>
          <w:szCs w:val="24"/>
          <w:lang w:eastAsia="en-GB"/>
        </w:rPr>
        <w:t xml:space="preserve">L. F. </w:t>
      </w:r>
      <w:r w:rsidR="00EC001E">
        <w:rPr>
          <w:rFonts w:ascii="Times New Roman" w:eastAsia="Arial" w:hAnsi="Times New Roman" w:cs="Times New Roman"/>
          <w:color w:val="000000"/>
          <w:sz w:val="24"/>
          <w:szCs w:val="24"/>
          <w:lang w:eastAsia="en-GB"/>
        </w:rPr>
        <w:t>(</w:t>
      </w:r>
      <w:r w:rsidRPr="008C5651">
        <w:rPr>
          <w:rFonts w:ascii="Times New Roman" w:eastAsia="Arial" w:hAnsi="Times New Roman" w:cs="Times New Roman"/>
          <w:color w:val="000000"/>
          <w:sz w:val="24"/>
          <w:szCs w:val="24"/>
          <w:lang w:eastAsia="en-GB"/>
        </w:rPr>
        <w:t>2015</w:t>
      </w:r>
      <w:r w:rsidR="00EC001E">
        <w:rPr>
          <w:rFonts w:ascii="Times New Roman" w:eastAsia="Arial" w:hAnsi="Times New Roman" w:cs="Times New Roman"/>
          <w:color w:val="000000"/>
          <w:sz w:val="24"/>
          <w:szCs w:val="24"/>
          <w:lang w:eastAsia="en-GB"/>
        </w:rPr>
        <w:t>)</w:t>
      </w:r>
      <w:r w:rsidRPr="008C5651">
        <w:rPr>
          <w:rFonts w:ascii="Times New Roman" w:eastAsia="Arial" w:hAnsi="Times New Roman" w:cs="Times New Roman"/>
          <w:color w:val="000000"/>
          <w:sz w:val="24"/>
          <w:szCs w:val="24"/>
          <w:lang w:eastAsia="en-GB"/>
        </w:rPr>
        <w:t xml:space="preserve">. Taxes and financial constraints: evidence from linguistic cues. </w:t>
      </w:r>
      <w:hyperlink r:id="rId41" w:history="1">
        <w:r w:rsidRPr="008C5651">
          <w:rPr>
            <w:rFonts w:ascii="Times New Roman" w:eastAsia="Arial" w:hAnsi="Times New Roman" w:cs="Times New Roman"/>
            <w:i/>
            <w:color w:val="000000"/>
            <w:sz w:val="24"/>
            <w:szCs w:val="24"/>
            <w:lang w:eastAsia="en-GB"/>
          </w:rPr>
          <w:t>Journal of Accounting Research</w:t>
        </w:r>
        <w:r w:rsidRPr="008C5651">
          <w:rPr>
            <w:rFonts w:ascii="Times New Roman" w:eastAsia="Arial" w:hAnsi="Times New Roman" w:cs="Times New Roman"/>
            <w:color w:val="000000"/>
            <w:sz w:val="24"/>
            <w:szCs w:val="24"/>
            <w:lang w:eastAsia="en-GB"/>
          </w:rPr>
          <w:t xml:space="preserve"> </w:t>
        </w:r>
      </w:hyperlink>
      <w:r w:rsidRPr="008C5651">
        <w:rPr>
          <w:rFonts w:ascii="Times New Roman" w:eastAsia="Arial" w:hAnsi="Times New Roman" w:cs="Times New Roman"/>
          <w:color w:val="000000"/>
          <w:sz w:val="24"/>
          <w:szCs w:val="24"/>
          <w:lang w:eastAsia="en-GB"/>
        </w:rPr>
        <w:t xml:space="preserve">53 (4): 777–819. </w:t>
      </w:r>
      <w:hyperlink r:id="rId42" w:history="1">
        <w:r w:rsidRPr="008C5651">
          <w:rPr>
            <w:rFonts w:ascii="Times New Roman" w:eastAsia="Calibri" w:hAnsi="Times New Roman" w:cs="Times New Roman"/>
            <w:bCs/>
            <w:color w:val="000000"/>
            <w:sz w:val="24"/>
            <w:szCs w:val="24"/>
            <w:u w:val="single"/>
            <w:shd w:val="clear" w:color="auto" w:fill="FFFFFF"/>
            <w:lang w:eastAsia="en-GB"/>
          </w:rPr>
          <w:t>https://doi.org/10.1111/1475-679X.12081</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 xml:space="preserve">Lennox, C., </w:t>
      </w:r>
      <w:proofErr w:type="spellStart"/>
      <w:r w:rsidRPr="008C5651">
        <w:rPr>
          <w:rFonts w:ascii="Times New Roman" w:eastAsia="Arial" w:hAnsi="Times New Roman" w:cs="Times New Roman"/>
          <w:color w:val="000000"/>
          <w:sz w:val="24"/>
          <w:szCs w:val="24"/>
          <w:lang w:eastAsia="en-GB"/>
        </w:rPr>
        <w:t>Lisowsky</w:t>
      </w:r>
      <w:proofErr w:type="spellEnd"/>
      <w:r w:rsidRPr="008C5651">
        <w:rPr>
          <w:rFonts w:ascii="Times New Roman" w:eastAsia="Arial" w:hAnsi="Times New Roman" w:cs="Times New Roman"/>
          <w:color w:val="000000"/>
          <w:sz w:val="24"/>
          <w:szCs w:val="24"/>
          <w:lang w:eastAsia="en-GB"/>
        </w:rPr>
        <w:t xml:space="preserve">, P., </w:t>
      </w:r>
      <w:r w:rsidR="00EC001E">
        <w:rPr>
          <w:rFonts w:ascii="Times New Roman" w:eastAsia="Arial" w:hAnsi="Times New Roman" w:cs="Times New Roman"/>
          <w:color w:val="000000"/>
          <w:sz w:val="24"/>
          <w:szCs w:val="24"/>
          <w:lang w:eastAsia="en-GB"/>
        </w:rPr>
        <w:t>&amp;</w:t>
      </w:r>
      <w:r w:rsidRPr="008C5651">
        <w:rPr>
          <w:rFonts w:ascii="Times New Roman" w:eastAsia="Arial" w:hAnsi="Times New Roman" w:cs="Times New Roman"/>
          <w:color w:val="000000"/>
          <w:sz w:val="24"/>
          <w:szCs w:val="24"/>
          <w:lang w:eastAsia="en-GB"/>
        </w:rPr>
        <w:t xml:space="preserve"> J. Pittman. </w:t>
      </w:r>
      <w:r w:rsidR="00EC001E">
        <w:rPr>
          <w:rFonts w:ascii="Times New Roman" w:eastAsia="Arial" w:hAnsi="Times New Roman" w:cs="Times New Roman"/>
          <w:color w:val="000000"/>
          <w:sz w:val="24"/>
          <w:szCs w:val="24"/>
          <w:lang w:eastAsia="en-GB"/>
        </w:rPr>
        <w:t>(</w:t>
      </w:r>
      <w:r w:rsidRPr="008C5651">
        <w:rPr>
          <w:rFonts w:ascii="Times New Roman" w:eastAsia="Arial" w:hAnsi="Times New Roman" w:cs="Times New Roman"/>
          <w:color w:val="000000"/>
          <w:sz w:val="24"/>
          <w:szCs w:val="24"/>
          <w:lang w:eastAsia="en-GB"/>
        </w:rPr>
        <w:t>2013</w:t>
      </w:r>
      <w:r w:rsidR="00EC001E">
        <w:rPr>
          <w:rFonts w:ascii="Times New Roman" w:eastAsia="Arial" w:hAnsi="Times New Roman" w:cs="Times New Roman"/>
          <w:color w:val="000000"/>
          <w:sz w:val="24"/>
          <w:szCs w:val="24"/>
          <w:lang w:eastAsia="en-GB"/>
        </w:rPr>
        <w:t>)</w:t>
      </w:r>
      <w:r w:rsidRPr="008C5651">
        <w:rPr>
          <w:rFonts w:ascii="Times New Roman" w:eastAsia="Arial" w:hAnsi="Times New Roman" w:cs="Times New Roman"/>
          <w:color w:val="000000"/>
          <w:sz w:val="24"/>
          <w:szCs w:val="24"/>
          <w:lang w:eastAsia="en-GB"/>
        </w:rPr>
        <w:t xml:space="preserve">. Tax aggressiveness and accounting fraud. </w:t>
      </w:r>
      <w:r w:rsidRPr="008C5651">
        <w:rPr>
          <w:rFonts w:ascii="Times New Roman" w:eastAsia="Arial" w:hAnsi="Times New Roman" w:cs="Times New Roman"/>
          <w:i/>
          <w:color w:val="000000"/>
          <w:sz w:val="24"/>
          <w:szCs w:val="24"/>
          <w:lang w:eastAsia="en-GB"/>
        </w:rPr>
        <w:t>Journal of Accounting Research</w:t>
      </w:r>
      <w:r w:rsidRPr="008C5651">
        <w:rPr>
          <w:rFonts w:ascii="Times New Roman" w:eastAsia="Arial" w:hAnsi="Times New Roman" w:cs="Times New Roman"/>
          <w:color w:val="000000"/>
          <w:sz w:val="24"/>
          <w:szCs w:val="24"/>
          <w:lang w:eastAsia="en-GB"/>
        </w:rPr>
        <w:t xml:space="preserve"> 51 (4): 739–778. </w:t>
      </w:r>
      <w:hyperlink r:id="rId43" w:history="1">
        <w:r w:rsidRPr="008C5651">
          <w:rPr>
            <w:rFonts w:ascii="Times New Roman" w:eastAsia="Calibri" w:hAnsi="Times New Roman" w:cs="Times New Roman"/>
            <w:bCs/>
            <w:color w:val="000000"/>
            <w:sz w:val="24"/>
            <w:szCs w:val="24"/>
            <w:u w:val="single"/>
            <w:shd w:val="clear" w:color="auto" w:fill="FFFFFF"/>
            <w:lang w:eastAsia="en-GB"/>
          </w:rPr>
          <w:t>https://doi.org/10.1111/joar.12002</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 xml:space="preserve">Li, Y., Lin, Y., </w:t>
      </w:r>
      <w:r w:rsidR="00EC001E">
        <w:rPr>
          <w:rFonts w:ascii="Times New Roman" w:eastAsia="Arial" w:hAnsi="Times New Roman" w:cs="Times New Roman"/>
          <w:color w:val="000000"/>
          <w:sz w:val="24"/>
          <w:szCs w:val="24"/>
          <w:lang w:eastAsia="en-GB"/>
        </w:rPr>
        <w:t>&amp;</w:t>
      </w:r>
      <w:r w:rsidRPr="008C5651">
        <w:rPr>
          <w:rFonts w:ascii="Times New Roman" w:eastAsia="Arial" w:hAnsi="Times New Roman" w:cs="Times New Roman"/>
          <w:color w:val="000000"/>
          <w:sz w:val="24"/>
          <w:szCs w:val="24"/>
          <w:lang w:eastAsia="en-GB"/>
        </w:rPr>
        <w:t xml:space="preserve"> L. Zhang. </w:t>
      </w:r>
      <w:r w:rsidR="00EC001E">
        <w:rPr>
          <w:rFonts w:ascii="Times New Roman" w:eastAsia="Arial" w:hAnsi="Times New Roman" w:cs="Times New Roman"/>
          <w:color w:val="000000"/>
          <w:sz w:val="24"/>
          <w:szCs w:val="24"/>
          <w:lang w:eastAsia="en-GB"/>
        </w:rPr>
        <w:t>(</w:t>
      </w:r>
      <w:r w:rsidRPr="008C5651">
        <w:rPr>
          <w:rFonts w:ascii="Times New Roman" w:eastAsia="Arial" w:hAnsi="Times New Roman" w:cs="Times New Roman"/>
          <w:color w:val="000000"/>
          <w:sz w:val="24"/>
          <w:szCs w:val="24"/>
          <w:lang w:eastAsia="en-GB"/>
        </w:rPr>
        <w:t>2018a</w:t>
      </w:r>
      <w:r w:rsidR="00EC001E">
        <w:rPr>
          <w:rFonts w:ascii="Times New Roman" w:eastAsia="Arial" w:hAnsi="Times New Roman" w:cs="Times New Roman"/>
          <w:color w:val="000000"/>
          <w:sz w:val="24"/>
          <w:szCs w:val="24"/>
          <w:lang w:eastAsia="en-GB"/>
        </w:rPr>
        <w:t>)</w:t>
      </w:r>
      <w:r w:rsidRPr="008C5651">
        <w:rPr>
          <w:rFonts w:ascii="Times New Roman" w:eastAsia="Arial" w:hAnsi="Times New Roman" w:cs="Times New Roman"/>
          <w:color w:val="000000"/>
          <w:sz w:val="24"/>
          <w:szCs w:val="24"/>
          <w:lang w:eastAsia="en-GB"/>
        </w:rPr>
        <w:t xml:space="preserve">. Trade secrets law and corporate disclosure: causal evidence on the proprietary cost hypothesis. </w:t>
      </w:r>
      <w:r w:rsidRPr="008C5651">
        <w:rPr>
          <w:rFonts w:ascii="Times New Roman" w:eastAsia="Arial" w:hAnsi="Times New Roman" w:cs="Times New Roman"/>
          <w:i/>
          <w:color w:val="000000"/>
          <w:sz w:val="24"/>
          <w:szCs w:val="24"/>
          <w:lang w:eastAsia="en-GB"/>
        </w:rPr>
        <w:t>Journal of Accounting Research</w:t>
      </w:r>
      <w:r w:rsidRPr="008C5651">
        <w:rPr>
          <w:rFonts w:ascii="Times New Roman" w:eastAsia="Arial" w:hAnsi="Times New Roman" w:cs="Times New Roman"/>
          <w:color w:val="000000"/>
          <w:sz w:val="24"/>
          <w:szCs w:val="24"/>
          <w:lang w:eastAsia="en-GB"/>
        </w:rPr>
        <w:t xml:space="preserve"> 56 (1): 265–308. </w:t>
      </w:r>
      <w:hyperlink r:id="rId44" w:history="1">
        <w:r w:rsidRPr="008C5651">
          <w:rPr>
            <w:rFonts w:ascii="Times New Roman" w:eastAsia="Calibri" w:hAnsi="Times New Roman" w:cs="Times New Roman"/>
            <w:bCs/>
            <w:color w:val="000000"/>
            <w:sz w:val="24"/>
            <w:szCs w:val="24"/>
            <w:u w:val="single"/>
            <w:shd w:val="clear" w:color="auto" w:fill="FFFFFF"/>
            <w:lang w:eastAsia="en-GB"/>
          </w:rPr>
          <w:t>https://doi.org/10.1111/1475-679X.12187</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 xml:space="preserve">Li, N., Shevlin, </w:t>
      </w:r>
      <w:r w:rsidR="00EC001E" w:rsidRPr="008C5651">
        <w:rPr>
          <w:rFonts w:ascii="Times New Roman" w:eastAsia="Arial" w:hAnsi="Times New Roman" w:cs="Times New Roman"/>
          <w:color w:val="000000"/>
          <w:sz w:val="24"/>
          <w:szCs w:val="24"/>
          <w:lang w:eastAsia="en-GB"/>
        </w:rPr>
        <w:t xml:space="preserve">T., </w:t>
      </w:r>
      <w:r w:rsidRPr="008C5651">
        <w:rPr>
          <w:rFonts w:ascii="Times New Roman" w:eastAsia="Arial" w:hAnsi="Times New Roman" w:cs="Times New Roman"/>
          <w:color w:val="000000"/>
          <w:sz w:val="24"/>
          <w:szCs w:val="24"/>
          <w:lang w:eastAsia="en-GB"/>
        </w:rPr>
        <w:t xml:space="preserve">&amp; Zhang, W. (2018b). Managerial career concerns and corporate tax avoidance: evidence from the inevitable disclosure doctrine. Working paper, University of Texas at Dallas. </w:t>
      </w:r>
      <w:hyperlink r:id="rId45" w:tgtFrame="_blank" w:history="1">
        <w:r w:rsidRPr="008C5651">
          <w:rPr>
            <w:rFonts w:ascii="Times New Roman" w:eastAsia="Calibri" w:hAnsi="Times New Roman" w:cs="Times New Roman"/>
            <w:color w:val="000000"/>
            <w:sz w:val="24"/>
            <w:szCs w:val="24"/>
            <w:u w:val="single"/>
            <w:shd w:val="clear" w:color="auto" w:fill="FFFFFF"/>
            <w:lang w:eastAsia="en-GB"/>
          </w:rPr>
          <w:t>http://dx.doi.org/10.2139/ssrn.3273200</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Times New Roman" w:hAnsi="Times New Roman" w:cs="Times New Roman"/>
          <w:color w:val="000000"/>
          <w:sz w:val="24"/>
          <w:szCs w:val="24"/>
          <w:shd w:val="clear" w:color="auto" w:fill="FFFFFF"/>
        </w:rPr>
        <w:t>Neuman, S. T.</w:t>
      </w:r>
      <w:r w:rsidR="00F578F5">
        <w:rPr>
          <w:rFonts w:ascii="Times New Roman" w:eastAsia="Times New Roman" w:hAnsi="Times New Roman" w:cs="Times New Roman"/>
          <w:color w:val="000000"/>
          <w:sz w:val="24"/>
          <w:szCs w:val="24"/>
          <w:shd w:val="clear" w:color="auto" w:fill="FFFFFF"/>
        </w:rPr>
        <w:t>,</w:t>
      </w:r>
      <w:r w:rsidRPr="008C5651">
        <w:rPr>
          <w:rFonts w:ascii="Times New Roman" w:eastAsia="Times New Roman" w:hAnsi="Times New Roman" w:cs="Times New Roman"/>
          <w:color w:val="000000"/>
          <w:sz w:val="24"/>
          <w:szCs w:val="24"/>
          <w:shd w:val="clear" w:color="auto" w:fill="FFFFFF"/>
        </w:rPr>
        <w:t xml:space="preserve"> Omer, </w:t>
      </w:r>
      <w:r w:rsidR="00473910">
        <w:rPr>
          <w:rFonts w:ascii="Times New Roman" w:eastAsia="Times New Roman" w:hAnsi="Times New Roman" w:cs="Times New Roman"/>
          <w:color w:val="000000"/>
          <w:sz w:val="24"/>
          <w:szCs w:val="24"/>
          <w:shd w:val="clear" w:color="auto" w:fill="FFFFFF"/>
        </w:rPr>
        <w:t xml:space="preserve">T., </w:t>
      </w:r>
      <w:r w:rsidR="00EC001E">
        <w:rPr>
          <w:rFonts w:ascii="Times New Roman" w:eastAsia="Times New Roman" w:hAnsi="Times New Roman" w:cs="Times New Roman"/>
          <w:color w:val="000000"/>
          <w:sz w:val="24"/>
          <w:szCs w:val="24"/>
          <w:shd w:val="clear" w:color="auto" w:fill="FFFFFF"/>
        </w:rPr>
        <w:t>&amp;</w:t>
      </w:r>
      <w:r w:rsidRPr="008C5651">
        <w:rPr>
          <w:rFonts w:ascii="Times New Roman" w:eastAsia="Times New Roman" w:hAnsi="Times New Roman" w:cs="Times New Roman"/>
          <w:color w:val="000000"/>
          <w:sz w:val="24"/>
          <w:szCs w:val="24"/>
          <w:shd w:val="clear" w:color="auto" w:fill="FFFFFF"/>
        </w:rPr>
        <w:t xml:space="preserve"> Shelley</w:t>
      </w:r>
      <w:r w:rsidR="00473910">
        <w:rPr>
          <w:rFonts w:ascii="Times New Roman" w:eastAsia="Times New Roman" w:hAnsi="Times New Roman" w:cs="Times New Roman"/>
          <w:color w:val="000000"/>
          <w:sz w:val="24"/>
          <w:szCs w:val="24"/>
          <w:shd w:val="clear" w:color="auto" w:fill="FFFFFF"/>
        </w:rPr>
        <w:t>,</w:t>
      </w:r>
      <w:r w:rsidR="00473910" w:rsidRPr="00473910">
        <w:rPr>
          <w:rFonts w:ascii="Times New Roman" w:eastAsia="Times New Roman" w:hAnsi="Times New Roman" w:cs="Times New Roman"/>
          <w:color w:val="000000"/>
          <w:sz w:val="24"/>
          <w:szCs w:val="24"/>
          <w:shd w:val="clear" w:color="auto" w:fill="FFFFFF"/>
        </w:rPr>
        <w:t xml:space="preserve"> </w:t>
      </w:r>
      <w:r w:rsidR="00473910" w:rsidRPr="008C5651">
        <w:rPr>
          <w:rFonts w:ascii="Times New Roman" w:eastAsia="Times New Roman" w:hAnsi="Times New Roman" w:cs="Times New Roman"/>
          <w:color w:val="000000"/>
          <w:sz w:val="24"/>
          <w:szCs w:val="24"/>
          <w:shd w:val="clear" w:color="auto" w:fill="FFFFFF"/>
        </w:rPr>
        <w:t>M</w:t>
      </w:r>
      <w:r w:rsidRPr="008C5651">
        <w:rPr>
          <w:rFonts w:ascii="Times New Roman" w:eastAsia="Times New Roman" w:hAnsi="Times New Roman" w:cs="Times New Roman"/>
          <w:color w:val="000000"/>
          <w:sz w:val="24"/>
          <w:szCs w:val="24"/>
          <w:shd w:val="clear" w:color="auto" w:fill="FFFFFF"/>
        </w:rPr>
        <w:t xml:space="preserve">. </w:t>
      </w:r>
      <w:r w:rsidR="00EC001E">
        <w:rPr>
          <w:rFonts w:ascii="Times New Roman" w:eastAsia="Times New Roman" w:hAnsi="Times New Roman" w:cs="Times New Roman"/>
          <w:color w:val="000000"/>
          <w:sz w:val="24"/>
          <w:szCs w:val="24"/>
          <w:shd w:val="clear" w:color="auto" w:fill="FFFFFF"/>
        </w:rPr>
        <w:t>(</w:t>
      </w:r>
      <w:r w:rsidRPr="008C5651">
        <w:rPr>
          <w:rFonts w:ascii="Times New Roman" w:eastAsia="Times New Roman" w:hAnsi="Times New Roman" w:cs="Times New Roman"/>
          <w:color w:val="000000"/>
          <w:sz w:val="24"/>
          <w:szCs w:val="24"/>
          <w:shd w:val="clear" w:color="auto" w:fill="FFFFFF"/>
        </w:rPr>
        <w:t>2013</w:t>
      </w:r>
      <w:r w:rsidR="00EC001E">
        <w:rPr>
          <w:rFonts w:ascii="Times New Roman" w:eastAsia="Times New Roman" w:hAnsi="Times New Roman" w:cs="Times New Roman"/>
          <w:color w:val="000000"/>
          <w:sz w:val="24"/>
          <w:szCs w:val="24"/>
          <w:shd w:val="clear" w:color="auto" w:fill="FFFFFF"/>
        </w:rPr>
        <w:t>)</w:t>
      </w:r>
      <w:r w:rsidRPr="008C5651">
        <w:rPr>
          <w:rFonts w:ascii="Times New Roman" w:eastAsia="Times New Roman" w:hAnsi="Times New Roman" w:cs="Times New Roman"/>
          <w:color w:val="000000"/>
          <w:sz w:val="24"/>
          <w:szCs w:val="24"/>
          <w:shd w:val="clear" w:color="auto" w:fill="FFFFFF"/>
        </w:rPr>
        <w:t xml:space="preserve">. Corporate transparency, sustainable tax strategies, and uncertain tax activities. Working paper, University of Missouri at Columbia. </w:t>
      </w:r>
      <w:hyperlink r:id="rId46" w:tgtFrame="_blank" w:history="1">
        <w:r w:rsidRPr="008C5651">
          <w:rPr>
            <w:rFonts w:ascii="Times New Roman" w:eastAsia="Calibri" w:hAnsi="Times New Roman" w:cs="Times New Roman"/>
            <w:color w:val="000000"/>
            <w:sz w:val="24"/>
            <w:szCs w:val="24"/>
            <w:u w:val="single"/>
            <w:shd w:val="clear" w:color="auto" w:fill="FFFFFF"/>
            <w:lang w:eastAsia="en-GB"/>
          </w:rPr>
          <w:t>http://dx.doi.org/10.2139/ssrn.2184892</w:t>
        </w:r>
      </w:hyperlink>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proofErr w:type="spellStart"/>
      <w:r w:rsidRPr="008C5651">
        <w:rPr>
          <w:rFonts w:ascii="Times New Roman" w:eastAsia="Arial" w:hAnsi="Times New Roman" w:cs="Times New Roman"/>
          <w:color w:val="000000"/>
          <w:sz w:val="24"/>
          <w:szCs w:val="24"/>
          <w:lang w:eastAsia="en-GB"/>
        </w:rPr>
        <w:lastRenderedPageBreak/>
        <w:t>Png</w:t>
      </w:r>
      <w:proofErr w:type="spellEnd"/>
      <w:r w:rsidRPr="008C5651">
        <w:rPr>
          <w:rFonts w:ascii="Times New Roman" w:eastAsia="Arial" w:hAnsi="Times New Roman" w:cs="Times New Roman"/>
          <w:color w:val="000000"/>
          <w:sz w:val="24"/>
          <w:szCs w:val="24"/>
          <w:lang w:eastAsia="en-GB"/>
        </w:rPr>
        <w:t xml:space="preserve">, I. P., </w:t>
      </w:r>
      <w:r w:rsidR="0032789F">
        <w:rPr>
          <w:rFonts w:ascii="Times New Roman" w:eastAsia="Arial" w:hAnsi="Times New Roman" w:cs="Times New Roman"/>
          <w:color w:val="000000"/>
          <w:sz w:val="24"/>
          <w:szCs w:val="24"/>
          <w:lang w:eastAsia="en-GB"/>
        </w:rPr>
        <w:t xml:space="preserve">&amp; </w:t>
      </w:r>
      <w:proofErr w:type="spellStart"/>
      <w:r w:rsidRPr="008C5651">
        <w:rPr>
          <w:rFonts w:ascii="Times New Roman" w:eastAsia="Arial" w:hAnsi="Times New Roman" w:cs="Times New Roman"/>
          <w:color w:val="000000"/>
          <w:sz w:val="24"/>
          <w:szCs w:val="24"/>
          <w:lang w:eastAsia="en-GB"/>
        </w:rPr>
        <w:t>Samila</w:t>
      </w:r>
      <w:proofErr w:type="spellEnd"/>
      <w:r w:rsidR="0032789F">
        <w:rPr>
          <w:rFonts w:ascii="Times New Roman" w:eastAsia="Arial" w:hAnsi="Times New Roman" w:cs="Times New Roman"/>
          <w:color w:val="000000"/>
          <w:sz w:val="24"/>
          <w:szCs w:val="24"/>
          <w:lang w:eastAsia="en-GB"/>
        </w:rPr>
        <w:t>,</w:t>
      </w:r>
      <w:r w:rsidR="0032789F" w:rsidRPr="0032789F">
        <w:rPr>
          <w:rFonts w:ascii="Times New Roman" w:eastAsia="Arial" w:hAnsi="Times New Roman" w:cs="Times New Roman"/>
          <w:color w:val="000000"/>
          <w:sz w:val="24"/>
          <w:szCs w:val="24"/>
          <w:lang w:eastAsia="en-GB"/>
        </w:rPr>
        <w:t xml:space="preserve"> </w:t>
      </w:r>
      <w:r w:rsidR="0032789F" w:rsidRPr="008C5651">
        <w:rPr>
          <w:rFonts w:ascii="Times New Roman" w:eastAsia="Arial" w:hAnsi="Times New Roman" w:cs="Times New Roman"/>
          <w:color w:val="000000"/>
          <w:sz w:val="24"/>
          <w:szCs w:val="24"/>
          <w:lang w:eastAsia="en-GB"/>
        </w:rPr>
        <w:t>S.</w:t>
      </w:r>
      <w:r w:rsidRPr="008C5651">
        <w:rPr>
          <w:rFonts w:ascii="Times New Roman" w:eastAsia="Arial" w:hAnsi="Times New Roman" w:cs="Times New Roman"/>
          <w:color w:val="000000"/>
          <w:sz w:val="24"/>
          <w:szCs w:val="24"/>
          <w:lang w:eastAsia="en-GB"/>
        </w:rPr>
        <w:t xml:space="preserve"> </w:t>
      </w:r>
      <w:r w:rsidR="0032789F">
        <w:rPr>
          <w:rFonts w:ascii="Times New Roman" w:eastAsia="Arial" w:hAnsi="Times New Roman" w:cs="Times New Roman"/>
          <w:color w:val="000000"/>
          <w:sz w:val="24"/>
          <w:szCs w:val="24"/>
          <w:lang w:eastAsia="en-GB"/>
        </w:rPr>
        <w:t>(</w:t>
      </w:r>
      <w:r w:rsidRPr="008C5651">
        <w:rPr>
          <w:rFonts w:ascii="Times New Roman" w:eastAsia="Arial" w:hAnsi="Times New Roman" w:cs="Times New Roman"/>
          <w:color w:val="000000"/>
          <w:sz w:val="24"/>
          <w:szCs w:val="24"/>
          <w:lang w:eastAsia="en-GB"/>
        </w:rPr>
        <w:t>2013</w:t>
      </w:r>
      <w:r w:rsidR="0032789F">
        <w:rPr>
          <w:rFonts w:ascii="Times New Roman" w:eastAsia="Arial" w:hAnsi="Times New Roman" w:cs="Times New Roman"/>
          <w:color w:val="000000"/>
          <w:sz w:val="24"/>
          <w:szCs w:val="24"/>
          <w:lang w:eastAsia="en-GB"/>
        </w:rPr>
        <w:t>)</w:t>
      </w:r>
      <w:r w:rsidRPr="008C5651">
        <w:rPr>
          <w:rFonts w:ascii="Times New Roman" w:eastAsia="Arial" w:hAnsi="Times New Roman" w:cs="Times New Roman"/>
          <w:color w:val="000000"/>
          <w:sz w:val="24"/>
          <w:szCs w:val="24"/>
          <w:lang w:eastAsia="en-GB"/>
        </w:rPr>
        <w:t xml:space="preserve">. Trade secrets law and engineer/scientist mobility: </w:t>
      </w:r>
      <w:r w:rsidR="0032789F">
        <w:rPr>
          <w:rFonts w:ascii="Times New Roman" w:eastAsia="Arial" w:hAnsi="Times New Roman" w:cs="Times New Roman"/>
          <w:color w:val="000000"/>
          <w:sz w:val="24"/>
          <w:szCs w:val="24"/>
          <w:lang w:eastAsia="en-GB"/>
        </w:rPr>
        <w:t>E</w:t>
      </w:r>
      <w:r w:rsidRPr="008C5651">
        <w:rPr>
          <w:rFonts w:ascii="Times New Roman" w:eastAsia="Arial" w:hAnsi="Times New Roman" w:cs="Times New Roman"/>
          <w:color w:val="000000"/>
          <w:sz w:val="24"/>
          <w:szCs w:val="24"/>
          <w:lang w:eastAsia="en-GB"/>
        </w:rPr>
        <w:t>vidence from ‘inevitable disclosure’. Working Paper, National University of Singapore.</w:t>
      </w:r>
      <w:r w:rsidR="0032789F">
        <w:rPr>
          <w:rFonts w:ascii="Times New Roman" w:eastAsia="Arial" w:hAnsi="Times New Roman" w:cs="Times New Roman"/>
          <w:color w:val="000000"/>
          <w:sz w:val="24"/>
          <w:szCs w:val="24"/>
          <w:lang w:eastAsia="en-GB"/>
        </w:rPr>
        <w:t xml:space="preserve"> </w:t>
      </w:r>
      <w:r w:rsidR="0032789F" w:rsidRPr="0032789F">
        <w:rPr>
          <w:rFonts w:ascii="Times New Roman" w:eastAsia="Arial" w:hAnsi="Times New Roman" w:cs="Times New Roman"/>
          <w:color w:val="000000"/>
          <w:sz w:val="24"/>
          <w:szCs w:val="24"/>
          <w:u w:val="single"/>
          <w:lang w:eastAsia="en-GB"/>
        </w:rPr>
        <w:t>http://citeseerx.ist.psu.edu/viewdoc/summary?doi=10.1.1.308.5620</w:t>
      </w:r>
    </w:p>
    <w:p w:rsidR="006B098F"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Times New Roman" w:hAnsi="Times New Roman" w:cs="Times New Roman"/>
          <w:color w:val="000000"/>
          <w:sz w:val="24"/>
          <w:szCs w:val="24"/>
          <w:shd w:val="clear" w:color="auto" w:fill="FFFFFF"/>
          <w:lang w:eastAsia="en-GB"/>
        </w:rPr>
        <w:t>Scholes, M.</w:t>
      </w:r>
      <w:r w:rsidR="00F578F5">
        <w:rPr>
          <w:rFonts w:ascii="Times New Roman" w:eastAsia="Times New Roman" w:hAnsi="Times New Roman" w:cs="Times New Roman"/>
          <w:color w:val="000000"/>
          <w:sz w:val="24"/>
          <w:szCs w:val="24"/>
          <w:shd w:val="clear" w:color="auto" w:fill="FFFFFF"/>
          <w:lang w:eastAsia="en-GB"/>
        </w:rPr>
        <w:t>,</w:t>
      </w:r>
      <w:bookmarkStart w:id="6" w:name="_GoBack"/>
      <w:bookmarkEnd w:id="6"/>
      <w:r w:rsidRPr="008C5651">
        <w:rPr>
          <w:rFonts w:ascii="Times New Roman" w:eastAsia="Times New Roman" w:hAnsi="Times New Roman" w:cs="Times New Roman"/>
          <w:color w:val="000000"/>
          <w:sz w:val="24"/>
          <w:szCs w:val="24"/>
          <w:shd w:val="clear" w:color="auto" w:fill="FFFFFF"/>
          <w:lang w:eastAsia="en-GB"/>
        </w:rPr>
        <w:t xml:space="preserve"> </w:t>
      </w:r>
      <w:r w:rsidR="0032789F">
        <w:rPr>
          <w:rFonts w:ascii="Times New Roman" w:eastAsia="Times New Roman" w:hAnsi="Times New Roman" w:cs="Times New Roman"/>
          <w:color w:val="000000"/>
          <w:sz w:val="24"/>
          <w:szCs w:val="24"/>
          <w:shd w:val="clear" w:color="auto" w:fill="FFFFFF"/>
          <w:lang w:eastAsia="en-GB"/>
        </w:rPr>
        <w:t>&amp;</w:t>
      </w:r>
      <w:r w:rsidRPr="008C5651">
        <w:rPr>
          <w:rFonts w:ascii="Times New Roman" w:eastAsia="Times New Roman" w:hAnsi="Times New Roman" w:cs="Times New Roman"/>
          <w:color w:val="000000"/>
          <w:sz w:val="24"/>
          <w:szCs w:val="24"/>
          <w:shd w:val="clear" w:color="auto" w:fill="FFFFFF"/>
          <w:lang w:eastAsia="en-GB"/>
        </w:rPr>
        <w:t xml:space="preserve"> Wolfson</w:t>
      </w:r>
      <w:r w:rsidR="0032789F">
        <w:rPr>
          <w:rFonts w:ascii="Times New Roman" w:eastAsia="Times New Roman" w:hAnsi="Times New Roman" w:cs="Times New Roman"/>
          <w:color w:val="000000"/>
          <w:sz w:val="24"/>
          <w:szCs w:val="24"/>
          <w:shd w:val="clear" w:color="auto" w:fill="FFFFFF"/>
          <w:lang w:eastAsia="en-GB"/>
        </w:rPr>
        <w:t xml:space="preserve">, </w:t>
      </w:r>
      <w:r w:rsidR="0032789F" w:rsidRPr="008C5651">
        <w:rPr>
          <w:rFonts w:ascii="Times New Roman" w:eastAsia="Times New Roman" w:hAnsi="Times New Roman" w:cs="Times New Roman"/>
          <w:color w:val="000000"/>
          <w:sz w:val="24"/>
          <w:szCs w:val="24"/>
          <w:shd w:val="clear" w:color="auto" w:fill="FFFFFF"/>
          <w:lang w:eastAsia="en-GB"/>
        </w:rPr>
        <w:t>M</w:t>
      </w:r>
      <w:r w:rsidRPr="008C5651">
        <w:rPr>
          <w:rFonts w:ascii="Times New Roman" w:eastAsia="Times New Roman" w:hAnsi="Times New Roman" w:cs="Times New Roman"/>
          <w:color w:val="000000"/>
          <w:sz w:val="24"/>
          <w:szCs w:val="24"/>
          <w:shd w:val="clear" w:color="auto" w:fill="FFFFFF"/>
          <w:lang w:eastAsia="en-GB"/>
        </w:rPr>
        <w:t xml:space="preserve">. </w:t>
      </w:r>
      <w:r w:rsidR="0032789F">
        <w:rPr>
          <w:rFonts w:ascii="Times New Roman" w:eastAsia="Times New Roman" w:hAnsi="Times New Roman" w:cs="Times New Roman"/>
          <w:color w:val="000000"/>
          <w:sz w:val="24"/>
          <w:szCs w:val="24"/>
          <w:shd w:val="clear" w:color="auto" w:fill="FFFFFF"/>
          <w:lang w:eastAsia="en-GB"/>
        </w:rPr>
        <w:t>(</w:t>
      </w:r>
      <w:r w:rsidRPr="008C5651">
        <w:rPr>
          <w:rFonts w:ascii="Times New Roman" w:eastAsia="Times New Roman" w:hAnsi="Times New Roman" w:cs="Times New Roman"/>
          <w:color w:val="000000"/>
          <w:sz w:val="24"/>
          <w:szCs w:val="24"/>
          <w:shd w:val="clear" w:color="auto" w:fill="FFFFFF"/>
          <w:lang w:eastAsia="en-GB"/>
        </w:rPr>
        <w:t>1992</w:t>
      </w:r>
      <w:r w:rsidR="0032789F">
        <w:rPr>
          <w:rFonts w:ascii="Times New Roman" w:eastAsia="Times New Roman" w:hAnsi="Times New Roman" w:cs="Times New Roman"/>
          <w:color w:val="000000"/>
          <w:sz w:val="24"/>
          <w:szCs w:val="24"/>
          <w:shd w:val="clear" w:color="auto" w:fill="FFFFFF"/>
          <w:lang w:eastAsia="en-GB"/>
        </w:rPr>
        <w:t>)</w:t>
      </w:r>
      <w:r w:rsidRPr="008C5651">
        <w:rPr>
          <w:rFonts w:ascii="Times New Roman" w:eastAsia="Times New Roman" w:hAnsi="Times New Roman" w:cs="Times New Roman"/>
          <w:color w:val="000000"/>
          <w:sz w:val="24"/>
          <w:szCs w:val="24"/>
          <w:shd w:val="clear" w:color="auto" w:fill="FFFFFF"/>
          <w:lang w:eastAsia="en-GB"/>
        </w:rPr>
        <w:t>. Taxes and Business Strategy: A Planning Approach. Englewood Cliffs, NJ: Prentice-Hall.</w:t>
      </w:r>
    </w:p>
    <w:p w:rsidR="00C81A68" w:rsidRPr="008C5651" w:rsidRDefault="00C81A68" w:rsidP="008C5651">
      <w:pPr>
        <w:spacing w:after="0" w:line="360" w:lineRule="auto"/>
        <w:ind w:left="454" w:hanging="454"/>
        <w:jc w:val="both"/>
        <w:rPr>
          <w:rFonts w:ascii="Times New Roman" w:eastAsia="Arial" w:hAnsi="Times New Roman" w:cs="Times New Roman"/>
          <w:color w:val="000000"/>
          <w:sz w:val="24"/>
          <w:szCs w:val="24"/>
          <w:lang w:eastAsia="en-GB"/>
        </w:rPr>
      </w:pPr>
      <w:r w:rsidRPr="008C5651">
        <w:rPr>
          <w:rFonts w:ascii="Times New Roman" w:eastAsia="Arial" w:hAnsi="Times New Roman" w:cs="Times New Roman"/>
          <w:color w:val="000000"/>
          <w:sz w:val="24"/>
          <w:szCs w:val="24"/>
          <w:lang w:eastAsia="en-GB"/>
        </w:rPr>
        <w:t>Wilson, R.</w:t>
      </w:r>
      <w:r w:rsidR="0032789F">
        <w:rPr>
          <w:rFonts w:ascii="Times New Roman" w:eastAsia="Arial" w:hAnsi="Times New Roman" w:cs="Times New Roman"/>
          <w:color w:val="000000"/>
          <w:sz w:val="24"/>
          <w:szCs w:val="24"/>
          <w:lang w:eastAsia="en-GB"/>
        </w:rPr>
        <w:t xml:space="preserve"> </w:t>
      </w:r>
      <w:r w:rsidRPr="008C5651">
        <w:rPr>
          <w:rFonts w:ascii="Times New Roman" w:eastAsia="Arial" w:hAnsi="Times New Roman" w:cs="Times New Roman"/>
          <w:color w:val="000000"/>
          <w:sz w:val="24"/>
          <w:szCs w:val="24"/>
          <w:lang w:eastAsia="en-GB"/>
        </w:rPr>
        <w:t xml:space="preserve">J. (2009). An examination of corporate tax shelter participants. </w:t>
      </w:r>
      <w:hyperlink r:id="rId47" w:history="1">
        <w:r w:rsidRPr="008C5651">
          <w:rPr>
            <w:rFonts w:ascii="Times New Roman" w:eastAsia="Arial" w:hAnsi="Times New Roman" w:cs="Times New Roman"/>
            <w:i/>
            <w:color w:val="000000"/>
            <w:sz w:val="24"/>
            <w:szCs w:val="24"/>
            <w:lang w:eastAsia="en-GB"/>
          </w:rPr>
          <w:t>The Accounting Review</w:t>
        </w:r>
      </w:hyperlink>
      <w:r w:rsidRPr="008C5651">
        <w:rPr>
          <w:rFonts w:ascii="Times New Roman" w:eastAsia="Arial" w:hAnsi="Times New Roman" w:cs="Times New Roman"/>
          <w:color w:val="000000"/>
          <w:sz w:val="24"/>
          <w:szCs w:val="24"/>
          <w:lang w:eastAsia="en-GB"/>
        </w:rPr>
        <w:t xml:space="preserve"> 84 (3): 969–999.</w:t>
      </w:r>
      <w:r w:rsidRPr="008C5651">
        <w:rPr>
          <w:rFonts w:ascii="Times New Roman" w:eastAsia="Times New Roman" w:hAnsi="Times New Roman" w:cs="Times New Roman"/>
          <w:color w:val="000000"/>
          <w:sz w:val="24"/>
          <w:szCs w:val="24"/>
          <w:lang w:eastAsia="en-GB"/>
        </w:rPr>
        <w:t xml:space="preserve"> </w:t>
      </w:r>
      <w:hyperlink r:id="rId48" w:tgtFrame="_blank" w:tooltip="Persistent link using digital object identifier" w:history="1">
        <w:r w:rsidRPr="008C5651">
          <w:rPr>
            <w:rFonts w:ascii="Times New Roman" w:eastAsia="Calibri" w:hAnsi="Times New Roman" w:cs="Times New Roman"/>
            <w:color w:val="000000"/>
            <w:sz w:val="24"/>
            <w:szCs w:val="24"/>
            <w:u w:val="single"/>
            <w:lang w:eastAsia="en-GB"/>
          </w:rPr>
          <w:t>https://doi.10.2308/accr.2009.84.3.969</w:t>
        </w:r>
      </w:hyperlink>
    </w:p>
    <w:p w:rsidR="00C81A68" w:rsidRPr="00C81A68" w:rsidRDefault="00C81A68" w:rsidP="00C81A68">
      <w:pPr>
        <w:spacing w:after="0" w:line="240" w:lineRule="auto"/>
        <w:ind w:left="454" w:hanging="454"/>
        <w:jc w:val="both"/>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rPr>
          <w:rFonts w:ascii="Times New Roman" w:eastAsia="Calibri" w:hAnsi="Times New Roman" w:cs="Times New Roman"/>
          <w:b/>
          <w:sz w:val="24"/>
          <w:szCs w:val="24"/>
          <w:u w:val="single"/>
          <w:lang w:eastAsia="en-GB"/>
        </w:rPr>
        <w:sectPr w:rsidR="00C81A68" w:rsidRPr="00C81A68" w:rsidSect="009032B3">
          <w:pgSz w:w="11906" w:h="16838"/>
          <w:pgMar w:top="1440" w:right="1440" w:bottom="1440" w:left="1440" w:header="709" w:footer="709" w:gutter="0"/>
          <w:cols w:space="708"/>
          <w:docGrid w:linePitch="360"/>
        </w:sectPr>
      </w:pPr>
    </w:p>
    <w:p w:rsidR="00C81A68" w:rsidRPr="00C81A68" w:rsidRDefault="00C81A68" w:rsidP="00C81A68">
      <w:pPr>
        <w:tabs>
          <w:tab w:val="left" w:pos="142"/>
        </w:tabs>
        <w:spacing w:after="0" w:line="360" w:lineRule="exact"/>
        <w:jc w:val="center"/>
        <w:rPr>
          <w:rFonts w:ascii="Times New Roman" w:eastAsia="Calibri" w:hAnsi="Times New Roman" w:cs="Times New Roman"/>
          <w:b/>
          <w:sz w:val="24"/>
          <w:szCs w:val="24"/>
          <w:u w:val="single"/>
          <w:lang w:eastAsia="en-GB"/>
        </w:rPr>
      </w:pPr>
      <w:r w:rsidRPr="00C81A68">
        <w:rPr>
          <w:rFonts w:ascii="Times New Roman" w:eastAsia="Calibri" w:hAnsi="Times New Roman" w:cs="Times New Roman"/>
          <w:b/>
          <w:sz w:val="24"/>
          <w:szCs w:val="24"/>
          <w:u w:val="single"/>
          <w:lang w:eastAsia="en-GB"/>
        </w:rPr>
        <w:lastRenderedPageBreak/>
        <w:t xml:space="preserve">Appendix A </w:t>
      </w:r>
    </w:p>
    <w:p w:rsidR="00C81A68" w:rsidRPr="00C81A68" w:rsidRDefault="00C81A68" w:rsidP="00C81A68">
      <w:pPr>
        <w:tabs>
          <w:tab w:val="left" w:pos="142"/>
        </w:tabs>
        <w:spacing w:after="0" w:line="360" w:lineRule="exact"/>
        <w:jc w:val="center"/>
        <w:rPr>
          <w:rFonts w:ascii="Times New Roman" w:eastAsia="Calibri" w:hAnsi="Times New Roman" w:cs="Times New Roman"/>
          <w:b/>
          <w:sz w:val="24"/>
          <w:szCs w:val="24"/>
          <w:lang w:eastAsia="en-GB"/>
        </w:rPr>
      </w:pPr>
      <w:r w:rsidRPr="00C81A68">
        <w:rPr>
          <w:rFonts w:ascii="Times New Roman" w:eastAsia="Calibri" w:hAnsi="Times New Roman" w:cs="Times New Roman"/>
          <w:sz w:val="24"/>
          <w:szCs w:val="24"/>
          <w:lang w:eastAsia="en-GB"/>
        </w:rPr>
        <w:t>Variable Definitions</w:t>
      </w:r>
    </w:p>
    <w:tbl>
      <w:tblPr>
        <w:tblW w:w="0" w:type="auto"/>
        <w:tblBorders>
          <w:top w:val="single" w:sz="4" w:space="0" w:color="auto"/>
          <w:bottom w:val="single" w:sz="4" w:space="0" w:color="auto"/>
        </w:tblBorders>
        <w:tblLook w:val="04A0" w:firstRow="1" w:lastRow="0" w:firstColumn="1" w:lastColumn="0" w:noHBand="0" w:noVBand="1"/>
      </w:tblPr>
      <w:tblGrid>
        <w:gridCol w:w="3125"/>
        <w:gridCol w:w="5901"/>
      </w:tblGrid>
      <w:tr w:rsidR="00C81A68" w:rsidRPr="00C81A68" w:rsidTr="009032B3">
        <w:trPr>
          <w:trHeight w:val="296"/>
        </w:trPr>
        <w:tc>
          <w:tcPr>
            <w:tcW w:w="3148" w:type="dxa"/>
            <w:tcBorders>
              <w:top w:val="single" w:sz="4" w:space="0" w:color="auto"/>
              <w:bottom w:val="single" w:sz="4" w:space="0" w:color="auto"/>
            </w:tcBorders>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Variable Name</w:t>
            </w:r>
          </w:p>
        </w:tc>
        <w:tc>
          <w:tcPr>
            <w:tcW w:w="5955" w:type="dxa"/>
            <w:tcBorders>
              <w:top w:val="single" w:sz="4" w:space="0" w:color="auto"/>
              <w:bottom w:val="single" w:sz="4" w:space="0" w:color="auto"/>
            </w:tcBorders>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Definition</w:t>
            </w:r>
          </w:p>
        </w:tc>
      </w:tr>
      <w:tr w:rsidR="00C81A68" w:rsidRPr="00C81A68" w:rsidTr="009032B3">
        <w:trPr>
          <w:trHeight w:val="296"/>
        </w:trPr>
        <w:tc>
          <w:tcPr>
            <w:tcW w:w="3148" w:type="dxa"/>
            <w:tcBorders>
              <w:top w:val="single" w:sz="4" w:space="0" w:color="auto"/>
            </w:tcBorders>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b/>
                <w:i/>
                <w:sz w:val="21"/>
                <w:szCs w:val="21"/>
                <w:u w:val="single"/>
              </w:rPr>
            </w:pPr>
            <w:r w:rsidRPr="00C81A68">
              <w:rPr>
                <w:rFonts w:ascii="Times New Roman" w:eastAsia="Calibri" w:hAnsi="Times New Roman" w:cs="Times New Roman"/>
                <w:b/>
                <w:i/>
                <w:sz w:val="21"/>
                <w:szCs w:val="21"/>
                <w:u w:val="single"/>
              </w:rPr>
              <w:t>Tax Measures</w:t>
            </w:r>
          </w:p>
        </w:tc>
        <w:tc>
          <w:tcPr>
            <w:tcW w:w="5955" w:type="dxa"/>
            <w:tcBorders>
              <w:top w:val="single" w:sz="4" w:space="0" w:color="auto"/>
            </w:tcBorders>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ETR (Effective Tax Rates)</w:t>
            </w:r>
          </w:p>
        </w:tc>
        <w:tc>
          <w:tcPr>
            <w:tcW w:w="5955"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Ratio of total tax expense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TXT) to pre-tax book income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PI). We constrain the values of ETR to lie on the [0, 1] interval.</w:t>
            </w: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jc w:val="both"/>
              <w:rPr>
                <w:rFonts w:ascii="Times New Roman" w:eastAsia="Calibri" w:hAnsi="Times New Roman" w:cs="Times New Roman"/>
                <w:sz w:val="21"/>
                <w:szCs w:val="21"/>
              </w:rPr>
            </w:pPr>
            <w:r w:rsidRPr="00C81A68">
              <w:rPr>
                <w:rFonts w:ascii="Times New Roman" w:eastAsia="Calibri" w:hAnsi="Times New Roman" w:cs="Times New Roman"/>
                <w:sz w:val="21"/>
                <w:szCs w:val="21"/>
              </w:rPr>
              <w:t>BTD (Book-tax Differences)</w:t>
            </w:r>
          </w:p>
        </w:tc>
        <w:tc>
          <w:tcPr>
            <w:tcW w:w="5955" w:type="dxa"/>
            <w:shd w:val="clear" w:color="auto" w:fill="auto"/>
            <w:vAlign w:val="bottom"/>
          </w:tcPr>
          <w:p w:rsidR="00C81A68" w:rsidRPr="00C81A68" w:rsidRDefault="00C81A68" w:rsidP="00C81A68">
            <w:pPr>
              <w:tabs>
                <w:tab w:val="left" w:pos="142"/>
              </w:tabs>
              <w:spacing w:after="0" w:line="280" w:lineRule="exact"/>
              <w:jc w:val="both"/>
              <w:rPr>
                <w:rFonts w:ascii="Times New Roman" w:eastAsia="Calibri" w:hAnsi="Times New Roman" w:cs="Times New Roman"/>
                <w:sz w:val="21"/>
                <w:szCs w:val="21"/>
              </w:rPr>
            </w:pPr>
            <w:r w:rsidRPr="00C81A68">
              <w:rPr>
                <w:rFonts w:ascii="Times New Roman" w:eastAsia="Calibri" w:hAnsi="Times New Roman" w:cs="Times New Roman"/>
                <w:sz w:val="21"/>
                <w:szCs w:val="21"/>
              </w:rPr>
              <w:t>Ratio of pre-tax book income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PI) less estimated taxable income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TXFED +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TXFO) / statutory marginal tax rate) to lagged total assets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AT).</w:t>
            </w: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LRETR (long-run ETR)</w:t>
            </w:r>
          </w:p>
        </w:tc>
        <w:tc>
          <w:tcPr>
            <w:tcW w:w="5955" w:type="dxa"/>
            <w:shd w:val="clear" w:color="auto" w:fill="auto"/>
          </w:tcPr>
          <w:p w:rsidR="00C81A68" w:rsidRPr="00C81A68" w:rsidRDefault="00C81A68" w:rsidP="00C81A68">
            <w:pPr>
              <w:tabs>
                <w:tab w:val="left" w:pos="142"/>
              </w:tabs>
              <w:spacing w:after="0" w:line="280" w:lineRule="exact"/>
              <w:jc w:val="both"/>
              <w:rPr>
                <w:rFonts w:ascii="Times New Roman" w:eastAsia="Calibri" w:hAnsi="Times New Roman" w:cs="Times New Roman"/>
                <w:sz w:val="21"/>
                <w:szCs w:val="21"/>
              </w:rPr>
            </w:pPr>
            <w:r w:rsidRPr="00C81A68">
              <w:rPr>
                <w:rFonts w:ascii="Times New Roman" w:eastAsia="Calibri" w:hAnsi="Times New Roman" w:cs="Times New Roman"/>
                <w:sz w:val="21"/>
                <w:szCs w:val="21"/>
              </w:rPr>
              <w:t xml:space="preserve">Ratio of sum of total tax expense from year t-4 to year t to the sum of pre-tax book income, accumulated over the same period, as in </w:t>
            </w:r>
            <w:hyperlink w:anchor="page18" w:history="1">
              <w:proofErr w:type="spellStart"/>
              <w:r w:rsidRPr="00C81A68">
                <w:rPr>
                  <w:rFonts w:ascii="Times New Roman" w:eastAsia="Calibri" w:hAnsi="Times New Roman" w:cs="Times New Roman"/>
                  <w:sz w:val="21"/>
                  <w:szCs w:val="21"/>
                </w:rPr>
                <w:t>Dyreng</w:t>
              </w:r>
              <w:proofErr w:type="spellEnd"/>
              <w:r w:rsidRPr="00C81A68">
                <w:rPr>
                  <w:rFonts w:ascii="Times New Roman" w:eastAsia="Calibri" w:hAnsi="Times New Roman" w:cs="Times New Roman"/>
                  <w:sz w:val="21"/>
                  <w:szCs w:val="21"/>
                </w:rPr>
                <w:t xml:space="preserve"> et al. </w:t>
              </w:r>
            </w:hyperlink>
            <w:r w:rsidRPr="00C81A68">
              <w:rPr>
                <w:rFonts w:ascii="Times New Roman" w:eastAsia="Calibri" w:hAnsi="Times New Roman" w:cs="Times New Roman"/>
                <w:sz w:val="21"/>
                <w:szCs w:val="21"/>
              </w:rPr>
              <w:t>(</w:t>
            </w:r>
            <w:hyperlink w:anchor="page18" w:history="1">
              <w:r w:rsidRPr="00C81A68">
                <w:rPr>
                  <w:rFonts w:ascii="Times New Roman" w:eastAsia="Calibri" w:hAnsi="Times New Roman" w:cs="Times New Roman"/>
                  <w:sz w:val="21"/>
                  <w:szCs w:val="21"/>
                </w:rPr>
                <w:t>2008</w:t>
              </w:r>
            </w:hyperlink>
            <w:r w:rsidRPr="00C81A68">
              <w:rPr>
                <w:rFonts w:ascii="Times New Roman" w:eastAsia="Calibri" w:hAnsi="Times New Roman" w:cs="Times New Roman"/>
                <w:sz w:val="21"/>
                <w:szCs w:val="21"/>
              </w:rPr>
              <w:t xml:space="preserve">) and </w:t>
            </w:r>
            <w:hyperlink w:anchor="page19" w:history="1">
              <w:proofErr w:type="spellStart"/>
              <w:r w:rsidRPr="00C81A68">
                <w:rPr>
                  <w:rFonts w:ascii="Times New Roman" w:eastAsia="Calibri" w:hAnsi="Times New Roman" w:cs="Times New Roman"/>
                  <w:sz w:val="21"/>
                  <w:szCs w:val="21"/>
                </w:rPr>
                <w:t>Kubick</w:t>
              </w:r>
              <w:proofErr w:type="spellEnd"/>
              <w:r w:rsidRPr="00C81A68">
                <w:rPr>
                  <w:rFonts w:ascii="Times New Roman" w:eastAsia="Calibri" w:hAnsi="Times New Roman" w:cs="Times New Roman"/>
                  <w:sz w:val="21"/>
                  <w:szCs w:val="21"/>
                </w:rPr>
                <w:t xml:space="preserve"> et al. </w:t>
              </w:r>
            </w:hyperlink>
            <w:r w:rsidRPr="00C81A68">
              <w:rPr>
                <w:rFonts w:ascii="Times New Roman" w:eastAsia="Calibri" w:hAnsi="Times New Roman" w:cs="Times New Roman"/>
                <w:sz w:val="21"/>
                <w:szCs w:val="21"/>
              </w:rPr>
              <w:t>(</w:t>
            </w:r>
            <w:hyperlink w:anchor="page19" w:history="1">
              <w:r w:rsidRPr="00C81A68">
                <w:rPr>
                  <w:rFonts w:ascii="Times New Roman" w:eastAsia="Calibri" w:hAnsi="Times New Roman" w:cs="Times New Roman"/>
                  <w:sz w:val="21"/>
                  <w:szCs w:val="21"/>
                </w:rPr>
                <w:t>2014</w:t>
              </w:r>
            </w:hyperlink>
            <w:r w:rsidRPr="00C81A68">
              <w:rPr>
                <w:rFonts w:ascii="Times New Roman" w:eastAsia="Calibri" w:hAnsi="Times New Roman" w:cs="Times New Roman"/>
                <w:sz w:val="21"/>
                <w:szCs w:val="21"/>
              </w:rPr>
              <w:t>).</w:t>
            </w: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jc w:val="both"/>
              <w:rPr>
                <w:rFonts w:ascii="Times New Roman" w:eastAsia="Calibri" w:hAnsi="Times New Roman" w:cs="Times New Roman"/>
                <w:sz w:val="21"/>
                <w:szCs w:val="21"/>
              </w:rPr>
            </w:pPr>
            <w:r w:rsidRPr="00C81A68">
              <w:rPr>
                <w:rFonts w:ascii="Times New Roman" w:eastAsia="Calibri" w:hAnsi="Times New Roman" w:cs="Times New Roman"/>
                <w:sz w:val="21"/>
                <w:szCs w:val="21"/>
              </w:rPr>
              <w:t>ETR2</w:t>
            </w:r>
          </w:p>
        </w:tc>
        <w:tc>
          <w:tcPr>
            <w:tcW w:w="5955" w:type="dxa"/>
            <w:shd w:val="clear" w:color="auto" w:fill="auto"/>
            <w:vAlign w:val="bottom"/>
          </w:tcPr>
          <w:p w:rsidR="00C81A68" w:rsidRPr="00C81A68" w:rsidRDefault="00C81A68" w:rsidP="00C81A68">
            <w:pPr>
              <w:tabs>
                <w:tab w:val="left" w:pos="142"/>
              </w:tabs>
              <w:spacing w:after="0" w:line="280" w:lineRule="exact"/>
              <w:jc w:val="both"/>
              <w:rPr>
                <w:rFonts w:ascii="Times New Roman" w:eastAsia="Calibri" w:hAnsi="Times New Roman" w:cs="Times New Roman"/>
                <w:sz w:val="21"/>
                <w:szCs w:val="21"/>
              </w:rPr>
            </w:pPr>
            <w:r w:rsidRPr="00C81A68">
              <w:rPr>
                <w:rFonts w:ascii="Times New Roman" w:eastAsia="Calibri" w:hAnsi="Times New Roman" w:cs="Times New Roman"/>
                <w:sz w:val="21"/>
                <w:szCs w:val="21"/>
              </w:rPr>
              <w:t>Ratio of current federal tax expense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TXFED) to net income before extraordinary items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IB) plus current tax expense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TXFED) plus minority interest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MII) less extraordinary items (Com </w:t>
            </w:r>
            <w:proofErr w:type="spellStart"/>
            <w:r w:rsidRPr="00C81A68">
              <w:rPr>
                <w:rFonts w:ascii="Times New Roman" w:eastAsia="Calibri" w:hAnsi="Times New Roman" w:cs="Times New Roman"/>
                <w:sz w:val="21"/>
                <w:szCs w:val="21"/>
              </w:rPr>
              <w:t>pustat</w:t>
            </w:r>
            <w:proofErr w:type="spellEnd"/>
            <w:r w:rsidRPr="00C81A68">
              <w:rPr>
                <w:rFonts w:ascii="Times New Roman" w:eastAsia="Calibri" w:hAnsi="Times New Roman" w:cs="Times New Roman"/>
                <w:sz w:val="21"/>
                <w:szCs w:val="21"/>
              </w:rPr>
              <w:t xml:space="preserve"> XIDO) less equity in earnings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ESUB). See </w:t>
            </w:r>
            <w:hyperlink w:anchor="page19" w:history="1">
              <w:r w:rsidRPr="00C81A68">
                <w:rPr>
                  <w:rFonts w:ascii="Times New Roman" w:eastAsia="Calibri" w:hAnsi="Times New Roman" w:cs="Times New Roman"/>
                  <w:sz w:val="21"/>
                  <w:szCs w:val="21"/>
                </w:rPr>
                <w:t xml:space="preserve">Lennox et al. </w:t>
              </w:r>
            </w:hyperlink>
            <w:r w:rsidRPr="00C81A68">
              <w:rPr>
                <w:rFonts w:ascii="Times New Roman" w:eastAsia="Calibri" w:hAnsi="Times New Roman" w:cs="Times New Roman"/>
                <w:sz w:val="21"/>
                <w:szCs w:val="21"/>
              </w:rPr>
              <w:t>(</w:t>
            </w:r>
            <w:hyperlink w:anchor="page19" w:history="1">
              <w:r w:rsidRPr="00C81A68">
                <w:rPr>
                  <w:rFonts w:ascii="Times New Roman" w:eastAsia="Calibri" w:hAnsi="Times New Roman" w:cs="Times New Roman"/>
                  <w:sz w:val="21"/>
                  <w:szCs w:val="21"/>
                </w:rPr>
                <w:t>2013</w:t>
              </w:r>
            </w:hyperlink>
            <w:r w:rsidRPr="00C81A68">
              <w:rPr>
                <w:rFonts w:ascii="Times New Roman" w:eastAsia="Calibri" w:hAnsi="Times New Roman" w:cs="Times New Roman"/>
                <w:sz w:val="21"/>
                <w:szCs w:val="21"/>
              </w:rPr>
              <w:t>).</w:t>
            </w: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 xml:space="preserve">ETR3 </w:t>
            </w:r>
          </w:p>
        </w:tc>
        <w:tc>
          <w:tcPr>
            <w:tcW w:w="5955" w:type="dxa"/>
            <w:shd w:val="clear" w:color="auto" w:fill="auto"/>
          </w:tcPr>
          <w:p w:rsidR="00C81A68" w:rsidRPr="00C81A68" w:rsidRDefault="00C81A68" w:rsidP="00C81A68">
            <w:pPr>
              <w:tabs>
                <w:tab w:val="left" w:pos="142"/>
              </w:tabs>
              <w:spacing w:after="0" w:line="280" w:lineRule="exact"/>
              <w:jc w:val="both"/>
              <w:rPr>
                <w:rFonts w:ascii="Times New Roman" w:eastAsia="Calibri" w:hAnsi="Times New Roman" w:cs="Times New Roman"/>
                <w:sz w:val="21"/>
                <w:szCs w:val="21"/>
              </w:rPr>
            </w:pPr>
            <w:r w:rsidRPr="00C81A68">
              <w:rPr>
                <w:rFonts w:ascii="Times New Roman" w:eastAsia="Calibri" w:hAnsi="Times New Roman" w:cs="Times New Roman"/>
                <w:sz w:val="21"/>
                <w:szCs w:val="21"/>
              </w:rPr>
              <w:t>Ratio of total tax expense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TXT) less change in deferred tax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TXDITC - LTX) to operating cash flow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OANCF). See </w:t>
            </w:r>
            <w:hyperlink w:anchor="page19" w:history="1">
              <w:r w:rsidRPr="00C81A68">
                <w:rPr>
                  <w:rFonts w:ascii="Times New Roman" w:eastAsia="Calibri" w:hAnsi="Times New Roman" w:cs="Times New Roman"/>
                  <w:sz w:val="21"/>
                  <w:szCs w:val="21"/>
                </w:rPr>
                <w:t>Lennox</w:t>
              </w:r>
            </w:hyperlink>
            <w:r w:rsidRPr="00C81A68">
              <w:rPr>
                <w:rFonts w:ascii="Times New Roman" w:eastAsia="Calibri" w:hAnsi="Times New Roman" w:cs="Times New Roman"/>
                <w:sz w:val="21"/>
                <w:szCs w:val="21"/>
              </w:rPr>
              <w:t xml:space="preserve"> </w:t>
            </w:r>
            <w:hyperlink w:anchor="page19" w:history="1">
              <w:r w:rsidRPr="00C81A68">
                <w:rPr>
                  <w:rFonts w:ascii="Times New Roman" w:eastAsia="Calibri" w:hAnsi="Times New Roman" w:cs="Times New Roman"/>
                  <w:sz w:val="21"/>
                  <w:szCs w:val="21"/>
                </w:rPr>
                <w:t xml:space="preserve">et al. </w:t>
              </w:r>
            </w:hyperlink>
            <w:r w:rsidRPr="00C81A68">
              <w:rPr>
                <w:rFonts w:ascii="Times New Roman" w:eastAsia="Calibri" w:hAnsi="Times New Roman" w:cs="Times New Roman"/>
                <w:sz w:val="21"/>
                <w:szCs w:val="21"/>
              </w:rPr>
              <w:t>(</w:t>
            </w:r>
            <w:hyperlink w:anchor="page19" w:history="1">
              <w:r w:rsidRPr="00C81A68">
                <w:rPr>
                  <w:rFonts w:ascii="Times New Roman" w:eastAsia="Calibri" w:hAnsi="Times New Roman" w:cs="Times New Roman"/>
                  <w:sz w:val="21"/>
                  <w:szCs w:val="21"/>
                </w:rPr>
                <w:t>2013</w:t>
              </w:r>
            </w:hyperlink>
            <w:r w:rsidRPr="00C81A68">
              <w:rPr>
                <w:rFonts w:ascii="Times New Roman" w:eastAsia="Calibri" w:hAnsi="Times New Roman" w:cs="Times New Roman"/>
                <w:sz w:val="21"/>
                <w:szCs w:val="21"/>
              </w:rPr>
              <w:t>).</w:t>
            </w: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Cash ETR</w:t>
            </w:r>
          </w:p>
        </w:tc>
        <w:tc>
          <w:tcPr>
            <w:tcW w:w="5955" w:type="dxa"/>
            <w:shd w:val="clear" w:color="auto" w:fill="auto"/>
          </w:tcPr>
          <w:p w:rsidR="00C81A68" w:rsidRPr="00C81A68" w:rsidRDefault="00C81A68" w:rsidP="00C81A68">
            <w:pPr>
              <w:tabs>
                <w:tab w:val="left" w:pos="142"/>
              </w:tabs>
              <w:spacing w:after="0" w:line="280" w:lineRule="exact"/>
              <w:jc w:val="both"/>
              <w:rPr>
                <w:rFonts w:ascii="Times New Roman" w:eastAsia="Calibri" w:hAnsi="Times New Roman" w:cs="Times New Roman"/>
                <w:sz w:val="21"/>
                <w:szCs w:val="21"/>
              </w:rPr>
            </w:pPr>
            <w:r w:rsidRPr="00C81A68">
              <w:rPr>
                <w:rFonts w:ascii="Times New Roman" w:eastAsia="Calibri" w:hAnsi="Times New Roman" w:cs="Times New Roman"/>
                <w:sz w:val="21"/>
                <w:szCs w:val="21"/>
              </w:rPr>
              <w:t>Ratio of cash taxes paid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TXPD) to pre-tax income (</w:t>
            </w:r>
            <w:proofErr w:type="spellStart"/>
            <w:r w:rsidRPr="00C81A68">
              <w:rPr>
                <w:rFonts w:ascii="Times New Roman" w:eastAsia="Calibri" w:hAnsi="Times New Roman" w:cs="Times New Roman"/>
                <w:sz w:val="21"/>
                <w:szCs w:val="21"/>
              </w:rPr>
              <w:t>Compustat</w:t>
            </w:r>
            <w:proofErr w:type="spellEnd"/>
            <w:r w:rsidRPr="00C81A68">
              <w:rPr>
                <w:rFonts w:ascii="Times New Roman" w:eastAsia="Calibri" w:hAnsi="Times New Roman" w:cs="Times New Roman"/>
                <w:sz w:val="21"/>
                <w:szCs w:val="21"/>
              </w:rPr>
              <w:t xml:space="preserve"> PI). See </w:t>
            </w:r>
            <w:hyperlink w:anchor="page19" w:history="1">
              <w:proofErr w:type="spellStart"/>
              <w:r w:rsidRPr="00C81A68">
                <w:rPr>
                  <w:rFonts w:ascii="Times New Roman" w:eastAsia="Calibri" w:hAnsi="Times New Roman" w:cs="Times New Roman"/>
                  <w:sz w:val="21"/>
                  <w:szCs w:val="21"/>
                </w:rPr>
                <w:t>Kubick</w:t>
              </w:r>
              <w:proofErr w:type="spellEnd"/>
              <w:r w:rsidRPr="00C81A68">
                <w:rPr>
                  <w:rFonts w:ascii="Times New Roman" w:eastAsia="Calibri" w:hAnsi="Times New Roman" w:cs="Times New Roman"/>
                  <w:sz w:val="21"/>
                  <w:szCs w:val="21"/>
                </w:rPr>
                <w:t xml:space="preserve"> et al. </w:t>
              </w:r>
            </w:hyperlink>
            <w:r w:rsidRPr="00C81A68">
              <w:rPr>
                <w:rFonts w:ascii="Times New Roman" w:eastAsia="Calibri" w:hAnsi="Times New Roman" w:cs="Times New Roman"/>
                <w:sz w:val="21"/>
                <w:szCs w:val="21"/>
              </w:rPr>
              <w:t>(</w:t>
            </w:r>
            <w:hyperlink w:anchor="page19" w:history="1">
              <w:r w:rsidRPr="00C81A68">
                <w:rPr>
                  <w:rFonts w:ascii="Times New Roman" w:eastAsia="Calibri" w:hAnsi="Times New Roman" w:cs="Times New Roman"/>
                  <w:sz w:val="21"/>
                  <w:szCs w:val="21"/>
                </w:rPr>
                <w:t>2014</w:t>
              </w:r>
            </w:hyperlink>
            <w:r w:rsidRPr="00C81A68">
              <w:rPr>
                <w:rFonts w:ascii="Times New Roman" w:eastAsia="Calibri" w:hAnsi="Times New Roman" w:cs="Times New Roman"/>
                <w:sz w:val="21"/>
                <w:szCs w:val="21"/>
              </w:rPr>
              <w:t>)</w:t>
            </w: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SHELTER</w:t>
            </w:r>
          </w:p>
        </w:tc>
        <w:tc>
          <w:tcPr>
            <w:tcW w:w="5955" w:type="dxa"/>
            <w:shd w:val="clear" w:color="auto" w:fill="auto"/>
            <w:vAlign w:val="bottom"/>
          </w:tcPr>
          <w:p w:rsidR="00C81A68" w:rsidRPr="00C81A68" w:rsidRDefault="00C81A68" w:rsidP="00C81A68">
            <w:pPr>
              <w:spacing w:after="0" w:line="240" w:lineRule="auto"/>
              <w:jc w:val="both"/>
              <w:rPr>
                <w:rFonts w:ascii="Times New Roman" w:eastAsia="Calibri" w:hAnsi="Times New Roman" w:cs="Times New Roman"/>
                <w:sz w:val="21"/>
                <w:szCs w:val="21"/>
              </w:rPr>
            </w:pPr>
            <w:r w:rsidRPr="00C81A68">
              <w:rPr>
                <w:rFonts w:ascii="Times New Roman" w:eastAsia="Calibri" w:hAnsi="Times New Roman" w:cs="Times New Roman"/>
                <w:sz w:val="21"/>
                <w:szCs w:val="21"/>
              </w:rPr>
              <w:t xml:space="preserve">Dummy variable coded 1 if a firm's estimated shelter probability is above yearly median shelter probability and 0 otherwise. Following </w:t>
            </w:r>
            <w:hyperlink w:anchor="page19" w:history="1">
              <w:r w:rsidRPr="00C81A68">
                <w:rPr>
                  <w:rFonts w:ascii="Times New Roman" w:eastAsia="Calibri" w:hAnsi="Times New Roman" w:cs="Times New Roman"/>
                  <w:sz w:val="21"/>
                  <w:szCs w:val="21"/>
                </w:rPr>
                <w:t xml:space="preserve">Wilson </w:t>
              </w:r>
            </w:hyperlink>
            <w:r w:rsidRPr="00C81A68">
              <w:rPr>
                <w:rFonts w:ascii="Times New Roman" w:eastAsia="Calibri" w:hAnsi="Times New Roman" w:cs="Times New Roman"/>
                <w:sz w:val="21"/>
                <w:szCs w:val="21"/>
              </w:rPr>
              <w:t>(</w:t>
            </w:r>
            <w:hyperlink w:anchor="page19" w:history="1">
              <w:r w:rsidRPr="00C81A68">
                <w:rPr>
                  <w:rFonts w:ascii="Times New Roman" w:eastAsia="Calibri" w:hAnsi="Times New Roman" w:cs="Times New Roman"/>
                  <w:sz w:val="21"/>
                  <w:szCs w:val="21"/>
                </w:rPr>
                <w:t>2009</w:t>
              </w:r>
            </w:hyperlink>
            <w:r w:rsidRPr="00C81A68">
              <w:rPr>
                <w:rFonts w:ascii="Times New Roman" w:eastAsia="Calibri" w:hAnsi="Times New Roman" w:cs="Times New Roman"/>
                <w:sz w:val="21"/>
                <w:szCs w:val="21"/>
              </w:rPr>
              <w:t>), we compute shelter probability as, P(Shelter) = -4.30 + (6.63 * book-tax difference) - (1.72 * Leverage) + (0.66 * Firm Size) + (2.26 * Return on Assets) + (1.62 * Foreign Income) + (1.56 * Research and Development Expense).</w:t>
            </w: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p>
        </w:tc>
        <w:tc>
          <w:tcPr>
            <w:tcW w:w="5955" w:type="dxa"/>
            <w:shd w:val="clear" w:color="auto" w:fill="auto"/>
            <w:vAlign w:val="bottom"/>
          </w:tcPr>
          <w:p w:rsidR="00C81A68" w:rsidRPr="00C81A68" w:rsidRDefault="00C81A68" w:rsidP="00C81A68">
            <w:pPr>
              <w:spacing w:after="0" w:line="240" w:lineRule="auto"/>
              <w:jc w:val="both"/>
              <w:rPr>
                <w:rFonts w:ascii="Times New Roman" w:eastAsia="Calibri" w:hAnsi="Times New Roman" w:cs="Times New Roman"/>
                <w:sz w:val="21"/>
                <w:szCs w:val="21"/>
              </w:rPr>
            </w:pP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b/>
                <w:i/>
                <w:sz w:val="21"/>
                <w:szCs w:val="21"/>
                <w:u w:val="single"/>
              </w:rPr>
            </w:pPr>
            <w:r w:rsidRPr="00C81A68">
              <w:rPr>
                <w:rFonts w:ascii="Times New Roman" w:eastAsia="Calibri" w:hAnsi="Times New Roman" w:cs="Times New Roman"/>
                <w:b/>
                <w:i/>
                <w:sz w:val="21"/>
                <w:szCs w:val="21"/>
                <w:u w:val="single"/>
              </w:rPr>
              <w:t xml:space="preserve">IDD Measures </w:t>
            </w:r>
          </w:p>
        </w:tc>
        <w:tc>
          <w:tcPr>
            <w:tcW w:w="5955" w:type="dxa"/>
            <w:shd w:val="clear" w:color="auto" w:fill="auto"/>
            <w:vAlign w:val="bottom"/>
          </w:tcPr>
          <w:p w:rsidR="00C81A68" w:rsidRPr="00C81A68" w:rsidRDefault="00C81A68" w:rsidP="00C81A68">
            <w:pPr>
              <w:spacing w:after="0" w:line="240" w:lineRule="auto"/>
              <w:jc w:val="both"/>
              <w:rPr>
                <w:rFonts w:ascii="Times New Roman" w:eastAsia="Calibri" w:hAnsi="Times New Roman" w:cs="Times New Roman"/>
                <w:sz w:val="21"/>
                <w:szCs w:val="21"/>
              </w:rPr>
            </w:pP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IDD</w:t>
            </w:r>
          </w:p>
        </w:tc>
        <w:tc>
          <w:tcPr>
            <w:tcW w:w="5955" w:type="dxa"/>
            <w:shd w:val="clear" w:color="auto" w:fill="auto"/>
            <w:vAlign w:val="bottom"/>
          </w:tcPr>
          <w:p w:rsidR="00C81A68" w:rsidRPr="00C81A68" w:rsidRDefault="00C81A68" w:rsidP="00C81A68">
            <w:pPr>
              <w:spacing w:after="0" w:line="240" w:lineRule="auto"/>
              <w:jc w:val="both"/>
              <w:rPr>
                <w:rFonts w:ascii="Times New Roman" w:eastAsia="Calibri" w:hAnsi="Times New Roman" w:cs="Times New Roman"/>
                <w:sz w:val="21"/>
                <w:szCs w:val="21"/>
              </w:rPr>
            </w:pPr>
            <w:r w:rsidRPr="00C81A68">
              <w:rPr>
                <w:rFonts w:ascii="Times New Roman" w:eastAsia="Arial" w:hAnsi="Times New Roman" w:cs="Times New Roman"/>
                <w:sz w:val="21"/>
                <w:szCs w:val="21"/>
              </w:rPr>
              <w:t>Dummy variable coded 1 for state-years when the IDD is adopted, and 0 otherwise.</w:t>
            </w:r>
            <w:r w:rsidRPr="00C81A68">
              <w:rPr>
                <w:rFonts w:ascii="Times New Roman" w:eastAsia="Times New Roman" w:hAnsi="Times New Roman" w:cs="Times New Roman"/>
                <w:sz w:val="24"/>
                <w:szCs w:val="24"/>
                <w:lang w:eastAsia="en-GB"/>
              </w:rPr>
              <w:t xml:space="preserve"> </w:t>
            </w: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IDD Adoption</w:t>
            </w:r>
            <w:r w:rsidRPr="00C81A68">
              <w:rPr>
                <w:rFonts w:ascii="Times New Roman" w:eastAsia="Calibri" w:hAnsi="Times New Roman" w:cs="Times New Roman"/>
                <w:sz w:val="21"/>
                <w:szCs w:val="21"/>
                <w:vertAlign w:val="superscript"/>
              </w:rPr>
              <w:t>2</w:t>
            </w:r>
          </w:p>
        </w:tc>
        <w:tc>
          <w:tcPr>
            <w:tcW w:w="5955" w:type="dxa"/>
            <w:shd w:val="clear" w:color="auto" w:fill="auto"/>
            <w:vAlign w:val="bottom"/>
          </w:tcPr>
          <w:p w:rsidR="00C81A68" w:rsidRPr="00C81A68" w:rsidRDefault="00C81A68" w:rsidP="00C81A68">
            <w:pPr>
              <w:spacing w:after="0" w:line="240" w:lineRule="auto"/>
              <w:jc w:val="both"/>
              <w:rPr>
                <w:rFonts w:ascii="Times New Roman" w:eastAsia="Arial" w:hAnsi="Times New Roman" w:cs="Times New Roman"/>
                <w:sz w:val="21"/>
                <w:szCs w:val="21"/>
              </w:rPr>
            </w:pPr>
            <w:r w:rsidRPr="00C81A68">
              <w:rPr>
                <w:rFonts w:ascii="Times New Roman" w:eastAsia="Arial" w:hAnsi="Times New Roman" w:cs="Times New Roman"/>
                <w:sz w:val="21"/>
                <w:szCs w:val="21"/>
              </w:rPr>
              <w:t>Dummy variable coded 1 if the firm is headquartered in a state that will adopt the IDD in two years and 0 otherwise.</w:t>
            </w: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IDD Adoption</w:t>
            </w:r>
            <w:r w:rsidRPr="00C81A68">
              <w:rPr>
                <w:rFonts w:ascii="Times New Roman" w:eastAsia="Calibri" w:hAnsi="Times New Roman" w:cs="Times New Roman"/>
                <w:sz w:val="21"/>
                <w:szCs w:val="21"/>
                <w:vertAlign w:val="superscript"/>
              </w:rPr>
              <w:t>1</w:t>
            </w:r>
          </w:p>
        </w:tc>
        <w:tc>
          <w:tcPr>
            <w:tcW w:w="5955" w:type="dxa"/>
            <w:shd w:val="clear" w:color="auto" w:fill="auto"/>
            <w:vAlign w:val="bottom"/>
          </w:tcPr>
          <w:p w:rsidR="00C81A68" w:rsidRPr="00C81A68" w:rsidRDefault="00C81A68" w:rsidP="00C81A68">
            <w:pPr>
              <w:spacing w:after="0" w:line="240" w:lineRule="auto"/>
              <w:jc w:val="both"/>
              <w:rPr>
                <w:rFonts w:ascii="Times New Roman" w:eastAsia="Arial" w:hAnsi="Times New Roman" w:cs="Times New Roman"/>
                <w:sz w:val="21"/>
                <w:szCs w:val="21"/>
              </w:rPr>
            </w:pPr>
            <w:r w:rsidRPr="00C81A68">
              <w:rPr>
                <w:rFonts w:ascii="Times New Roman" w:eastAsia="Arial" w:hAnsi="Times New Roman" w:cs="Times New Roman"/>
                <w:sz w:val="21"/>
                <w:szCs w:val="21"/>
              </w:rPr>
              <w:t>Dummy variable coded 1 if the firm is headquartered in a state that will adopt the IDD in one year and 0 otherwise.</w:t>
            </w: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IDD Adoption</w:t>
            </w:r>
            <w:r w:rsidRPr="00C81A68">
              <w:rPr>
                <w:rFonts w:ascii="Times New Roman" w:eastAsia="Calibri" w:hAnsi="Times New Roman" w:cs="Times New Roman"/>
                <w:sz w:val="21"/>
                <w:szCs w:val="21"/>
                <w:vertAlign w:val="superscript"/>
              </w:rPr>
              <w:t>0</w:t>
            </w:r>
          </w:p>
        </w:tc>
        <w:tc>
          <w:tcPr>
            <w:tcW w:w="5955" w:type="dxa"/>
            <w:shd w:val="clear" w:color="auto" w:fill="auto"/>
            <w:vAlign w:val="bottom"/>
          </w:tcPr>
          <w:p w:rsidR="00C81A68" w:rsidRPr="00C81A68" w:rsidRDefault="00C81A68" w:rsidP="00C81A68">
            <w:pPr>
              <w:spacing w:after="0" w:line="240" w:lineRule="auto"/>
              <w:jc w:val="both"/>
              <w:rPr>
                <w:rFonts w:ascii="Times New Roman" w:eastAsia="Calibri" w:hAnsi="Times New Roman" w:cs="Times New Roman"/>
                <w:sz w:val="21"/>
                <w:szCs w:val="21"/>
              </w:rPr>
            </w:pPr>
            <w:r w:rsidRPr="00C81A68">
              <w:rPr>
                <w:rFonts w:ascii="Times New Roman" w:eastAsia="Calibri" w:hAnsi="Times New Roman" w:cs="Times New Roman"/>
                <w:sz w:val="21"/>
                <w:szCs w:val="21"/>
              </w:rPr>
              <w:t>Dummy variable coded 1 if the firm is headquartered in a state that adopted the IDD in the current year and 0 otherwise.</w:t>
            </w: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IDD Adoption</w:t>
            </w:r>
            <w:r w:rsidRPr="00C81A68">
              <w:rPr>
                <w:rFonts w:ascii="Times New Roman" w:eastAsia="Calibri" w:hAnsi="Times New Roman" w:cs="Times New Roman"/>
                <w:sz w:val="21"/>
                <w:szCs w:val="21"/>
                <w:vertAlign w:val="superscript"/>
              </w:rPr>
              <w:t>+1</w:t>
            </w:r>
          </w:p>
        </w:tc>
        <w:tc>
          <w:tcPr>
            <w:tcW w:w="5955" w:type="dxa"/>
            <w:shd w:val="clear" w:color="auto" w:fill="auto"/>
            <w:vAlign w:val="bottom"/>
          </w:tcPr>
          <w:p w:rsidR="00C81A68" w:rsidRPr="00C81A68" w:rsidRDefault="00C81A68" w:rsidP="00C81A68">
            <w:pPr>
              <w:spacing w:after="0" w:line="240" w:lineRule="auto"/>
              <w:jc w:val="both"/>
              <w:rPr>
                <w:rFonts w:ascii="Times New Roman" w:eastAsia="Calibri" w:hAnsi="Times New Roman" w:cs="Times New Roman"/>
                <w:sz w:val="21"/>
                <w:szCs w:val="21"/>
              </w:rPr>
            </w:pPr>
            <w:r w:rsidRPr="00C81A68">
              <w:rPr>
                <w:rFonts w:ascii="Times New Roman" w:eastAsia="Arial" w:hAnsi="Times New Roman" w:cs="Times New Roman"/>
                <w:sz w:val="21"/>
                <w:szCs w:val="21"/>
              </w:rPr>
              <w:t>Dummy variable coded 1 if the firm is headquartered in a state that adopted the IDD one year ago and 0 otherwise.</w:t>
            </w: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IDD Adoption</w:t>
            </w:r>
            <w:r w:rsidRPr="00C81A68">
              <w:rPr>
                <w:rFonts w:ascii="Times New Roman" w:eastAsia="Calibri" w:hAnsi="Times New Roman" w:cs="Times New Roman"/>
                <w:sz w:val="21"/>
                <w:szCs w:val="21"/>
                <w:vertAlign w:val="superscript"/>
              </w:rPr>
              <w:t>+2</w:t>
            </w:r>
          </w:p>
        </w:tc>
        <w:tc>
          <w:tcPr>
            <w:tcW w:w="5955" w:type="dxa"/>
            <w:shd w:val="clear" w:color="auto" w:fill="auto"/>
            <w:vAlign w:val="bottom"/>
          </w:tcPr>
          <w:p w:rsidR="00C81A68" w:rsidRPr="00C81A68" w:rsidRDefault="00C81A68" w:rsidP="00C81A68">
            <w:pPr>
              <w:spacing w:after="0" w:line="240" w:lineRule="auto"/>
              <w:jc w:val="both"/>
              <w:rPr>
                <w:rFonts w:ascii="Times New Roman" w:eastAsia="Arial" w:hAnsi="Times New Roman" w:cs="Times New Roman"/>
                <w:sz w:val="21"/>
                <w:szCs w:val="21"/>
              </w:rPr>
            </w:pPr>
            <w:r w:rsidRPr="00C81A68">
              <w:rPr>
                <w:rFonts w:ascii="Times New Roman" w:eastAsia="Arial" w:hAnsi="Times New Roman" w:cs="Times New Roman"/>
                <w:sz w:val="21"/>
                <w:szCs w:val="21"/>
              </w:rPr>
              <w:t>Dummy variable coded 1 if the firm is headquartered in a state that adopted the IDD two or more years ago and 0 otherwise.</w:t>
            </w:r>
          </w:p>
        </w:tc>
      </w:tr>
      <w:tr w:rsidR="00C81A68" w:rsidRPr="00C81A68" w:rsidTr="00FB2198">
        <w:trPr>
          <w:trHeight w:val="20"/>
        </w:trPr>
        <w:tc>
          <w:tcPr>
            <w:tcW w:w="3148"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IDD Rejection</w:t>
            </w:r>
          </w:p>
        </w:tc>
        <w:tc>
          <w:tcPr>
            <w:tcW w:w="5955" w:type="dxa"/>
            <w:shd w:val="clear" w:color="auto" w:fill="auto"/>
            <w:vAlign w:val="bottom"/>
          </w:tcPr>
          <w:p w:rsidR="00C81A68" w:rsidRPr="00C81A68" w:rsidRDefault="00C81A68" w:rsidP="00C81A68">
            <w:pPr>
              <w:spacing w:after="0" w:line="240" w:lineRule="auto"/>
              <w:jc w:val="both"/>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Dummy variable coded 1 if the state where the firm is headquartered has rejected the previously adopted IDD by year </w:t>
            </w:r>
            <w:r w:rsidRPr="00C81A68">
              <w:rPr>
                <w:rFonts w:ascii="Times New Roman" w:eastAsia="Arial" w:hAnsi="Times New Roman" w:cs="Times New Roman"/>
                <w:i/>
                <w:sz w:val="21"/>
                <w:szCs w:val="21"/>
              </w:rPr>
              <w:t>t</w:t>
            </w:r>
            <w:r w:rsidRPr="00C81A68">
              <w:rPr>
                <w:rFonts w:ascii="Times New Roman" w:eastAsia="Arial" w:hAnsi="Times New Roman" w:cs="Times New Roman"/>
                <w:sz w:val="21"/>
                <w:szCs w:val="21"/>
              </w:rPr>
              <w:t xml:space="preserve"> and 0 otherwise.</w:t>
            </w:r>
          </w:p>
          <w:p w:rsidR="00C81A68" w:rsidRPr="00C81A68" w:rsidRDefault="00C81A68" w:rsidP="00C81A68">
            <w:pPr>
              <w:spacing w:after="0" w:line="240" w:lineRule="auto"/>
              <w:jc w:val="both"/>
              <w:rPr>
                <w:rFonts w:ascii="Times New Roman" w:eastAsia="Arial" w:hAnsi="Times New Roman" w:cs="Times New Roman"/>
                <w:sz w:val="21"/>
                <w:szCs w:val="21"/>
              </w:rPr>
            </w:pPr>
          </w:p>
        </w:tc>
      </w:tr>
    </w:tbl>
    <w:p w:rsidR="00C81A68" w:rsidRPr="00C81A68" w:rsidRDefault="00C81A68" w:rsidP="00C81A68">
      <w:pPr>
        <w:spacing w:after="0" w:line="240" w:lineRule="auto"/>
        <w:rPr>
          <w:rFonts w:ascii="Calibri" w:eastAsia="Calibri" w:hAnsi="Calibri" w:cs="Arial"/>
          <w:sz w:val="20"/>
          <w:szCs w:val="20"/>
          <w:lang w:eastAsia="en-GB"/>
        </w:rPr>
      </w:pPr>
    </w:p>
    <w:p w:rsidR="000E5E9C" w:rsidRDefault="000E5E9C">
      <w:pPr>
        <w:rPr>
          <w:rFonts w:ascii="Calibri" w:eastAsia="Calibri" w:hAnsi="Calibri" w:cs="Arial"/>
          <w:sz w:val="20"/>
          <w:szCs w:val="20"/>
          <w:lang w:eastAsia="en-GB"/>
        </w:rPr>
      </w:pPr>
      <w:r>
        <w:rPr>
          <w:rFonts w:ascii="Calibri" w:eastAsia="Calibri" w:hAnsi="Calibri" w:cs="Arial"/>
          <w:sz w:val="20"/>
          <w:szCs w:val="20"/>
          <w:lang w:eastAsia="en-GB"/>
        </w:rPr>
        <w:br w:type="page"/>
      </w:r>
    </w:p>
    <w:p w:rsidR="00C81A68" w:rsidRPr="00C81A68" w:rsidRDefault="00C81A68" w:rsidP="00C81A68">
      <w:pPr>
        <w:spacing w:after="0" w:line="240" w:lineRule="auto"/>
        <w:rPr>
          <w:rFonts w:ascii="Calibri" w:eastAsia="Calibri" w:hAnsi="Calibri" w:cs="Arial"/>
          <w:sz w:val="20"/>
          <w:szCs w:val="20"/>
          <w:lang w:eastAsia="en-GB"/>
        </w:rPr>
      </w:pPr>
    </w:p>
    <w:tbl>
      <w:tblPr>
        <w:tblW w:w="0" w:type="auto"/>
        <w:tblBorders>
          <w:top w:val="single" w:sz="4" w:space="0" w:color="auto"/>
          <w:bottom w:val="single" w:sz="4" w:space="0" w:color="auto"/>
        </w:tblBorders>
        <w:tblLook w:val="04A0" w:firstRow="1" w:lastRow="0" w:firstColumn="1" w:lastColumn="0" w:noHBand="0" w:noVBand="1"/>
      </w:tblPr>
      <w:tblGrid>
        <w:gridCol w:w="3124"/>
        <w:gridCol w:w="5902"/>
      </w:tblGrid>
      <w:tr w:rsidR="00C81A68" w:rsidRPr="00C81A68" w:rsidTr="009032B3">
        <w:trPr>
          <w:trHeight w:val="290"/>
        </w:trPr>
        <w:tc>
          <w:tcPr>
            <w:tcW w:w="3139" w:type="dxa"/>
            <w:tcBorders>
              <w:top w:val="single" w:sz="4" w:space="0" w:color="auto"/>
              <w:bottom w:val="single" w:sz="4" w:space="0" w:color="auto"/>
            </w:tcBorders>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Variable Name</w:t>
            </w:r>
          </w:p>
        </w:tc>
        <w:tc>
          <w:tcPr>
            <w:tcW w:w="5939" w:type="dxa"/>
            <w:tcBorders>
              <w:top w:val="single" w:sz="4" w:space="0" w:color="auto"/>
              <w:bottom w:val="single" w:sz="4" w:space="0" w:color="auto"/>
            </w:tcBorders>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Definition</w:t>
            </w:r>
          </w:p>
        </w:tc>
      </w:tr>
      <w:tr w:rsidR="00C81A68" w:rsidRPr="00C81A68" w:rsidTr="009032B3">
        <w:trPr>
          <w:trHeight w:val="290"/>
        </w:trPr>
        <w:tc>
          <w:tcPr>
            <w:tcW w:w="3139" w:type="dxa"/>
            <w:tcBorders>
              <w:top w:val="single" w:sz="4" w:space="0" w:color="auto"/>
            </w:tcBorders>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b/>
                <w:i/>
                <w:sz w:val="21"/>
                <w:szCs w:val="21"/>
                <w:u w:val="single"/>
              </w:rPr>
            </w:pPr>
            <w:r w:rsidRPr="00C81A68">
              <w:rPr>
                <w:rFonts w:ascii="Times New Roman" w:eastAsia="Calibri" w:hAnsi="Times New Roman" w:cs="Times New Roman"/>
                <w:b/>
                <w:i/>
                <w:sz w:val="21"/>
                <w:szCs w:val="21"/>
                <w:u w:val="single"/>
              </w:rPr>
              <w:t>Control Variables</w:t>
            </w:r>
          </w:p>
        </w:tc>
        <w:tc>
          <w:tcPr>
            <w:tcW w:w="5939" w:type="dxa"/>
            <w:tcBorders>
              <w:top w:val="single" w:sz="4" w:space="0" w:color="auto"/>
            </w:tcBorders>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p>
        </w:tc>
      </w:tr>
      <w:tr w:rsidR="00C81A68" w:rsidRPr="00C81A68" w:rsidTr="00FB2198">
        <w:trPr>
          <w:trHeight w:val="20"/>
        </w:trPr>
        <w:tc>
          <w:tcPr>
            <w:tcW w:w="3139" w:type="dxa"/>
            <w:shd w:val="clear" w:color="auto" w:fill="auto"/>
          </w:tcPr>
          <w:p w:rsidR="00C81A68" w:rsidRPr="00C81A68" w:rsidRDefault="00F6788B" w:rsidP="00C81A68">
            <w:pPr>
              <w:tabs>
                <w:tab w:val="left" w:pos="142"/>
              </w:tabs>
              <w:spacing w:after="0" w:line="280" w:lineRule="exact"/>
              <w:rPr>
                <w:rFonts w:ascii="Times New Roman" w:eastAsia="Calibri" w:hAnsi="Times New Roman" w:cs="Times New Roman"/>
                <w:sz w:val="21"/>
                <w:szCs w:val="21"/>
              </w:rPr>
            </w:pPr>
            <w:r>
              <w:rPr>
                <w:rFonts w:ascii="Times New Roman" w:eastAsia="Calibri" w:hAnsi="Times New Roman" w:cs="Times New Roman"/>
                <w:sz w:val="21"/>
                <w:szCs w:val="21"/>
              </w:rPr>
              <w:t>SIZE (</w:t>
            </w:r>
            <w:r w:rsidR="00C81A68" w:rsidRPr="00C81A68">
              <w:rPr>
                <w:rFonts w:ascii="Times New Roman" w:eastAsia="Calibri" w:hAnsi="Times New Roman" w:cs="Times New Roman"/>
                <w:sz w:val="21"/>
                <w:szCs w:val="21"/>
              </w:rPr>
              <w:t>Firm Size</w:t>
            </w:r>
            <w:r w:rsidR="007D4064">
              <w:rPr>
                <w:rFonts w:ascii="Times New Roman" w:eastAsia="Calibri" w:hAnsi="Times New Roman" w:cs="Times New Roman"/>
                <w:sz w:val="21"/>
                <w:szCs w:val="21"/>
              </w:rPr>
              <w:t>)</w:t>
            </w:r>
          </w:p>
        </w:tc>
        <w:tc>
          <w:tcPr>
            <w:tcW w:w="5939" w:type="dxa"/>
            <w:shd w:val="clear" w:color="auto" w:fill="auto"/>
          </w:tcPr>
          <w:p w:rsidR="00C81A68" w:rsidRPr="00FB2198" w:rsidRDefault="00C81A68" w:rsidP="00FB2198">
            <w:pPr>
              <w:tabs>
                <w:tab w:val="left" w:pos="142"/>
              </w:tabs>
              <w:spacing w:after="0" w:line="280" w:lineRule="exact"/>
              <w:jc w:val="both"/>
              <w:rPr>
                <w:rFonts w:ascii="Times New Roman" w:eastAsia="Calibri" w:hAnsi="Times New Roman" w:cs="Times New Roman"/>
                <w:sz w:val="21"/>
                <w:szCs w:val="21"/>
              </w:rPr>
            </w:pPr>
            <w:r w:rsidRPr="00FB2198">
              <w:rPr>
                <w:rFonts w:ascii="Times New Roman" w:eastAsia="Arial" w:hAnsi="Times New Roman" w:cs="Times New Roman"/>
                <w:sz w:val="21"/>
                <w:szCs w:val="21"/>
              </w:rPr>
              <w:t>Natural log of lagged total assets (</w:t>
            </w:r>
            <w:proofErr w:type="spellStart"/>
            <w:r w:rsidRPr="00FB2198">
              <w:rPr>
                <w:rFonts w:ascii="Times New Roman" w:eastAsia="Arial" w:hAnsi="Times New Roman" w:cs="Times New Roman"/>
                <w:sz w:val="21"/>
                <w:szCs w:val="21"/>
              </w:rPr>
              <w:t>Compustat</w:t>
            </w:r>
            <w:proofErr w:type="spellEnd"/>
            <w:r w:rsidRPr="00FB2198">
              <w:rPr>
                <w:rFonts w:ascii="Times New Roman" w:eastAsia="Arial" w:hAnsi="Times New Roman" w:cs="Times New Roman"/>
                <w:sz w:val="21"/>
                <w:szCs w:val="21"/>
              </w:rPr>
              <w:t xml:space="preserve"> AT).</w:t>
            </w:r>
          </w:p>
        </w:tc>
      </w:tr>
      <w:tr w:rsidR="00C81A68" w:rsidRPr="00C81A68" w:rsidTr="00FB2198">
        <w:trPr>
          <w:trHeight w:val="20"/>
        </w:trPr>
        <w:tc>
          <w:tcPr>
            <w:tcW w:w="3139" w:type="dxa"/>
            <w:shd w:val="clear" w:color="auto" w:fill="auto"/>
          </w:tcPr>
          <w:p w:rsidR="00C81A68" w:rsidRPr="00C81A68" w:rsidRDefault="007D4064" w:rsidP="00C81A68">
            <w:pPr>
              <w:tabs>
                <w:tab w:val="left" w:pos="142"/>
              </w:tabs>
              <w:spacing w:after="0" w:line="280" w:lineRule="exact"/>
              <w:rPr>
                <w:rFonts w:ascii="Times New Roman" w:eastAsia="Calibri" w:hAnsi="Times New Roman" w:cs="Times New Roman"/>
                <w:sz w:val="21"/>
                <w:szCs w:val="21"/>
              </w:rPr>
            </w:pPr>
            <w:r>
              <w:rPr>
                <w:rFonts w:ascii="Times New Roman" w:eastAsia="Calibri" w:hAnsi="Times New Roman" w:cs="Times New Roman"/>
                <w:sz w:val="21"/>
                <w:szCs w:val="21"/>
              </w:rPr>
              <w:t>MTB (</w:t>
            </w:r>
            <w:r w:rsidR="00C81A68" w:rsidRPr="00C81A68">
              <w:rPr>
                <w:rFonts w:ascii="Times New Roman" w:eastAsia="Calibri" w:hAnsi="Times New Roman" w:cs="Times New Roman"/>
                <w:sz w:val="21"/>
                <w:szCs w:val="21"/>
              </w:rPr>
              <w:t>Market-to-Book</w:t>
            </w:r>
            <w:r>
              <w:rPr>
                <w:rFonts w:ascii="Times New Roman" w:eastAsia="Calibri" w:hAnsi="Times New Roman" w:cs="Times New Roman"/>
                <w:sz w:val="21"/>
                <w:szCs w:val="21"/>
              </w:rPr>
              <w:t xml:space="preserve"> Ratio)</w:t>
            </w:r>
          </w:p>
        </w:tc>
        <w:tc>
          <w:tcPr>
            <w:tcW w:w="5939" w:type="dxa"/>
            <w:shd w:val="clear" w:color="auto" w:fill="auto"/>
            <w:vAlign w:val="bottom"/>
          </w:tcPr>
          <w:p w:rsidR="00C81A68" w:rsidRPr="00FB2198" w:rsidRDefault="00C81A68" w:rsidP="00FB2198">
            <w:pPr>
              <w:tabs>
                <w:tab w:val="left" w:pos="142"/>
              </w:tabs>
              <w:spacing w:after="0" w:line="280" w:lineRule="exact"/>
              <w:jc w:val="both"/>
              <w:rPr>
                <w:rFonts w:ascii="Times New Roman" w:eastAsia="Calibri" w:hAnsi="Times New Roman" w:cs="Times New Roman"/>
                <w:sz w:val="21"/>
                <w:szCs w:val="21"/>
              </w:rPr>
            </w:pPr>
            <w:r w:rsidRPr="00FB2198">
              <w:rPr>
                <w:rFonts w:ascii="Times New Roman" w:eastAsia="Calibri" w:hAnsi="Times New Roman" w:cs="Times New Roman"/>
                <w:sz w:val="21"/>
                <w:szCs w:val="21"/>
              </w:rPr>
              <w:t>Ratio of the lagged market value of equity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PRCC_F * CSHO) to lagged book value of equity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CEQ).</w:t>
            </w:r>
          </w:p>
        </w:tc>
      </w:tr>
      <w:tr w:rsidR="00C81A68" w:rsidRPr="00C81A68" w:rsidTr="00FB2198">
        <w:trPr>
          <w:trHeight w:val="20"/>
        </w:trPr>
        <w:tc>
          <w:tcPr>
            <w:tcW w:w="3139" w:type="dxa"/>
            <w:shd w:val="clear" w:color="auto" w:fill="auto"/>
          </w:tcPr>
          <w:p w:rsidR="00C81A68" w:rsidRPr="00C81A68" w:rsidRDefault="007D4064" w:rsidP="00C81A68">
            <w:pPr>
              <w:tabs>
                <w:tab w:val="left" w:pos="142"/>
              </w:tabs>
              <w:spacing w:after="0" w:line="280" w:lineRule="exact"/>
              <w:rPr>
                <w:rFonts w:ascii="Times New Roman" w:eastAsia="Calibri" w:hAnsi="Times New Roman" w:cs="Times New Roman"/>
                <w:sz w:val="21"/>
                <w:szCs w:val="21"/>
              </w:rPr>
            </w:pPr>
            <w:r>
              <w:rPr>
                <w:rFonts w:ascii="Times New Roman" w:eastAsia="Calibri" w:hAnsi="Times New Roman" w:cs="Times New Roman"/>
                <w:sz w:val="21"/>
                <w:szCs w:val="21"/>
              </w:rPr>
              <w:t>LEV (</w:t>
            </w:r>
            <w:r w:rsidR="00C81A68" w:rsidRPr="00C81A68">
              <w:rPr>
                <w:rFonts w:ascii="Times New Roman" w:eastAsia="Calibri" w:hAnsi="Times New Roman" w:cs="Times New Roman"/>
                <w:sz w:val="21"/>
                <w:szCs w:val="21"/>
              </w:rPr>
              <w:t>Leverage</w:t>
            </w:r>
            <w:r>
              <w:rPr>
                <w:rFonts w:ascii="Times New Roman" w:eastAsia="Calibri" w:hAnsi="Times New Roman" w:cs="Times New Roman"/>
                <w:sz w:val="21"/>
                <w:szCs w:val="21"/>
              </w:rPr>
              <w:t>)</w:t>
            </w:r>
          </w:p>
        </w:tc>
        <w:tc>
          <w:tcPr>
            <w:tcW w:w="5939" w:type="dxa"/>
            <w:shd w:val="clear" w:color="auto" w:fill="auto"/>
          </w:tcPr>
          <w:p w:rsidR="00C81A68" w:rsidRPr="00FB2198" w:rsidRDefault="00C81A68" w:rsidP="00FB2198">
            <w:pPr>
              <w:tabs>
                <w:tab w:val="left" w:pos="142"/>
              </w:tabs>
              <w:spacing w:after="0" w:line="280" w:lineRule="exact"/>
              <w:jc w:val="both"/>
              <w:rPr>
                <w:rFonts w:ascii="Times New Roman" w:eastAsia="Calibri" w:hAnsi="Times New Roman" w:cs="Times New Roman"/>
                <w:sz w:val="21"/>
                <w:szCs w:val="21"/>
              </w:rPr>
            </w:pPr>
            <w:r w:rsidRPr="00FB2198">
              <w:rPr>
                <w:rFonts w:ascii="Times New Roman" w:eastAsia="Calibri" w:hAnsi="Times New Roman" w:cs="Times New Roman"/>
                <w:sz w:val="21"/>
                <w:szCs w:val="21"/>
              </w:rPr>
              <w:t>Ratio of long-term debt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DLTT) to lagged total assets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AT).</w:t>
            </w:r>
          </w:p>
        </w:tc>
      </w:tr>
      <w:tr w:rsidR="00C81A68" w:rsidRPr="00C81A68" w:rsidTr="00FB2198">
        <w:trPr>
          <w:trHeight w:val="20"/>
        </w:trPr>
        <w:tc>
          <w:tcPr>
            <w:tcW w:w="3139" w:type="dxa"/>
            <w:shd w:val="clear" w:color="auto" w:fill="auto"/>
          </w:tcPr>
          <w:p w:rsidR="00C81A68" w:rsidRPr="00C81A68" w:rsidRDefault="007D4064" w:rsidP="00C81A68">
            <w:pPr>
              <w:tabs>
                <w:tab w:val="left" w:pos="142"/>
              </w:tabs>
              <w:spacing w:after="0" w:line="280" w:lineRule="exact"/>
              <w:rPr>
                <w:rFonts w:ascii="Times New Roman" w:eastAsia="Calibri" w:hAnsi="Times New Roman" w:cs="Times New Roman"/>
                <w:sz w:val="21"/>
                <w:szCs w:val="21"/>
              </w:rPr>
            </w:pPr>
            <w:r>
              <w:rPr>
                <w:rFonts w:ascii="Times New Roman" w:eastAsia="Calibri" w:hAnsi="Times New Roman" w:cs="Times New Roman"/>
                <w:sz w:val="21"/>
                <w:szCs w:val="21"/>
              </w:rPr>
              <w:t>ROA (</w:t>
            </w:r>
            <w:r w:rsidR="00C81A68" w:rsidRPr="00C81A68">
              <w:rPr>
                <w:rFonts w:ascii="Times New Roman" w:eastAsia="Calibri" w:hAnsi="Times New Roman" w:cs="Times New Roman"/>
                <w:sz w:val="21"/>
                <w:szCs w:val="21"/>
              </w:rPr>
              <w:t>Return on Assets</w:t>
            </w:r>
            <w:r>
              <w:rPr>
                <w:rFonts w:ascii="Times New Roman" w:eastAsia="Calibri" w:hAnsi="Times New Roman" w:cs="Times New Roman"/>
                <w:sz w:val="21"/>
                <w:szCs w:val="21"/>
              </w:rPr>
              <w:t>)</w:t>
            </w:r>
          </w:p>
        </w:tc>
        <w:tc>
          <w:tcPr>
            <w:tcW w:w="5939" w:type="dxa"/>
            <w:shd w:val="clear" w:color="auto" w:fill="auto"/>
            <w:vAlign w:val="bottom"/>
          </w:tcPr>
          <w:p w:rsidR="00C81A68" w:rsidRPr="00FB2198" w:rsidRDefault="00C81A68" w:rsidP="00FB2198">
            <w:pPr>
              <w:spacing w:after="0" w:line="240" w:lineRule="auto"/>
              <w:jc w:val="both"/>
              <w:rPr>
                <w:rFonts w:ascii="Times New Roman" w:eastAsia="Calibri" w:hAnsi="Times New Roman" w:cs="Times New Roman"/>
                <w:sz w:val="21"/>
                <w:szCs w:val="21"/>
              </w:rPr>
            </w:pPr>
            <w:proofErr w:type="spellStart"/>
            <w:r w:rsidRPr="00FB2198">
              <w:rPr>
                <w:rFonts w:ascii="Times New Roman" w:eastAsia="Calibri" w:hAnsi="Times New Roman" w:cs="Times New Roman"/>
                <w:sz w:val="21"/>
                <w:szCs w:val="21"/>
              </w:rPr>
              <w:t>Pretax</w:t>
            </w:r>
            <w:proofErr w:type="spellEnd"/>
            <w:r w:rsidRPr="00FB2198">
              <w:rPr>
                <w:rFonts w:ascii="Times New Roman" w:eastAsia="Calibri" w:hAnsi="Times New Roman" w:cs="Times New Roman"/>
                <w:sz w:val="21"/>
                <w:szCs w:val="21"/>
              </w:rPr>
              <w:t xml:space="preserve"> book income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PI) to lagged total assets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AT).</w:t>
            </w:r>
          </w:p>
        </w:tc>
      </w:tr>
      <w:tr w:rsidR="00C81A68" w:rsidRPr="00C81A68" w:rsidTr="00FB2198">
        <w:trPr>
          <w:trHeight w:val="20"/>
        </w:trPr>
        <w:tc>
          <w:tcPr>
            <w:tcW w:w="3139" w:type="dxa"/>
            <w:shd w:val="clear" w:color="auto" w:fill="auto"/>
          </w:tcPr>
          <w:p w:rsidR="00C81A68" w:rsidRPr="00C81A68" w:rsidRDefault="007D4064" w:rsidP="00C81A68">
            <w:pPr>
              <w:tabs>
                <w:tab w:val="left" w:pos="142"/>
              </w:tabs>
              <w:spacing w:after="0" w:line="280" w:lineRule="exact"/>
              <w:rPr>
                <w:rFonts w:ascii="Times New Roman" w:eastAsia="Calibri" w:hAnsi="Times New Roman" w:cs="Times New Roman"/>
                <w:sz w:val="21"/>
                <w:szCs w:val="21"/>
              </w:rPr>
            </w:pPr>
            <w:r>
              <w:rPr>
                <w:rFonts w:ascii="Times New Roman" w:eastAsia="Calibri" w:hAnsi="Times New Roman" w:cs="Times New Roman"/>
                <w:sz w:val="21"/>
                <w:szCs w:val="21"/>
              </w:rPr>
              <w:t>NOL (</w:t>
            </w:r>
            <w:r w:rsidR="00C81A68" w:rsidRPr="00C81A68">
              <w:rPr>
                <w:rFonts w:ascii="Times New Roman" w:eastAsia="Calibri" w:hAnsi="Times New Roman" w:cs="Times New Roman"/>
                <w:sz w:val="21"/>
                <w:szCs w:val="21"/>
              </w:rPr>
              <w:t>NOL Dummy</w:t>
            </w:r>
            <w:r>
              <w:rPr>
                <w:rFonts w:ascii="Times New Roman" w:eastAsia="Calibri" w:hAnsi="Times New Roman" w:cs="Times New Roman"/>
                <w:sz w:val="21"/>
                <w:szCs w:val="21"/>
              </w:rPr>
              <w:t>)</w:t>
            </w:r>
          </w:p>
        </w:tc>
        <w:tc>
          <w:tcPr>
            <w:tcW w:w="5939" w:type="dxa"/>
            <w:shd w:val="clear" w:color="auto" w:fill="auto"/>
          </w:tcPr>
          <w:p w:rsidR="00C81A68" w:rsidRPr="00FB2198" w:rsidRDefault="00C81A68" w:rsidP="00FB2198">
            <w:pPr>
              <w:tabs>
                <w:tab w:val="left" w:pos="142"/>
              </w:tabs>
              <w:spacing w:after="0" w:line="280" w:lineRule="exact"/>
              <w:jc w:val="both"/>
              <w:rPr>
                <w:rFonts w:ascii="Times New Roman" w:eastAsia="Calibri" w:hAnsi="Times New Roman" w:cs="Times New Roman"/>
                <w:sz w:val="21"/>
                <w:szCs w:val="21"/>
              </w:rPr>
            </w:pPr>
            <w:r w:rsidRPr="00FB2198">
              <w:rPr>
                <w:rFonts w:ascii="Times New Roman" w:eastAsia="Calibri" w:hAnsi="Times New Roman" w:cs="Times New Roman"/>
                <w:sz w:val="21"/>
                <w:szCs w:val="21"/>
              </w:rPr>
              <w:t>Dummy variable coded 1 if the firm reports a positive tax loss carry forward during the year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TLCF).</w:t>
            </w:r>
          </w:p>
        </w:tc>
      </w:tr>
      <w:tr w:rsidR="00C81A68" w:rsidRPr="00C81A68" w:rsidTr="00FB2198">
        <w:trPr>
          <w:trHeight w:val="20"/>
        </w:trPr>
        <w:tc>
          <w:tcPr>
            <w:tcW w:w="3139"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DNOL</w:t>
            </w:r>
            <w:r w:rsidR="007D4064">
              <w:rPr>
                <w:rFonts w:ascii="Times New Roman" w:eastAsia="Calibri" w:hAnsi="Times New Roman" w:cs="Times New Roman"/>
                <w:sz w:val="21"/>
                <w:szCs w:val="21"/>
              </w:rPr>
              <w:t xml:space="preserve"> </w:t>
            </w:r>
          </w:p>
        </w:tc>
        <w:tc>
          <w:tcPr>
            <w:tcW w:w="5939" w:type="dxa"/>
            <w:shd w:val="clear" w:color="auto" w:fill="auto"/>
            <w:vAlign w:val="bottom"/>
          </w:tcPr>
          <w:p w:rsidR="00C81A68" w:rsidRPr="00FB2198" w:rsidRDefault="00C81A68" w:rsidP="00FB2198">
            <w:pPr>
              <w:spacing w:after="0" w:line="240" w:lineRule="auto"/>
              <w:jc w:val="both"/>
              <w:rPr>
                <w:rFonts w:ascii="Times New Roman" w:eastAsia="Calibri" w:hAnsi="Times New Roman" w:cs="Times New Roman"/>
                <w:sz w:val="21"/>
                <w:szCs w:val="21"/>
              </w:rPr>
            </w:pPr>
            <w:r w:rsidRPr="00FB2198">
              <w:rPr>
                <w:rFonts w:ascii="Times New Roman" w:eastAsia="Calibri" w:hAnsi="Times New Roman" w:cs="Times New Roman"/>
                <w:sz w:val="21"/>
                <w:szCs w:val="21"/>
              </w:rPr>
              <w:t>Change in firm i's NOL from year t-1 to t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TLCF) divided by lagged total assets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AT).</w:t>
            </w:r>
          </w:p>
        </w:tc>
      </w:tr>
      <w:tr w:rsidR="00C81A68" w:rsidRPr="00C81A68" w:rsidTr="00FB2198">
        <w:trPr>
          <w:trHeight w:val="20"/>
        </w:trPr>
        <w:tc>
          <w:tcPr>
            <w:tcW w:w="3139" w:type="dxa"/>
            <w:shd w:val="clear" w:color="auto" w:fill="auto"/>
          </w:tcPr>
          <w:p w:rsidR="00C81A68" w:rsidRPr="00C81A68" w:rsidRDefault="007D4064" w:rsidP="00C81A68">
            <w:pPr>
              <w:tabs>
                <w:tab w:val="left" w:pos="142"/>
              </w:tabs>
              <w:spacing w:after="0" w:line="280" w:lineRule="exact"/>
              <w:rPr>
                <w:rFonts w:ascii="Times New Roman" w:eastAsia="Calibri" w:hAnsi="Times New Roman" w:cs="Times New Roman"/>
                <w:sz w:val="21"/>
                <w:szCs w:val="21"/>
              </w:rPr>
            </w:pPr>
            <w:r>
              <w:rPr>
                <w:rFonts w:ascii="Times New Roman" w:eastAsia="Calibri" w:hAnsi="Times New Roman" w:cs="Times New Roman"/>
                <w:sz w:val="21"/>
                <w:szCs w:val="21"/>
              </w:rPr>
              <w:t>FI (</w:t>
            </w:r>
            <w:r w:rsidR="00C81A68" w:rsidRPr="00C81A68">
              <w:rPr>
                <w:rFonts w:ascii="Times New Roman" w:eastAsia="Calibri" w:hAnsi="Times New Roman" w:cs="Times New Roman"/>
                <w:sz w:val="21"/>
                <w:szCs w:val="21"/>
              </w:rPr>
              <w:t>Foreign Income</w:t>
            </w:r>
            <w:r>
              <w:rPr>
                <w:rFonts w:ascii="Times New Roman" w:eastAsia="Calibri" w:hAnsi="Times New Roman" w:cs="Times New Roman"/>
                <w:sz w:val="21"/>
                <w:szCs w:val="21"/>
              </w:rPr>
              <w:t>)</w:t>
            </w:r>
          </w:p>
        </w:tc>
        <w:tc>
          <w:tcPr>
            <w:tcW w:w="5939" w:type="dxa"/>
            <w:shd w:val="clear" w:color="auto" w:fill="auto"/>
            <w:vAlign w:val="bottom"/>
          </w:tcPr>
          <w:p w:rsidR="00C81A68" w:rsidRPr="00FB2198" w:rsidRDefault="00C81A68" w:rsidP="00FB2198">
            <w:pPr>
              <w:spacing w:after="0" w:line="240" w:lineRule="auto"/>
              <w:jc w:val="both"/>
              <w:rPr>
                <w:rFonts w:ascii="Times New Roman" w:eastAsia="Calibri" w:hAnsi="Times New Roman" w:cs="Times New Roman"/>
                <w:sz w:val="21"/>
                <w:szCs w:val="21"/>
              </w:rPr>
            </w:pPr>
            <w:r w:rsidRPr="00FB2198">
              <w:rPr>
                <w:rFonts w:ascii="Times New Roman" w:eastAsia="Calibri" w:hAnsi="Times New Roman" w:cs="Times New Roman"/>
                <w:sz w:val="21"/>
                <w:szCs w:val="21"/>
              </w:rPr>
              <w:t>Ratio of pre-tax income from foreign operations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PIFO) to lagged total assets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AT).</w:t>
            </w:r>
          </w:p>
        </w:tc>
      </w:tr>
      <w:tr w:rsidR="00C81A68" w:rsidRPr="00C81A68" w:rsidTr="00FB2198">
        <w:trPr>
          <w:trHeight w:val="20"/>
        </w:trPr>
        <w:tc>
          <w:tcPr>
            <w:tcW w:w="3139" w:type="dxa"/>
            <w:shd w:val="clear" w:color="auto" w:fill="auto"/>
          </w:tcPr>
          <w:p w:rsidR="00C81A68" w:rsidRPr="00C81A68" w:rsidRDefault="007D4064" w:rsidP="00C81A68">
            <w:pPr>
              <w:tabs>
                <w:tab w:val="left" w:pos="142"/>
              </w:tabs>
              <w:spacing w:after="0" w:line="280" w:lineRule="exact"/>
              <w:rPr>
                <w:rFonts w:ascii="Times New Roman" w:eastAsia="Calibri" w:hAnsi="Times New Roman" w:cs="Times New Roman"/>
                <w:sz w:val="21"/>
                <w:szCs w:val="21"/>
              </w:rPr>
            </w:pPr>
            <w:r>
              <w:rPr>
                <w:rFonts w:ascii="Times New Roman" w:eastAsia="Calibri" w:hAnsi="Times New Roman" w:cs="Times New Roman"/>
                <w:sz w:val="21"/>
                <w:szCs w:val="21"/>
              </w:rPr>
              <w:t>PPE (</w:t>
            </w:r>
            <w:r w:rsidR="00C81A68" w:rsidRPr="00C81A68">
              <w:rPr>
                <w:rFonts w:ascii="Times New Roman" w:eastAsia="Calibri" w:hAnsi="Times New Roman" w:cs="Times New Roman"/>
                <w:sz w:val="21"/>
                <w:szCs w:val="21"/>
              </w:rPr>
              <w:t>Property, Plant and Equipment)</w:t>
            </w:r>
          </w:p>
        </w:tc>
        <w:tc>
          <w:tcPr>
            <w:tcW w:w="5939" w:type="dxa"/>
            <w:shd w:val="clear" w:color="auto" w:fill="auto"/>
            <w:vAlign w:val="bottom"/>
          </w:tcPr>
          <w:p w:rsidR="00C81A68" w:rsidRPr="00FB2198" w:rsidRDefault="00C81A68" w:rsidP="00FB2198">
            <w:pPr>
              <w:spacing w:after="0" w:line="240" w:lineRule="auto"/>
              <w:jc w:val="both"/>
              <w:rPr>
                <w:rFonts w:ascii="Times New Roman" w:eastAsia="Calibri" w:hAnsi="Times New Roman" w:cs="Times New Roman"/>
                <w:sz w:val="21"/>
                <w:szCs w:val="21"/>
              </w:rPr>
            </w:pPr>
            <w:r w:rsidRPr="00FB2198">
              <w:rPr>
                <w:rFonts w:ascii="Times New Roman" w:eastAsia="Calibri" w:hAnsi="Times New Roman" w:cs="Times New Roman"/>
                <w:sz w:val="21"/>
                <w:szCs w:val="21"/>
              </w:rPr>
              <w:t>Ratio of net property, plant and equipment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PPENT) to lagged total assets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AT).</w:t>
            </w:r>
          </w:p>
        </w:tc>
      </w:tr>
      <w:tr w:rsidR="00C81A68" w:rsidRPr="00C81A68" w:rsidTr="00FB2198">
        <w:trPr>
          <w:trHeight w:val="20"/>
        </w:trPr>
        <w:tc>
          <w:tcPr>
            <w:tcW w:w="3139" w:type="dxa"/>
            <w:shd w:val="clear" w:color="auto" w:fill="auto"/>
          </w:tcPr>
          <w:p w:rsidR="00C81A68" w:rsidRPr="00C81A68" w:rsidRDefault="007D4064" w:rsidP="00C81A68">
            <w:pPr>
              <w:tabs>
                <w:tab w:val="left" w:pos="142"/>
              </w:tabs>
              <w:spacing w:after="0" w:line="280" w:lineRule="exact"/>
              <w:rPr>
                <w:rFonts w:ascii="Times New Roman" w:eastAsia="Calibri" w:hAnsi="Times New Roman" w:cs="Times New Roman"/>
                <w:sz w:val="21"/>
                <w:szCs w:val="21"/>
              </w:rPr>
            </w:pPr>
            <w:r>
              <w:rPr>
                <w:rFonts w:ascii="Times New Roman" w:eastAsia="Calibri" w:hAnsi="Times New Roman" w:cs="Times New Roman"/>
                <w:sz w:val="21"/>
                <w:szCs w:val="21"/>
              </w:rPr>
              <w:t>EQINC (</w:t>
            </w:r>
            <w:r w:rsidR="00C81A68" w:rsidRPr="00C81A68">
              <w:rPr>
                <w:rFonts w:ascii="Times New Roman" w:eastAsia="Calibri" w:hAnsi="Times New Roman" w:cs="Times New Roman"/>
                <w:sz w:val="21"/>
                <w:szCs w:val="21"/>
              </w:rPr>
              <w:t>Equity Income</w:t>
            </w:r>
            <w:r>
              <w:rPr>
                <w:rFonts w:ascii="Times New Roman" w:eastAsia="Calibri" w:hAnsi="Times New Roman" w:cs="Times New Roman"/>
                <w:sz w:val="21"/>
                <w:szCs w:val="21"/>
              </w:rPr>
              <w:t>)</w:t>
            </w:r>
          </w:p>
        </w:tc>
        <w:tc>
          <w:tcPr>
            <w:tcW w:w="5939" w:type="dxa"/>
            <w:shd w:val="clear" w:color="auto" w:fill="auto"/>
            <w:vAlign w:val="bottom"/>
          </w:tcPr>
          <w:p w:rsidR="00C81A68" w:rsidRPr="00FB2198" w:rsidRDefault="00C81A68" w:rsidP="00FB2198">
            <w:pPr>
              <w:spacing w:after="0" w:line="240" w:lineRule="auto"/>
              <w:jc w:val="both"/>
              <w:rPr>
                <w:rFonts w:ascii="Times New Roman" w:eastAsia="Calibri" w:hAnsi="Times New Roman" w:cs="Times New Roman"/>
                <w:sz w:val="21"/>
                <w:szCs w:val="21"/>
              </w:rPr>
            </w:pPr>
            <w:r w:rsidRPr="00FB2198">
              <w:rPr>
                <w:rFonts w:ascii="Times New Roman" w:eastAsia="Calibri" w:hAnsi="Times New Roman" w:cs="Times New Roman"/>
                <w:sz w:val="21"/>
                <w:szCs w:val="21"/>
              </w:rPr>
              <w:t>Ratio of equity in earnings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ESUB) to lagged total assets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AT).</w:t>
            </w:r>
          </w:p>
        </w:tc>
      </w:tr>
      <w:tr w:rsidR="00C81A68" w:rsidRPr="00C81A68" w:rsidTr="00FB2198">
        <w:trPr>
          <w:trHeight w:val="20"/>
        </w:trPr>
        <w:tc>
          <w:tcPr>
            <w:tcW w:w="3139" w:type="dxa"/>
            <w:shd w:val="clear" w:color="auto" w:fill="auto"/>
          </w:tcPr>
          <w:p w:rsidR="00C81A68" w:rsidRPr="00C81A68" w:rsidRDefault="007D4064" w:rsidP="00C81A68">
            <w:pPr>
              <w:tabs>
                <w:tab w:val="left" w:pos="142"/>
              </w:tabs>
              <w:spacing w:after="0" w:line="280" w:lineRule="exact"/>
              <w:rPr>
                <w:rFonts w:ascii="Times New Roman" w:eastAsia="Calibri" w:hAnsi="Times New Roman" w:cs="Times New Roman"/>
                <w:sz w:val="21"/>
                <w:szCs w:val="21"/>
              </w:rPr>
            </w:pPr>
            <w:r>
              <w:rPr>
                <w:rFonts w:ascii="Times New Roman" w:eastAsia="Calibri" w:hAnsi="Times New Roman" w:cs="Times New Roman"/>
                <w:sz w:val="21"/>
                <w:szCs w:val="21"/>
              </w:rPr>
              <w:t>INTAN (</w:t>
            </w:r>
            <w:r w:rsidR="00C81A68" w:rsidRPr="00C81A68">
              <w:rPr>
                <w:rFonts w:ascii="Times New Roman" w:eastAsia="Calibri" w:hAnsi="Times New Roman" w:cs="Times New Roman"/>
                <w:sz w:val="21"/>
                <w:szCs w:val="21"/>
              </w:rPr>
              <w:t>Intangible Assets</w:t>
            </w:r>
            <w:r>
              <w:rPr>
                <w:rFonts w:ascii="Times New Roman" w:eastAsia="Calibri" w:hAnsi="Times New Roman" w:cs="Times New Roman"/>
                <w:sz w:val="21"/>
                <w:szCs w:val="21"/>
              </w:rPr>
              <w:t>)</w:t>
            </w:r>
          </w:p>
        </w:tc>
        <w:tc>
          <w:tcPr>
            <w:tcW w:w="5939" w:type="dxa"/>
            <w:shd w:val="clear" w:color="auto" w:fill="auto"/>
            <w:vAlign w:val="bottom"/>
          </w:tcPr>
          <w:p w:rsidR="00C81A68" w:rsidRPr="00FB2198" w:rsidRDefault="00C81A68" w:rsidP="00FB2198">
            <w:pPr>
              <w:spacing w:after="0" w:line="240" w:lineRule="auto"/>
              <w:jc w:val="both"/>
              <w:rPr>
                <w:rFonts w:ascii="Times New Roman" w:eastAsia="Calibri" w:hAnsi="Times New Roman" w:cs="Times New Roman"/>
                <w:sz w:val="21"/>
                <w:szCs w:val="21"/>
              </w:rPr>
            </w:pPr>
            <w:r w:rsidRPr="00FB2198">
              <w:rPr>
                <w:rFonts w:ascii="Times New Roman" w:eastAsia="Calibri" w:hAnsi="Times New Roman" w:cs="Times New Roman"/>
                <w:sz w:val="21"/>
                <w:szCs w:val="21"/>
              </w:rPr>
              <w:t>Ratio of intangible assets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INTAN) to lagged total assets (</w:t>
            </w:r>
            <w:proofErr w:type="spellStart"/>
            <w:r w:rsidRPr="00FB2198">
              <w:rPr>
                <w:rFonts w:ascii="Times New Roman" w:eastAsia="Calibri" w:hAnsi="Times New Roman" w:cs="Times New Roman"/>
                <w:sz w:val="21"/>
                <w:szCs w:val="21"/>
              </w:rPr>
              <w:t>Compustat</w:t>
            </w:r>
            <w:proofErr w:type="spellEnd"/>
            <w:r w:rsidRPr="00FB2198">
              <w:rPr>
                <w:rFonts w:ascii="Times New Roman" w:eastAsia="Calibri" w:hAnsi="Times New Roman" w:cs="Times New Roman"/>
                <w:sz w:val="21"/>
                <w:szCs w:val="21"/>
              </w:rPr>
              <w:t xml:space="preserve"> AT).</w:t>
            </w:r>
          </w:p>
        </w:tc>
      </w:tr>
      <w:tr w:rsidR="00C81A68" w:rsidRPr="00C81A68" w:rsidTr="00FB2198">
        <w:trPr>
          <w:trHeight w:val="20"/>
        </w:trPr>
        <w:tc>
          <w:tcPr>
            <w:tcW w:w="3139"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State Rivals</w:t>
            </w:r>
          </w:p>
        </w:tc>
        <w:tc>
          <w:tcPr>
            <w:tcW w:w="5939" w:type="dxa"/>
            <w:shd w:val="clear" w:color="auto" w:fill="auto"/>
            <w:vAlign w:val="bottom"/>
          </w:tcPr>
          <w:p w:rsidR="00C81A68" w:rsidRPr="00FB2198" w:rsidRDefault="00C81A68" w:rsidP="00FB2198">
            <w:pPr>
              <w:spacing w:after="0" w:line="240" w:lineRule="auto"/>
              <w:jc w:val="both"/>
              <w:rPr>
                <w:rFonts w:ascii="Times New Roman" w:eastAsia="Calibri" w:hAnsi="Times New Roman" w:cs="Times New Roman"/>
                <w:sz w:val="21"/>
                <w:szCs w:val="21"/>
              </w:rPr>
            </w:pPr>
            <w:r w:rsidRPr="00FB2198">
              <w:rPr>
                <w:rFonts w:ascii="Times New Roman" w:eastAsia="Calibri" w:hAnsi="Times New Roman" w:cs="Arial"/>
                <w:sz w:val="21"/>
                <w:szCs w:val="21"/>
                <w:lang w:eastAsia="en-GB"/>
              </w:rPr>
              <w:t>Dummy variable that equals one if the</w:t>
            </w:r>
            <w:r w:rsidRPr="00FB2198">
              <w:rPr>
                <w:rFonts w:ascii="Times New Roman" w:eastAsia="Calibri" w:hAnsi="Times New Roman" w:cs="Times New Roman"/>
                <w:sz w:val="21"/>
                <w:szCs w:val="21"/>
                <w:lang w:eastAsia="en-GB"/>
              </w:rPr>
              <w:t xml:space="preserve"> number of</w:t>
            </w:r>
            <w:r w:rsidRPr="00FB2198">
              <w:rPr>
                <w:rFonts w:ascii="Times New Roman" w:eastAsia="Calibri" w:hAnsi="Times New Roman" w:cs="Arial"/>
                <w:sz w:val="21"/>
                <w:szCs w:val="21"/>
                <w:lang w:eastAsia="en-GB"/>
              </w:rPr>
              <w:t xml:space="preserve"> </w:t>
            </w:r>
            <w:r w:rsidRPr="00FB2198">
              <w:rPr>
                <w:rFonts w:ascii="Times New Roman" w:eastAsia="Calibri" w:hAnsi="Times New Roman" w:cs="Times New Roman"/>
                <w:sz w:val="21"/>
                <w:szCs w:val="21"/>
                <w:lang w:eastAsia="en-GB"/>
              </w:rPr>
              <w:t>firms headquartered in the same state that operate in the same 3-digit Standard Industrial Classification (SIC) code during the year</w:t>
            </w:r>
            <w:r w:rsidRPr="00FB2198">
              <w:rPr>
                <w:rFonts w:ascii="Times New Roman" w:eastAsia="Calibri" w:hAnsi="Times New Roman" w:cs="Arial"/>
                <w:sz w:val="21"/>
                <w:szCs w:val="21"/>
                <w:lang w:eastAsia="en-GB"/>
              </w:rPr>
              <w:t xml:space="preserve"> is larger than the sample median and zero </w:t>
            </w:r>
            <w:r w:rsidRPr="00FB2198">
              <w:rPr>
                <w:rFonts w:ascii="Times New Roman" w:eastAsia="Calibri" w:hAnsi="Times New Roman" w:cs="Times New Roman"/>
                <w:sz w:val="21"/>
                <w:szCs w:val="21"/>
                <w:lang w:eastAsia="en-GB"/>
              </w:rPr>
              <w:t>(Gao et al. 2015; Chen et al. 2020; Dey and White 2020)</w:t>
            </w:r>
            <w:r w:rsidRPr="00FB2198">
              <w:rPr>
                <w:rFonts w:ascii="Times New Roman" w:eastAsia="Calibri" w:hAnsi="Times New Roman" w:cs="Arial"/>
                <w:sz w:val="21"/>
                <w:szCs w:val="21"/>
                <w:lang w:eastAsia="en-GB"/>
              </w:rPr>
              <w:t>.</w:t>
            </w:r>
          </w:p>
        </w:tc>
      </w:tr>
      <w:tr w:rsidR="00C81A68" w:rsidRPr="00C81A68" w:rsidTr="00FB2198">
        <w:trPr>
          <w:trHeight w:val="20"/>
        </w:trPr>
        <w:tc>
          <w:tcPr>
            <w:tcW w:w="3139"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b/>
                <w:i/>
                <w:sz w:val="21"/>
                <w:szCs w:val="21"/>
              </w:rPr>
            </w:pPr>
            <w:r w:rsidRPr="00C81A68">
              <w:rPr>
                <w:rFonts w:ascii="Times New Roman" w:eastAsia="Calibri" w:hAnsi="Times New Roman" w:cs="Times New Roman"/>
                <w:b/>
                <w:i/>
                <w:sz w:val="21"/>
                <w:szCs w:val="21"/>
                <w:u w:val="single"/>
              </w:rPr>
              <w:t>Proxies for Internal Information Quality (IIQ)</w:t>
            </w:r>
          </w:p>
        </w:tc>
        <w:tc>
          <w:tcPr>
            <w:tcW w:w="5939" w:type="dxa"/>
            <w:shd w:val="clear" w:color="auto" w:fill="auto"/>
            <w:vAlign w:val="bottom"/>
          </w:tcPr>
          <w:p w:rsidR="00C81A68" w:rsidRPr="00FB2198" w:rsidRDefault="00C81A68" w:rsidP="00FB2198">
            <w:pPr>
              <w:spacing w:after="0" w:line="240" w:lineRule="auto"/>
              <w:jc w:val="both"/>
              <w:rPr>
                <w:rFonts w:ascii="Times New Roman" w:eastAsia="Calibri" w:hAnsi="Times New Roman" w:cs="Times New Roman"/>
                <w:sz w:val="21"/>
                <w:szCs w:val="21"/>
              </w:rPr>
            </w:pPr>
          </w:p>
        </w:tc>
      </w:tr>
      <w:tr w:rsidR="00C81A68" w:rsidRPr="00C81A68" w:rsidTr="00FB2198">
        <w:trPr>
          <w:trHeight w:val="20"/>
        </w:trPr>
        <w:tc>
          <w:tcPr>
            <w:tcW w:w="3139"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Analysts Coverage</w:t>
            </w:r>
          </w:p>
        </w:tc>
        <w:tc>
          <w:tcPr>
            <w:tcW w:w="5939" w:type="dxa"/>
            <w:shd w:val="clear" w:color="auto" w:fill="auto"/>
            <w:vAlign w:val="bottom"/>
          </w:tcPr>
          <w:p w:rsidR="00C81A68" w:rsidRPr="00FB2198" w:rsidRDefault="00C81A68" w:rsidP="00FB2198">
            <w:pPr>
              <w:spacing w:after="0" w:line="240" w:lineRule="auto"/>
              <w:jc w:val="both"/>
              <w:rPr>
                <w:rFonts w:ascii="Times New Roman" w:eastAsia="Calibri" w:hAnsi="Times New Roman" w:cs="Times New Roman"/>
                <w:sz w:val="21"/>
                <w:szCs w:val="21"/>
              </w:rPr>
            </w:pPr>
            <w:r w:rsidRPr="00FB2198">
              <w:rPr>
                <w:rFonts w:ascii="Times New Roman" w:eastAsia="Calibri" w:hAnsi="Times New Roman" w:cs="Times New Roman"/>
                <w:sz w:val="21"/>
                <w:szCs w:val="21"/>
              </w:rPr>
              <w:t xml:space="preserve">Total number of analysts following the firm during the year (as in Chen and Lin 2017). </w:t>
            </w:r>
          </w:p>
        </w:tc>
      </w:tr>
      <w:tr w:rsidR="00C81A68" w:rsidRPr="00C81A68" w:rsidTr="00FB2198">
        <w:trPr>
          <w:trHeight w:val="20"/>
        </w:trPr>
        <w:tc>
          <w:tcPr>
            <w:tcW w:w="3139" w:type="dxa"/>
            <w:shd w:val="clear" w:color="auto" w:fill="auto"/>
          </w:tcPr>
          <w:p w:rsidR="00C81A68" w:rsidRPr="00C81A68" w:rsidRDefault="00C81A68" w:rsidP="00C81A68">
            <w:pPr>
              <w:tabs>
                <w:tab w:val="left" w:pos="142"/>
              </w:tabs>
              <w:spacing w:after="0" w:line="280" w:lineRule="exact"/>
              <w:rPr>
                <w:rFonts w:ascii="Times New Roman" w:eastAsia="Calibri" w:hAnsi="Times New Roman" w:cs="Times New Roman"/>
                <w:sz w:val="21"/>
                <w:szCs w:val="21"/>
              </w:rPr>
            </w:pPr>
            <w:r w:rsidRPr="00C81A68">
              <w:rPr>
                <w:rFonts w:ascii="Times New Roman" w:eastAsia="Calibri" w:hAnsi="Times New Roman" w:cs="Times New Roman"/>
                <w:sz w:val="21"/>
                <w:szCs w:val="21"/>
              </w:rPr>
              <w:t>Absolute Discretionary Accruals</w:t>
            </w:r>
          </w:p>
        </w:tc>
        <w:tc>
          <w:tcPr>
            <w:tcW w:w="5939" w:type="dxa"/>
            <w:shd w:val="clear" w:color="auto" w:fill="auto"/>
            <w:vAlign w:val="bottom"/>
          </w:tcPr>
          <w:p w:rsidR="00C81A68" w:rsidRPr="00FB2198" w:rsidRDefault="00C81A68" w:rsidP="00FB2198">
            <w:pPr>
              <w:spacing w:after="0" w:line="240" w:lineRule="auto"/>
              <w:jc w:val="both"/>
              <w:rPr>
                <w:rFonts w:ascii="Times New Roman" w:eastAsia="Calibri" w:hAnsi="Times New Roman" w:cs="Times New Roman"/>
                <w:sz w:val="21"/>
                <w:szCs w:val="21"/>
              </w:rPr>
            </w:pPr>
            <w:r w:rsidRPr="00FB2198">
              <w:rPr>
                <w:rFonts w:ascii="Times New Roman" w:eastAsia="Calibri" w:hAnsi="Times New Roman" w:cs="Times New Roman"/>
                <w:sz w:val="21"/>
                <w:szCs w:val="21"/>
              </w:rPr>
              <w:t xml:space="preserve">The absolute values of discretionary accruals </w:t>
            </w:r>
            <w:r w:rsidRPr="00FB2198">
              <w:rPr>
                <w:rFonts w:ascii="Times New Roman" w:eastAsia="Calibri" w:hAnsi="Times New Roman" w:cs="Times New Roman"/>
                <w:sz w:val="21"/>
                <w:szCs w:val="21"/>
                <w:lang w:eastAsia="en-GB"/>
              </w:rPr>
              <w:t xml:space="preserve">are difference between actual accruals and non-discretionary accruals, </w:t>
            </w:r>
            <w:r w:rsidRPr="00FB2198">
              <w:rPr>
                <w:rFonts w:ascii="Times New Roman" w:eastAsia="Calibri" w:hAnsi="Times New Roman" w:cs="Times New Roman"/>
                <w:sz w:val="21"/>
                <w:szCs w:val="21"/>
              </w:rPr>
              <w:t>calculated using an augmented version of the modified Jones model (</w:t>
            </w:r>
            <w:proofErr w:type="spellStart"/>
            <w:r w:rsidRPr="00FB2198">
              <w:rPr>
                <w:rFonts w:ascii="Times New Roman" w:eastAsia="Calibri" w:hAnsi="Times New Roman" w:cs="Times New Roman"/>
                <w:sz w:val="21"/>
                <w:szCs w:val="21"/>
              </w:rPr>
              <w:t>Dechow</w:t>
            </w:r>
            <w:proofErr w:type="spellEnd"/>
            <w:r w:rsidRPr="00FB2198">
              <w:rPr>
                <w:rFonts w:ascii="Times New Roman" w:eastAsia="Calibri" w:hAnsi="Times New Roman" w:cs="Times New Roman"/>
                <w:sz w:val="21"/>
                <w:szCs w:val="21"/>
              </w:rPr>
              <w:t xml:space="preserve"> et al. 1995) proposed by Kothari et al. </w:t>
            </w:r>
            <w:r w:rsidR="00DE654B">
              <w:rPr>
                <w:rFonts w:ascii="Times New Roman" w:eastAsia="Calibri" w:hAnsi="Times New Roman" w:cs="Times New Roman"/>
                <w:sz w:val="21"/>
                <w:szCs w:val="21"/>
              </w:rPr>
              <w:t>(</w:t>
            </w:r>
            <w:r w:rsidRPr="00FB2198">
              <w:rPr>
                <w:rFonts w:ascii="Times New Roman" w:eastAsia="Calibri" w:hAnsi="Times New Roman" w:cs="Times New Roman"/>
                <w:sz w:val="21"/>
                <w:szCs w:val="21"/>
              </w:rPr>
              <w:t>2005</w:t>
            </w:r>
            <w:r w:rsidR="00DE654B">
              <w:rPr>
                <w:rFonts w:ascii="Times New Roman" w:eastAsia="Calibri" w:hAnsi="Times New Roman" w:cs="Times New Roman"/>
                <w:sz w:val="21"/>
                <w:szCs w:val="21"/>
              </w:rPr>
              <w:t>)</w:t>
            </w:r>
            <w:r w:rsidRPr="00FB2198">
              <w:rPr>
                <w:rFonts w:ascii="Times New Roman" w:eastAsia="Calibri" w:hAnsi="Times New Roman" w:cs="Times New Roman"/>
                <w:sz w:val="21"/>
                <w:szCs w:val="21"/>
              </w:rPr>
              <w:t xml:space="preserve"> which controls for company performance by including return on assets in the computation model. </w:t>
            </w:r>
          </w:p>
        </w:tc>
      </w:tr>
    </w:tbl>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C81A68" w:rsidRPr="00C81A68" w:rsidRDefault="00C81A68" w:rsidP="00C81A68">
      <w:pPr>
        <w:spacing w:after="0" w:line="240" w:lineRule="auto"/>
        <w:rPr>
          <w:rFonts w:ascii="Calibri" w:eastAsia="Calibri" w:hAnsi="Calibri" w:cs="Arial"/>
          <w:sz w:val="20"/>
          <w:szCs w:val="20"/>
          <w:lang w:eastAsia="en-GB"/>
        </w:rPr>
      </w:pPr>
    </w:p>
    <w:p w:rsidR="006C512F" w:rsidRDefault="006C512F">
      <w:pPr>
        <w:rPr>
          <w:rFonts w:ascii="Times New Roman" w:eastAsia="Arial" w:hAnsi="Times New Roman" w:cs="Times New Roman"/>
          <w:b/>
          <w:sz w:val="24"/>
          <w:szCs w:val="24"/>
          <w:u w:val="single"/>
          <w:lang w:eastAsia="en-GB"/>
        </w:rPr>
      </w:pPr>
      <w:r>
        <w:rPr>
          <w:rFonts w:ascii="Times New Roman" w:eastAsia="Arial" w:hAnsi="Times New Roman" w:cs="Times New Roman"/>
          <w:b/>
          <w:sz w:val="24"/>
          <w:szCs w:val="24"/>
          <w:u w:val="single"/>
          <w:lang w:eastAsia="en-GB"/>
        </w:rPr>
        <w:br w:type="page"/>
      </w:r>
    </w:p>
    <w:p w:rsidR="00C81A68" w:rsidRPr="00C81A68" w:rsidRDefault="00C81A68" w:rsidP="00C81A68">
      <w:pPr>
        <w:spacing w:after="0" w:line="300" w:lineRule="exact"/>
        <w:ind w:right="-113"/>
        <w:jc w:val="center"/>
        <w:rPr>
          <w:rFonts w:ascii="Times New Roman" w:eastAsia="Arial" w:hAnsi="Times New Roman" w:cs="Times New Roman"/>
          <w:b/>
          <w:sz w:val="24"/>
          <w:szCs w:val="24"/>
          <w:u w:val="single"/>
          <w:lang w:eastAsia="en-GB"/>
        </w:rPr>
      </w:pPr>
      <w:r w:rsidRPr="00C81A68">
        <w:rPr>
          <w:rFonts w:ascii="Times New Roman" w:eastAsia="Arial" w:hAnsi="Times New Roman" w:cs="Times New Roman"/>
          <w:b/>
          <w:sz w:val="24"/>
          <w:szCs w:val="24"/>
          <w:u w:val="single"/>
          <w:lang w:eastAsia="en-GB"/>
        </w:rPr>
        <w:lastRenderedPageBreak/>
        <w:t>Appendix B</w:t>
      </w:r>
    </w:p>
    <w:p w:rsidR="00C81A68" w:rsidRPr="00C81A68" w:rsidRDefault="00C81A68" w:rsidP="00C81A68">
      <w:pPr>
        <w:spacing w:after="0" w:line="300" w:lineRule="exact"/>
        <w:ind w:right="-113"/>
        <w:jc w:val="center"/>
        <w:rPr>
          <w:rFonts w:ascii="Times New Roman" w:eastAsia="Arial" w:hAnsi="Times New Roman" w:cs="Times New Roman"/>
          <w:b/>
          <w:sz w:val="24"/>
          <w:szCs w:val="24"/>
          <w:u w:val="single"/>
          <w:lang w:eastAsia="en-GB"/>
        </w:rPr>
      </w:pPr>
    </w:p>
    <w:p w:rsidR="00C81A68" w:rsidRPr="00C81A68" w:rsidRDefault="00C81A68" w:rsidP="00C81A68">
      <w:pPr>
        <w:spacing w:after="0" w:line="300" w:lineRule="exact"/>
        <w:ind w:right="-113"/>
        <w:jc w:val="center"/>
        <w:rPr>
          <w:rFonts w:ascii="Times New Roman" w:eastAsia="Arial" w:hAnsi="Times New Roman" w:cs="Times New Roman"/>
          <w:b/>
          <w:sz w:val="24"/>
          <w:szCs w:val="24"/>
          <w:lang w:eastAsia="en-GB"/>
        </w:rPr>
      </w:pPr>
      <w:r w:rsidRPr="00C81A68">
        <w:rPr>
          <w:rFonts w:ascii="Times New Roman" w:eastAsia="Arial" w:hAnsi="Times New Roman" w:cs="Times New Roman"/>
          <w:b/>
          <w:sz w:val="24"/>
          <w:szCs w:val="24"/>
          <w:lang w:eastAsia="en-GB"/>
        </w:rPr>
        <w:t>Precedent-Setting Legal Cases Adopting or Rejecting the Inevitable Disclosure Doctrine</w:t>
      </w:r>
    </w:p>
    <w:p w:rsidR="00C81A68" w:rsidRPr="00C81A68" w:rsidRDefault="00C81A68" w:rsidP="00C81A68">
      <w:pPr>
        <w:spacing w:after="0" w:line="200" w:lineRule="exact"/>
        <w:rPr>
          <w:rFonts w:ascii="Times New Roman" w:eastAsia="Times New Roman" w:hAnsi="Times New Roman" w:cs="Times New Roman"/>
          <w:sz w:val="24"/>
          <w:szCs w:val="24"/>
          <w:lang w:eastAsia="en-GB"/>
        </w:rPr>
      </w:pPr>
    </w:p>
    <w:tbl>
      <w:tblPr>
        <w:tblpPr w:leftFromText="180" w:rightFromText="180" w:vertAnchor="text" w:horzAnchor="margin" w:tblpY="-38"/>
        <w:tblW w:w="9586" w:type="dxa"/>
        <w:tblBorders>
          <w:top w:val="single" w:sz="4" w:space="0" w:color="auto"/>
          <w:bottom w:val="single" w:sz="4" w:space="0" w:color="auto"/>
        </w:tblBorders>
        <w:tblLook w:val="04A0" w:firstRow="1" w:lastRow="0" w:firstColumn="1" w:lastColumn="0" w:noHBand="0" w:noVBand="1"/>
      </w:tblPr>
      <w:tblGrid>
        <w:gridCol w:w="960"/>
        <w:gridCol w:w="5534"/>
        <w:gridCol w:w="1419"/>
        <w:gridCol w:w="1673"/>
      </w:tblGrid>
      <w:tr w:rsidR="00C81A68" w:rsidRPr="00C81A68" w:rsidTr="009032B3">
        <w:trPr>
          <w:trHeight w:val="277"/>
        </w:trPr>
        <w:tc>
          <w:tcPr>
            <w:tcW w:w="960" w:type="dxa"/>
            <w:tcBorders>
              <w:top w:val="single" w:sz="4" w:space="0" w:color="auto"/>
              <w:bottom w:val="single" w:sz="4" w:space="0" w:color="auto"/>
            </w:tcBorders>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b/>
                <w:sz w:val="21"/>
                <w:szCs w:val="21"/>
              </w:rPr>
            </w:pPr>
            <w:r w:rsidRPr="00C81A68">
              <w:rPr>
                <w:rFonts w:ascii="Times New Roman" w:eastAsia="Times New Roman" w:hAnsi="Times New Roman" w:cs="Times New Roman"/>
                <w:b/>
                <w:sz w:val="21"/>
                <w:szCs w:val="21"/>
              </w:rPr>
              <w:t>State</w:t>
            </w:r>
          </w:p>
        </w:tc>
        <w:tc>
          <w:tcPr>
            <w:tcW w:w="5534" w:type="dxa"/>
            <w:tcBorders>
              <w:top w:val="single" w:sz="4" w:space="0" w:color="auto"/>
              <w:bottom w:val="single" w:sz="4" w:space="0" w:color="auto"/>
            </w:tcBorders>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b/>
                <w:sz w:val="21"/>
                <w:szCs w:val="21"/>
              </w:rPr>
            </w:pPr>
            <w:r w:rsidRPr="00C81A68">
              <w:rPr>
                <w:rFonts w:ascii="Times New Roman" w:eastAsia="Arial" w:hAnsi="Times New Roman" w:cs="Times New Roman"/>
                <w:b/>
                <w:sz w:val="21"/>
                <w:szCs w:val="21"/>
              </w:rPr>
              <w:t xml:space="preserve">  Precedent-Setting Cases</w:t>
            </w:r>
          </w:p>
        </w:tc>
        <w:tc>
          <w:tcPr>
            <w:tcW w:w="1419" w:type="dxa"/>
            <w:tcBorders>
              <w:top w:val="single" w:sz="4" w:space="0" w:color="auto"/>
              <w:bottom w:val="single" w:sz="4" w:space="0" w:color="auto"/>
            </w:tcBorders>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b/>
                <w:sz w:val="21"/>
                <w:szCs w:val="21"/>
              </w:rPr>
            </w:pPr>
            <w:r w:rsidRPr="00C81A68">
              <w:rPr>
                <w:rFonts w:ascii="Times New Roman" w:eastAsia="Times New Roman" w:hAnsi="Times New Roman" w:cs="Times New Roman"/>
                <w:b/>
                <w:sz w:val="21"/>
                <w:szCs w:val="21"/>
              </w:rPr>
              <w:t>Date</w:t>
            </w:r>
          </w:p>
        </w:tc>
        <w:tc>
          <w:tcPr>
            <w:tcW w:w="1673" w:type="dxa"/>
            <w:tcBorders>
              <w:top w:val="single" w:sz="4" w:space="0" w:color="auto"/>
              <w:bottom w:val="single" w:sz="4" w:space="0" w:color="auto"/>
            </w:tcBorders>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b/>
                <w:sz w:val="21"/>
                <w:szCs w:val="21"/>
              </w:rPr>
            </w:pPr>
            <w:r w:rsidRPr="00C81A68">
              <w:rPr>
                <w:rFonts w:ascii="Times New Roman" w:eastAsia="Times New Roman" w:hAnsi="Times New Roman" w:cs="Times New Roman"/>
                <w:b/>
                <w:sz w:val="21"/>
                <w:szCs w:val="21"/>
              </w:rPr>
              <w:t>Decision</w:t>
            </w:r>
          </w:p>
        </w:tc>
      </w:tr>
      <w:tr w:rsidR="00C81A68" w:rsidRPr="00C81A68" w:rsidTr="009032B3">
        <w:trPr>
          <w:trHeight w:val="364"/>
        </w:trPr>
        <w:tc>
          <w:tcPr>
            <w:tcW w:w="960" w:type="dxa"/>
            <w:tcBorders>
              <w:top w:val="single" w:sz="4" w:space="0" w:color="auto"/>
            </w:tcBorders>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AR</w:t>
            </w:r>
          </w:p>
        </w:tc>
        <w:tc>
          <w:tcPr>
            <w:tcW w:w="5534" w:type="dxa"/>
            <w:tcBorders>
              <w:top w:val="single" w:sz="4" w:space="0" w:color="auto"/>
            </w:tcBorders>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Southwestern Energy Co. </w:t>
            </w:r>
            <w:r w:rsidRPr="00C81A68">
              <w:rPr>
                <w:rFonts w:ascii="Times New Roman" w:eastAsia="Arial" w:hAnsi="Times New Roman" w:cs="Times New Roman"/>
                <w:i/>
                <w:sz w:val="21"/>
                <w:szCs w:val="21"/>
              </w:rPr>
              <w:t>v.</w:t>
            </w:r>
            <w:r w:rsidRPr="00C81A68">
              <w:rPr>
                <w:rFonts w:ascii="Times New Roman" w:eastAsia="Arial" w:hAnsi="Times New Roman" w:cs="Times New Roman"/>
                <w:sz w:val="21"/>
                <w:szCs w:val="21"/>
              </w:rPr>
              <w:t xml:space="preserve"> </w:t>
            </w:r>
            <w:proofErr w:type="spellStart"/>
            <w:r w:rsidRPr="00C81A68">
              <w:rPr>
                <w:rFonts w:ascii="Times New Roman" w:eastAsia="Arial" w:hAnsi="Times New Roman" w:cs="Times New Roman"/>
                <w:sz w:val="21"/>
                <w:szCs w:val="21"/>
              </w:rPr>
              <w:t>Eickenhorst</w:t>
            </w:r>
            <w:proofErr w:type="spellEnd"/>
            <w:r w:rsidRPr="00C81A68">
              <w:rPr>
                <w:rFonts w:ascii="Times New Roman" w:eastAsia="Arial" w:hAnsi="Times New Roman" w:cs="Times New Roman"/>
                <w:sz w:val="21"/>
                <w:szCs w:val="21"/>
              </w:rPr>
              <w:t>, 955 F. Supp. 1078 (W.D. Ark. 1997)</w:t>
            </w:r>
          </w:p>
        </w:tc>
        <w:tc>
          <w:tcPr>
            <w:tcW w:w="1419" w:type="dxa"/>
            <w:tcBorders>
              <w:top w:val="single" w:sz="4" w:space="0" w:color="auto"/>
            </w:tcBorders>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Arial" w:hAnsi="Times New Roman" w:cs="Times New Roman"/>
                <w:sz w:val="21"/>
                <w:szCs w:val="21"/>
              </w:rPr>
              <w:t>3/18/1997</w:t>
            </w:r>
          </w:p>
        </w:tc>
        <w:tc>
          <w:tcPr>
            <w:tcW w:w="1673" w:type="dxa"/>
            <w:tcBorders>
              <w:top w:val="single" w:sz="4" w:space="0" w:color="auto"/>
            </w:tcBorders>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CT</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Branson </w:t>
            </w:r>
            <w:proofErr w:type="spellStart"/>
            <w:r w:rsidRPr="00C81A68">
              <w:rPr>
                <w:rFonts w:ascii="Times New Roman" w:eastAsia="Arial" w:hAnsi="Times New Roman" w:cs="Times New Roman"/>
                <w:sz w:val="21"/>
                <w:szCs w:val="21"/>
              </w:rPr>
              <w:t>Ultrasonics</w:t>
            </w:r>
            <w:proofErr w:type="spellEnd"/>
            <w:r w:rsidRPr="00C81A68">
              <w:rPr>
                <w:rFonts w:ascii="Times New Roman" w:eastAsia="Arial" w:hAnsi="Times New Roman" w:cs="Times New Roman"/>
                <w:sz w:val="21"/>
                <w:szCs w:val="21"/>
              </w:rPr>
              <w:t xml:space="preserve"> Corp. </w:t>
            </w:r>
            <w:r w:rsidRPr="00C81A68">
              <w:rPr>
                <w:rFonts w:ascii="Times New Roman" w:eastAsia="Arial" w:hAnsi="Times New Roman" w:cs="Times New Roman"/>
                <w:i/>
                <w:sz w:val="21"/>
                <w:szCs w:val="21"/>
              </w:rPr>
              <w:t>v.</w:t>
            </w:r>
            <w:r w:rsidRPr="00C81A68">
              <w:rPr>
                <w:rFonts w:ascii="Times New Roman" w:eastAsia="Arial" w:hAnsi="Times New Roman" w:cs="Times New Roman"/>
                <w:sz w:val="21"/>
                <w:szCs w:val="21"/>
              </w:rPr>
              <w:t xml:space="preserve"> Stratman, 921 F. Supp. 909 (D. Conn. 1996)</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Arial" w:hAnsi="Times New Roman" w:cs="Times New Roman"/>
                <w:sz w:val="21"/>
                <w:szCs w:val="21"/>
              </w:rPr>
              <w:t>2/28/1996</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DE</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E.I. </w:t>
            </w:r>
            <w:proofErr w:type="spellStart"/>
            <w:r w:rsidRPr="00C81A68">
              <w:rPr>
                <w:rFonts w:ascii="Times New Roman" w:eastAsia="Arial" w:hAnsi="Times New Roman" w:cs="Times New Roman"/>
                <w:sz w:val="21"/>
                <w:szCs w:val="21"/>
              </w:rPr>
              <w:t>duPont</w:t>
            </w:r>
            <w:proofErr w:type="spellEnd"/>
            <w:r w:rsidRPr="00C81A68">
              <w:rPr>
                <w:rFonts w:ascii="Times New Roman" w:eastAsia="Arial" w:hAnsi="Times New Roman" w:cs="Times New Roman"/>
                <w:sz w:val="21"/>
                <w:szCs w:val="21"/>
              </w:rPr>
              <w:t xml:space="preserve"> de Nemours &amp; Co. </w:t>
            </w:r>
            <w:r w:rsidRPr="00C81A68">
              <w:rPr>
                <w:rFonts w:ascii="Times New Roman" w:eastAsia="Arial" w:hAnsi="Times New Roman" w:cs="Times New Roman"/>
                <w:i/>
                <w:sz w:val="21"/>
                <w:szCs w:val="21"/>
              </w:rPr>
              <w:t>v.</w:t>
            </w:r>
            <w:r w:rsidRPr="00C81A68">
              <w:rPr>
                <w:rFonts w:ascii="Times New Roman" w:eastAsia="Arial" w:hAnsi="Times New Roman" w:cs="Times New Roman"/>
                <w:sz w:val="21"/>
                <w:szCs w:val="21"/>
              </w:rPr>
              <w:t xml:space="preserve"> American Potash &amp; Chem. Corp., 200 A.2d 428 (Del. Ch. 1964)</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5/5/1964</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FL</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Fountain v. Hudson Cush-N-Foam Corp., 122 </w:t>
            </w:r>
            <w:proofErr w:type="spellStart"/>
            <w:r w:rsidRPr="00C81A68">
              <w:rPr>
                <w:rFonts w:ascii="Times New Roman" w:eastAsia="Arial" w:hAnsi="Times New Roman" w:cs="Times New Roman"/>
                <w:sz w:val="21"/>
                <w:szCs w:val="21"/>
              </w:rPr>
              <w:t>So.</w:t>
            </w:r>
            <w:proofErr w:type="spellEnd"/>
            <w:r w:rsidRPr="00C81A68">
              <w:rPr>
                <w:rFonts w:ascii="Times New Roman" w:eastAsia="Arial" w:hAnsi="Times New Roman" w:cs="Times New Roman"/>
                <w:sz w:val="21"/>
                <w:szCs w:val="21"/>
              </w:rPr>
              <w:t xml:space="preserve"> 2d 232 (Fla. Dist. Ct. App. 1960)</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7/11/1960</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FL</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Del Monte Fresh Produce Co. </w:t>
            </w:r>
            <w:r w:rsidRPr="00C81A68">
              <w:rPr>
                <w:rFonts w:ascii="Times New Roman" w:eastAsia="Arial" w:hAnsi="Times New Roman" w:cs="Times New Roman"/>
                <w:i/>
                <w:sz w:val="21"/>
                <w:szCs w:val="21"/>
              </w:rPr>
              <w:t>v.</w:t>
            </w:r>
            <w:r w:rsidRPr="00C81A68">
              <w:rPr>
                <w:rFonts w:ascii="Times New Roman" w:eastAsia="Arial" w:hAnsi="Times New Roman" w:cs="Times New Roman"/>
                <w:sz w:val="21"/>
                <w:szCs w:val="21"/>
              </w:rPr>
              <w:t xml:space="preserve"> Dole Food Co. Inc., 148 F. Supp. 2d 1326 (S.D. Fla. 2001)</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5/21/2001</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Reject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GA</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Essex Group Inc. </w:t>
            </w:r>
            <w:r w:rsidRPr="00C81A68">
              <w:rPr>
                <w:rFonts w:ascii="Times New Roman" w:eastAsia="Arial" w:hAnsi="Times New Roman" w:cs="Times New Roman"/>
                <w:i/>
                <w:sz w:val="21"/>
                <w:szCs w:val="21"/>
              </w:rPr>
              <w:t>v.</w:t>
            </w:r>
            <w:r w:rsidRPr="00C81A68">
              <w:rPr>
                <w:rFonts w:ascii="Times New Roman" w:eastAsia="Arial" w:hAnsi="Times New Roman" w:cs="Times New Roman"/>
                <w:sz w:val="21"/>
                <w:szCs w:val="21"/>
              </w:rPr>
              <w:t xml:space="preserve"> Southwire Co., 501 S.E.2d 501 (Ga. 1998)</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6/29/1998</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IL</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Teradyne Inc. </w:t>
            </w:r>
            <w:r w:rsidRPr="00C81A68">
              <w:rPr>
                <w:rFonts w:ascii="Times New Roman" w:eastAsia="Arial" w:hAnsi="Times New Roman" w:cs="Times New Roman"/>
                <w:i/>
                <w:sz w:val="21"/>
                <w:szCs w:val="21"/>
              </w:rPr>
              <w:t>v.</w:t>
            </w:r>
            <w:r w:rsidRPr="00C81A68">
              <w:rPr>
                <w:rFonts w:ascii="Times New Roman" w:eastAsia="Arial" w:hAnsi="Times New Roman" w:cs="Times New Roman"/>
                <w:sz w:val="21"/>
                <w:szCs w:val="21"/>
              </w:rPr>
              <w:t xml:space="preserve"> Clear Communications Corp., 707 F. Supp. 353 (N.D. 111. 1989)</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2/9/1989</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IN</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Ackerman </w:t>
            </w:r>
            <w:r w:rsidRPr="00C81A68">
              <w:rPr>
                <w:rFonts w:ascii="Times New Roman" w:eastAsia="Arial" w:hAnsi="Times New Roman" w:cs="Times New Roman"/>
                <w:i/>
                <w:sz w:val="21"/>
                <w:szCs w:val="21"/>
              </w:rPr>
              <w:t>v.</w:t>
            </w:r>
            <w:r w:rsidRPr="00C81A68">
              <w:rPr>
                <w:rFonts w:ascii="Times New Roman" w:eastAsia="Arial" w:hAnsi="Times New Roman" w:cs="Times New Roman"/>
                <w:sz w:val="21"/>
                <w:szCs w:val="21"/>
              </w:rPr>
              <w:t xml:space="preserve"> Kimball Int'l Inc., 652 N.E.2d 507 (Ind. 1995)</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7/12/1995</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IA</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Uncle B's Bakery </w:t>
            </w:r>
            <w:r w:rsidRPr="00C81A68">
              <w:rPr>
                <w:rFonts w:ascii="Times New Roman" w:eastAsia="Arial" w:hAnsi="Times New Roman" w:cs="Times New Roman"/>
                <w:i/>
                <w:sz w:val="21"/>
                <w:szCs w:val="21"/>
              </w:rPr>
              <w:t>v.</w:t>
            </w:r>
            <w:r w:rsidRPr="00C81A68">
              <w:rPr>
                <w:rFonts w:ascii="Times New Roman" w:eastAsia="Arial" w:hAnsi="Times New Roman" w:cs="Times New Roman"/>
                <w:sz w:val="21"/>
                <w:szCs w:val="21"/>
              </w:rPr>
              <w:t xml:space="preserve"> O'Rourke, 920 F. Supp. 1405 (N.D. Iowa 1996)</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4/1/1996</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KS</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Bradbury Co. </w:t>
            </w:r>
            <w:r w:rsidRPr="00C81A68">
              <w:rPr>
                <w:rFonts w:ascii="Times New Roman" w:eastAsia="Arial" w:hAnsi="Times New Roman" w:cs="Times New Roman"/>
                <w:i/>
                <w:sz w:val="21"/>
                <w:szCs w:val="21"/>
              </w:rPr>
              <w:t>v.</w:t>
            </w:r>
            <w:r w:rsidRPr="00C81A68">
              <w:rPr>
                <w:rFonts w:ascii="Times New Roman" w:eastAsia="Arial" w:hAnsi="Times New Roman" w:cs="Times New Roman"/>
                <w:sz w:val="21"/>
                <w:szCs w:val="21"/>
              </w:rPr>
              <w:t xml:space="preserve"> </w:t>
            </w:r>
            <w:proofErr w:type="spellStart"/>
            <w:r w:rsidRPr="00C81A68">
              <w:rPr>
                <w:rFonts w:ascii="Times New Roman" w:eastAsia="Arial" w:hAnsi="Times New Roman" w:cs="Times New Roman"/>
                <w:sz w:val="21"/>
                <w:szCs w:val="21"/>
              </w:rPr>
              <w:t>Teissier-duCros</w:t>
            </w:r>
            <w:proofErr w:type="spellEnd"/>
            <w:r w:rsidRPr="00C81A68">
              <w:rPr>
                <w:rFonts w:ascii="Times New Roman" w:eastAsia="Arial" w:hAnsi="Times New Roman" w:cs="Times New Roman"/>
                <w:sz w:val="21"/>
                <w:szCs w:val="21"/>
              </w:rPr>
              <w:t>, 413 F. Supp. 2d 1203 (D. Kans. 2006)</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2/2/2006</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MA</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Bard v. </w:t>
            </w:r>
            <w:proofErr w:type="spellStart"/>
            <w:r w:rsidRPr="00C81A68">
              <w:rPr>
                <w:rFonts w:ascii="Times New Roman" w:eastAsia="Arial" w:hAnsi="Times New Roman" w:cs="Times New Roman"/>
                <w:sz w:val="21"/>
                <w:szCs w:val="21"/>
              </w:rPr>
              <w:t>Intoccia</w:t>
            </w:r>
            <w:proofErr w:type="spellEnd"/>
            <w:r w:rsidRPr="00C81A68">
              <w:rPr>
                <w:rFonts w:ascii="Times New Roman" w:eastAsia="Arial" w:hAnsi="Times New Roman" w:cs="Times New Roman"/>
                <w:sz w:val="21"/>
                <w:szCs w:val="21"/>
              </w:rPr>
              <w:t>, 1994 U.S. Dist. LEXIS 15, 368 (D. Mass. 1994)</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10/13/1994</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MI</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Allis-Chalmers Manuf. Co. v. Continental Aviation &amp; Eng. Corp., 255 F. Supp. 645 (E.D. Mich. 1966)</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2/17/1966</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MI</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CMI Int'l, Inc. v. </w:t>
            </w:r>
            <w:proofErr w:type="spellStart"/>
            <w:r w:rsidRPr="00C81A68">
              <w:rPr>
                <w:rFonts w:ascii="Times New Roman" w:eastAsia="Arial" w:hAnsi="Times New Roman" w:cs="Times New Roman"/>
                <w:sz w:val="21"/>
                <w:szCs w:val="21"/>
              </w:rPr>
              <w:t>Intermet</w:t>
            </w:r>
            <w:proofErr w:type="spellEnd"/>
            <w:r w:rsidRPr="00C81A68">
              <w:rPr>
                <w:rFonts w:ascii="Times New Roman" w:eastAsia="Arial" w:hAnsi="Times New Roman" w:cs="Times New Roman"/>
                <w:sz w:val="21"/>
                <w:szCs w:val="21"/>
              </w:rPr>
              <w:t xml:space="preserve"> Int'l Corp., 649 N.W.2d 808 (Mich. Ct. App. 2002)</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4/30/2002</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Reject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MN</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proofErr w:type="spellStart"/>
            <w:r w:rsidRPr="00C81A68">
              <w:rPr>
                <w:rFonts w:ascii="Times New Roman" w:eastAsia="Arial" w:hAnsi="Times New Roman" w:cs="Times New Roman"/>
                <w:sz w:val="21"/>
                <w:szCs w:val="21"/>
              </w:rPr>
              <w:t>Surgidev</w:t>
            </w:r>
            <w:proofErr w:type="spellEnd"/>
            <w:r w:rsidRPr="00C81A68">
              <w:rPr>
                <w:rFonts w:ascii="Times New Roman" w:eastAsia="Arial" w:hAnsi="Times New Roman" w:cs="Times New Roman"/>
                <w:sz w:val="21"/>
                <w:szCs w:val="21"/>
              </w:rPr>
              <w:t xml:space="preserve"> Corp. v. Eye Technology Inc., 648 F. Supp. 661 (D. Minn. 1986)</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10/10/1986</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MO</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H&amp;R Block Eastern Tax </w:t>
            </w:r>
            <w:proofErr w:type="spellStart"/>
            <w:r w:rsidRPr="00C81A68">
              <w:rPr>
                <w:rFonts w:ascii="Times New Roman" w:eastAsia="Arial" w:hAnsi="Times New Roman" w:cs="Times New Roman"/>
                <w:sz w:val="21"/>
                <w:szCs w:val="21"/>
              </w:rPr>
              <w:t>Servs</w:t>
            </w:r>
            <w:proofErr w:type="spellEnd"/>
            <w:r w:rsidRPr="00C81A68">
              <w:rPr>
                <w:rFonts w:ascii="Times New Roman" w:eastAsia="Arial" w:hAnsi="Times New Roman" w:cs="Times New Roman"/>
                <w:sz w:val="21"/>
                <w:szCs w:val="21"/>
              </w:rPr>
              <w:t xml:space="preserve">. Inc. v. </w:t>
            </w:r>
            <w:proofErr w:type="spellStart"/>
            <w:r w:rsidRPr="00C81A68">
              <w:rPr>
                <w:rFonts w:ascii="Times New Roman" w:eastAsia="Arial" w:hAnsi="Times New Roman" w:cs="Times New Roman"/>
                <w:sz w:val="21"/>
                <w:szCs w:val="21"/>
              </w:rPr>
              <w:t>Enchura</w:t>
            </w:r>
            <w:proofErr w:type="spellEnd"/>
            <w:r w:rsidRPr="00C81A68">
              <w:rPr>
                <w:rFonts w:ascii="Times New Roman" w:eastAsia="Arial" w:hAnsi="Times New Roman" w:cs="Times New Roman"/>
                <w:sz w:val="21"/>
                <w:szCs w:val="21"/>
              </w:rPr>
              <w:t>, 122 F. Supp. 2d 1067 (W.D. Mo. 2000)</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11/2/2000</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NJ</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Nat'l Starch &amp; Chem. Corp. v. Parker Chem. Corp., 530 A.2d 31 (N.J. Super. Ct. 1987)</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4/27/1987</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NY</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Eastman Kodak Co. v. Powers Film Prod., 189 A.D. 556 </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12/5/1919</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NC</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proofErr w:type="spellStart"/>
            <w:r w:rsidRPr="00C81A68">
              <w:rPr>
                <w:rFonts w:ascii="Times New Roman" w:eastAsia="Arial" w:hAnsi="Times New Roman" w:cs="Times New Roman"/>
                <w:sz w:val="21"/>
                <w:szCs w:val="21"/>
              </w:rPr>
              <w:t>Travenol</w:t>
            </w:r>
            <w:proofErr w:type="spellEnd"/>
            <w:r w:rsidRPr="00C81A68">
              <w:rPr>
                <w:rFonts w:ascii="Times New Roman" w:eastAsia="Arial" w:hAnsi="Times New Roman" w:cs="Times New Roman"/>
                <w:sz w:val="21"/>
                <w:szCs w:val="21"/>
              </w:rPr>
              <w:t xml:space="preserve"> Laboratories Inc. v. Turner, 228 S.E.2d 478 (N.C. Ct. App. 1976)</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6/17/1976</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OH</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Procter &amp; Gamble Co. v. Stoneham, 747 N.E.2d 268 (Ohio Ct. App. 2000)</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9/29/2000</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PA</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Air Products &amp; Chemical Inc. v. Johnson, 442 A.2d 1114 (Pa. Super. Ct. 1982)</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2/19/1982</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TX</w:t>
            </w:r>
          </w:p>
        </w:tc>
        <w:tc>
          <w:tcPr>
            <w:tcW w:w="5534" w:type="dxa"/>
            <w:shd w:val="clear" w:color="auto" w:fill="auto"/>
            <w:vAlign w:val="bottom"/>
          </w:tcPr>
          <w:p w:rsidR="00C81A68" w:rsidRPr="00C81A68" w:rsidRDefault="00C81A68" w:rsidP="00C81A68">
            <w:pPr>
              <w:spacing w:before="100" w:beforeAutospacing="1" w:after="100" w:afterAutospacing="1"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Rugen v. Interactive Business Systems Inc., 864 S.W.2d 548 (Tex. App. 1993)</w:t>
            </w:r>
          </w:p>
        </w:tc>
        <w:tc>
          <w:tcPr>
            <w:tcW w:w="1419" w:type="dxa"/>
            <w:shd w:val="clear" w:color="auto" w:fill="auto"/>
          </w:tcPr>
          <w:p w:rsidR="00C81A68" w:rsidRPr="00C81A68" w:rsidRDefault="00C81A68" w:rsidP="00C81A68">
            <w:pPr>
              <w:spacing w:before="100" w:beforeAutospacing="1" w:after="100" w:afterAutospacing="1"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5/28/1993</w:t>
            </w:r>
          </w:p>
        </w:tc>
        <w:tc>
          <w:tcPr>
            <w:tcW w:w="1673" w:type="dxa"/>
            <w:shd w:val="clear" w:color="auto" w:fill="auto"/>
          </w:tcPr>
          <w:p w:rsidR="00C81A68" w:rsidRPr="00C81A68" w:rsidRDefault="00C81A68" w:rsidP="00C81A68">
            <w:pPr>
              <w:spacing w:before="100" w:beforeAutospacing="1" w:after="100" w:afterAutospacing="1"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after="0"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TX</w:t>
            </w:r>
          </w:p>
        </w:tc>
        <w:tc>
          <w:tcPr>
            <w:tcW w:w="5534" w:type="dxa"/>
            <w:shd w:val="clear" w:color="auto" w:fill="auto"/>
            <w:vAlign w:val="bottom"/>
          </w:tcPr>
          <w:p w:rsidR="00C81A68" w:rsidRPr="00C81A68" w:rsidRDefault="00C81A68" w:rsidP="00C81A68">
            <w:pPr>
              <w:spacing w:after="0"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 xml:space="preserve">Cardinal Health </w:t>
            </w:r>
            <w:proofErr w:type="spellStart"/>
            <w:r w:rsidRPr="00C81A68">
              <w:rPr>
                <w:rFonts w:ascii="Times New Roman" w:eastAsia="Arial" w:hAnsi="Times New Roman" w:cs="Times New Roman"/>
                <w:sz w:val="21"/>
                <w:szCs w:val="21"/>
              </w:rPr>
              <w:t>Staffng</w:t>
            </w:r>
            <w:proofErr w:type="spellEnd"/>
            <w:r w:rsidRPr="00C81A68">
              <w:rPr>
                <w:rFonts w:ascii="Times New Roman" w:eastAsia="Arial" w:hAnsi="Times New Roman" w:cs="Times New Roman"/>
                <w:sz w:val="21"/>
                <w:szCs w:val="21"/>
              </w:rPr>
              <w:t xml:space="preserve"> Network Inc. v. Bowen, 106 S.W.3d 230 (Tex. App. 2003)</w:t>
            </w:r>
          </w:p>
        </w:tc>
        <w:tc>
          <w:tcPr>
            <w:tcW w:w="1419" w:type="dxa"/>
            <w:shd w:val="clear" w:color="auto" w:fill="auto"/>
          </w:tcPr>
          <w:p w:rsidR="00C81A68" w:rsidRPr="00C81A68" w:rsidRDefault="00C81A68" w:rsidP="00C81A68">
            <w:pPr>
              <w:spacing w:after="0" w:line="260" w:lineRule="exact"/>
              <w:rPr>
                <w:rFonts w:ascii="Times New Roman" w:eastAsia="Times New Roman" w:hAnsi="Times New Roman" w:cs="Times New Roman"/>
                <w:sz w:val="21"/>
                <w:szCs w:val="21"/>
              </w:rPr>
            </w:pPr>
            <w:r w:rsidRPr="00C81A68">
              <w:rPr>
                <w:rFonts w:ascii="Times New Roman" w:eastAsia="Arial" w:hAnsi="Times New Roman" w:cs="Times New Roman"/>
                <w:sz w:val="21"/>
                <w:szCs w:val="21"/>
              </w:rPr>
              <w:t>4/3/2003</w:t>
            </w:r>
          </w:p>
        </w:tc>
        <w:tc>
          <w:tcPr>
            <w:tcW w:w="1673" w:type="dxa"/>
            <w:shd w:val="clear" w:color="auto" w:fill="auto"/>
          </w:tcPr>
          <w:p w:rsidR="00C81A68" w:rsidRPr="00C81A68" w:rsidRDefault="00C81A68" w:rsidP="00C81A68">
            <w:pPr>
              <w:spacing w:after="0"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Reject</w:t>
            </w:r>
          </w:p>
        </w:tc>
      </w:tr>
      <w:tr w:rsidR="00C81A68" w:rsidRPr="00C81A68" w:rsidTr="009032B3">
        <w:trPr>
          <w:trHeight w:val="364"/>
        </w:trPr>
        <w:tc>
          <w:tcPr>
            <w:tcW w:w="960" w:type="dxa"/>
            <w:shd w:val="clear" w:color="auto" w:fill="auto"/>
          </w:tcPr>
          <w:p w:rsidR="00C81A68" w:rsidRPr="00C81A68" w:rsidRDefault="00C81A68" w:rsidP="00C81A68">
            <w:pPr>
              <w:spacing w:after="0"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UT</w:t>
            </w:r>
          </w:p>
        </w:tc>
        <w:tc>
          <w:tcPr>
            <w:tcW w:w="5534" w:type="dxa"/>
            <w:shd w:val="clear" w:color="auto" w:fill="auto"/>
            <w:vAlign w:val="bottom"/>
          </w:tcPr>
          <w:p w:rsidR="00C81A68" w:rsidRPr="00C81A68" w:rsidRDefault="00C81A68" w:rsidP="00C81A68">
            <w:pPr>
              <w:spacing w:after="0" w:line="260" w:lineRule="exact"/>
              <w:ind w:left="120"/>
              <w:rPr>
                <w:rFonts w:ascii="Times New Roman" w:eastAsia="Arial" w:hAnsi="Times New Roman" w:cs="Times New Roman"/>
                <w:sz w:val="21"/>
                <w:szCs w:val="21"/>
              </w:rPr>
            </w:pPr>
            <w:r w:rsidRPr="00C81A68">
              <w:rPr>
                <w:rFonts w:ascii="Times New Roman" w:eastAsia="Arial" w:hAnsi="Times New Roman" w:cs="Times New Roman"/>
                <w:sz w:val="21"/>
                <w:szCs w:val="21"/>
              </w:rPr>
              <w:t>Novell Inc. v. Timpanogos Research Group Inc., 46 U.S.P.Q.2d 1197 (Utah D.C. 1998)</w:t>
            </w:r>
          </w:p>
        </w:tc>
        <w:tc>
          <w:tcPr>
            <w:tcW w:w="1419" w:type="dxa"/>
            <w:shd w:val="clear" w:color="auto" w:fill="auto"/>
          </w:tcPr>
          <w:p w:rsidR="00C81A68" w:rsidRPr="00C81A68" w:rsidRDefault="00C81A68" w:rsidP="00C81A68">
            <w:pPr>
              <w:spacing w:after="0" w:line="260" w:lineRule="exact"/>
              <w:rPr>
                <w:rFonts w:ascii="Times New Roman" w:eastAsia="Times New Roman" w:hAnsi="Times New Roman" w:cs="Times New Roman"/>
                <w:sz w:val="21"/>
                <w:szCs w:val="21"/>
              </w:rPr>
            </w:pPr>
            <w:r w:rsidRPr="00C81A68">
              <w:rPr>
                <w:rFonts w:ascii="Times New Roman" w:eastAsia="Arial" w:hAnsi="Times New Roman" w:cs="Times New Roman"/>
                <w:sz w:val="21"/>
                <w:szCs w:val="21"/>
              </w:rPr>
              <w:t>1/30/1998</w:t>
            </w:r>
          </w:p>
        </w:tc>
        <w:tc>
          <w:tcPr>
            <w:tcW w:w="1673" w:type="dxa"/>
            <w:shd w:val="clear" w:color="auto" w:fill="auto"/>
          </w:tcPr>
          <w:p w:rsidR="00C81A68" w:rsidRPr="00C81A68" w:rsidRDefault="00C81A68" w:rsidP="00C81A68">
            <w:pPr>
              <w:spacing w:after="0"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r w:rsidR="00C81A68" w:rsidRPr="00C81A68" w:rsidTr="009032B3">
        <w:trPr>
          <w:trHeight w:val="364"/>
        </w:trPr>
        <w:tc>
          <w:tcPr>
            <w:tcW w:w="960" w:type="dxa"/>
            <w:shd w:val="clear" w:color="auto" w:fill="auto"/>
          </w:tcPr>
          <w:p w:rsidR="00C81A68" w:rsidRPr="00C81A68" w:rsidRDefault="00C81A68" w:rsidP="00C81A68">
            <w:pPr>
              <w:spacing w:after="0"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WA</w:t>
            </w:r>
          </w:p>
        </w:tc>
        <w:tc>
          <w:tcPr>
            <w:tcW w:w="5534" w:type="dxa"/>
            <w:shd w:val="clear" w:color="auto" w:fill="auto"/>
            <w:vAlign w:val="bottom"/>
          </w:tcPr>
          <w:p w:rsidR="00C81A68" w:rsidRPr="00C81A68" w:rsidRDefault="00C81A68" w:rsidP="00C81A68">
            <w:pPr>
              <w:spacing w:after="0" w:line="260" w:lineRule="exact"/>
              <w:ind w:left="120"/>
              <w:rPr>
                <w:rFonts w:ascii="Times New Roman" w:eastAsia="Arial" w:hAnsi="Times New Roman" w:cs="Times New Roman"/>
                <w:sz w:val="21"/>
                <w:szCs w:val="21"/>
              </w:rPr>
            </w:pPr>
            <w:proofErr w:type="spellStart"/>
            <w:r w:rsidRPr="00C81A68">
              <w:rPr>
                <w:rFonts w:ascii="Times New Roman" w:eastAsia="Arial" w:hAnsi="Times New Roman" w:cs="Times New Roman"/>
                <w:sz w:val="21"/>
                <w:szCs w:val="21"/>
              </w:rPr>
              <w:t>Solutec</w:t>
            </w:r>
            <w:proofErr w:type="spellEnd"/>
            <w:r w:rsidRPr="00C81A68">
              <w:rPr>
                <w:rFonts w:ascii="Times New Roman" w:eastAsia="Arial" w:hAnsi="Times New Roman" w:cs="Times New Roman"/>
                <w:sz w:val="21"/>
                <w:szCs w:val="21"/>
              </w:rPr>
              <w:t xml:space="preserve"> Corp. Inc. v. Agnew, 88 Wash. App. 1067 (Wash. Ct. App. 1997)</w:t>
            </w:r>
          </w:p>
        </w:tc>
        <w:tc>
          <w:tcPr>
            <w:tcW w:w="1419" w:type="dxa"/>
            <w:shd w:val="clear" w:color="auto" w:fill="auto"/>
          </w:tcPr>
          <w:p w:rsidR="00C81A68" w:rsidRPr="00C81A68" w:rsidRDefault="00C81A68" w:rsidP="00C81A68">
            <w:pPr>
              <w:spacing w:after="0" w:line="260" w:lineRule="exact"/>
              <w:rPr>
                <w:rFonts w:ascii="Times New Roman" w:eastAsia="Arial" w:hAnsi="Times New Roman" w:cs="Times New Roman"/>
                <w:sz w:val="21"/>
                <w:szCs w:val="21"/>
              </w:rPr>
            </w:pPr>
            <w:r w:rsidRPr="00C81A68">
              <w:rPr>
                <w:rFonts w:ascii="Times New Roman" w:eastAsia="Arial" w:hAnsi="Times New Roman" w:cs="Times New Roman"/>
                <w:sz w:val="21"/>
                <w:szCs w:val="21"/>
              </w:rPr>
              <w:t>12/30/1997</w:t>
            </w:r>
          </w:p>
        </w:tc>
        <w:tc>
          <w:tcPr>
            <w:tcW w:w="1673" w:type="dxa"/>
            <w:shd w:val="clear" w:color="auto" w:fill="auto"/>
          </w:tcPr>
          <w:p w:rsidR="00C81A68" w:rsidRPr="00C81A68" w:rsidRDefault="00C81A68" w:rsidP="00C81A68">
            <w:pPr>
              <w:spacing w:after="0" w:line="260" w:lineRule="exact"/>
              <w:rPr>
                <w:rFonts w:ascii="Times New Roman" w:eastAsia="Times New Roman" w:hAnsi="Times New Roman" w:cs="Times New Roman"/>
                <w:sz w:val="21"/>
                <w:szCs w:val="21"/>
              </w:rPr>
            </w:pPr>
            <w:r w:rsidRPr="00C81A68">
              <w:rPr>
                <w:rFonts w:ascii="Times New Roman" w:eastAsia="Times New Roman" w:hAnsi="Times New Roman" w:cs="Times New Roman"/>
                <w:sz w:val="21"/>
                <w:szCs w:val="21"/>
              </w:rPr>
              <w:t>Adopt</w:t>
            </w:r>
          </w:p>
        </w:tc>
      </w:tr>
    </w:tbl>
    <w:p w:rsidR="00C81A68" w:rsidRPr="00C81A68" w:rsidRDefault="00C81A68" w:rsidP="00C81A68">
      <w:pPr>
        <w:spacing w:after="0" w:line="240" w:lineRule="exact"/>
        <w:rPr>
          <w:rFonts w:ascii="Times New Roman" w:eastAsia="Calibri" w:hAnsi="Times New Roman" w:cs="Times New Roman"/>
          <w:b/>
          <w:sz w:val="24"/>
          <w:szCs w:val="24"/>
          <w:lang w:eastAsia="en-GB"/>
        </w:rPr>
      </w:pPr>
      <w:r w:rsidRPr="00C81A68">
        <w:rPr>
          <w:rFonts w:ascii="Times New Roman" w:eastAsia="Calibri" w:hAnsi="Times New Roman" w:cs="Times New Roman"/>
          <w:b/>
          <w:sz w:val="24"/>
          <w:szCs w:val="24"/>
          <w:lang w:eastAsia="en-GB"/>
        </w:rPr>
        <w:lastRenderedPageBreak/>
        <w:t>Table 1. Sample Selection and Summary Statistics</w:t>
      </w:r>
    </w:p>
    <w:p w:rsidR="00C81A68" w:rsidRPr="00C81A68" w:rsidRDefault="00C81A68" w:rsidP="00C81A68">
      <w:pPr>
        <w:spacing w:after="0" w:line="245" w:lineRule="auto"/>
        <w:jc w:val="both"/>
        <w:rPr>
          <w:rFonts w:ascii="Times New Roman" w:eastAsia="Arial" w:hAnsi="Times New Roman" w:cs="Times New Roman"/>
          <w:sz w:val="21"/>
          <w:szCs w:val="21"/>
          <w:lang w:eastAsia="en-GB"/>
        </w:rPr>
      </w:pPr>
      <w:r w:rsidRPr="00C81A68">
        <w:rPr>
          <w:rFonts w:ascii="Times New Roman" w:eastAsia="Arial" w:hAnsi="Times New Roman" w:cs="Times New Roman"/>
          <w:sz w:val="21"/>
          <w:szCs w:val="21"/>
          <w:lang w:eastAsia="en-GB"/>
        </w:rPr>
        <w:t>Panel A reports the sample selection process. Panel B presents the frequency of firm-year observations in each state during our sample period and the mean value of the IDD indicator. Panel C presents the descriptive statistics for the key variables used in our analysis. Analytical definitions for all variables are provided in the Appendix A.</w:t>
      </w:r>
    </w:p>
    <w:tbl>
      <w:tblPr>
        <w:tblW w:w="9072" w:type="dxa"/>
        <w:tblBorders>
          <w:top w:val="single" w:sz="4" w:space="0" w:color="auto"/>
          <w:bottom w:val="single" w:sz="4" w:space="0" w:color="auto"/>
        </w:tblBorders>
        <w:tblLook w:val="04A0" w:firstRow="1" w:lastRow="0" w:firstColumn="1" w:lastColumn="0" w:noHBand="0" w:noVBand="1"/>
      </w:tblPr>
      <w:tblGrid>
        <w:gridCol w:w="1006"/>
        <w:gridCol w:w="968"/>
        <w:gridCol w:w="996"/>
        <w:gridCol w:w="990"/>
        <w:gridCol w:w="990"/>
        <w:gridCol w:w="1014"/>
        <w:gridCol w:w="968"/>
        <w:gridCol w:w="631"/>
        <w:gridCol w:w="337"/>
        <w:gridCol w:w="1172"/>
      </w:tblGrid>
      <w:tr w:rsidR="00C81A68" w:rsidRPr="00C81A68" w:rsidTr="009032B3">
        <w:trPr>
          <w:trHeight w:val="293"/>
        </w:trPr>
        <w:tc>
          <w:tcPr>
            <w:tcW w:w="7563" w:type="dxa"/>
            <w:gridSpan w:val="8"/>
            <w:tcBorders>
              <w:top w:val="single" w:sz="4" w:space="0" w:color="auto"/>
              <w:bottom w:val="single" w:sz="4" w:space="0" w:color="auto"/>
            </w:tcBorders>
            <w:shd w:val="clear" w:color="auto" w:fill="auto"/>
          </w:tcPr>
          <w:p w:rsidR="00C81A68" w:rsidRPr="00C81A68" w:rsidRDefault="00C81A68" w:rsidP="00C81A68">
            <w:pPr>
              <w:spacing w:after="0" w:line="245" w:lineRule="auto"/>
              <w:jc w:val="both"/>
              <w:rPr>
                <w:rFonts w:ascii="Times New Roman" w:eastAsia="Calibri" w:hAnsi="Times New Roman" w:cs="Times New Roman"/>
                <w:b/>
                <w:sz w:val="21"/>
                <w:szCs w:val="21"/>
                <w:lang w:eastAsia="en-GB"/>
              </w:rPr>
            </w:pPr>
            <w:r w:rsidRPr="00C81A68">
              <w:rPr>
                <w:rFonts w:ascii="Times New Roman" w:eastAsia="Calibri" w:hAnsi="Times New Roman" w:cs="Times New Roman"/>
                <w:b/>
                <w:sz w:val="21"/>
                <w:szCs w:val="21"/>
                <w:lang w:eastAsia="en-GB"/>
              </w:rPr>
              <w:t>Panel A: Sample Selection</w:t>
            </w:r>
          </w:p>
        </w:tc>
        <w:tc>
          <w:tcPr>
            <w:tcW w:w="1509" w:type="dxa"/>
            <w:gridSpan w:val="2"/>
            <w:tcBorders>
              <w:top w:val="single" w:sz="4" w:space="0" w:color="auto"/>
              <w:bottom w:val="single" w:sz="4" w:space="0" w:color="auto"/>
            </w:tcBorders>
            <w:shd w:val="clear" w:color="auto" w:fill="auto"/>
          </w:tcPr>
          <w:p w:rsidR="00C81A68" w:rsidRPr="00C81A68" w:rsidRDefault="00C81A68" w:rsidP="00C81A68">
            <w:pPr>
              <w:spacing w:after="0" w:line="245" w:lineRule="auto"/>
              <w:jc w:val="both"/>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Obs.</w:t>
            </w:r>
          </w:p>
        </w:tc>
      </w:tr>
      <w:tr w:rsidR="00C81A68" w:rsidRPr="00C81A68" w:rsidTr="009032B3">
        <w:trPr>
          <w:trHeight w:val="281"/>
        </w:trPr>
        <w:tc>
          <w:tcPr>
            <w:tcW w:w="7563" w:type="dxa"/>
            <w:gridSpan w:val="8"/>
            <w:tcBorders>
              <w:top w:val="single" w:sz="4" w:space="0" w:color="auto"/>
            </w:tcBorders>
            <w:shd w:val="clear" w:color="auto" w:fill="auto"/>
            <w:vAlign w:val="bottom"/>
          </w:tcPr>
          <w:p w:rsidR="00C81A68" w:rsidRPr="00C81A68" w:rsidRDefault="00C81A68" w:rsidP="00C81A68">
            <w:pPr>
              <w:spacing w:after="0" w:line="240" w:lineRule="exact"/>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Total number of firm-year observations from 1977-2011</w:t>
            </w:r>
          </w:p>
        </w:tc>
        <w:tc>
          <w:tcPr>
            <w:tcW w:w="1509" w:type="dxa"/>
            <w:gridSpan w:val="2"/>
            <w:tcBorders>
              <w:top w:val="single" w:sz="4" w:space="0" w:color="auto"/>
            </w:tcBorders>
            <w:shd w:val="clear" w:color="auto" w:fill="auto"/>
            <w:vAlign w:val="bottom"/>
          </w:tcPr>
          <w:p w:rsidR="00C81A68" w:rsidRPr="00C81A68" w:rsidRDefault="00C81A68" w:rsidP="00C81A68">
            <w:pPr>
              <w:spacing w:after="0" w:line="240" w:lineRule="exact"/>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307,786</w:t>
            </w:r>
          </w:p>
        </w:tc>
      </w:tr>
      <w:tr w:rsidR="00C81A68" w:rsidRPr="00C81A68" w:rsidTr="009032B3">
        <w:trPr>
          <w:trHeight w:val="293"/>
        </w:trPr>
        <w:tc>
          <w:tcPr>
            <w:tcW w:w="7563" w:type="dxa"/>
            <w:gridSpan w:val="8"/>
            <w:shd w:val="clear" w:color="auto" w:fill="auto"/>
            <w:vAlign w:val="bottom"/>
          </w:tcPr>
          <w:p w:rsidR="00C81A68" w:rsidRPr="00C81A68" w:rsidRDefault="00C81A68" w:rsidP="00C81A68">
            <w:pPr>
              <w:spacing w:after="0" w:line="240" w:lineRule="exact"/>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Less: Financial and utilities firm-years</w:t>
            </w:r>
          </w:p>
        </w:tc>
        <w:tc>
          <w:tcPr>
            <w:tcW w:w="1509" w:type="dxa"/>
            <w:gridSpan w:val="2"/>
            <w:shd w:val="clear" w:color="auto" w:fill="auto"/>
            <w:vAlign w:val="bottom"/>
          </w:tcPr>
          <w:p w:rsidR="00C81A68" w:rsidRPr="00C81A68" w:rsidRDefault="00C81A68" w:rsidP="00C81A68">
            <w:pPr>
              <w:spacing w:after="0" w:line="240" w:lineRule="exact"/>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(90,977)</w:t>
            </w:r>
          </w:p>
        </w:tc>
      </w:tr>
      <w:tr w:rsidR="00C81A68" w:rsidRPr="00C81A68" w:rsidTr="009032B3">
        <w:trPr>
          <w:trHeight w:val="281"/>
        </w:trPr>
        <w:tc>
          <w:tcPr>
            <w:tcW w:w="7563" w:type="dxa"/>
            <w:gridSpan w:val="8"/>
            <w:shd w:val="clear" w:color="auto" w:fill="auto"/>
            <w:vAlign w:val="bottom"/>
          </w:tcPr>
          <w:p w:rsidR="00C81A68" w:rsidRPr="00C81A68" w:rsidRDefault="00C81A68" w:rsidP="00C81A68">
            <w:pPr>
              <w:spacing w:after="0" w:line="240" w:lineRule="exact"/>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Less: Firms located in foreign countries</w:t>
            </w:r>
          </w:p>
        </w:tc>
        <w:tc>
          <w:tcPr>
            <w:tcW w:w="1509" w:type="dxa"/>
            <w:gridSpan w:val="2"/>
            <w:tcBorders>
              <w:bottom w:val="nil"/>
            </w:tcBorders>
            <w:shd w:val="clear" w:color="auto" w:fill="auto"/>
            <w:vAlign w:val="bottom"/>
          </w:tcPr>
          <w:p w:rsidR="00C81A68" w:rsidRPr="00C81A68" w:rsidRDefault="00C81A68" w:rsidP="00C81A68">
            <w:pPr>
              <w:spacing w:after="0" w:line="240" w:lineRule="exact"/>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(30,896)</w:t>
            </w:r>
          </w:p>
        </w:tc>
      </w:tr>
      <w:tr w:rsidR="00C81A68" w:rsidRPr="00C81A68" w:rsidTr="009032B3">
        <w:trPr>
          <w:trHeight w:val="293"/>
        </w:trPr>
        <w:tc>
          <w:tcPr>
            <w:tcW w:w="7563" w:type="dxa"/>
            <w:gridSpan w:val="8"/>
            <w:shd w:val="clear" w:color="auto" w:fill="auto"/>
            <w:vAlign w:val="bottom"/>
          </w:tcPr>
          <w:p w:rsidR="00C81A68" w:rsidRPr="00C81A68" w:rsidRDefault="00C81A68" w:rsidP="00C81A68">
            <w:pPr>
              <w:spacing w:after="0" w:line="240" w:lineRule="exact"/>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Less: Missing values for the variables used in main regressions</w:t>
            </w:r>
          </w:p>
        </w:tc>
        <w:tc>
          <w:tcPr>
            <w:tcW w:w="1509" w:type="dxa"/>
            <w:gridSpan w:val="2"/>
            <w:tcBorders>
              <w:top w:val="nil"/>
              <w:bottom w:val="single" w:sz="4" w:space="0" w:color="auto"/>
            </w:tcBorders>
            <w:shd w:val="clear" w:color="auto" w:fill="auto"/>
            <w:vAlign w:val="bottom"/>
          </w:tcPr>
          <w:p w:rsidR="00C81A68" w:rsidRPr="00C81A68" w:rsidRDefault="00C81A68" w:rsidP="00C81A68">
            <w:pPr>
              <w:spacing w:after="0" w:line="240" w:lineRule="exact"/>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(80,874)</w:t>
            </w:r>
          </w:p>
        </w:tc>
      </w:tr>
      <w:tr w:rsidR="00C81A68" w:rsidRPr="00C81A68" w:rsidTr="009032B3">
        <w:trPr>
          <w:trHeight w:val="281"/>
        </w:trPr>
        <w:tc>
          <w:tcPr>
            <w:tcW w:w="7563" w:type="dxa"/>
            <w:gridSpan w:val="8"/>
            <w:tcBorders>
              <w:bottom w:val="single" w:sz="4" w:space="0" w:color="auto"/>
            </w:tcBorders>
            <w:shd w:val="clear" w:color="auto" w:fill="auto"/>
            <w:vAlign w:val="bottom"/>
          </w:tcPr>
          <w:p w:rsidR="00C81A68" w:rsidRPr="00C81A68" w:rsidRDefault="00C81A68" w:rsidP="00C81A68">
            <w:pPr>
              <w:spacing w:after="0" w:line="240" w:lineRule="exact"/>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Full Sample</w:t>
            </w:r>
          </w:p>
        </w:tc>
        <w:tc>
          <w:tcPr>
            <w:tcW w:w="1509" w:type="dxa"/>
            <w:gridSpan w:val="2"/>
            <w:tcBorders>
              <w:top w:val="single" w:sz="4" w:space="0" w:color="auto"/>
              <w:bottom w:val="single" w:sz="4" w:space="0" w:color="auto"/>
            </w:tcBorders>
            <w:shd w:val="clear" w:color="auto" w:fill="auto"/>
            <w:vAlign w:val="bottom"/>
          </w:tcPr>
          <w:p w:rsidR="00C81A68" w:rsidRPr="00C81A68" w:rsidRDefault="00C81A68" w:rsidP="00C81A68">
            <w:pPr>
              <w:spacing w:after="0" w:line="240" w:lineRule="exact"/>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70,739</w:t>
            </w:r>
          </w:p>
        </w:tc>
      </w:tr>
      <w:tr w:rsidR="00C81A68" w:rsidRPr="00C81A68" w:rsidTr="009032B3">
        <w:trPr>
          <w:trHeight w:val="293"/>
        </w:trPr>
        <w:tc>
          <w:tcPr>
            <w:tcW w:w="7563" w:type="dxa"/>
            <w:gridSpan w:val="8"/>
            <w:tcBorders>
              <w:top w:val="single" w:sz="4" w:space="0" w:color="auto"/>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lang w:eastAsia="en-GB"/>
              </w:rPr>
            </w:pPr>
            <w:r w:rsidRPr="00C81A68">
              <w:rPr>
                <w:rFonts w:ascii="Times New Roman" w:eastAsia="Calibri" w:hAnsi="Times New Roman" w:cs="Times New Roman"/>
                <w:b/>
                <w:sz w:val="21"/>
                <w:szCs w:val="21"/>
                <w:lang w:eastAsia="en-GB"/>
              </w:rPr>
              <w:t>Panel B: Sample Distribution</w:t>
            </w:r>
          </w:p>
        </w:tc>
        <w:tc>
          <w:tcPr>
            <w:tcW w:w="1509" w:type="dxa"/>
            <w:gridSpan w:val="2"/>
            <w:tcBorders>
              <w:top w:val="single" w:sz="4" w:space="0" w:color="auto"/>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r>
      <w:tr w:rsidR="00C81A68" w:rsidRPr="00C81A68" w:rsidTr="009032B3">
        <w:trPr>
          <w:trHeight w:val="281"/>
        </w:trPr>
        <w:tc>
          <w:tcPr>
            <w:tcW w:w="1006" w:type="dxa"/>
            <w:tcBorders>
              <w:top w:val="single" w:sz="4" w:space="0" w:color="auto"/>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State</w:t>
            </w:r>
          </w:p>
        </w:tc>
        <w:tc>
          <w:tcPr>
            <w:tcW w:w="968" w:type="dxa"/>
            <w:tcBorders>
              <w:top w:val="single" w:sz="4" w:space="0" w:color="auto"/>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Obs.</w:t>
            </w:r>
          </w:p>
        </w:tc>
        <w:tc>
          <w:tcPr>
            <w:tcW w:w="996" w:type="dxa"/>
            <w:tcBorders>
              <w:top w:val="single" w:sz="4" w:space="0" w:color="auto"/>
              <w:bottom w:val="single" w:sz="4" w:space="0" w:color="auto"/>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IDD=1</w:t>
            </w:r>
          </w:p>
        </w:tc>
        <w:tc>
          <w:tcPr>
            <w:tcW w:w="990" w:type="dxa"/>
            <w:tcBorders>
              <w:top w:val="single" w:sz="4" w:space="0" w:color="auto"/>
              <w:left w:val="single" w:sz="4" w:space="0" w:color="auto"/>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State</w:t>
            </w:r>
          </w:p>
        </w:tc>
        <w:tc>
          <w:tcPr>
            <w:tcW w:w="990" w:type="dxa"/>
            <w:tcBorders>
              <w:top w:val="single" w:sz="4" w:space="0" w:color="auto"/>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Obs.</w:t>
            </w:r>
          </w:p>
        </w:tc>
        <w:tc>
          <w:tcPr>
            <w:tcW w:w="1014" w:type="dxa"/>
            <w:tcBorders>
              <w:top w:val="single" w:sz="4" w:space="0" w:color="auto"/>
              <w:bottom w:val="single" w:sz="4" w:space="0" w:color="auto"/>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IDD=1</w:t>
            </w:r>
          </w:p>
        </w:tc>
        <w:tc>
          <w:tcPr>
            <w:tcW w:w="968" w:type="dxa"/>
            <w:tcBorders>
              <w:top w:val="single" w:sz="4" w:space="0" w:color="auto"/>
              <w:left w:val="single" w:sz="4" w:space="0" w:color="auto"/>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State</w:t>
            </w:r>
          </w:p>
        </w:tc>
        <w:tc>
          <w:tcPr>
            <w:tcW w:w="968" w:type="dxa"/>
            <w:gridSpan w:val="2"/>
            <w:tcBorders>
              <w:top w:val="single" w:sz="4" w:space="0" w:color="auto"/>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Obs.</w:t>
            </w:r>
          </w:p>
        </w:tc>
        <w:tc>
          <w:tcPr>
            <w:tcW w:w="1172" w:type="dxa"/>
            <w:tcBorders>
              <w:top w:val="single" w:sz="4" w:space="0" w:color="auto"/>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IDD=1</w:t>
            </w:r>
          </w:p>
        </w:tc>
      </w:tr>
      <w:tr w:rsidR="00C81A68" w:rsidRPr="00C81A68" w:rsidTr="009032B3">
        <w:trPr>
          <w:trHeight w:val="281"/>
        </w:trPr>
        <w:tc>
          <w:tcPr>
            <w:tcW w:w="1006" w:type="dxa"/>
            <w:tcBorders>
              <w:top w:val="single" w:sz="4" w:space="0" w:color="auto"/>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AK</w:t>
            </w:r>
          </w:p>
        </w:tc>
        <w:tc>
          <w:tcPr>
            <w:tcW w:w="968" w:type="dxa"/>
            <w:tcBorders>
              <w:top w:val="single" w:sz="4" w:space="0" w:color="auto"/>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w:t>
            </w:r>
          </w:p>
        </w:tc>
        <w:tc>
          <w:tcPr>
            <w:tcW w:w="996" w:type="dxa"/>
            <w:tcBorders>
              <w:top w:val="single" w:sz="4" w:space="0" w:color="auto"/>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90" w:type="dxa"/>
            <w:tcBorders>
              <w:top w:val="single" w:sz="4" w:space="0" w:color="auto"/>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AL</w:t>
            </w:r>
          </w:p>
        </w:tc>
        <w:tc>
          <w:tcPr>
            <w:tcW w:w="990"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385</w:t>
            </w:r>
          </w:p>
        </w:tc>
        <w:tc>
          <w:tcPr>
            <w:tcW w:w="1014" w:type="dxa"/>
            <w:tcBorders>
              <w:top w:val="single" w:sz="4" w:space="0" w:color="auto"/>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tcBorders>
              <w:top w:val="single" w:sz="4" w:space="0" w:color="auto"/>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AR</w:t>
            </w:r>
          </w:p>
        </w:tc>
        <w:tc>
          <w:tcPr>
            <w:tcW w:w="968" w:type="dxa"/>
            <w:gridSpan w:val="2"/>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221</w:t>
            </w:r>
          </w:p>
        </w:tc>
        <w:tc>
          <w:tcPr>
            <w:tcW w:w="1172"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0.239</w:t>
            </w:r>
          </w:p>
        </w:tc>
      </w:tr>
      <w:tr w:rsidR="00C81A68" w:rsidRPr="00C81A68" w:rsidTr="009032B3">
        <w:trPr>
          <w:trHeight w:val="293"/>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AZ</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1,019</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CA</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10,386</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CO</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1,887</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r>
      <w:tr w:rsidR="00C81A68" w:rsidRPr="00C81A68" w:rsidTr="009032B3">
        <w:trPr>
          <w:trHeight w:val="281"/>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CT</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1,608</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0.371</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DC</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95</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DE</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209</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1.000</w:t>
            </w:r>
          </w:p>
        </w:tc>
      </w:tr>
      <w:tr w:rsidR="00C81A68" w:rsidRPr="00C81A68" w:rsidTr="009032B3">
        <w:trPr>
          <w:trHeight w:val="293"/>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FL</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3,772</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0.750</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GA</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1,783</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0.418</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HI</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r>
      <w:tr w:rsidR="00C81A68" w:rsidRPr="00C81A68" w:rsidTr="009032B3">
        <w:trPr>
          <w:trHeight w:val="281"/>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IA</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338</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ID</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178</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IL</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3,037</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0.589</w:t>
            </w:r>
          </w:p>
        </w:tc>
      </w:tr>
      <w:tr w:rsidR="00C81A68" w:rsidRPr="00C81A68" w:rsidTr="009032B3">
        <w:trPr>
          <w:trHeight w:val="293"/>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IN</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774</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0.445</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KS</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505</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0.118</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KY</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424</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r>
      <w:tr w:rsidR="00C81A68" w:rsidRPr="00C81A68" w:rsidTr="009032B3">
        <w:trPr>
          <w:trHeight w:val="281"/>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LA</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327</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MA</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3,384</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0.497</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MD</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1,092</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r>
      <w:tr w:rsidR="00C81A68" w:rsidRPr="00C81A68" w:rsidTr="009032B3">
        <w:trPr>
          <w:trHeight w:val="293"/>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ME</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72</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MI</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1,696</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0.870</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MN</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2,409</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0.779</w:t>
            </w:r>
          </w:p>
        </w:tc>
      </w:tr>
      <w:tr w:rsidR="00C81A68" w:rsidRPr="00C81A68" w:rsidTr="009032B3">
        <w:trPr>
          <w:trHeight w:val="281"/>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MO</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1,061</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0.285</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MS</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108</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MT</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42</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r>
      <w:tr w:rsidR="00C81A68" w:rsidRPr="00C81A68" w:rsidTr="009032B3">
        <w:trPr>
          <w:trHeight w:val="293"/>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NC</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1,479</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1.000</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ND</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36</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NE</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220</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r>
      <w:tr w:rsidR="00C81A68" w:rsidRPr="00C81A68" w:rsidTr="009032B3">
        <w:trPr>
          <w:trHeight w:val="281"/>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NH</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396</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NJ</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3,843</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0.661</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NM</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129</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r>
      <w:tr w:rsidR="00C81A68" w:rsidRPr="00C81A68" w:rsidTr="009032B3">
        <w:trPr>
          <w:trHeight w:val="293"/>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NV</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832</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NY</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6,642</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1.000</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OH</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2,648</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0.204</w:t>
            </w:r>
          </w:p>
        </w:tc>
      </w:tr>
      <w:tr w:rsidR="00C81A68" w:rsidRPr="00C81A68" w:rsidTr="009032B3">
        <w:trPr>
          <w:trHeight w:val="281"/>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OK</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755</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OR</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711</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PA</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2,938</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0.851</w:t>
            </w:r>
          </w:p>
        </w:tc>
      </w:tr>
      <w:tr w:rsidR="00C81A68" w:rsidRPr="00C81A68" w:rsidTr="009032B3">
        <w:trPr>
          <w:trHeight w:val="293"/>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RI</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258</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SC</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317</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SD</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80</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r>
      <w:tr w:rsidR="00C81A68" w:rsidRPr="00C81A68" w:rsidTr="009032B3">
        <w:trPr>
          <w:trHeight w:val="281"/>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TN</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973</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TX</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6,838</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0.329</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UT</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736</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0.436</w:t>
            </w:r>
          </w:p>
        </w:tc>
      </w:tr>
      <w:tr w:rsidR="00C81A68" w:rsidRPr="00C81A68" w:rsidTr="009032B3">
        <w:trPr>
          <w:trHeight w:val="281"/>
        </w:trPr>
        <w:tc>
          <w:tcPr>
            <w:tcW w:w="1006"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VA</w:t>
            </w:r>
          </w:p>
        </w:tc>
        <w:tc>
          <w:tcPr>
            <w:tcW w:w="968" w:type="dxa"/>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1,782</w:t>
            </w:r>
          </w:p>
        </w:tc>
        <w:tc>
          <w:tcPr>
            <w:tcW w:w="996"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90"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VT</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w:t>
            </w:r>
          </w:p>
        </w:tc>
        <w:tc>
          <w:tcPr>
            <w:tcW w:w="1014" w:type="dxa"/>
            <w:tcBorders>
              <w:top w:val="nil"/>
              <w:bottom w:val="nil"/>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tcBorders>
              <w:lef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WA</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1005</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0.520</w:t>
            </w:r>
          </w:p>
        </w:tc>
      </w:tr>
      <w:tr w:rsidR="00C81A68" w:rsidRPr="00C81A68" w:rsidTr="009032B3">
        <w:trPr>
          <w:trHeight w:val="293"/>
        </w:trPr>
        <w:tc>
          <w:tcPr>
            <w:tcW w:w="1006" w:type="dxa"/>
            <w:tcBorders>
              <w:top w:val="nil"/>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WI</w:t>
            </w:r>
          </w:p>
        </w:tc>
        <w:tc>
          <w:tcPr>
            <w:tcW w:w="968" w:type="dxa"/>
            <w:tcBorders>
              <w:top w:val="nil"/>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1078</w:t>
            </w:r>
          </w:p>
        </w:tc>
        <w:tc>
          <w:tcPr>
            <w:tcW w:w="996" w:type="dxa"/>
            <w:tcBorders>
              <w:top w:val="nil"/>
              <w:bottom w:val="single" w:sz="4" w:space="0" w:color="auto"/>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90" w:type="dxa"/>
            <w:tcBorders>
              <w:left w:val="single" w:sz="4" w:space="0" w:color="auto"/>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WV</w:t>
            </w:r>
          </w:p>
        </w:tc>
        <w:tc>
          <w:tcPr>
            <w:tcW w:w="990" w:type="dxa"/>
            <w:tcBorders>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58</w:t>
            </w:r>
          </w:p>
        </w:tc>
        <w:tc>
          <w:tcPr>
            <w:tcW w:w="1014" w:type="dxa"/>
            <w:tcBorders>
              <w:top w:val="nil"/>
              <w:bottom w:val="single" w:sz="4" w:space="0" w:color="auto"/>
              <w:right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tcBorders>
              <w:left w:val="single" w:sz="4" w:space="0" w:color="auto"/>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WY</w:t>
            </w:r>
          </w:p>
        </w:tc>
        <w:tc>
          <w:tcPr>
            <w:tcW w:w="968" w:type="dxa"/>
            <w:gridSpan w:val="2"/>
            <w:tcBorders>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26</w:t>
            </w:r>
          </w:p>
        </w:tc>
        <w:tc>
          <w:tcPr>
            <w:tcW w:w="1172" w:type="dxa"/>
            <w:tcBorders>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r>
      <w:tr w:rsidR="00C81A68" w:rsidRPr="00C81A68" w:rsidTr="009032B3">
        <w:trPr>
          <w:trHeight w:val="281"/>
        </w:trPr>
        <w:tc>
          <w:tcPr>
            <w:tcW w:w="9072" w:type="dxa"/>
            <w:gridSpan w:val="10"/>
            <w:tcBorders>
              <w:top w:val="single" w:sz="4" w:space="0" w:color="auto"/>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lang w:eastAsia="en-GB"/>
              </w:rPr>
            </w:pPr>
            <w:r w:rsidRPr="00C81A68">
              <w:rPr>
                <w:rFonts w:ascii="Times New Roman" w:eastAsia="Calibri" w:hAnsi="Times New Roman" w:cs="Times New Roman"/>
                <w:b/>
                <w:sz w:val="21"/>
                <w:szCs w:val="21"/>
                <w:lang w:eastAsia="en-GB"/>
              </w:rPr>
              <w:t>Panel C: Descriptive Statistics</w:t>
            </w:r>
          </w:p>
        </w:tc>
      </w:tr>
      <w:tr w:rsidR="00C81A68" w:rsidRPr="00C81A68" w:rsidTr="009032B3">
        <w:trPr>
          <w:trHeight w:val="293"/>
        </w:trPr>
        <w:tc>
          <w:tcPr>
            <w:tcW w:w="1006"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68"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Obs.</w:t>
            </w:r>
          </w:p>
        </w:tc>
        <w:tc>
          <w:tcPr>
            <w:tcW w:w="990"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Mean</w:t>
            </w:r>
          </w:p>
        </w:tc>
        <w:tc>
          <w:tcPr>
            <w:tcW w:w="1014"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Median</w:t>
            </w:r>
          </w:p>
        </w:tc>
        <w:tc>
          <w:tcPr>
            <w:tcW w:w="968"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S.D.</w:t>
            </w:r>
          </w:p>
        </w:tc>
        <w:tc>
          <w:tcPr>
            <w:tcW w:w="968" w:type="dxa"/>
            <w:gridSpan w:val="2"/>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25%</w:t>
            </w:r>
          </w:p>
        </w:tc>
        <w:tc>
          <w:tcPr>
            <w:tcW w:w="1172"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75%</w:t>
            </w:r>
          </w:p>
        </w:tc>
      </w:tr>
      <w:tr w:rsidR="00C81A68" w:rsidRPr="00C81A68" w:rsidTr="009032B3">
        <w:trPr>
          <w:trHeight w:val="281"/>
        </w:trPr>
        <w:tc>
          <w:tcPr>
            <w:tcW w:w="100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IDD</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70,739</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0.409</w:t>
            </w:r>
          </w:p>
        </w:tc>
        <w:tc>
          <w:tcPr>
            <w:tcW w:w="101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0.492</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1.000</w:t>
            </w:r>
          </w:p>
        </w:tc>
      </w:tr>
      <w:tr w:rsidR="00C81A68" w:rsidRPr="00C81A68" w:rsidTr="009032B3">
        <w:trPr>
          <w:trHeight w:val="293"/>
        </w:trPr>
        <w:tc>
          <w:tcPr>
            <w:tcW w:w="100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ETR</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70,739</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0.278</w:t>
            </w:r>
          </w:p>
        </w:tc>
        <w:tc>
          <w:tcPr>
            <w:tcW w:w="101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0.348</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0.190</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0.047</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0.408</w:t>
            </w:r>
          </w:p>
        </w:tc>
      </w:tr>
      <w:tr w:rsidR="00C81A68" w:rsidRPr="00C81A68" w:rsidTr="009032B3">
        <w:trPr>
          <w:trHeight w:val="281"/>
        </w:trPr>
        <w:tc>
          <w:tcPr>
            <w:tcW w:w="100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BTD</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66,243</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0.211</w:t>
            </w:r>
          </w:p>
        </w:tc>
        <w:tc>
          <w:tcPr>
            <w:tcW w:w="101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0.004</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0.936</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0.088</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0.037</w:t>
            </w:r>
          </w:p>
        </w:tc>
      </w:tr>
      <w:tr w:rsidR="00C81A68" w:rsidRPr="00C81A68" w:rsidTr="009032B3">
        <w:trPr>
          <w:trHeight w:val="293"/>
        </w:trPr>
        <w:tc>
          <w:tcPr>
            <w:tcW w:w="100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SIZE</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70,739</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4.142</w:t>
            </w:r>
          </w:p>
        </w:tc>
        <w:tc>
          <w:tcPr>
            <w:tcW w:w="101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4.099</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2.241</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2.640</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5.637</w:t>
            </w:r>
          </w:p>
        </w:tc>
      </w:tr>
      <w:tr w:rsidR="00C81A68" w:rsidRPr="00C81A68" w:rsidTr="009032B3">
        <w:trPr>
          <w:trHeight w:val="281"/>
        </w:trPr>
        <w:tc>
          <w:tcPr>
            <w:tcW w:w="100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MTB</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70,739</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2.457</w:t>
            </w:r>
          </w:p>
        </w:tc>
        <w:tc>
          <w:tcPr>
            <w:tcW w:w="101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1.659</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2.677</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0.897</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3.071</w:t>
            </w:r>
          </w:p>
        </w:tc>
      </w:tr>
      <w:tr w:rsidR="00C81A68" w:rsidRPr="00C81A68" w:rsidTr="009032B3">
        <w:trPr>
          <w:trHeight w:val="293"/>
        </w:trPr>
        <w:tc>
          <w:tcPr>
            <w:tcW w:w="100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LEV</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70,739</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0.180</w:t>
            </w:r>
          </w:p>
        </w:tc>
        <w:tc>
          <w:tcPr>
            <w:tcW w:w="101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0.113</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0.206</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0.004</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0.281</w:t>
            </w:r>
          </w:p>
        </w:tc>
      </w:tr>
      <w:tr w:rsidR="00C81A68" w:rsidRPr="00C81A68" w:rsidTr="009032B3">
        <w:trPr>
          <w:trHeight w:val="281"/>
        </w:trPr>
        <w:tc>
          <w:tcPr>
            <w:tcW w:w="100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ROA</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70,739</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0.019</w:t>
            </w:r>
          </w:p>
        </w:tc>
        <w:tc>
          <w:tcPr>
            <w:tcW w:w="101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0.069</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0.318</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0.057</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0.156</w:t>
            </w:r>
          </w:p>
        </w:tc>
      </w:tr>
      <w:tr w:rsidR="00C81A68" w:rsidRPr="00C81A68" w:rsidTr="009032B3">
        <w:trPr>
          <w:trHeight w:val="293"/>
        </w:trPr>
        <w:tc>
          <w:tcPr>
            <w:tcW w:w="100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NOL</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70,739</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0.431</w:t>
            </w:r>
          </w:p>
        </w:tc>
        <w:tc>
          <w:tcPr>
            <w:tcW w:w="101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0.495</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1.000</w:t>
            </w:r>
          </w:p>
        </w:tc>
      </w:tr>
      <w:tr w:rsidR="00C81A68" w:rsidRPr="00C81A68" w:rsidTr="009032B3">
        <w:trPr>
          <w:trHeight w:val="281"/>
        </w:trPr>
        <w:tc>
          <w:tcPr>
            <w:tcW w:w="100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DNOL</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70,739</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0.133</w:t>
            </w:r>
          </w:p>
        </w:tc>
        <w:tc>
          <w:tcPr>
            <w:tcW w:w="101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0.579</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0.016</w:t>
            </w:r>
          </w:p>
        </w:tc>
      </w:tr>
      <w:tr w:rsidR="00C81A68" w:rsidRPr="00C81A68" w:rsidTr="009032B3">
        <w:trPr>
          <w:trHeight w:val="281"/>
        </w:trPr>
        <w:tc>
          <w:tcPr>
            <w:tcW w:w="100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FI</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70,739</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0.005</w:t>
            </w:r>
          </w:p>
        </w:tc>
        <w:tc>
          <w:tcPr>
            <w:tcW w:w="101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0.020</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r>
      <w:tr w:rsidR="00C81A68" w:rsidRPr="00C81A68" w:rsidTr="009032B3">
        <w:trPr>
          <w:trHeight w:val="293"/>
        </w:trPr>
        <w:tc>
          <w:tcPr>
            <w:tcW w:w="100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PPE</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70,739</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0.327</w:t>
            </w:r>
          </w:p>
        </w:tc>
        <w:tc>
          <w:tcPr>
            <w:tcW w:w="101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0.251</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0.294</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0.117</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0.444</w:t>
            </w:r>
          </w:p>
        </w:tc>
      </w:tr>
      <w:tr w:rsidR="00C81A68" w:rsidRPr="00C81A68" w:rsidTr="009032B3">
        <w:trPr>
          <w:trHeight w:val="281"/>
        </w:trPr>
        <w:tc>
          <w:tcPr>
            <w:tcW w:w="100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EQINC</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70,739</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101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0.005</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r>
      <w:tr w:rsidR="00C81A68" w:rsidRPr="00C81A68" w:rsidTr="009032B3">
        <w:trPr>
          <w:trHeight w:val="293"/>
        </w:trPr>
        <w:tc>
          <w:tcPr>
            <w:tcW w:w="100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INTAN</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6"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70,739</w:t>
            </w:r>
          </w:p>
        </w:tc>
        <w:tc>
          <w:tcPr>
            <w:tcW w:w="99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0.098</w:t>
            </w:r>
          </w:p>
        </w:tc>
        <w:tc>
          <w:tcPr>
            <w:tcW w:w="101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0.008</w:t>
            </w:r>
          </w:p>
        </w:tc>
        <w:tc>
          <w:tcPr>
            <w:tcW w:w="968"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0.199</w:t>
            </w:r>
          </w:p>
        </w:tc>
        <w:tc>
          <w:tcPr>
            <w:tcW w:w="96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1172"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0.101</w:t>
            </w:r>
          </w:p>
        </w:tc>
      </w:tr>
    </w:tbl>
    <w:p w:rsidR="00C81A68" w:rsidRPr="00C81A68" w:rsidRDefault="00C81A68" w:rsidP="00C81A68">
      <w:pPr>
        <w:spacing w:after="0" w:line="240" w:lineRule="exact"/>
        <w:rPr>
          <w:rFonts w:ascii="Times New Roman" w:eastAsia="Calibri" w:hAnsi="Times New Roman" w:cs="Times New Roman"/>
          <w:b/>
          <w:sz w:val="24"/>
          <w:szCs w:val="24"/>
          <w:lang w:eastAsia="en-GB"/>
        </w:rPr>
        <w:sectPr w:rsidR="00C81A68" w:rsidRPr="00C81A68" w:rsidSect="009032B3">
          <w:pgSz w:w="11906" w:h="16838"/>
          <w:pgMar w:top="1440" w:right="1440" w:bottom="1440" w:left="1440" w:header="709" w:footer="709" w:gutter="0"/>
          <w:cols w:space="708"/>
          <w:docGrid w:linePitch="360"/>
        </w:sect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r w:rsidRPr="00C81A68">
        <w:rPr>
          <w:rFonts w:ascii="Times New Roman" w:eastAsia="Calibri" w:hAnsi="Times New Roman" w:cs="Times New Roman"/>
          <w:b/>
          <w:sz w:val="24"/>
          <w:szCs w:val="24"/>
          <w:lang w:eastAsia="en-GB"/>
        </w:rPr>
        <w:lastRenderedPageBreak/>
        <w:t>Table 2. IDD and Corporate Tax Avoidance</w:t>
      </w:r>
    </w:p>
    <w:p w:rsidR="00C81A68" w:rsidRPr="00C81A68" w:rsidRDefault="00C81A68" w:rsidP="00C81A68">
      <w:pPr>
        <w:spacing w:after="0" w:line="240" w:lineRule="auto"/>
        <w:jc w:val="both"/>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This table presents the regression results on the effect of IDD on a firm’s ability to engage in tax avoidance. The dependent variable in Model 1 is book effective tax rates (ETR), defined as the ratio of total tax expense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TXT) to pre-tax book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PI). The dependent variable in Model 2 is book-tax differences (BTD), defined as the ratio of pre-tax book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PI) less estimated taxable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TXFED +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TXFO) / statutory marginal tax rate) to lagged total assets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AT). IDD is an indicator variable equal to one if the firm is headquartered in a state whose courts recognize the IDD, and zero otherwise. Analytical definitions for all variables are provided in Appendix A. Standard errors are robust to heteroscedasticity (reported in parentheses). ***, **, and * denote statistical significance at the 1%, 5% and 10% levels, respectively.</w:t>
      </w:r>
    </w:p>
    <w:tbl>
      <w:tblPr>
        <w:tblW w:w="9039" w:type="dxa"/>
        <w:tblBorders>
          <w:top w:val="double" w:sz="4" w:space="0" w:color="auto"/>
          <w:bottom w:val="double" w:sz="4" w:space="0" w:color="auto"/>
        </w:tblBorders>
        <w:tblLook w:val="04A0" w:firstRow="1" w:lastRow="0" w:firstColumn="1" w:lastColumn="0" w:noHBand="0" w:noVBand="1"/>
      </w:tblPr>
      <w:tblGrid>
        <w:gridCol w:w="3544"/>
        <w:gridCol w:w="2835"/>
        <w:gridCol w:w="2660"/>
      </w:tblGrid>
      <w:tr w:rsidR="00C81A68" w:rsidRPr="00C81A68" w:rsidTr="009032B3">
        <w:trPr>
          <w:trHeight w:val="278"/>
        </w:trPr>
        <w:tc>
          <w:tcPr>
            <w:tcW w:w="3544" w:type="dxa"/>
            <w:tcBorders>
              <w:top w:val="single" w:sz="4" w:space="0" w:color="auto"/>
              <w:bottom w:val="nil"/>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tcBorders>
              <w:top w:val="single" w:sz="4" w:space="0" w:color="auto"/>
              <w:bottom w:val="nil"/>
            </w:tcBorders>
            <w:shd w:val="clear" w:color="auto" w:fill="auto"/>
          </w:tcPr>
          <w:p w:rsidR="00C81A68" w:rsidRPr="009346A7" w:rsidRDefault="00C81A68" w:rsidP="00C81A68">
            <w:pPr>
              <w:spacing w:after="0" w:line="240" w:lineRule="auto"/>
              <w:rPr>
                <w:rFonts w:ascii="Times New Roman" w:eastAsia="Calibri" w:hAnsi="Times New Roman" w:cs="Times New Roman"/>
                <w:b/>
                <w:sz w:val="21"/>
                <w:szCs w:val="21"/>
                <w:u w:val="single"/>
                <w:lang w:eastAsia="en-GB"/>
              </w:rPr>
            </w:pPr>
            <w:r w:rsidRPr="009346A7">
              <w:rPr>
                <w:rFonts w:ascii="Times New Roman" w:eastAsia="Calibri" w:hAnsi="Times New Roman" w:cs="Times New Roman"/>
                <w:b/>
                <w:sz w:val="21"/>
                <w:szCs w:val="21"/>
                <w:u w:val="single"/>
                <w:lang w:eastAsia="en-GB"/>
              </w:rPr>
              <w:t>Effective Tax Rates</w:t>
            </w:r>
          </w:p>
        </w:tc>
        <w:tc>
          <w:tcPr>
            <w:tcW w:w="2660" w:type="dxa"/>
            <w:tcBorders>
              <w:top w:val="single" w:sz="4" w:space="0" w:color="auto"/>
              <w:bottom w:val="nil"/>
            </w:tcBorders>
            <w:shd w:val="clear" w:color="auto" w:fill="auto"/>
          </w:tcPr>
          <w:p w:rsidR="00C81A68" w:rsidRPr="009346A7" w:rsidRDefault="00C81A68" w:rsidP="00C81A68">
            <w:pPr>
              <w:spacing w:after="0" w:line="240" w:lineRule="auto"/>
              <w:rPr>
                <w:rFonts w:ascii="Times New Roman" w:eastAsia="Calibri" w:hAnsi="Times New Roman" w:cs="Times New Roman"/>
                <w:b/>
                <w:sz w:val="21"/>
                <w:szCs w:val="21"/>
                <w:u w:val="single"/>
                <w:lang w:eastAsia="en-GB"/>
              </w:rPr>
            </w:pPr>
            <w:r w:rsidRPr="009346A7">
              <w:rPr>
                <w:rFonts w:ascii="Times New Roman" w:eastAsia="Calibri" w:hAnsi="Times New Roman" w:cs="Times New Roman"/>
                <w:b/>
                <w:sz w:val="21"/>
                <w:szCs w:val="21"/>
                <w:u w:val="single"/>
                <w:lang w:eastAsia="en-GB"/>
              </w:rPr>
              <w:t>Book-Tax Differences</w:t>
            </w:r>
          </w:p>
        </w:tc>
      </w:tr>
      <w:tr w:rsidR="00C81A68" w:rsidRPr="00C81A68" w:rsidTr="009032B3">
        <w:trPr>
          <w:trHeight w:val="278"/>
        </w:trPr>
        <w:tc>
          <w:tcPr>
            <w:tcW w:w="3544"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Model 1</w:t>
            </w:r>
          </w:p>
        </w:tc>
        <w:tc>
          <w:tcPr>
            <w:tcW w:w="2660"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Model 2</w:t>
            </w:r>
          </w:p>
        </w:tc>
      </w:tr>
      <w:tr w:rsidR="00C81A68" w:rsidRPr="00C81A68" w:rsidTr="009032B3">
        <w:trPr>
          <w:trHeight w:val="264"/>
        </w:trPr>
        <w:tc>
          <w:tcPr>
            <w:tcW w:w="3544"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IDD</w:t>
            </w:r>
          </w:p>
        </w:tc>
        <w:tc>
          <w:tcPr>
            <w:tcW w:w="2835" w:type="dxa"/>
            <w:tcBorders>
              <w:top w:val="single" w:sz="4" w:space="0" w:color="auto"/>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-0.007***</w:t>
            </w:r>
          </w:p>
        </w:tc>
        <w:tc>
          <w:tcPr>
            <w:tcW w:w="2660" w:type="dxa"/>
            <w:tcBorders>
              <w:top w:val="single" w:sz="4" w:space="0" w:color="auto"/>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0.041***</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(0.002)</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(0.008)</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SIZE</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0.015***</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0.048***</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(0.001)</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MTB</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-0.004***</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0.011***</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(0.000)</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(0.001)</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LEV</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0.007**</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0.059***</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(0.003)</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(0.013)</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ROA</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0.236***</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1.304***</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(0.002)</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(0.011)</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NOL</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-0.088***</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0.199***</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(0.001)</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(0.006)</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DNOL</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0.015***</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-0.592***</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(0.001)</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(0.005)</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FI</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0.007</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-2.210***</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(0.028)</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(0.124)</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PPE</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-0.009***</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-0.346***</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(0.002)</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(0.011)</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EQINC</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-0.755***</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-2.864***</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(0.101)</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(0.471)</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INTAN</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0.028***</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-0.228***</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(0.003)</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(0.013)</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Intercept</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0.349***</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0.038</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(0.052)</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(0.247)</w:t>
            </w:r>
          </w:p>
        </w:tc>
      </w:tr>
      <w:tr w:rsidR="00C81A68" w:rsidRPr="00C81A68" w:rsidTr="009032B3">
        <w:trPr>
          <w:trHeight w:val="264"/>
        </w:trPr>
        <w:tc>
          <w:tcPr>
            <w:tcW w:w="3544"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Observations</w:t>
            </w:r>
          </w:p>
        </w:tc>
        <w:tc>
          <w:tcPr>
            <w:tcW w:w="2835" w:type="dxa"/>
            <w:tcBorders>
              <w:top w:val="single" w:sz="4" w:space="0" w:color="auto"/>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70,739</w:t>
            </w:r>
          </w:p>
        </w:tc>
        <w:tc>
          <w:tcPr>
            <w:tcW w:w="2660" w:type="dxa"/>
            <w:tcBorders>
              <w:top w:val="single" w:sz="4" w:space="0" w:color="auto"/>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66,243</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i/>
                <w:sz w:val="21"/>
                <w:szCs w:val="21"/>
                <w:lang w:eastAsia="en-GB"/>
              </w:rPr>
            </w:pPr>
            <w:r w:rsidRPr="00C81A68">
              <w:rPr>
                <w:rFonts w:ascii="Times New Roman" w:eastAsia="Calibri" w:hAnsi="Times New Roman" w:cs="Times New Roman"/>
                <w:i/>
                <w:sz w:val="21"/>
                <w:szCs w:val="21"/>
                <w:lang w:eastAsia="en-GB"/>
              </w:rPr>
              <w:t>R</w:t>
            </w:r>
            <w:r w:rsidRPr="00C81A68">
              <w:rPr>
                <w:rFonts w:ascii="Times New Roman" w:eastAsia="Calibri" w:hAnsi="Times New Roman" w:cs="Times New Roman"/>
                <w:i/>
                <w:sz w:val="21"/>
                <w:szCs w:val="21"/>
                <w:vertAlign w:val="superscript"/>
                <w:lang w:eastAsia="en-GB"/>
              </w:rPr>
              <w:t>2</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0.507</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0.601</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Year Fixed Effects</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3-digit Industry Effects</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State Fixed Effects</w:t>
            </w:r>
          </w:p>
        </w:tc>
        <w:tc>
          <w:tcPr>
            <w:tcW w:w="2835"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660"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bl>
    <w:p w:rsidR="00C81A68" w:rsidRPr="00C81A68" w:rsidRDefault="00C81A68" w:rsidP="00C81A68">
      <w:pPr>
        <w:spacing w:after="0" w:line="240" w:lineRule="auto"/>
        <w:rPr>
          <w:rFonts w:ascii="Times New Roman" w:eastAsia="Calibri" w:hAnsi="Times New Roman" w:cs="Times New Roman"/>
          <w:sz w:val="23"/>
          <w:szCs w:val="23"/>
          <w:lang w:eastAsia="en-GB"/>
        </w:rPr>
        <w:sectPr w:rsidR="00C81A68" w:rsidRPr="00C81A68" w:rsidSect="009032B3">
          <w:pgSz w:w="11906" w:h="16838"/>
          <w:pgMar w:top="1440" w:right="1440" w:bottom="1440" w:left="1440" w:header="709" w:footer="709" w:gutter="0"/>
          <w:cols w:space="708"/>
          <w:docGrid w:linePitch="360"/>
        </w:sect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r w:rsidRPr="00C81A68">
        <w:rPr>
          <w:rFonts w:ascii="Times New Roman" w:eastAsia="Calibri" w:hAnsi="Times New Roman" w:cs="Times New Roman"/>
          <w:b/>
          <w:sz w:val="24"/>
          <w:szCs w:val="24"/>
          <w:lang w:eastAsia="en-GB"/>
        </w:rPr>
        <w:lastRenderedPageBreak/>
        <w:t>Table 3. IDD, Internal Information Quality and Corporate Tax Avoidance</w:t>
      </w:r>
    </w:p>
    <w:p w:rsidR="00C81A68" w:rsidRPr="00C81A68" w:rsidRDefault="00C81A68" w:rsidP="00C81A68">
      <w:pPr>
        <w:spacing w:after="0" w:line="240" w:lineRule="auto"/>
        <w:jc w:val="both"/>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This table presents the regression results on the effect of IDD on a firm’s ability to engage in tax avoidance across firms with high and low internal information quality. We split firms into high and low high internal informational quality groups based on two proxies: analyst coverage, defined as the </w:t>
      </w:r>
      <w:r w:rsidRPr="00C81A68">
        <w:rPr>
          <w:rFonts w:ascii="Times New Roman" w:eastAsia="Calibri" w:hAnsi="Times New Roman" w:cs="Times New Roman"/>
          <w:sz w:val="21"/>
          <w:szCs w:val="21"/>
        </w:rPr>
        <w:t>total number of analysts following the firm during the year (as in Chen and Lin, 2017);</w:t>
      </w:r>
      <w:r w:rsidRPr="00C81A68">
        <w:rPr>
          <w:rFonts w:ascii="Times New Roman" w:eastAsia="Calibri" w:hAnsi="Times New Roman" w:cs="Times New Roman"/>
          <w:sz w:val="21"/>
          <w:szCs w:val="21"/>
          <w:lang w:eastAsia="en-GB"/>
        </w:rPr>
        <w:t xml:space="preserve"> and absolute values of discretionary accruals, computed as </w:t>
      </w:r>
      <w:r w:rsidRPr="00C81A68">
        <w:rPr>
          <w:rFonts w:ascii="Times New Roman" w:eastAsia="Calibri" w:hAnsi="Times New Roman" w:cs="Times New Roman"/>
          <w:sz w:val="21"/>
          <w:szCs w:val="21"/>
        </w:rPr>
        <w:t>using an augmented version of the modified Jones model (</w:t>
      </w:r>
      <w:proofErr w:type="spellStart"/>
      <w:r w:rsidRPr="00C81A68">
        <w:rPr>
          <w:rFonts w:ascii="Times New Roman" w:eastAsia="Calibri" w:hAnsi="Times New Roman" w:cs="Times New Roman"/>
          <w:sz w:val="21"/>
          <w:szCs w:val="21"/>
        </w:rPr>
        <w:t>Dechow</w:t>
      </w:r>
      <w:proofErr w:type="spellEnd"/>
      <w:r w:rsidRPr="00C81A68">
        <w:rPr>
          <w:rFonts w:ascii="Times New Roman" w:eastAsia="Calibri" w:hAnsi="Times New Roman" w:cs="Times New Roman"/>
          <w:sz w:val="21"/>
          <w:szCs w:val="21"/>
        </w:rPr>
        <w:t xml:space="preserve"> et al. 1995) proposed by Kothari et al., 2005 which controls for company performance by including return on assets in the computation model</w:t>
      </w:r>
      <w:r w:rsidRPr="00C81A68">
        <w:rPr>
          <w:rFonts w:ascii="Times New Roman" w:eastAsia="Calibri" w:hAnsi="Times New Roman" w:cs="Times New Roman"/>
          <w:sz w:val="21"/>
          <w:szCs w:val="21"/>
          <w:lang w:eastAsia="en-GB"/>
        </w:rPr>
        <w:t>. High (low) and low (high) IIQ firms are those that are above and below median values of analyst coverage (absolute values of discretionary accruals) respectively. The dependent variable in Panel A is book effective tax rate (ETR), defined as the ratio of total tax expense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TXT) to pre-tax book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PI). The dependent variable in Panel B is book-tax difference, defined as the ratio of pre-tax book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PI) less estimated taxable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TXFED +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TXFO) / statutory marginal tax rate) to lagged total assets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AT). IDD is an indicator variable equal to one if the firm is headquartered in a state whose courts recognize the IDD, and zero otherwise. Analytical definitions for all variables are provided in Appendix A. Standard errors are robust to heteroscedasticity (reported in parentheses). ***, **, and * denote statistical significance at the 1%, 5% and 10% levels, respectively.</w:t>
      </w:r>
    </w:p>
    <w:tbl>
      <w:tblPr>
        <w:tblW w:w="9356" w:type="dxa"/>
        <w:tblInd w:w="108" w:type="dxa"/>
        <w:tblBorders>
          <w:top w:val="double" w:sz="4" w:space="0" w:color="auto"/>
          <w:bottom w:val="double" w:sz="4" w:space="0" w:color="auto"/>
        </w:tblBorders>
        <w:tblLayout w:type="fixed"/>
        <w:tblLook w:val="04A0" w:firstRow="1" w:lastRow="0" w:firstColumn="1" w:lastColumn="0" w:noHBand="0" w:noVBand="1"/>
      </w:tblPr>
      <w:tblGrid>
        <w:gridCol w:w="1951"/>
        <w:gridCol w:w="2064"/>
        <w:gridCol w:w="2047"/>
        <w:gridCol w:w="2034"/>
        <w:gridCol w:w="1260"/>
      </w:tblGrid>
      <w:tr w:rsidR="00C81A68" w:rsidRPr="00C81A68" w:rsidTr="009032B3">
        <w:trPr>
          <w:trHeight w:val="278"/>
        </w:trPr>
        <w:tc>
          <w:tcPr>
            <w:tcW w:w="9356" w:type="dxa"/>
            <w:gridSpan w:val="5"/>
            <w:tcBorders>
              <w:top w:val="double" w:sz="4" w:space="0" w:color="auto"/>
              <w:bottom w:val="nil"/>
            </w:tcBorders>
            <w:shd w:val="clear" w:color="auto" w:fill="auto"/>
          </w:tcPr>
          <w:p w:rsidR="00C81A68" w:rsidRPr="00C81A68" w:rsidRDefault="00C81A68" w:rsidP="00C81A68">
            <w:pPr>
              <w:spacing w:after="0" w:line="240" w:lineRule="auto"/>
              <w:rPr>
                <w:rFonts w:ascii="Times New Roman" w:eastAsia="Calibri" w:hAnsi="Times New Roman" w:cs="Times New Roman"/>
                <w:b/>
                <w:sz w:val="21"/>
                <w:szCs w:val="21"/>
                <w:lang w:eastAsia="en-GB"/>
              </w:rPr>
            </w:pPr>
            <w:r w:rsidRPr="00C81A68">
              <w:rPr>
                <w:rFonts w:ascii="Times New Roman" w:eastAsia="Calibri" w:hAnsi="Times New Roman" w:cs="Times New Roman"/>
                <w:b/>
                <w:sz w:val="21"/>
                <w:szCs w:val="21"/>
                <w:lang w:eastAsia="en-GB"/>
              </w:rPr>
              <w:t>Panel A: Effective Tax Rates (ETR)</w:t>
            </w:r>
          </w:p>
        </w:tc>
      </w:tr>
      <w:tr w:rsidR="00C81A68" w:rsidRPr="00C81A68" w:rsidTr="009032B3">
        <w:trPr>
          <w:trHeight w:val="278"/>
        </w:trPr>
        <w:tc>
          <w:tcPr>
            <w:tcW w:w="1951" w:type="dxa"/>
            <w:tcBorders>
              <w:top w:val="single" w:sz="4" w:space="0" w:color="auto"/>
              <w:bottom w:val="nil"/>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4111" w:type="dxa"/>
            <w:gridSpan w:val="2"/>
            <w:tcBorders>
              <w:top w:val="single" w:sz="4" w:space="0" w:color="auto"/>
              <w:bottom w:val="single" w:sz="4" w:space="0" w:color="auto"/>
            </w:tcBorders>
            <w:shd w:val="clear" w:color="auto" w:fill="auto"/>
          </w:tcPr>
          <w:p w:rsidR="00C81A68" w:rsidRPr="00C81A68" w:rsidRDefault="00C81A68" w:rsidP="00C81A68">
            <w:pPr>
              <w:spacing w:after="0" w:line="240" w:lineRule="auto"/>
              <w:jc w:val="center"/>
              <w:rPr>
                <w:rFonts w:ascii="Times New Roman" w:eastAsia="Calibri" w:hAnsi="Times New Roman" w:cs="Times New Roman"/>
                <w:b/>
                <w:sz w:val="21"/>
                <w:szCs w:val="21"/>
                <w:lang w:eastAsia="en-GB"/>
              </w:rPr>
            </w:pPr>
            <w:r w:rsidRPr="00C81A68">
              <w:rPr>
                <w:rFonts w:ascii="Times New Roman" w:eastAsia="Calibri" w:hAnsi="Times New Roman" w:cs="Times New Roman"/>
                <w:b/>
                <w:sz w:val="21"/>
                <w:szCs w:val="21"/>
                <w:lang w:eastAsia="en-GB"/>
              </w:rPr>
              <w:t>Analyst Coverage</w:t>
            </w:r>
          </w:p>
        </w:tc>
        <w:tc>
          <w:tcPr>
            <w:tcW w:w="3294" w:type="dxa"/>
            <w:gridSpan w:val="2"/>
            <w:tcBorders>
              <w:top w:val="single" w:sz="4" w:space="0" w:color="auto"/>
              <w:bottom w:val="single" w:sz="4" w:space="0" w:color="auto"/>
            </w:tcBorders>
          </w:tcPr>
          <w:p w:rsidR="00C81A68" w:rsidRPr="00C81A68" w:rsidRDefault="00C81A68" w:rsidP="00C81A68">
            <w:pPr>
              <w:spacing w:after="0" w:line="240" w:lineRule="auto"/>
              <w:rPr>
                <w:rFonts w:ascii="Times New Roman" w:eastAsia="Calibri" w:hAnsi="Times New Roman" w:cs="Times New Roman"/>
                <w:b/>
                <w:sz w:val="21"/>
                <w:szCs w:val="21"/>
                <w:lang w:eastAsia="en-GB"/>
              </w:rPr>
            </w:pPr>
            <w:r w:rsidRPr="00C81A68">
              <w:rPr>
                <w:rFonts w:ascii="Times New Roman" w:eastAsia="Calibri" w:hAnsi="Times New Roman" w:cs="Times New Roman"/>
                <w:b/>
                <w:sz w:val="21"/>
                <w:szCs w:val="21"/>
                <w:lang w:eastAsia="en-GB"/>
              </w:rPr>
              <w:t>Absolute Discretionary Accruals</w:t>
            </w:r>
          </w:p>
        </w:tc>
      </w:tr>
      <w:tr w:rsidR="00C81A68" w:rsidRPr="00C81A68" w:rsidTr="009032B3">
        <w:trPr>
          <w:trHeight w:val="278"/>
        </w:trPr>
        <w:tc>
          <w:tcPr>
            <w:tcW w:w="1951"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064"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High IIQ</w:t>
            </w:r>
          </w:p>
        </w:tc>
        <w:tc>
          <w:tcPr>
            <w:tcW w:w="2047"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Low IIQ</w:t>
            </w:r>
          </w:p>
        </w:tc>
        <w:tc>
          <w:tcPr>
            <w:tcW w:w="2034" w:type="dxa"/>
            <w:tcBorders>
              <w:top w:val="nil"/>
              <w:bottom w:val="single" w:sz="4" w:space="0" w:color="auto"/>
            </w:tcBorders>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High IIQ</w:t>
            </w:r>
          </w:p>
        </w:tc>
        <w:tc>
          <w:tcPr>
            <w:tcW w:w="1260" w:type="dxa"/>
            <w:tcBorders>
              <w:top w:val="nil"/>
              <w:bottom w:val="single" w:sz="4" w:space="0" w:color="auto"/>
            </w:tcBorders>
          </w:tcPr>
          <w:p w:rsidR="00C81A68" w:rsidRPr="00C81A68" w:rsidRDefault="00C81A68" w:rsidP="00C81A68">
            <w:pPr>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Low IIQ</w:t>
            </w:r>
          </w:p>
        </w:tc>
      </w:tr>
      <w:tr w:rsidR="00C81A68" w:rsidRPr="00C81A68" w:rsidTr="009032B3">
        <w:trPr>
          <w:trHeight w:val="264"/>
        </w:trPr>
        <w:tc>
          <w:tcPr>
            <w:tcW w:w="1951"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IDD</w:t>
            </w:r>
          </w:p>
        </w:tc>
        <w:tc>
          <w:tcPr>
            <w:tcW w:w="2064" w:type="dxa"/>
            <w:tcBorders>
              <w:top w:val="single" w:sz="4" w:space="0" w:color="auto"/>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-0.003</w:t>
            </w:r>
          </w:p>
        </w:tc>
        <w:tc>
          <w:tcPr>
            <w:tcW w:w="2047" w:type="dxa"/>
            <w:tcBorders>
              <w:top w:val="single" w:sz="4" w:space="0" w:color="auto"/>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-0.011***</w:t>
            </w:r>
          </w:p>
        </w:tc>
        <w:tc>
          <w:tcPr>
            <w:tcW w:w="2034" w:type="dxa"/>
            <w:tcBorders>
              <w:top w:val="single" w:sz="4" w:space="0" w:color="auto"/>
            </w:tcBorders>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-0.005*</w:t>
            </w:r>
          </w:p>
        </w:tc>
        <w:tc>
          <w:tcPr>
            <w:tcW w:w="1260" w:type="dxa"/>
            <w:tcBorders>
              <w:top w:val="single" w:sz="4" w:space="0" w:color="auto"/>
            </w:tcBorders>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-0.008***</w:t>
            </w:r>
          </w:p>
        </w:tc>
      </w:tr>
      <w:tr w:rsidR="00C81A68" w:rsidRPr="00C81A68" w:rsidTr="009032B3">
        <w:trPr>
          <w:trHeight w:val="264"/>
        </w:trPr>
        <w:tc>
          <w:tcPr>
            <w:tcW w:w="1951"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064"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(0.002)</w:t>
            </w:r>
          </w:p>
        </w:tc>
        <w:tc>
          <w:tcPr>
            <w:tcW w:w="2047"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(0.003)</w:t>
            </w:r>
          </w:p>
        </w:tc>
        <w:tc>
          <w:tcPr>
            <w:tcW w:w="2034" w:type="dxa"/>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(0.003)</w:t>
            </w:r>
          </w:p>
        </w:tc>
        <w:tc>
          <w:tcPr>
            <w:tcW w:w="1260" w:type="dxa"/>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(0.003)</w:t>
            </w:r>
          </w:p>
        </w:tc>
      </w:tr>
      <w:tr w:rsidR="00C81A68" w:rsidRPr="00C81A68" w:rsidTr="009032B3">
        <w:trPr>
          <w:trHeight w:val="264"/>
        </w:trPr>
        <w:tc>
          <w:tcPr>
            <w:tcW w:w="1951"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Observations</w:t>
            </w:r>
          </w:p>
        </w:tc>
        <w:tc>
          <w:tcPr>
            <w:tcW w:w="2064"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38,414</w:t>
            </w:r>
          </w:p>
        </w:tc>
        <w:tc>
          <w:tcPr>
            <w:tcW w:w="2047"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32,325</w:t>
            </w:r>
          </w:p>
        </w:tc>
        <w:tc>
          <w:tcPr>
            <w:tcW w:w="2034" w:type="dxa"/>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35,369</w:t>
            </w:r>
          </w:p>
        </w:tc>
        <w:tc>
          <w:tcPr>
            <w:tcW w:w="1260" w:type="dxa"/>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35,370</w:t>
            </w:r>
          </w:p>
        </w:tc>
      </w:tr>
      <w:tr w:rsidR="00C81A68" w:rsidRPr="00C81A68" w:rsidTr="009032B3">
        <w:trPr>
          <w:trHeight w:val="264"/>
        </w:trPr>
        <w:tc>
          <w:tcPr>
            <w:tcW w:w="1951"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i/>
                <w:sz w:val="21"/>
                <w:szCs w:val="21"/>
                <w:lang w:eastAsia="en-GB"/>
              </w:rPr>
            </w:pPr>
            <w:r w:rsidRPr="00C81A68">
              <w:rPr>
                <w:rFonts w:ascii="Times New Roman" w:eastAsia="Calibri" w:hAnsi="Times New Roman" w:cs="Times New Roman"/>
                <w:i/>
                <w:sz w:val="21"/>
                <w:szCs w:val="21"/>
                <w:lang w:eastAsia="en-GB"/>
              </w:rPr>
              <w:t>R</w:t>
            </w:r>
            <w:r w:rsidRPr="00C81A68">
              <w:rPr>
                <w:rFonts w:ascii="Times New Roman" w:eastAsia="Calibri" w:hAnsi="Times New Roman" w:cs="Times New Roman"/>
                <w:i/>
                <w:sz w:val="21"/>
                <w:szCs w:val="21"/>
                <w:vertAlign w:val="superscript"/>
                <w:lang w:eastAsia="en-GB"/>
              </w:rPr>
              <w:t>2</w:t>
            </w:r>
          </w:p>
        </w:tc>
        <w:tc>
          <w:tcPr>
            <w:tcW w:w="2064"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0.454</w:t>
            </w:r>
          </w:p>
        </w:tc>
        <w:tc>
          <w:tcPr>
            <w:tcW w:w="2047"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0.538</w:t>
            </w:r>
          </w:p>
        </w:tc>
        <w:tc>
          <w:tcPr>
            <w:tcW w:w="2034" w:type="dxa"/>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0.475</w:t>
            </w:r>
          </w:p>
        </w:tc>
        <w:tc>
          <w:tcPr>
            <w:tcW w:w="1260" w:type="dxa"/>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0.549</w:t>
            </w:r>
          </w:p>
        </w:tc>
      </w:tr>
      <w:tr w:rsidR="00C81A68" w:rsidRPr="00C81A68" w:rsidTr="009032B3">
        <w:trPr>
          <w:trHeight w:val="264"/>
        </w:trPr>
        <w:tc>
          <w:tcPr>
            <w:tcW w:w="9356" w:type="dxa"/>
            <w:gridSpan w:val="5"/>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i/>
                <w:sz w:val="21"/>
                <w:szCs w:val="21"/>
                <w:lang w:eastAsia="en-GB"/>
              </w:rPr>
            </w:pPr>
            <w:r w:rsidRPr="00C81A68">
              <w:rPr>
                <w:rFonts w:ascii="Times New Roman" w:eastAsia="Calibri" w:hAnsi="Times New Roman" w:cs="Times New Roman"/>
                <w:i/>
                <w:sz w:val="21"/>
                <w:szCs w:val="21"/>
                <w:lang w:eastAsia="en-GB"/>
              </w:rPr>
              <w:t>Subsample comparison of coefficients on the IDD</w:t>
            </w:r>
          </w:p>
        </w:tc>
      </w:tr>
      <w:tr w:rsidR="00C81A68" w:rsidRPr="00C81A68" w:rsidTr="009032B3">
        <w:trPr>
          <w:trHeight w:val="264"/>
        </w:trPr>
        <w:tc>
          <w:tcPr>
            <w:tcW w:w="1951"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i/>
                <w:sz w:val="21"/>
                <w:szCs w:val="21"/>
                <w:lang w:eastAsia="en-GB"/>
              </w:rPr>
              <w:t>z</w:t>
            </w:r>
            <w:r w:rsidRPr="00C81A68">
              <w:rPr>
                <w:rFonts w:ascii="Times New Roman" w:eastAsia="Calibri" w:hAnsi="Times New Roman" w:cs="Times New Roman"/>
                <w:sz w:val="21"/>
                <w:szCs w:val="21"/>
                <w:lang w:eastAsia="en-GB"/>
              </w:rPr>
              <w:t>-statistics</w:t>
            </w:r>
          </w:p>
        </w:tc>
        <w:tc>
          <w:tcPr>
            <w:tcW w:w="4111" w:type="dxa"/>
            <w:gridSpan w:val="2"/>
            <w:shd w:val="clear" w:color="auto" w:fill="auto"/>
            <w:vAlign w:val="bottom"/>
          </w:tcPr>
          <w:p w:rsidR="00C81A68" w:rsidRPr="00C81A68" w:rsidRDefault="00C81A68" w:rsidP="00C81A68">
            <w:pPr>
              <w:tabs>
                <w:tab w:val="decimal" w:pos="492"/>
              </w:tabs>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2.242**</w:t>
            </w:r>
          </w:p>
        </w:tc>
        <w:tc>
          <w:tcPr>
            <w:tcW w:w="3294" w:type="dxa"/>
            <w:gridSpan w:val="2"/>
          </w:tcPr>
          <w:p w:rsidR="00C81A68" w:rsidRPr="00C81A68" w:rsidRDefault="00C81A68" w:rsidP="00C81A68">
            <w:pPr>
              <w:tabs>
                <w:tab w:val="decimal" w:pos="492"/>
              </w:tabs>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0.818</w:t>
            </w:r>
          </w:p>
        </w:tc>
      </w:tr>
      <w:tr w:rsidR="00C81A68" w:rsidRPr="00C81A68" w:rsidTr="009032B3">
        <w:trPr>
          <w:trHeight w:val="264"/>
        </w:trPr>
        <w:tc>
          <w:tcPr>
            <w:tcW w:w="1951"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i/>
                <w:sz w:val="21"/>
                <w:szCs w:val="21"/>
                <w:lang w:eastAsia="en-GB"/>
              </w:rPr>
              <w:t>p</w:t>
            </w:r>
            <w:r w:rsidRPr="00C81A68">
              <w:rPr>
                <w:rFonts w:ascii="Times New Roman" w:eastAsia="Calibri" w:hAnsi="Times New Roman" w:cs="Times New Roman"/>
                <w:sz w:val="21"/>
                <w:szCs w:val="21"/>
                <w:lang w:eastAsia="en-GB"/>
              </w:rPr>
              <w:t>-values</w:t>
            </w:r>
          </w:p>
        </w:tc>
        <w:tc>
          <w:tcPr>
            <w:tcW w:w="4111" w:type="dxa"/>
            <w:gridSpan w:val="2"/>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0.024</w:t>
            </w:r>
          </w:p>
        </w:tc>
        <w:tc>
          <w:tcPr>
            <w:tcW w:w="3294" w:type="dxa"/>
            <w:gridSpan w:val="2"/>
          </w:tcPr>
          <w:p w:rsidR="00C81A68" w:rsidRPr="00C81A68" w:rsidRDefault="00C81A68" w:rsidP="00C81A68">
            <w:pPr>
              <w:tabs>
                <w:tab w:val="decimal" w:pos="492"/>
              </w:tabs>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0.413</w:t>
            </w:r>
          </w:p>
        </w:tc>
      </w:tr>
      <w:tr w:rsidR="00C81A68" w:rsidRPr="00C81A68" w:rsidTr="009032B3">
        <w:trPr>
          <w:trHeight w:val="278"/>
        </w:trPr>
        <w:tc>
          <w:tcPr>
            <w:tcW w:w="9356" w:type="dxa"/>
            <w:gridSpan w:val="5"/>
            <w:tcBorders>
              <w:top w:val="single" w:sz="4" w:space="0" w:color="auto"/>
              <w:bottom w:val="nil"/>
            </w:tcBorders>
            <w:shd w:val="clear" w:color="auto" w:fill="auto"/>
          </w:tcPr>
          <w:p w:rsidR="00C81A68" w:rsidRPr="00C81A68" w:rsidRDefault="00C81A68" w:rsidP="00C81A68">
            <w:pPr>
              <w:spacing w:after="0" w:line="240" w:lineRule="auto"/>
              <w:rPr>
                <w:rFonts w:ascii="Times New Roman" w:eastAsia="Calibri" w:hAnsi="Times New Roman" w:cs="Times New Roman"/>
                <w:b/>
                <w:sz w:val="21"/>
                <w:szCs w:val="21"/>
                <w:lang w:eastAsia="en-GB"/>
              </w:rPr>
            </w:pPr>
            <w:r w:rsidRPr="00C81A68">
              <w:rPr>
                <w:rFonts w:ascii="Times New Roman" w:eastAsia="Calibri" w:hAnsi="Times New Roman" w:cs="Times New Roman"/>
                <w:b/>
                <w:sz w:val="21"/>
                <w:szCs w:val="21"/>
                <w:lang w:eastAsia="en-GB"/>
              </w:rPr>
              <w:t>Panel B: Book-Tax Differences (BTD)</w:t>
            </w:r>
          </w:p>
        </w:tc>
      </w:tr>
      <w:tr w:rsidR="00C81A68" w:rsidRPr="00C81A68" w:rsidTr="009032B3">
        <w:trPr>
          <w:trHeight w:val="278"/>
        </w:trPr>
        <w:tc>
          <w:tcPr>
            <w:tcW w:w="1951" w:type="dxa"/>
            <w:tcBorders>
              <w:top w:val="single" w:sz="4" w:space="0" w:color="auto"/>
              <w:bottom w:val="nil"/>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4111" w:type="dxa"/>
            <w:gridSpan w:val="2"/>
            <w:tcBorders>
              <w:top w:val="single" w:sz="4" w:space="0" w:color="auto"/>
              <w:bottom w:val="single" w:sz="4" w:space="0" w:color="auto"/>
            </w:tcBorders>
            <w:shd w:val="clear" w:color="auto" w:fill="auto"/>
          </w:tcPr>
          <w:p w:rsidR="00C81A68" w:rsidRPr="00C81A68" w:rsidRDefault="00C81A68" w:rsidP="00C81A68">
            <w:pPr>
              <w:spacing w:after="0" w:line="240" w:lineRule="auto"/>
              <w:jc w:val="center"/>
              <w:rPr>
                <w:rFonts w:ascii="Times New Roman" w:eastAsia="Calibri" w:hAnsi="Times New Roman" w:cs="Times New Roman"/>
                <w:b/>
                <w:sz w:val="21"/>
                <w:szCs w:val="21"/>
                <w:lang w:eastAsia="en-GB"/>
              </w:rPr>
            </w:pPr>
            <w:r w:rsidRPr="00C81A68">
              <w:rPr>
                <w:rFonts w:ascii="Times New Roman" w:eastAsia="Calibri" w:hAnsi="Times New Roman" w:cs="Times New Roman"/>
                <w:b/>
                <w:sz w:val="21"/>
                <w:szCs w:val="21"/>
                <w:lang w:eastAsia="en-GB"/>
              </w:rPr>
              <w:t>Analyst Coverage</w:t>
            </w:r>
          </w:p>
        </w:tc>
        <w:tc>
          <w:tcPr>
            <w:tcW w:w="3294" w:type="dxa"/>
            <w:gridSpan w:val="2"/>
            <w:tcBorders>
              <w:top w:val="single" w:sz="4" w:space="0" w:color="auto"/>
              <w:bottom w:val="single" w:sz="4" w:space="0" w:color="auto"/>
            </w:tcBorders>
          </w:tcPr>
          <w:p w:rsidR="00C81A68" w:rsidRPr="00C81A68" w:rsidRDefault="00C81A68" w:rsidP="00C81A68">
            <w:pPr>
              <w:spacing w:after="0" w:line="240" w:lineRule="auto"/>
              <w:rPr>
                <w:rFonts w:ascii="Times New Roman" w:eastAsia="Calibri" w:hAnsi="Times New Roman" w:cs="Times New Roman"/>
                <w:b/>
                <w:sz w:val="21"/>
                <w:szCs w:val="21"/>
                <w:lang w:eastAsia="en-GB"/>
              </w:rPr>
            </w:pPr>
            <w:r w:rsidRPr="00C81A68">
              <w:rPr>
                <w:rFonts w:ascii="Times New Roman" w:eastAsia="Calibri" w:hAnsi="Times New Roman" w:cs="Times New Roman"/>
                <w:b/>
                <w:sz w:val="21"/>
                <w:szCs w:val="21"/>
                <w:lang w:eastAsia="en-GB"/>
              </w:rPr>
              <w:t>Absolute Discretionary Accruals</w:t>
            </w:r>
          </w:p>
        </w:tc>
      </w:tr>
      <w:tr w:rsidR="00C81A68" w:rsidRPr="00C81A68" w:rsidTr="009032B3">
        <w:trPr>
          <w:trHeight w:val="278"/>
        </w:trPr>
        <w:tc>
          <w:tcPr>
            <w:tcW w:w="1951"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064"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High IIQ</w:t>
            </w:r>
          </w:p>
        </w:tc>
        <w:tc>
          <w:tcPr>
            <w:tcW w:w="2047"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Low IIQ</w:t>
            </w:r>
          </w:p>
        </w:tc>
        <w:tc>
          <w:tcPr>
            <w:tcW w:w="2034" w:type="dxa"/>
            <w:tcBorders>
              <w:top w:val="nil"/>
              <w:bottom w:val="single" w:sz="4" w:space="0" w:color="auto"/>
            </w:tcBorders>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High IIQ</w:t>
            </w:r>
          </w:p>
        </w:tc>
        <w:tc>
          <w:tcPr>
            <w:tcW w:w="1260" w:type="dxa"/>
            <w:tcBorders>
              <w:top w:val="nil"/>
              <w:bottom w:val="single" w:sz="4" w:space="0" w:color="auto"/>
            </w:tcBorders>
          </w:tcPr>
          <w:p w:rsidR="00C81A68" w:rsidRPr="00C81A68" w:rsidRDefault="00C81A68" w:rsidP="00C81A68">
            <w:pPr>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Low IIQ</w:t>
            </w:r>
          </w:p>
        </w:tc>
      </w:tr>
      <w:tr w:rsidR="00C81A68" w:rsidRPr="00C81A68" w:rsidTr="009032B3">
        <w:trPr>
          <w:trHeight w:val="264"/>
        </w:trPr>
        <w:tc>
          <w:tcPr>
            <w:tcW w:w="1951"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IDD</w:t>
            </w:r>
          </w:p>
        </w:tc>
        <w:tc>
          <w:tcPr>
            <w:tcW w:w="2064" w:type="dxa"/>
            <w:tcBorders>
              <w:top w:val="single" w:sz="4" w:space="0" w:color="auto"/>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-0.001</w:t>
            </w:r>
          </w:p>
        </w:tc>
        <w:tc>
          <w:tcPr>
            <w:tcW w:w="2047" w:type="dxa"/>
            <w:tcBorders>
              <w:top w:val="single" w:sz="4" w:space="0" w:color="auto"/>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0.074***</w:t>
            </w:r>
          </w:p>
        </w:tc>
        <w:tc>
          <w:tcPr>
            <w:tcW w:w="2034" w:type="dxa"/>
            <w:tcBorders>
              <w:top w:val="single" w:sz="4" w:space="0" w:color="auto"/>
            </w:tcBorders>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0.010*</w:t>
            </w:r>
          </w:p>
        </w:tc>
        <w:tc>
          <w:tcPr>
            <w:tcW w:w="1260" w:type="dxa"/>
            <w:tcBorders>
              <w:top w:val="single" w:sz="4" w:space="0" w:color="auto"/>
            </w:tcBorders>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0.072***</w:t>
            </w:r>
          </w:p>
        </w:tc>
      </w:tr>
      <w:tr w:rsidR="00C81A68" w:rsidRPr="00C81A68" w:rsidTr="009032B3">
        <w:trPr>
          <w:trHeight w:val="264"/>
        </w:trPr>
        <w:tc>
          <w:tcPr>
            <w:tcW w:w="1951"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064"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(0.005)</w:t>
            </w:r>
          </w:p>
        </w:tc>
        <w:tc>
          <w:tcPr>
            <w:tcW w:w="2047"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(0.018)</w:t>
            </w:r>
          </w:p>
        </w:tc>
        <w:tc>
          <w:tcPr>
            <w:tcW w:w="2034" w:type="dxa"/>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(0.006)</w:t>
            </w:r>
          </w:p>
        </w:tc>
        <w:tc>
          <w:tcPr>
            <w:tcW w:w="1260" w:type="dxa"/>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(0.017)</w:t>
            </w:r>
          </w:p>
        </w:tc>
      </w:tr>
      <w:tr w:rsidR="00C81A68" w:rsidRPr="00C81A68" w:rsidTr="009032B3">
        <w:trPr>
          <w:trHeight w:val="264"/>
        </w:trPr>
        <w:tc>
          <w:tcPr>
            <w:tcW w:w="1951"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Observations</w:t>
            </w:r>
          </w:p>
        </w:tc>
        <w:tc>
          <w:tcPr>
            <w:tcW w:w="2064"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36,248</w:t>
            </w:r>
          </w:p>
        </w:tc>
        <w:tc>
          <w:tcPr>
            <w:tcW w:w="2047"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29,995</w:t>
            </w:r>
          </w:p>
        </w:tc>
        <w:tc>
          <w:tcPr>
            <w:tcW w:w="2034" w:type="dxa"/>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33,122</w:t>
            </w:r>
          </w:p>
        </w:tc>
        <w:tc>
          <w:tcPr>
            <w:tcW w:w="1260" w:type="dxa"/>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33,121</w:t>
            </w:r>
          </w:p>
        </w:tc>
      </w:tr>
      <w:tr w:rsidR="00C81A68" w:rsidRPr="00C81A68" w:rsidTr="009032B3">
        <w:trPr>
          <w:trHeight w:val="264"/>
        </w:trPr>
        <w:tc>
          <w:tcPr>
            <w:tcW w:w="1951"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i/>
                <w:sz w:val="21"/>
                <w:szCs w:val="21"/>
                <w:lang w:eastAsia="en-GB"/>
              </w:rPr>
            </w:pPr>
            <w:r w:rsidRPr="00C81A68">
              <w:rPr>
                <w:rFonts w:ascii="Times New Roman" w:eastAsia="Calibri" w:hAnsi="Times New Roman" w:cs="Times New Roman"/>
                <w:i/>
                <w:sz w:val="21"/>
                <w:szCs w:val="21"/>
                <w:lang w:eastAsia="en-GB"/>
              </w:rPr>
              <w:t>R</w:t>
            </w:r>
            <w:r w:rsidRPr="00C81A68">
              <w:rPr>
                <w:rFonts w:ascii="Times New Roman" w:eastAsia="Calibri" w:hAnsi="Times New Roman" w:cs="Times New Roman"/>
                <w:i/>
                <w:sz w:val="21"/>
                <w:szCs w:val="21"/>
                <w:vertAlign w:val="superscript"/>
                <w:lang w:eastAsia="en-GB"/>
              </w:rPr>
              <w:t>2</w:t>
            </w:r>
          </w:p>
        </w:tc>
        <w:tc>
          <w:tcPr>
            <w:tcW w:w="2064"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0.557</w:t>
            </w:r>
          </w:p>
        </w:tc>
        <w:tc>
          <w:tcPr>
            <w:tcW w:w="2047"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0.596</w:t>
            </w:r>
          </w:p>
        </w:tc>
        <w:tc>
          <w:tcPr>
            <w:tcW w:w="2034" w:type="dxa"/>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0.588</w:t>
            </w:r>
          </w:p>
        </w:tc>
        <w:tc>
          <w:tcPr>
            <w:tcW w:w="1260" w:type="dxa"/>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0.596</w:t>
            </w:r>
          </w:p>
        </w:tc>
      </w:tr>
      <w:tr w:rsidR="00C81A68" w:rsidRPr="00C81A68" w:rsidTr="009032B3">
        <w:trPr>
          <w:trHeight w:val="264"/>
        </w:trPr>
        <w:tc>
          <w:tcPr>
            <w:tcW w:w="9356" w:type="dxa"/>
            <w:gridSpan w:val="5"/>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i/>
                <w:sz w:val="21"/>
                <w:szCs w:val="21"/>
                <w:lang w:eastAsia="en-GB"/>
              </w:rPr>
            </w:pPr>
            <w:r w:rsidRPr="00C81A68">
              <w:rPr>
                <w:rFonts w:ascii="Times New Roman" w:eastAsia="Calibri" w:hAnsi="Times New Roman" w:cs="Times New Roman"/>
                <w:i/>
                <w:sz w:val="21"/>
                <w:szCs w:val="21"/>
                <w:lang w:eastAsia="en-GB"/>
              </w:rPr>
              <w:t>Subsample comparison of coefficients on the IDD</w:t>
            </w:r>
          </w:p>
        </w:tc>
      </w:tr>
      <w:tr w:rsidR="00C81A68" w:rsidRPr="00C81A68" w:rsidTr="009032B3">
        <w:trPr>
          <w:trHeight w:val="264"/>
        </w:trPr>
        <w:tc>
          <w:tcPr>
            <w:tcW w:w="1951"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i/>
                <w:sz w:val="21"/>
                <w:szCs w:val="21"/>
                <w:lang w:eastAsia="en-GB"/>
              </w:rPr>
              <w:t>z</w:t>
            </w:r>
            <w:r w:rsidRPr="00C81A68">
              <w:rPr>
                <w:rFonts w:ascii="Times New Roman" w:eastAsia="Calibri" w:hAnsi="Times New Roman" w:cs="Times New Roman"/>
                <w:sz w:val="21"/>
                <w:szCs w:val="21"/>
                <w:lang w:eastAsia="en-GB"/>
              </w:rPr>
              <w:t>-statistics</w:t>
            </w:r>
          </w:p>
        </w:tc>
        <w:tc>
          <w:tcPr>
            <w:tcW w:w="4111" w:type="dxa"/>
            <w:gridSpan w:val="2"/>
            <w:shd w:val="clear" w:color="auto" w:fill="auto"/>
            <w:vAlign w:val="bottom"/>
          </w:tcPr>
          <w:p w:rsidR="00C81A68" w:rsidRPr="00C81A68" w:rsidRDefault="00C81A68" w:rsidP="00C81A68">
            <w:pPr>
              <w:tabs>
                <w:tab w:val="decimal" w:pos="492"/>
              </w:tabs>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-3.356***</w:t>
            </w:r>
          </w:p>
        </w:tc>
        <w:tc>
          <w:tcPr>
            <w:tcW w:w="3294" w:type="dxa"/>
            <w:gridSpan w:val="2"/>
          </w:tcPr>
          <w:p w:rsidR="00C81A68" w:rsidRPr="00C81A68" w:rsidRDefault="00C81A68" w:rsidP="00C81A68">
            <w:pPr>
              <w:tabs>
                <w:tab w:val="decimal" w:pos="492"/>
              </w:tabs>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-2.736***</w:t>
            </w:r>
          </w:p>
        </w:tc>
      </w:tr>
      <w:tr w:rsidR="00C81A68" w:rsidRPr="00C81A68" w:rsidTr="009032B3">
        <w:trPr>
          <w:trHeight w:val="264"/>
        </w:trPr>
        <w:tc>
          <w:tcPr>
            <w:tcW w:w="1951" w:type="dxa"/>
            <w:tcBorders>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i/>
                <w:sz w:val="21"/>
                <w:szCs w:val="21"/>
                <w:lang w:eastAsia="en-GB"/>
              </w:rPr>
              <w:t>p</w:t>
            </w:r>
            <w:r w:rsidRPr="00C81A68">
              <w:rPr>
                <w:rFonts w:ascii="Times New Roman" w:eastAsia="Calibri" w:hAnsi="Times New Roman" w:cs="Times New Roman"/>
                <w:sz w:val="21"/>
                <w:szCs w:val="21"/>
                <w:lang w:eastAsia="en-GB"/>
              </w:rPr>
              <w:t>-values</w:t>
            </w:r>
          </w:p>
        </w:tc>
        <w:tc>
          <w:tcPr>
            <w:tcW w:w="4111" w:type="dxa"/>
            <w:gridSpan w:val="2"/>
            <w:tcBorders>
              <w:bottom w:val="single" w:sz="4" w:space="0" w:color="auto"/>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0.000</w:t>
            </w:r>
          </w:p>
        </w:tc>
        <w:tc>
          <w:tcPr>
            <w:tcW w:w="3294" w:type="dxa"/>
            <w:gridSpan w:val="2"/>
            <w:tcBorders>
              <w:bottom w:val="single" w:sz="4" w:space="0" w:color="auto"/>
            </w:tcBorders>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0.006</w:t>
            </w:r>
          </w:p>
        </w:tc>
      </w:tr>
      <w:tr w:rsidR="00C81A68" w:rsidRPr="00C81A68" w:rsidTr="009032B3">
        <w:trPr>
          <w:trHeight w:val="264"/>
        </w:trPr>
        <w:tc>
          <w:tcPr>
            <w:tcW w:w="1951" w:type="dxa"/>
            <w:tcBorders>
              <w:top w:val="single" w:sz="4" w:space="0" w:color="auto"/>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Firm Controls</w:t>
            </w:r>
          </w:p>
        </w:tc>
        <w:tc>
          <w:tcPr>
            <w:tcW w:w="2064" w:type="dxa"/>
            <w:tcBorders>
              <w:top w:val="single" w:sz="4" w:space="0" w:color="auto"/>
              <w:bottom w:val="nil"/>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047" w:type="dxa"/>
            <w:tcBorders>
              <w:top w:val="single" w:sz="4" w:space="0" w:color="auto"/>
              <w:bottom w:val="nil"/>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034" w:type="dxa"/>
            <w:tcBorders>
              <w:top w:val="single" w:sz="4" w:space="0" w:color="auto"/>
              <w:bottom w:val="nil"/>
            </w:tcBorders>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260" w:type="dxa"/>
            <w:tcBorders>
              <w:top w:val="single" w:sz="4" w:space="0" w:color="auto"/>
              <w:bottom w:val="nil"/>
            </w:tcBorders>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9032B3">
        <w:trPr>
          <w:trHeight w:val="264"/>
        </w:trPr>
        <w:tc>
          <w:tcPr>
            <w:tcW w:w="1951" w:type="dxa"/>
            <w:tcBorders>
              <w:top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Year FE</w:t>
            </w:r>
          </w:p>
        </w:tc>
        <w:tc>
          <w:tcPr>
            <w:tcW w:w="2064" w:type="dxa"/>
            <w:tcBorders>
              <w:top w:val="nil"/>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047" w:type="dxa"/>
            <w:tcBorders>
              <w:top w:val="nil"/>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034" w:type="dxa"/>
            <w:tcBorders>
              <w:top w:val="nil"/>
            </w:tcBorders>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260" w:type="dxa"/>
            <w:tcBorders>
              <w:top w:val="nil"/>
            </w:tcBorders>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9032B3">
        <w:trPr>
          <w:trHeight w:val="264"/>
        </w:trPr>
        <w:tc>
          <w:tcPr>
            <w:tcW w:w="1951" w:type="dxa"/>
            <w:tcBorders>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3-digit Industry FE</w:t>
            </w:r>
          </w:p>
        </w:tc>
        <w:tc>
          <w:tcPr>
            <w:tcW w:w="2064" w:type="dxa"/>
            <w:tcBorders>
              <w:bottom w:val="nil"/>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047" w:type="dxa"/>
            <w:tcBorders>
              <w:bottom w:val="nil"/>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034" w:type="dxa"/>
            <w:tcBorders>
              <w:bottom w:val="nil"/>
            </w:tcBorders>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260" w:type="dxa"/>
            <w:tcBorders>
              <w:bottom w:val="nil"/>
            </w:tcBorders>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9032B3">
        <w:trPr>
          <w:trHeight w:val="264"/>
        </w:trPr>
        <w:tc>
          <w:tcPr>
            <w:tcW w:w="1951" w:type="dxa"/>
            <w:tcBorders>
              <w:top w:val="nil"/>
              <w:bottom w:val="doub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State FE</w:t>
            </w:r>
          </w:p>
        </w:tc>
        <w:tc>
          <w:tcPr>
            <w:tcW w:w="2064" w:type="dxa"/>
            <w:tcBorders>
              <w:top w:val="nil"/>
              <w:bottom w:val="double" w:sz="4" w:space="0" w:color="auto"/>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047" w:type="dxa"/>
            <w:tcBorders>
              <w:top w:val="nil"/>
              <w:bottom w:val="double" w:sz="4" w:space="0" w:color="auto"/>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034" w:type="dxa"/>
            <w:tcBorders>
              <w:top w:val="nil"/>
              <w:bottom w:val="double" w:sz="4" w:space="0" w:color="auto"/>
            </w:tcBorders>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260" w:type="dxa"/>
            <w:tcBorders>
              <w:top w:val="nil"/>
              <w:bottom w:val="double" w:sz="4" w:space="0" w:color="auto"/>
            </w:tcBorders>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bl>
    <w:p w:rsidR="00C81A68" w:rsidRPr="00C81A68" w:rsidRDefault="00C81A68" w:rsidP="00C81A68">
      <w:pPr>
        <w:spacing w:after="0" w:line="240" w:lineRule="auto"/>
        <w:jc w:val="both"/>
        <w:rPr>
          <w:rFonts w:ascii="Times New Roman" w:eastAsia="Calibri" w:hAnsi="Times New Roman" w:cs="Times New Roman"/>
          <w:sz w:val="19"/>
          <w:szCs w:val="19"/>
          <w:lang w:eastAsia="en-GB"/>
        </w:rPr>
      </w:pPr>
    </w:p>
    <w:p w:rsidR="00C81A68" w:rsidRPr="00C81A68" w:rsidRDefault="00C81A68" w:rsidP="00C81A68">
      <w:pPr>
        <w:spacing w:after="0" w:line="240" w:lineRule="auto"/>
        <w:jc w:val="both"/>
        <w:rPr>
          <w:rFonts w:ascii="Times New Roman" w:eastAsia="Calibri" w:hAnsi="Times New Roman" w:cs="Times New Roman"/>
          <w:b/>
          <w:sz w:val="24"/>
          <w:szCs w:val="24"/>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sectPr w:rsidR="00C81A68" w:rsidRPr="00C81A68" w:rsidSect="009032B3">
          <w:pgSz w:w="11906" w:h="16838"/>
          <w:pgMar w:top="1529" w:right="1274" w:bottom="993" w:left="1276" w:header="708" w:footer="708" w:gutter="0"/>
          <w:cols w:space="708"/>
          <w:docGrid w:linePitch="360"/>
        </w:sect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r w:rsidRPr="00C81A68">
        <w:rPr>
          <w:rFonts w:ascii="Times New Roman" w:eastAsia="Calibri" w:hAnsi="Times New Roman" w:cs="Times New Roman"/>
          <w:b/>
          <w:sz w:val="24"/>
          <w:szCs w:val="24"/>
          <w:lang w:eastAsia="en-GB"/>
        </w:rPr>
        <w:t>Table 4. Timing of IDD Adoption and Corporate Tax Avoidance</w:t>
      </w:r>
    </w:p>
    <w:p w:rsidR="00C81A68" w:rsidRPr="00C81A68" w:rsidRDefault="00C81A68" w:rsidP="00C81A68">
      <w:pPr>
        <w:spacing w:after="0" w:line="239" w:lineRule="auto"/>
        <w:jc w:val="both"/>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This table presents the results from the dynamic effect of IDD adoption on corporate tax avoidance. The dependent variable in Model 1 is book effective tax rate (ETR), defined as the ratio of total tax expense (</w:t>
      </w:r>
      <w:proofErr w:type="spellStart"/>
      <w:r w:rsidRPr="00C81A68">
        <w:rPr>
          <w:rFonts w:ascii="Times New Roman" w:eastAsia="Arial" w:hAnsi="Times New Roman" w:cs="Times New Roman"/>
          <w:sz w:val="21"/>
          <w:szCs w:val="21"/>
          <w:lang w:eastAsia="en-GB"/>
        </w:rPr>
        <w:t>Compustat</w:t>
      </w:r>
      <w:proofErr w:type="spellEnd"/>
      <w:r w:rsidRPr="00C81A68">
        <w:rPr>
          <w:rFonts w:ascii="Times New Roman" w:eastAsia="Arial" w:hAnsi="Times New Roman" w:cs="Times New Roman"/>
          <w:sz w:val="21"/>
          <w:szCs w:val="21"/>
          <w:lang w:eastAsia="en-GB"/>
        </w:rPr>
        <w:t xml:space="preserve"> TXT) to pre-tax book income (</w:t>
      </w:r>
      <w:proofErr w:type="spellStart"/>
      <w:r w:rsidRPr="00C81A68">
        <w:rPr>
          <w:rFonts w:ascii="Times New Roman" w:eastAsia="Arial" w:hAnsi="Times New Roman" w:cs="Times New Roman"/>
          <w:sz w:val="21"/>
          <w:szCs w:val="21"/>
          <w:lang w:eastAsia="en-GB"/>
        </w:rPr>
        <w:t>Compustat</w:t>
      </w:r>
      <w:proofErr w:type="spellEnd"/>
      <w:r w:rsidRPr="00C81A68">
        <w:rPr>
          <w:rFonts w:ascii="Times New Roman" w:eastAsia="Arial" w:hAnsi="Times New Roman" w:cs="Times New Roman"/>
          <w:sz w:val="21"/>
          <w:szCs w:val="21"/>
          <w:lang w:eastAsia="en-GB"/>
        </w:rPr>
        <w:t xml:space="preserve"> PI). The dependent variable in Model 2 is book-tax difference, defined as the ratio of pre-tax book income (</w:t>
      </w:r>
      <w:proofErr w:type="spellStart"/>
      <w:r w:rsidRPr="00C81A68">
        <w:rPr>
          <w:rFonts w:ascii="Times New Roman" w:eastAsia="Arial" w:hAnsi="Times New Roman" w:cs="Times New Roman"/>
          <w:sz w:val="21"/>
          <w:szCs w:val="21"/>
          <w:lang w:eastAsia="en-GB"/>
        </w:rPr>
        <w:t>Compustat</w:t>
      </w:r>
      <w:proofErr w:type="spellEnd"/>
      <w:r w:rsidRPr="00C81A68">
        <w:rPr>
          <w:rFonts w:ascii="Times New Roman" w:eastAsia="Arial" w:hAnsi="Times New Roman" w:cs="Times New Roman"/>
          <w:sz w:val="21"/>
          <w:szCs w:val="21"/>
          <w:lang w:eastAsia="en-GB"/>
        </w:rPr>
        <w:t xml:space="preserve"> PI) less estimated taxable income ((</w:t>
      </w:r>
      <w:proofErr w:type="spellStart"/>
      <w:r w:rsidRPr="00C81A68">
        <w:rPr>
          <w:rFonts w:ascii="Times New Roman" w:eastAsia="Arial" w:hAnsi="Times New Roman" w:cs="Times New Roman"/>
          <w:sz w:val="21"/>
          <w:szCs w:val="21"/>
          <w:lang w:eastAsia="en-GB"/>
        </w:rPr>
        <w:t>Compustat</w:t>
      </w:r>
      <w:proofErr w:type="spellEnd"/>
      <w:r w:rsidRPr="00C81A68">
        <w:rPr>
          <w:rFonts w:ascii="Times New Roman" w:eastAsia="Arial" w:hAnsi="Times New Roman" w:cs="Times New Roman"/>
          <w:sz w:val="21"/>
          <w:szCs w:val="21"/>
          <w:lang w:eastAsia="en-GB"/>
        </w:rPr>
        <w:t xml:space="preserve"> TXFED + </w:t>
      </w:r>
      <w:proofErr w:type="spellStart"/>
      <w:r w:rsidRPr="00C81A68">
        <w:rPr>
          <w:rFonts w:ascii="Times New Roman" w:eastAsia="Arial" w:hAnsi="Times New Roman" w:cs="Times New Roman"/>
          <w:sz w:val="21"/>
          <w:szCs w:val="21"/>
          <w:lang w:eastAsia="en-GB"/>
        </w:rPr>
        <w:t>Compustat</w:t>
      </w:r>
      <w:proofErr w:type="spellEnd"/>
      <w:r w:rsidRPr="00C81A68">
        <w:rPr>
          <w:rFonts w:ascii="Times New Roman" w:eastAsia="Arial" w:hAnsi="Times New Roman" w:cs="Times New Roman"/>
          <w:sz w:val="21"/>
          <w:szCs w:val="21"/>
          <w:lang w:eastAsia="en-GB"/>
        </w:rPr>
        <w:t xml:space="preserve"> TXFO) / statutory marginal tax rate) to lagged total assets (</w:t>
      </w:r>
      <w:proofErr w:type="spellStart"/>
      <w:r w:rsidRPr="00C81A68">
        <w:rPr>
          <w:rFonts w:ascii="Times New Roman" w:eastAsia="Arial" w:hAnsi="Times New Roman" w:cs="Times New Roman"/>
          <w:sz w:val="21"/>
          <w:szCs w:val="21"/>
          <w:lang w:eastAsia="en-GB"/>
        </w:rPr>
        <w:t>Compustat</w:t>
      </w:r>
      <w:proofErr w:type="spellEnd"/>
      <w:r w:rsidRPr="00C81A68">
        <w:rPr>
          <w:rFonts w:ascii="Times New Roman" w:eastAsia="Arial" w:hAnsi="Times New Roman" w:cs="Times New Roman"/>
          <w:sz w:val="21"/>
          <w:szCs w:val="21"/>
          <w:lang w:eastAsia="en-GB"/>
        </w:rPr>
        <w:t xml:space="preserve"> AT). IDD Adoption </w:t>
      </w:r>
      <w:r w:rsidRPr="00C81A68">
        <w:rPr>
          <w:rFonts w:ascii="Times New Roman" w:eastAsia="Arial" w:hAnsi="Times New Roman" w:cs="Times New Roman"/>
          <w:sz w:val="21"/>
          <w:szCs w:val="21"/>
          <w:vertAlign w:val="superscript"/>
          <w:lang w:eastAsia="en-GB"/>
        </w:rPr>
        <w:t>-2</w:t>
      </w:r>
      <w:r w:rsidRPr="00C81A68">
        <w:rPr>
          <w:rFonts w:ascii="Times New Roman" w:eastAsia="Arial" w:hAnsi="Times New Roman" w:cs="Times New Roman"/>
          <w:sz w:val="21"/>
          <w:szCs w:val="21"/>
          <w:lang w:eastAsia="en-GB"/>
        </w:rPr>
        <w:t xml:space="preserve">, IDD Adoption </w:t>
      </w:r>
      <w:r w:rsidRPr="00C81A68">
        <w:rPr>
          <w:rFonts w:ascii="Times New Roman" w:eastAsia="Arial" w:hAnsi="Times New Roman" w:cs="Times New Roman"/>
          <w:sz w:val="21"/>
          <w:szCs w:val="21"/>
          <w:vertAlign w:val="superscript"/>
          <w:lang w:eastAsia="en-GB"/>
        </w:rPr>
        <w:t>-1</w:t>
      </w:r>
      <w:r w:rsidRPr="00C81A68">
        <w:rPr>
          <w:rFonts w:ascii="Times New Roman" w:eastAsia="Arial" w:hAnsi="Times New Roman" w:cs="Times New Roman"/>
          <w:sz w:val="21"/>
          <w:szCs w:val="21"/>
          <w:lang w:eastAsia="en-GB"/>
        </w:rPr>
        <w:t>, IDD Adoption</w:t>
      </w:r>
      <w:r w:rsidRPr="00C81A68">
        <w:rPr>
          <w:rFonts w:ascii="Times New Roman" w:eastAsia="Arial" w:hAnsi="Times New Roman" w:cs="Times New Roman"/>
          <w:sz w:val="21"/>
          <w:szCs w:val="21"/>
          <w:vertAlign w:val="superscript"/>
          <w:lang w:eastAsia="en-GB"/>
        </w:rPr>
        <w:t>0</w:t>
      </w:r>
      <w:r w:rsidRPr="00C81A68">
        <w:rPr>
          <w:rFonts w:ascii="Times New Roman" w:eastAsia="Arial" w:hAnsi="Times New Roman" w:cs="Times New Roman"/>
          <w:sz w:val="21"/>
          <w:szCs w:val="21"/>
          <w:lang w:eastAsia="en-GB"/>
        </w:rPr>
        <w:t>, IDD Adoption</w:t>
      </w:r>
      <w:r w:rsidRPr="00C81A68">
        <w:rPr>
          <w:rFonts w:ascii="Times New Roman" w:eastAsia="Arial" w:hAnsi="Times New Roman" w:cs="Times New Roman"/>
          <w:sz w:val="21"/>
          <w:szCs w:val="21"/>
          <w:vertAlign w:val="superscript"/>
          <w:lang w:eastAsia="en-GB"/>
        </w:rPr>
        <w:t>+1</w:t>
      </w:r>
      <w:r w:rsidRPr="00C81A68">
        <w:rPr>
          <w:rFonts w:ascii="Times New Roman" w:eastAsia="Arial" w:hAnsi="Times New Roman" w:cs="Times New Roman"/>
          <w:sz w:val="21"/>
          <w:szCs w:val="21"/>
          <w:lang w:eastAsia="en-GB"/>
        </w:rPr>
        <w:t xml:space="preserve"> and IDD Adoption</w:t>
      </w:r>
      <w:r w:rsidRPr="00C81A68">
        <w:rPr>
          <w:rFonts w:ascii="Times New Roman" w:eastAsia="Arial" w:hAnsi="Times New Roman" w:cs="Times New Roman"/>
          <w:sz w:val="21"/>
          <w:szCs w:val="21"/>
          <w:vertAlign w:val="superscript"/>
          <w:lang w:eastAsia="en-GB"/>
        </w:rPr>
        <w:t>2+</w:t>
      </w:r>
      <w:r w:rsidRPr="00C81A68">
        <w:rPr>
          <w:rFonts w:ascii="Times New Roman" w:eastAsia="Arial" w:hAnsi="Times New Roman" w:cs="Times New Roman"/>
          <w:sz w:val="21"/>
          <w:szCs w:val="21"/>
          <w:lang w:eastAsia="en-GB"/>
        </w:rPr>
        <w:t xml:space="preserve"> are indicator variables equal to one if the firm is headquartered in a state that will adopt the IDD in two years, will adopt the IDD in one year, adopted the IDD in the current year, adopted the IDD one year ago, and adopted with IDD two or more years ago, respectively, and zero otherwise. IDD Rejection is an indicator variable equals one if the state where firm is headquartered has rejected the previously adopted IDD by year t. Analytical definitions for all variables are provided in the Appendix A. Standard errors are robust to heteroscedasticity (reported in parentheses). ***, **, and * denote statistical significance at the 1%, 5% and 10% levels, respectively.</w:t>
      </w:r>
    </w:p>
    <w:tbl>
      <w:tblPr>
        <w:tblW w:w="9180" w:type="dxa"/>
        <w:tblBorders>
          <w:top w:val="double" w:sz="4" w:space="0" w:color="auto"/>
          <w:bottom w:val="double" w:sz="4" w:space="0" w:color="auto"/>
        </w:tblBorders>
        <w:tblLook w:val="04A0" w:firstRow="1" w:lastRow="0" w:firstColumn="1" w:lastColumn="0" w:noHBand="0" w:noVBand="1"/>
      </w:tblPr>
      <w:tblGrid>
        <w:gridCol w:w="3544"/>
        <w:gridCol w:w="3080"/>
        <w:gridCol w:w="2556"/>
      </w:tblGrid>
      <w:tr w:rsidR="00C81A68" w:rsidRPr="00C81A68" w:rsidTr="009032B3">
        <w:trPr>
          <w:trHeight w:val="278"/>
        </w:trPr>
        <w:tc>
          <w:tcPr>
            <w:tcW w:w="3544" w:type="dxa"/>
            <w:tcBorders>
              <w:top w:val="single" w:sz="4" w:space="0" w:color="auto"/>
              <w:bottom w:val="nil"/>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3080" w:type="dxa"/>
            <w:tcBorders>
              <w:top w:val="single" w:sz="4" w:space="0" w:color="auto"/>
              <w:bottom w:val="nil"/>
            </w:tcBorders>
            <w:shd w:val="clear" w:color="auto" w:fill="auto"/>
          </w:tcPr>
          <w:p w:rsidR="00C81A68" w:rsidRPr="009346A7" w:rsidRDefault="00C81A68" w:rsidP="00C81A68">
            <w:pPr>
              <w:spacing w:after="0" w:line="240" w:lineRule="auto"/>
              <w:rPr>
                <w:rFonts w:ascii="Times New Roman" w:eastAsia="Calibri" w:hAnsi="Times New Roman" w:cs="Times New Roman"/>
                <w:b/>
                <w:sz w:val="21"/>
                <w:szCs w:val="21"/>
                <w:u w:val="single"/>
                <w:lang w:eastAsia="en-GB"/>
              </w:rPr>
            </w:pPr>
            <w:r w:rsidRPr="009346A7">
              <w:rPr>
                <w:rFonts w:ascii="Times New Roman" w:eastAsia="Calibri" w:hAnsi="Times New Roman" w:cs="Times New Roman"/>
                <w:b/>
                <w:sz w:val="21"/>
                <w:szCs w:val="21"/>
                <w:u w:val="single"/>
                <w:lang w:eastAsia="en-GB"/>
              </w:rPr>
              <w:t>Effective Tax Rates</w:t>
            </w:r>
          </w:p>
        </w:tc>
        <w:tc>
          <w:tcPr>
            <w:tcW w:w="2556" w:type="dxa"/>
            <w:tcBorders>
              <w:top w:val="single" w:sz="4" w:space="0" w:color="auto"/>
              <w:bottom w:val="nil"/>
            </w:tcBorders>
            <w:shd w:val="clear" w:color="auto" w:fill="auto"/>
          </w:tcPr>
          <w:p w:rsidR="00C81A68" w:rsidRPr="009346A7" w:rsidRDefault="00C81A68" w:rsidP="00C81A68">
            <w:pPr>
              <w:spacing w:after="0" w:line="240" w:lineRule="auto"/>
              <w:rPr>
                <w:rFonts w:ascii="Times New Roman" w:eastAsia="Calibri" w:hAnsi="Times New Roman" w:cs="Times New Roman"/>
                <w:b/>
                <w:sz w:val="21"/>
                <w:szCs w:val="21"/>
                <w:u w:val="single"/>
                <w:lang w:eastAsia="en-GB"/>
              </w:rPr>
            </w:pPr>
            <w:r w:rsidRPr="009346A7">
              <w:rPr>
                <w:rFonts w:ascii="Times New Roman" w:eastAsia="Calibri" w:hAnsi="Times New Roman" w:cs="Times New Roman"/>
                <w:b/>
                <w:sz w:val="21"/>
                <w:szCs w:val="21"/>
                <w:u w:val="single"/>
                <w:lang w:eastAsia="en-GB"/>
              </w:rPr>
              <w:t>Book-Tax Differences</w:t>
            </w:r>
          </w:p>
        </w:tc>
      </w:tr>
      <w:tr w:rsidR="00C81A68" w:rsidRPr="00C81A68" w:rsidTr="009032B3">
        <w:trPr>
          <w:trHeight w:val="278"/>
        </w:trPr>
        <w:tc>
          <w:tcPr>
            <w:tcW w:w="3544"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3080"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Model 1</w:t>
            </w:r>
          </w:p>
        </w:tc>
        <w:tc>
          <w:tcPr>
            <w:tcW w:w="2556"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Model 2</w:t>
            </w:r>
          </w:p>
        </w:tc>
      </w:tr>
      <w:tr w:rsidR="00C81A68" w:rsidRPr="00C81A68" w:rsidTr="009032B3">
        <w:trPr>
          <w:trHeight w:val="264"/>
        </w:trPr>
        <w:tc>
          <w:tcPr>
            <w:tcW w:w="3544"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IDD Adoption</w:t>
            </w:r>
            <w:r w:rsidRPr="00C81A68">
              <w:rPr>
                <w:rFonts w:ascii="Times New Roman" w:eastAsia="Calibri" w:hAnsi="Times New Roman" w:cs="Times New Roman"/>
                <w:sz w:val="21"/>
                <w:szCs w:val="21"/>
                <w:vertAlign w:val="superscript"/>
                <w:lang w:eastAsia="en-GB"/>
              </w:rPr>
              <w:t>-2</w:t>
            </w:r>
          </w:p>
        </w:tc>
        <w:tc>
          <w:tcPr>
            <w:tcW w:w="3080" w:type="dxa"/>
            <w:tcBorders>
              <w:top w:val="single" w:sz="4" w:space="0" w:color="auto"/>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0.001</w:t>
            </w:r>
          </w:p>
        </w:tc>
        <w:tc>
          <w:tcPr>
            <w:tcW w:w="2556" w:type="dxa"/>
            <w:tcBorders>
              <w:top w:val="single" w:sz="4" w:space="0" w:color="auto"/>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-0.015</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(0.004)</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(0.021)</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IDD Adoption</w:t>
            </w:r>
            <w:r w:rsidRPr="00C81A68">
              <w:rPr>
                <w:rFonts w:ascii="Times New Roman" w:eastAsia="Calibri" w:hAnsi="Times New Roman" w:cs="Times New Roman"/>
                <w:sz w:val="21"/>
                <w:szCs w:val="21"/>
                <w:vertAlign w:val="superscript"/>
                <w:lang w:eastAsia="en-GB"/>
              </w:rPr>
              <w:t>-1</w:t>
            </w: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0.004</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-0.003</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(0.004)</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(0.020)</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IDD Adoption</w:t>
            </w:r>
            <w:r w:rsidRPr="00C81A68">
              <w:rPr>
                <w:rFonts w:ascii="Times New Roman" w:eastAsia="Calibri" w:hAnsi="Times New Roman" w:cs="Times New Roman"/>
                <w:sz w:val="21"/>
                <w:szCs w:val="21"/>
                <w:vertAlign w:val="superscript"/>
                <w:lang w:eastAsia="en-GB"/>
              </w:rPr>
              <w:t>0</w:t>
            </w: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0.003</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-0.001</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(0.004)</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(0.022)</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IDD Adoption</w:t>
            </w:r>
            <w:r w:rsidRPr="00C81A68">
              <w:rPr>
                <w:rFonts w:ascii="Times New Roman" w:eastAsia="Calibri" w:hAnsi="Times New Roman" w:cs="Times New Roman"/>
                <w:sz w:val="21"/>
                <w:szCs w:val="21"/>
                <w:vertAlign w:val="superscript"/>
                <w:lang w:eastAsia="en-GB"/>
              </w:rPr>
              <w:t>+1</w:t>
            </w: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0.001</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0.014</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(0.005)</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(0.022)</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IDD Adoption</w:t>
            </w:r>
            <w:r w:rsidRPr="00C81A68">
              <w:rPr>
                <w:rFonts w:ascii="Times New Roman" w:eastAsia="Calibri" w:hAnsi="Times New Roman" w:cs="Times New Roman"/>
                <w:sz w:val="21"/>
                <w:szCs w:val="21"/>
                <w:vertAlign w:val="superscript"/>
                <w:lang w:eastAsia="en-GB"/>
              </w:rPr>
              <w:t>2+</w:t>
            </w: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-0.004**</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0.042***</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(0.002)</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(0.010)</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IDD Rejection</w:t>
            </w: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0.012***</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-0.019</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(0.004)</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(0.017)</w:t>
            </w:r>
          </w:p>
        </w:tc>
      </w:tr>
      <w:tr w:rsidR="00C81A68" w:rsidRPr="00C81A68" w:rsidTr="009032B3">
        <w:trPr>
          <w:trHeight w:val="264"/>
        </w:trPr>
        <w:tc>
          <w:tcPr>
            <w:tcW w:w="3544"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Observations</w:t>
            </w:r>
          </w:p>
        </w:tc>
        <w:tc>
          <w:tcPr>
            <w:tcW w:w="3080" w:type="dxa"/>
            <w:tcBorders>
              <w:top w:val="single" w:sz="4" w:space="0" w:color="auto"/>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70,739</w:t>
            </w:r>
          </w:p>
        </w:tc>
        <w:tc>
          <w:tcPr>
            <w:tcW w:w="2556" w:type="dxa"/>
            <w:tcBorders>
              <w:top w:val="single" w:sz="4" w:space="0" w:color="auto"/>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66,243</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i/>
                <w:sz w:val="21"/>
                <w:szCs w:val="21"/>
                <w:lang w:eastAsia="en-GB"/>
              </w:rPr>
            </w:pPr>
            <w:r w:rsidRPr="00C81A68">
              <w:rPr>
                <w:rFonts w:ascii="Times New Roman" w:eastAsia="Calibri" w:hAnsi="Times New Roman" w:cs="Times New Roman"/>
                <w:i/>
                <w:sz w:val="21"/>
                <w:szCs w:val="21"/>
                <w:lang w:eastAsia="en-GB"/>
              </w:rPr>
              <w:t>R</w:t>
            </w:r>
            <w:r w:rsidRPr="00C81A68">
              <w:rPr>
                <w:rFonts w:ascii="Times New Roman" w:eastAsia="Calibri" w:hAnsi="Times New Roman" w:cs="Times New Roman"/>
                <w:i/>
                <w:sz w:val="21"/>
                <w:szCs w:val="21"/>
                <w:vertAlign w:val="superscript"/>
                <w:lang w:eastAsia="en-GB"/>
              </w:rPr>
              <w:t>2</w:t>
            </w: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0.508</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0.601</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Firm Controls</w:t>
            </w: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Year Fixed Effects</w:t>
            </w: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9032B3">
        <w:trPr>
          <w:trHeight w:val="264"/>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3-digit Industry Effects</w:t>
            </w: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9032B3">
        <w:trPr>
          <w:trHeight w:val="278"/>
        </w:trPr>
        <w:tc>
          <w:tcPr>
            <w:tcW w:w="3544"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State Fixed Effects</w:t>
            </w:r>
          </w:p>
        </w:tc>
        <w:tc>
          <w:tcPr>
            <w:tcW w:w="3080"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556" w:type="dxa"/>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bl>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r w:rsidRPr="00C81A68">
        <w:rPr>
          <w:rFonts w:ascii="Times New Roman" w:eastAsia="Calibri" w:hAnsi="Times New Roman" w:cs="Times New Roman"/>
          <w:b/>
          <w:sz w:val="24"/>
          <w:szCs w:val="24"/>
          <w:lang w:eastAsia="en-GB"/>
        </w:rPr>
        <w:lastRenderedPageBreak/>
        <w:t>Table 5. Neighbouring-State Matching Analysis</w:t>
      </w:r>
    </w:p>
    <w:p w:rsidR="00C81A68" w:rsidRPr="00C81A68" w:rsidRDefault="00C81A68" w:rsidP="00C81A68">
      <w:pPr>
        <w:spacing w:after="0" w:line="260" w:lineRule="exact"/>
        <w:jc w:val="both"/>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This table presents the results of the effect of adoption of the IDD on corporate tax avoidance using a matched sample of neighbouring-states rms. The treatment group include those firms headquartered in states that adopt the IDD. The control group include only those firms head-quartered in neighbouring states that did not adopt the IDD. The following matched groups are included in the sample (adopted states. non-adopted neighbouring states). (NY:VT); (FL:AL); (DE: DC, MD); (NC: VA, SC, TN); (MN: ND, SD, WI); (IL:KY); (TX: NM, OK, LA); (MA: RI, NH); (IA: NE); (AR: MS); (WA: OR, ID); (UT: NV, CO, WY, AZ); (OH: WV). The dependent variable in Models 1 and 2 is book effective tax rates (ETR), defined as the ratio of total tax expense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TXT) to pre-tax book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PI). The dependent variable in Models 3 and 4 is book-tax differences (BTD), defined as the ratio of pre-tax book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PI) less estimated taxable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TXFED +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TXFO) / statutory marginal tax rate) to lagged total assets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AT). IDD is an indicator variable equal to one if the firm is headquartered in a state whose courts recognize the IDD, and zero otherwise. For ease of exposition, we do not report the results on control variables. Analytical definitions for all variables are provided in the Appendix A. Standard errors are robust to heteroscedasticity (reported in parentheses). ***, **, and * denote statistical significance at the 1%, 5% and 10% levels, respectively.</w:t>
      </w:r>
    </w:p>
    <w:tbl>
      <w:tblPr>
        <w:tblW w:w="9026" w:type="dxa"/>
        <w:tblInd w:w="108" w:type="dxa"/>
        <w:tblBorders>
          <w:top w:val="double" w:sz="4" w:space="0" w:color="auto"/>
          <w:bottom w:val="double" w:sz="4" w:space="0" w:color="auto"/>
        </w:tblBorders>
        <w:tblLook w:val="04A0" w:firstRow="1" w:lastRow="0" w:firstColumn="1" w:lastColumn="0" w:noHBand="0" w:noVBand="1"/>
      </w:tblPr>
      <w:tblGrid>
        <w:gridCol w:w="2289"/>
        <w:gridCol w:w="1692"/>
        <w:gridCol w:w="2007"/>
        <w:gridCol w:w="1519"/>
        <w:gridCol w:w="1519"/>
      </w:tblGrid>
      <w:tr w:rsidR="00C81A68" w:rsidRPr="00C81A68" w:rsidTr="009032B3">
        <w:trPr>
          <w:trHeight w:val="278"/>
        </w:trPr>
        <w:tc>
          <w:tcPr>
            <w:tcW w:w="2289" w:type="dxa"/>
            <w:tcBorders>
              <w:top w:val="double" w:sz="4" w:space="0" w:color="auto"/>
              <w:bottom w:val="nil"/>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3699" w:type="dxa"/>
            <w:gridSpan w:val="2"/>
            <w:tcBorders>
              <w:top w:val="double" w:sz="4" w:space="0" w:color="auto"/>
              <w:bottom w:val="nil"/>
            </w:tcBorders>
            <w:shd w:val="clear" w:color="auto" w:fill="auto"/>
          </w:tcPr>
          <w:p w:rsidR="00C81A68" w:rsidRPr="00C81A68" w:rsidRDefault="00C81A68" w:rsidP="00C81A68">
            <w:pPr>
              <w:spacing w:after="0" w:line="240" w:lineRule="auto"/>
              <w:jc w:val="center"/>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Effective Tax Rates</w:t>
            </w:r>
          </w:p>
        </w:tc>
        <w:tc>
          <w:tcPr>
            <w:tcW w:w="3038" w:type="dxa"/>
            <w:gridSpan w:val="2"/>
            <w:tcBorders>
              <w:top w:val="double" w:sz="4" w:space="0" w:color="auto"/>
              <w:bottom w:val="nil"/>
            </w:tcBorders>
            <w:shd w:val="clear" w:color="auto" w:fill="auto"/>
          </w:tcPr>
          <w:p w:rsidR="00C81A68" w:rsidRPr="00C81A68" w:rsidRDefault="00C81A68" w:rsidP="00C81A68">
            <w:pPr>
              <w:spacing w:after="0" w:line="240" w:lineRule="auto"/>
              <w:jc w:val="center"/>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 xml:space="preserve">Book-Tax Differences </w:t>
            </w:r>
          </w:p>
        </w:tc>
      </w:tr>
      <w:tr w:rsidR="00C81A68" w:rsidRPr="00C81A68" w:rsidTr="009032B3">
        <w:trPr>
          <w:trHeight w:val="278"/>
        </w:trPr>
        <w:tc>
          <w:tcPr>
            <w:tcW w:w="2289"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1692"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Model 1</w:t>
            </w:r>
          </w:p>
        </w:tc>
        <w:tc>
          <w:tcPr>
            <w:tcW w:w="2007"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Model 2</w:t>
            </w:r>
          </w:p>
        </w:tc>
        <w:tc>
          <w:tcPr>
            <w:tcW w:w="1519"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Model 3</w:t>
            </w:r>
          </w:p>
        </w:tc>
        <w:tc>
          <w:tcPr>
            <w:tcW w:w="1519"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Model 4</w:t>
            </w:r>
          </w:p>
        </w:tc>
      </w:tr>
      <w:tr w:rsidR="00C81A68" w:rsidRPr="00C81A68" w:rsidTr="009032B3">
        <w:trPr>
          <w:trHeight w:val="264"/>
        </w:trPr>
        <w:tc>
          <w:tcPr>
            <w:tcW w:w="2289" w:type="dxa"/>
            <w:tcBorders>
              <w:top w:val="single" w:sz="4" w:space="0" w:color="auto"/>
            </w:tcBorders>
            <w:shd w:val="clear" w:color="auto" w:fill="auto"/>
            <w:vAlign w:val="bottom"/>
          </w:tcPr>
          <w:p w:rsidR="00C81A68" w:rsidRPr="00C81A68" w:rsidRDefault="00C81A68" w:rsidP="00C81A68">
            <w:pPr>
              <w:spacing w:after="0" w:line="240" w:lineRule="auto"/>
              <w:ind w:left="32"/>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IDD</w:t>
            </w:r>
          </w:p>
        </w:tc>
        <w:tc>
          <w:tcPr>
            <w:tcW w:w="1692" w:type="dxa"/>
            <w:tcBorders>
              <w:top w:val="single" w:sz="4" w:space="0" w:color="auto"/>
            </w:tcBorders>
            <w:shd w:val="clear" w:color="auto" w:fill="auto"/>
            <w:vAlign w:val="bottom"/>
          </w:tcPr>
          <w:p w:rsidR="00C81A68" w:rsidRPr="00C81A68" w:rsidRDefault="00C81A68" w:rsidP="00C81A68">
            <w:pPr>
              <w:spacing w:after="0" w:line="240" w:lineRule="auto"/>
              <w:ind w:left="32" w:right="23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-0.009***</w:t>
            </w:r>
          </w:p>
        </w:tc>
        <w:tc>
          <w:tcPr>
            <w:tcW w:w="2007" w:type="dxa"/>
            <w:tcBorders>
              <w:top w:val="single" w:sz="4" w:space="0" w:color="auto"/>
            </w:tcBorders>
            <w:shd w:val="clear" w:color="auto" w:fill="auto"/>
            <w:vAlign w:val="bottom"/>
          </w:tcPr>
          <w:p w:rsidR="00C81A68" w:rsidRPr="00C81A68" w:rsidRDefault="00C81A68" w:rsidP="00C81A68">
            <w:pPr>
              <w:spacing w:after="0" w:line="240" w:lineRule="auto"/>
              <w:ind w:left="32" w:right="27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-0.009***</w:t>
            </w:r>
          </w:p>
        </w:tc>
        <w:tc>
          <w:tcPr>
            <w:tcW w:w="1519" w:type="dxa"/>
            <w:tcBorders>
              <w:top w:val="single" w:sz="4" w:space="0" w:color="auto"/>
            </w:tcBorders>
            <w:shd w:val="clear" w:color="auto" w:fill="auto"/>
            <w:vAlign w:val="bottom"/>
          </w:tcPr>
          <w:p w:rsidR="00C81A68" w:rsidRPr="00C81A68" w:rsidRDefault="00C81A68" w:rsidP="00C81A68">
            <w:pPr>
              <w:spacing w:after="0" w:line="240" w:lineRule="auto"/>
              <w:ind w:left="32" w:right="29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0.047***</w:t>
            </w:r>
          </w:p>
        </w:tc>
        <w:tc>
          <w:tcPr>
            <w:tcW w:w="1519" w:type="dxa"/>
            <w:tcBorders>
              <w:top w:val="single" w:sz="4" w:space="0" w:color="auto"/>
            </w:tcBorders>
            <w:shd w:val="clear" w:color="auto" w:fill="auto"/>
            <w:vAlign w:val="bottom"/>
          </w:tcPr>
          <w:p w:rsidR="00C81A68" w:rsidRPr="00C81A68" w:rsidRDefault="00C81A68" w:rsidP="00C81A68">
            <w:pPr>
              <w:spacing w:after="0" w:line="240" w:lineRule="auto"/>
              <w:ind w:left="32" w:right="39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0.038***</w:t>
            </w:r>
          </w:p>
        </w:tc>
      </w:tr>
      <w:tr w:rsidR="00C81A68" w:rsidRPr="00C81A68" w:rsidTr="009032B3">
        <w:trPr>
          <w:trHeight w:val="264"/>
        </w:trPr>
        <w:tc>
          <w:tcPr>
            <w:tcW w:w="2289" w:type="dxa"/>
            <w:shd w:val="clear" w:color="auto" w:fill="auto"/>
            <w:vAlign w:val="bottom"/>
          </w:tcPr>
          <w:p w:rsidR="00C81A68" w:rsidRPr="00C81A68" w:rsidRDefault="00C81A68" w:rsidP="00C81A68">
            <w:pPr>
              <w:spacing w:after="0" w:line="240" w:lineRule="auto"/>
              <w:ind w:left="32"/>
              <w:rPr>
                <w:rFonts w:ascii="Times New Roman" w:eastAsia="Calibri" w:hAnsi="Times New Roman" w:cs="Times New Roman"/>
                <w:sz w:val="21"/>
                <w:szCs w:val="21"/>
                <w:lang w:eastAsia="en-GB"/>
              </w:rPr>
            </w:pPr>
          </w:p>
        </w:tc>
        <w:tc>
          <w:tcPr>
            <w:tcW w:w="1692" w:type="dxa"/>
            <w:shd w:val="clear" w:color="auto" w:fill="auto"/>
            <w:vAlign w:val="bottom"/>
          </w:tcPr>
          <w:p w:rsidR="00C81A68" w:rsidRPr="00C81A68" w:rsidRDefault="00C81A68" w:rsidP="00C81A68">
            <w:pPr>
              <w:spacing w:after="0" w:line="240" w:lineRule="auto"/>
              <w:ind w:left="32" w:right="47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(0.002)</w:t>
            </w:r>
          </w:p>
        </w:tc>
        <w:tc>
          <w:tcPr>
            <w:tcW w:w="2007" w:type="dxa"/>
            <w:shd w:val="clear" w:color="auto" w:fill="auto"/>
            <w:vAlign w:val="bottom"/>
          </w:tcPr>
          <w:p w:rsidR="00C81A68" w:rsidRPr="00C81A68" w:rsidRDefault="00C81A68" w:rsidP="00C81A68">
            <w:pPr>
              <w:spacing w:after="0" w:line="240" w:lineRule="auto"/>
              <w:ind w:left="32" w:right="51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(0.002)</w:t>
            </w:r>
          </w:p>
        </w:tc>
        <w:tc>
          <w:tcPr>
            <w:tcW w:w="1519" w:type="dxa"/>
            <w:shd w:val="clear" w:color="auto" w:fill="auto"/>
            <w:vAlign w:val="bottom"/>
          </w:tcPr>
          <w:p w:rsidR="00C81A68" w:rsidRPr="00C81A68" w:rsidRDefault="00C81A68" w:rsidP="00C81A68">
            <w:pPr>
              <w:spacing w:after="0" w:line="240" w:lineRule="auto"/>
              <w:ind w:left="32" w:right="53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(0.010)</w:t>
            </w:r>
          </w:p>
        </w:tc>
        <w:tc>
          <w:tcPr>
            <w:tcW w:w="1519" w:type="dxa"/>
            <w:shd w:val="clear" w:color="auto" w:fill="auto"/>
            <w:vAlign w:val="bottom"/>
          </w:tcPr>
          <w:p w:rsidR="00C81A68" w:rsidRPr="00C81A68" w:rsidRDefault="00C81A68" w:rsidP="00C81A68">
            <w:pPr>
              <w:spacing w:after="0" w:line="240" w:lineRule="auto"/>
              <w:ind w:left="32" w:right="63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(0.008)</w:t>
            </w:r>
          </w:p>
        </w:tc>
      </w:tr>
      <w:tr w:rsidR="00C81A68" w:rsidRPr="00C81A68" w:rsidTr="009032B3">
        <w:trPr>
          <w:trHeight w:val="264"/>
        </w:trPr>
        <w:tc>
          <w:tcPr>
            <w:tcW w:w="2289" w:type="dxa"/>
            <w:shd w:val="clear" w:color="auto" w:fill="auto"/>
            <w:vAlign w:val="bottom"/>
          </w:tcPr>
          <w:p w:rsidR="00C81A68" w:rsidRPr="00C81A68" w:rsidRDefault="00C81A68" w:rsidP="00C81A68">
            <w:pPr>
              <w:spacing w:after="0" w:line="240" w:lineRule="auto"/>
              <w:ind w:left="32"/>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Intercept</w:t>
            </w:r>
          </w:p>
        </w:tc>
        <w:tc>
          <w:tcPr>
            <w:tcW w:w="1692" w:type="dxa"/>
            <w:shd w:val="clear" w:color="auto" w:fill="auto"/>
            <w:vAlign w:val="bottom"/>
          </w:tcPr>
          <w:p w:rsidR="00C81A68" w:rsidRPr="00C81A68" w:rsidRDefault="00C81A68" w:rsidP="00C81A68">
            <w:pPr>
              <w:spacing w:after="0" w:line="240" w:lineRule="auto"/>
              <w:ind w:left="32" w:right="23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0.328***</w:t>
            </w:r>
          </w:p>
        </w:tc>
        <w:tc>
          <w:tcPr>
            <w:tcW w:w="2007" w:type="dxa"/>
            <w:shd w:val="clear" w:color="auto" w:fill="auto"/>
            <w:vAlign w:val="bottom"/>
          </w:tcPr>
          <w:p w:rsidR="00C81A68" w:rsidRPr="00C81A68" w:rsidRDefault="00C81A68" w:rsidP="00C81A68">
            <w:pPr>
              <w:spacing w:after="0" w:line="240" w:lineRule="auto"/>
              <w:ind w:left="32" w:right="27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0.351***</w:t>
            </w:r>
          </w:p>
        </w:tc>
        <w:tc>
          <w:tcPr>
            <w:tcW w:w="1519" w:type="dxa"/>
            <w:shd w:val="clear" w:color="auto" w:fill="auto"/>
            <w:vAlign w:val="bottom"/>
          </w:tcPr>
          <w:p w:rsidR="00C81A68" w:rsidRPr="00C81A68" w:rsidRDefault="00C81A68" w:rsidP="00C81A68">
            <w:pPr>
              <w:spacing w:after="0" w:line="240" w:lineRule="auto"/>
              <w:ind w:left="32" w:right="29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-0.219***</w:t>
            </w:r>
          </w:p>
        </w:tc>
        <w:tc>
          <w:tcPr>
            <w:tcW w:w="1519" w:type="dxa"/>
            <w:shd w:val="clear" w:color="auto" w:fill="auto"/>
            <w:vAlign w:val="bottom"/>
          </w:tcPr>
          <w:p w:rsidR="00C81A68" w:rsidRPr="00C81A68" w:rsidRDefault="00C81A68" w:rsidP="00C81A68">
            <w:pPr>
              <w:spacing w:after="0" w:line="240" w:lineRule="auto"/>
              <w:ind w:left="32" w:right="39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-0.269***</w:t>
            </w:r>
          </w:p>
        </w:tc>
      </w:tr>
      <w:tr w:rsidR="00C81A68" w:rsidRPr="00C81A68" w:rsidTr="009032B3">
        <w:trPr>
          <w:trHeight w:val="264"/>
        </w:trPr>
        <w:tc>
          <w:tcPr>
            <w:tcW w:w="2289" w:type="dxa"/>
            <w:shd w:val="clear" w:color="auto" w:fill="auto"/>
            <w:vAlign w:val="bottom"/>
          </w:tcPr>
          <w:p w:rsidR="00C81A68" w:rsidRPr="00C81A68" w:rsidRDefault="00C81A68" w:rsidP="00C81A68">
            <w:pPr>
              <w:spacing w:after="0" w:line="240" w:lineRule="auto"/>
              <w:ind w:left="32"/>
              <w:rPr>
                <w:rFonts w:ascii="Times New Roman" w:eastAsia="Calibri" w:hAnsi="Times New Roman" w:cs="Times New Roman"/>
                <w:sz w:val="21"/>
                <w:szCs w:val="21"/>
                <w:lang w:eastAsia="en-GB"/>
              </w:rPr>
            </w:pPr>
          </w:p>
        </w:tc>
        <w:tc>
          <w:tcPr>
            <w:tcW w:w="1692" w:type="dxa"/>
            <w:shd w:val="clear" w:color="auto" w:fill="auto"/>
            <w:vAlign w:val="bottom"/>
          </w:tcPr>
          <w:p w:rsidR="00C81A68" w:rsidRPr="00C81A68" w:rsidRDefault="00C81A68" w:rsidP="00C81A68">
            <w:pPr>
              <w:spacing w:after="0" w:line="240" w:lineRule="auto"/>
              <w:ind w:left="32" w:right="47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(0.015)</w:t>
            </w:r>
          </w:p>
        </w:tc>
        <w:tc>
          <w:tcPr>
            <w:tcW w:w="2007" w:type="dxa"/>
            <w:shd w:val="clear" w:color="auto" w:fill="auto"/>
            <w:vAlign w:val="bottom"/>
          </w:tcPr>
          <w:p w:rsidR="00C81A68" w:rsidRPr="00C81A68" w:rsidRDefault="00C81A68" w:rsidP="00C81A68">
            <w:pPr>
              <w:spacing w:after="0" w:line="240" w:lineRule="auto"/>
              <w:ind w:left="32" w:right="51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(0.004)</w:t>
            </w:r>
          </w:p>
        </w:tc>
        <w:tc>
          <w:tcPr>
            <w:tcW w:w="1519" w:type="dxa"/>
            <w:shd w:val="clear" w:color="auto" w:fill="auto"/>
            <w:vAlign w:val="bottom"/>
          </w:tcPr>
          <w:p w:rsidR="00C81A68" w:rsidRPr="00C81A68" w:rsidRDefault="00C81A68" w:rsidP="00C81A68">
            <w:pPr>
              <w:spacing w:after="0" w:line="240" w:lineRule="auto"/>
              <w:ind w:left="32" w:right="53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(0.070)</w:t>
            </w:r>
          </w:p>
        </w:tc>
        <w:tc>
          <w:tcPr>
            <w:tcW w:w="1519" w:type="dxa"/>
            <w:shd w:val="clear" w:color="auto" w:fill="auto"/>
            <w:vAlign w:val="bottom"/>
          </w:tcPr>
          <w:p w:rsidR="00C81A68" w:rsidRPr="00C81A68" w:rsidRDefault="00C81A68" w:rsidP="00C81A68">
            <w:pPr>
              <w:spacing w:after="0" w:line="240" w:lineRule="auto"/>
              <w:ind w:left="32" w:right="63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(0.018)</w:t>
            </w:r>
          </w:p>
        </w:tc>
      </w:tr>
      <w:tr w:rsidR="00C81A68" w:rsidRPr="00C81A68" w:rsidTr="009032B3">
        <w:trPr>
          <w:trHeight w:val="264"/>
        </w:trPr>
        <w:tc>
          <w:tcPr>
            <w:tcW w:w="2289"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Observations</w:t>
            </w:r>
          </w:p>
        </w:tc>
        <w:tc>
          <w:tcPr>
            <w:tcW w:w="1692" w:type="dxa"/>
            <w:tcBorders>
              <w:top w:val="single" w:sz="4" w:space="0" w:color="auto"/>
            </w:tcBorders>
            <w:shd w:val="clear" w:color="auto" w:fill="auto"/>
            <w:vAlign w:val="bottom"/>
          </w:tcPr>
          <w:p w:rsidR="00C81A68" w:rsidRPr="00C81A68" w:rsidRDefault="00C81A68" w:rsidP="00C81A68">
            <w:pPr>
              <w:spacing w:after="0" w:line="240" w:lineRule="auto"/>
              <w:ind w:right="49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45,954</w:t>
            </w:r>
          </w:p>
        </w:tc>
        <w:tc>
          <w:tcPr>
            <w:tcW w:w="2007" w:type="dxa"/>
            <w:tcBorders>
              <w:top w:val="single" w:sz="4" w:space="0" w:color="auto"/>
            </w:tcBorders>
            <w:shd w:val="clear" w:color="auto" w:fill="auto"/>
            <w:vAlign w:val="bottom"/>
          </w:tcPr>
          <w:p w:rsidR="00C81A68" w:rsidRPr="00C81A68" w:rsidRDefault="00C81A68" w:rsidP="00C81A68">
            <w:pPr>
              <w:spacing w:after="0" w:line="240" w:lineRule="auto"/>
              <w:ind w:right="55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45,954</w:t>
            </w:r>
          </w:p>
        </w:tc>
        <w:tc>
          <w:tcPr>
            <w:tcW w:w="1519" w:type="dxa"/>
            <w:tcBorders>
              <w:top w:val="single" w:sz="4" w:space="0" w:color="auto"/>
            </w:tcBorders>
            <w:shd w:val="clear" w:color="auto" w:fill="auto"/>
            <w:vAlign w:val="bottom"/>
          </w:tcPr>
          <w:p w:rsidR="00C81A68" w:rsidRPr="00C81A68" w:rsidRDefault="00C81A68" w:rsidP="00C81A68">
            <w:pPr>
              <w:spacing w:after="0" w:line="240" w:lineRule="auto"/>
              <w:ind w:right="57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42,142</w:t>
            </w:r>
          </w:p>
        </w:tc>
        <w:tc>
          <w:tcPr>
            <w:tcW w:w="1519" w:type="dxa"/>
            <w:tcBorders>
              <w:top w:val="single" w:sz="4" w:space="0" w:color="auto"/>
            </w:tcBorders>
            <w:shd w:val="clear" w:color="auto" w:fill="auto"/>
            <w:vAlign w:val="bottom"/>
          </w:tcPr>
          <w:p w:rsidR="00C81A68" w:rsidRPr="00C81A68" w:rsidRDefault="00C81A68" w:rsidP="00C81A68">
            <w:pPr>
              <w:spacing w:after="0" w:line="240" w:lineRule="auto"/>
              <w:ind w:right="65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42,142</w:t>
            </w:r>
          </w:p>
        </w:tc>
      </w:tr>
      <w:tr w:rsidR="00C81A68" w:rsidRPr="00C81A68" w:rsidTr="009032B3">
        <w:trPr>
          <w:trHeight w:val="278"/>
        </w:trPr>
        <w:tc>
          <w:tcPr>
            <w:tcW w:w="2289"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i/>
                <w:sz w:val="21"/>
                <w:szCs w:val="21"/>
                <w:lang w:eastAsia="en-GB"/>
              </w:rPr>
            </w:pPr>
            <w:r w:rsidRPr="00C81A68">
              <w:rPr>
                <w:rFonts w:ascii="Times New Roman" w:eastAsia="Calibri" w:hAnsi="Times New Roman" w:cs="Times New Roman"/>
                <w:i/>
                <w:sz w:val="21"/>
                <w:szCs w:val="21"/>
                <w:lang w:eastAsia="en-GB"/>
              </w:rPr>
              <w:t>R</w:t>
            </w:r>
            <w:r w:rsidRPr="00C81A68">
              <w:rPr>
                <w:rFonts w:ascii="Times New Roman" w:eastAsia="Calibri" w:hAnsi="Times New Roman" w:cs="Times New Roman"/>
                <w:i/>
                <w:sz w:val="21"/>
                <w:szCs w:val="21"/>
                <w:vertAlign w:val="superscript"/>
                <w:lang w:eastAsia="en-GB"/>
              </w:rPr>
              <w:t>2</w:t>
            </w:r>
          </w:p>
        </w:tc>
        <w:tc>
          <w:tcPr>
            <w:tcW w:w="1692" w:type="dxa"/>
            <w:shd w:val="clear" w:color="auto" w:fill="auto"/>
            <w:vAlign w:val="bottom"/>
          </w:tcPr>
          <w:p w:rsidR="00C81A68" w:rsidRPr="00C81A68" w:rsidRDefault="00C81A68" w:rsidP="00C81A68">
            <w:pPr>
              <w:spacing w:after="0" w:line="240" w:lineRule="auto"/>
              <w:ind w:right="55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0.507</w:t>
            </w:r>
          </w:p>
        </w:tc>
        <w:tc>
          <w:tcPr>
            <w:tcW w:w="2007" w:type="dxa"/>
            <w:shd w:val="clear" w:color="auto" w:fill="auto"/>
            <w:vAlign w:val="bottom"/>
          </w:tcPr>
          <w:p w:rsidR="00C81A68" w:rsidRPr="00C81A68" w:rsidRDefault="00C81A68" w:rsidP="00C81A68">
            <w:pPr>
              <w:spacing w:after="0" w:line="240" w:lineRule="auto"/>
              <w:ind w:right="59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0.483</w:t>
            </w:r>
          </w:p>
        </w:tc>
        <w:tc>
          <w:tcPr>
            <w:tcW w:w="1519" w:type="dxa"/>
            <w:shd w:val="clear" w:color="auto" w:fill="auto"/>
            <w:vAlign w:val="bottom"/>
          </w:tcPr>
          <w:p w:rsidR="00C81A68" w:rsidRPr="00C81A68" w:rsidRDefault="00C81A68" w:rsidP="00C81A68">
            <w:pPr>
              <w:spacing w:after="0" w:line="240" w:lineRule="auto"/>
              <w:ind w:right="61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0.611</w:t>
            </w:r>
          </w:p>
        </w:tc>
        <w:tc>
          <w:tcPr>
            <w:tcW w:w="1519" w:type="dxa"/>
            <w:shd w:val="clear" w:color="auto" w:fill="auto"/>
            <w:vAlign w:val="bottom"/>
          </w:tcPr>
          <w:p w:rsidR="00C81A68" w:rsidRPr="00C81A68" w:rsidRDefault="00C81A68" w:rsidP="00C81A68">
            <w:pPr>
              <w:spacing w:after="0" w:line="240" w:lineRule="auto"/>
              <w:ind w:right="712"/>
              <w:jc w:val="right"/>
              <w:rPr>
                <w:rFonts w:ascii="Times New Roman" w:eastAsia="Calibri" w:hAnsi="Times New Roman" w:cs="Times New Roman"/>
                <w:sz w:val="21"/>
                <w:szCs w:val="21"/>
                <w:lang w:eastAsia="en-GB"/>
              </w:rPr>
            </w:pPr>
            <w:r w:rsidRPr="00C81A68">
              <w:rPr>
                <w:rFonts w:ascii="Times New Roman" w:eastAsia="Arial" w:hAnsi="Times New Roman" w:cs="Times New Roman"/>
                <w:sz w:val="21"/>
                <w:szCs w:val="21"/>
                <w:lang w:eastAsia="en-GB"/>
              </w:rPr>
              <w:t>0.602</w:t>
            </w:r>
          </w:p>
        </w:tc>
      </w:tr>
      <w:tr w:rsidR="00C81A68" w:rsidRPr="00C81A68" w:rsidTr="009032B3">
        <w:trPr>
          <w:trHeight w:val="278"/>
        </w:trPr>
        <w:tc>
          <w:tcPr>
            <w:tcW w:w="2289"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Firm Controls</w:t>
            </w:r>
          </w:p>
        </w:tc>
        <w:tc>
          <w:tcPr>
            <w:tcW w:w="1692"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007" w:type="dxa"/>
            <w:shd w:val="clear" w:color="auto" w:fill="auto"/>
            <w:vAlign w:val="bottom"/>
          </w:tcPr>
          <w:p w:rsidR="00C81A68" w:rsidRPr="00C81A68" w:rsidRDefault="00C81A68" w:rsidP="00C81A68">
            <w:pPr>
              <w:tabs>
                <w:tab w:val="decimal" w:pos="492"/>
              </w:tabs>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Yes</w:t>
            </w:r>
          </w:p>
        </w:tc>
        <w:tc>
          <w:tcPr>
            <w:tcW w:w="1519" w:type="dxa"/>
            <w:shd w:val="clear" w:color="auto" w:fill="auto"/>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Yes</w:t>
            </w:r>
          </w:p>
        </w:tc>
        <w:tc>
          <w:tcPr>
            <w:tcW w:w="1519" w:type="dxa"/>
            <w:shd w:val="clear" w:color="auto" w:fill="auto"/>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Yes</w:t>
            </w:r>
          </w:p>
        </w:tc>
      </w:tr>
      <w:tr w:rsidR="00C81A68" w:rsidRPr="00C81A68" w:rsidTr="009032B3">
        <w:trPr>
          <w:trHeight w:val="278"/>
        </w:trPr>
        <w:tc>
          <w:tcPr>
            <w:tcW w:w="2289"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Matched-group FE</w:t>
            </w:r>
          </w:p>
        </w:tc>
        <w:tc>
          <w:tcPr>
            <w:tcW w:w="1692"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No</w:t>
            </w:r>
          </w:p>
        </w:tc>
        <w:tc>
          <w:tcPr>
            <w:tcW w:w="2007" w:type="dxa"/>
            <w:shd w:val="clear" w:color="auto" w:fill="auto"/>
            <w:vAlign w:val="bottom"/>
          </w:tcPr>
          <w:p w:rsidR="00C81A68" w:rsidRPr="00C81A68" w:rsidRDefault="00C81A68" w:rsidP="00C81A68">
            <w:pPr>
              <w:tabs>
                <w:tab w:val="decimal" w:pos="492"/>
              </w:tabs>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Yes</w:t>
            </w:r>
          </w:p>
        </w:tc>
        <w:tc>
          <w:tcPr>
            <w:tcW w:w="1519" w:type="dxa"/>
            <w:shd w:val="clear" w:color="auto" w:fill="auto"/>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No</w:t>
            </w:r>
          </w:p>
        </w:tc>
        <w:tc>
          <w:tcPr>
            <w:tcW w:w="1519" w:type="dxa"/>
            <w:shd w:val="clear" w:color="auto" w:fill="auto"/>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Yes</w:t>
            </w:r>
          </w:p>
        </w:tc>
      </w:tr>
      <w:tr w:rsidR="00C81A68" w:rsidRPr="00C81A68" w:rsidTr="009032B3">
        <w:trPr>
          <w:trHeight w:val="264"/>
        </w:trPr>
        <w:tc>
          <w:tcPr>
            <w:tcW w:w="2289"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Year Fixed Effects</w:t>
            </w:r>
          </w:p>
        </w:tc>
        <w:tc>
          <w:tcPr>
            <w:tcW w:w="1692"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007" w:type="dxa"/>
            <w:shd w:val="clear" w:color="auto" w:fill="auto"/>
            <w:vAlign w:val="bottom"/>
          </w:tcPr>
          <w:p w:rsidR="00C81A68" w:rsidRPr="00C81A68" w:rsidRDefault="00C81A68" w:rsidP="00C81A68">
            <w:pPr>
              <w:tabs>
                <w:tab w:val="decimal" w:pos="492"/>
              </w:tabs>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Yes</w:t>
            </w:r>
          </w:p>
        </w:tc>
        <w:tc>
          <w:tcPr>
            <w:tcW w:w="1519" w:type="dxa"/>
            <w:shd w:val="clear" w:color="auto" w:fill="auto"/>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Yes</w:t>
            </w:r>
          </w:p>
        </w:tc>
        <w:tc>
          <w:tcPr>
            <w:tcW w:w="1519" w:type="dxa"/>
            <w:shd w:val="clear" w:color="auto" w:fill="auto"/>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Yes</w:t>
            </w:r>
          </w:p>
        </w:tc>
      </w:tr>
      <w:tr w:rsidR="00C81A68" w:rsidRPr="00C81A68" w:rsidTr="009032B3">
        <w:trPr>
          <w:trHeight w:val="264"/>
        </w:trPr>
        <w:tc>
          <w:tcPr>
            <w:tcW w:w="2289"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3-digit Industry Effects</w:t>
            </w:r>
          </w:p>
        </w:tc>
        <w:tc>
          <w:tcPr>
            <w:tcW w:w="1692"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007" w:type="dxa"/>
            <w:shd w:val="clear" w:color="auto" w:fill="auto"/>
            <w:vAlign w:val="bottom"/>
          </w:tcPr>
          <w:p w:rsidR="00C81A68" w:rsidRPr="00C81A68" w:rsidRDefault="00C81A68" w:rsidP="00C81A68">
            <w:pPr>
              <w:tabs>
                <w:tab w:val="decimal" w:pos="492"/>
              </w:tabs>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No</w:t>
            </w:r>
          </w:p>
        </w:tc>
        <w:tc>
          <w:tcPr>
            <w:tcW w:w="1519" w:type="dxa"/>
            <w:shd w:val="clear" w:color="auto" w:fill="auto"/>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Yes</w:t>
            </w:r>
          </w:p>
        </w:tc>
        <w:tc>
          <w:tcPr>
            <w:tcW w:w="1519" w:type="dxa"/>
            <w:shd w:val="clear" w:color="auto" w:fill="auto"/>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No</w:t>
            </w:r>
          </w:p>
        </w:tc>
      </w:tr>
      <w:tr w:rsidR="00C81A68" w:rsidRPr="00C81A68" w:rsidTr="009032B3">
        <w:trPr>
          <w:trHeight w:val="278"/>
        </w:trPr>
        <w:tc>
          <w:tcPr>
            <w:tcW w:w="2289"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State Fixed Effects</w:t>
            </w:r>
          </w:p>
        </w:tc>
        <w:tc>
          <w:tcPr>
            <w:tcW w:w="1692"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007" w:type="dxa"/>
            <w:shd w:val="clear" w:color="auto" w:fill="auto"/>
            <w:vAlign w:val="bottom"/>
          </w:tcPr>
          <w:p w:rsidR="00C81A68" w:rsidRPr="00C81A68" w:rsidRDefault="00C81A68" w:rsidP="00C81A68">
            <w:pPr>
              <w:tabs>
                <w:tab w:val="decimal" w:pos="492"/>
              </w:tabs>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No</w:t>
            </w:r>
          </w:p>
        </w:tc>
        <w:tc>
          <w:tcPr>
            <w:tcW w:w="1519" w:type="dxa"/>
            <w:shd w:val="clear" w:color="auto" w:fill="auto"/>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Yes</w:t>
            </w:r>
          </w:p>
        </w:tc>
        <w:tc>
          <w:tcPr>
            <w:tcW w:w="1519" w:type="dxa"/>
            <w:shd w:val="clear" w:color="auto" w:fill="auto"/>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No</w:t>
            </w:r>
          </w:p>
        </w:tc>
      </w:tr>
    </w:tbl>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p>
    <w:p w:rsidR="00C81A68" w:rsidRPr="00C81A68" w:rsidRDefault="00C81A68" w:rsidP="00C81A68">
      <w:pPr>
        <w:spacing w:after="0" w:line="240" w:lineRule="exact"/>
        <w:rPr>
          <w:rFonts w:ascii="Times New Roman" w:eastAsia="Calibri" w:hAnsi="Times New Roman" w:cs="Times New Roman"/>
          <w:b/>
          <w:sz w:val="24"/>
          <w:szCs w:val="24"/>
          <w:lang w:eastAsia="en-GB"/>
        </w:rPr>
      </w:pPr>
      <w:r w:rsidRPr="00C81A68">
        <w:rPr>
          <w:rFonts w:ascii="Times New Roman" w:eastAsia="Calibri" w:hAnsi="Times New Roman" w:cs="Times New Roman"/>
          <w:b/>
          <w:sz w:val="24"/>
          <w:szCs w:val="24"/>
          <w:lang w:eastAsia="en-GB"/>
        </w:rPr>
        <w:lastRenderedPageBreak/>
        <w:t>Table 6. Alternative Measures of Corporate Tax Avoidance</w:t>
      </w:r>
    </w:p>
    <w:p w:rsidR="00C81A68" w:rsidRPr="00C81A68" w:rsidRDefault="00C81A68" w:rsidP="00C81A68">
      <w:pPr>
        <w:spacing w:after="0" w:line="240" w:lineRule="auto"/>
        <w:jc w:val="both"/>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This table presents results on the effect of IDD on firms’ ability to engage in tax avoidance using five alternative measures of tax avoidance. The dependent variable in Model 1 is long-run effective tax rate (LRETR), calculated as the sum of total tax expense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TXT) from year </w:t>
      </w:r>
      <w:r w:rsidRPr="00C81A68">
        <w:rPr>
          <w:rFonts w:ascii="Times New Roman" w:eastAsia="Calibri" w:hAnsi="Times New Roman" w:cs="Times New Roman"/>
          <w:i/>
          <w:sz w:val="21"/>
          <w:szCs w:val="21"/>
          <w:lang w:eastAsia="en-GB"/>
        </w:rPr>
        <w:t>t</w:t>
      </w:r>
      <w:r w:rsidRPr="00C81A68">
        <w:rPr>
          <w:rFonts w:ascii="Times New Roman" w:eastAsia="Calibri" w:hAnsi="Times New Roman" w:cs="Times New Roman"/>
          <w:sz w:val="21"/>
          <w:szCs w:val="21"/>
          <w:lang w:eastAsia="en-GB"/>
        </w:rPr>
        <w:t xml:space="preserve">-4 to year </w:t>
      </w:r>
      <w:r w:rsidRPr="00C81A68">
        <w:rPr>
          <w:rFonts w:ascii="Times New Roman" w:eastAsia="Calibri" w:hAnsi="Times New Roman" w:cs="Times New Roman"/>
          <w:i/>
          <w:sz w:val="21"/>
          <w:szCs w:val="21"/>
          <w:lang w:eastAsia="en-GB"/>
        </w:rPr>
        <w:t>t</w:t>
      </w:r>
      <w:r w:rsidRPr="00C81A68">
        <w:rPr>
          <w:rFonts w:ascii="Times New Roman" w:eastAsia="Calibri" w:hAnsi="Times New Roman" w:cs="Times New Roman"/>
          <w:sz w:val="21"/>
          <w:szCs w:val="21"/>
          <w:lang w:eastAsia="en-GB"/>
        </w:rPr>
        <w:t>, divided by the sum of pre-tax book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PI), and accumulated over the same period, as in </w:t>
      </w:r>
      <w:proofErr w:type="spellStart"/>
      <w:r w:rsidRPr="00C81A68">
        <w:rPr>
          <w:rFonts w:ascii="Times New Roman" w:eastAsia="Calibri" w:hAnsi="Times New Roman" w:cs="Times New Roman"/>
          <w:sz w:val="21"/>
          <w:szCs w:val="21"/>
          <w:lang w:eastAsia="en-GB"/>
        </w:rPr>
        <w:t>Dyreng</w:t>
      </w:r>
      <w:proofErr w:type="spellEnd"/>
      <w:r w:rsidRPr="00C81A68">
        <w:rPr>
          <w:rFonts w:ascii="Times New Roman" w:eastAsia="Calibri" w:hAnsi="Times New Roman" w:cs="Times New Roman"/>
          <w:sz w:val="21"/>
          <w:szCs w:val="21"/>
          <w:lang w:eastAsia="en-GB"/>
        </w:rPr>
        <w:t xml:space="preserve"> et al. (2008) and </w:t>
      </w:r>
      <w:proofErr w:type="spellStart"/>
      <w:r w:rsidRPr="00C81A68">
        <w:rPr>
          <w:rFonts w:ascii="Times New Roman" w:eastAsia="Calibri" w:hAnsi="Times New Roman" w:cs="Times New Roman"/>
          <w:sz w:val="21"/>
          <w:szCs w:val="21"/>
          <w:lang w:eastAsia="en-GB"/>
        </w:rPr>
        <w:t>Kubick</w:t>
      </w:r>
      <w:proofErr w:type="spellEnd"/>
      <w:r w:rsidRPr="00C81A68">
        <w:rPr>
          <w:rFonts w:ascii="Times New Roman" w:eastAsia="Calibri" w:hAnsi="Times New Roman" w:cs="Times New Roman"/>
          <w:sz w:val="21"/>
          <w:szCs w:val="21"/>
          <w:lang w:eastAsia="en-GB"/>
        </w:rPr>
        <w:t xml:space="preserve"> et al. (2014). In Model 2, we use ETR2, which is defined as the ratio of current federal tax expense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TXFED) to net income before extraordinary items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IB) </w:t>
      </w:r>
      <w:r w:rsidRPr="00C81A68">
        <w:rPr>
          <w:rFonts w:ascii="Times New Roman" w:eastAsia="Calibri" w:hAnsi="Times New Roman" w:cs="Times New Roman"/>
          <w:i/>
          <w:sz w:val="21"/>
          <w:szCs w:val="21"/>
          <w:lang w:eastAsia="en-GB"/>
        </w:rPr>
        <w:t>plus</w:t>
      </w:r>
      <w:r w:rsidRPr="00C81A68">
        <w:rPr>
          <w:rFonts w:ascii="Times New Roman" w:eastAsia="Calibri" w:hAnsi="Times New Roman" w:cs="Times New Roman"/>
          <w:sz w:val="21"/>
          <w:szCs w:val="21"/>
          <w:lang w:eastAsia="en-GB"/>
        </w:rPr>
        <w:t xml:space="preserve"> current tax expense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TXFED) </w:t>
      </w:r>
      <w:r w:rsidRPr="00C81A68">
        <w:rPr>
          <w:rFonts w:ascii="Times New Roman" w:eastAsia="Calibri" w:hAnsi="Times New Roman" w:cs="Times New Roman"/>
          <w:i/>
          <w:sz w:val="21"/>
          <w:szCs w:val="21"/>
          <w:lang w:eastAsia="en-GB"/>
        </w:rPr>
        <w:t>plus</w:t>
      </w:r>
      <w:r w:rsidRPr="00C81A68">
        <w:rPr>
          <w:rFonts w:ascii="Times New Roman" w:eastAsia="Calibri" w:hAnsi="Times New Roman" w:cs="Times New Roman"/>
          <w:sz w:val="21"/>
          <w:szCs w:val="21"/>
          <w:lang w:eastAsia="en-GB"/>
        </w:rPr>
        <w:t xml:space="preserve"> minority interest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MII) less extraordinary items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XIDO) less equity in earnings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ESUB), see Lennox et al (2013). In Model 3, we use ETR3, which is defined as the ratio of total tax expense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TXT) less change in deferred tax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TXDITC - LTX) to operating cash flow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OANCF), as in Lennox et al (2013). In Model 4, we use Cash ETR, defined as the ratio of cash taxes paid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TXPD) to pre-tax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PI). In Model 5, we use SHELTER, which is a dummy variable that equals one if a firm’s estimated shelter probability is above yearly median shelter probability. IDD is an indicator variable equal to one if the firm is headquartered in a state whose courts recognize the IDD, and zero otherwise. For ease of exposition, we do not report the results on control variables. Analytical definitions for all variables are provided in the Appendix A. Standard errors are robust to heteroscedasticity (reported in parentheses). ***, **, and * denote statistical significance at the 1%, 5% and 10% levels, respectively.</w:t>
      </w:r>
    </w:p>
    <w:tbl>
      <w:tblPr>
        <w:tblW w:w="9079" w:type="dxa"/>
        <w:tblBorders>
          <w:top w:val="double" w:sz="4" w:space="0" w:color="auto"/>
          <w:bottom w:val="double" w:sz="4" w:space="0" w:color="auto"/>
        </w:tblBorders>
        <w:tblLook w:val="04A0" w:firstRow="1" w:lastRow="0" w:firstColumn="1" w:lastColumn="0" w:noHBand="0" w:noVBand="1"/>
      </w:tblPr>
      <w:tblGrid>
        <w:gridCol w:w="1843"/>
        <w:gridCol w:w="1457"/>
        <w:gridCol w:w="1520"/>
        <w:gridCol w:w="1436"/>
        <w:gridCol w:w="1502"/>
        <w:gridCol w:w="1321"/>
      </w:tblGrid>
      <w:tr w:rsidR="00C81A68" w:rsidRPr="00C81A68" w:rsidTr="009032B3">
        <w:trPr>
          <w:trHeight w:val="321"/>
        </w:trPr>
        <w:tc>
          <w:tcPr>
            <w:tcW w:w="1843" w:type="dxa"/>
            <w:tcBorders>
              <w:top w:val="single" w:sz="4" w:space="0" w:color="auto"/>
              <w:bottom w:val="nil"/>
            </w:tcBorders>
            <w:shd w:val="clear" w:color="auto" w:fill="auto"/>
          </w:tcPr>
          <w:p w:rsidR="00C81A68" w:rsidRPr="00C81A68" w:rsidRDefault="00C81A68" w:rsidP="00C81A68">
            <w:pPr>
              <w:spacing w:after="0" w:line="260" w:lineRule="exact"/>
              <w:jc w:val="center"/>
              <w:rPr>
                <w:rFonts w:ascii="Times New Roman" w:eastAsia="Calibri" w:hAnsi="Times New Roman" w:cs="Times New Roman"/>
                <w:sz w:val="21"/>
                <w:szCs w:val="21"/>
                <w:lang w:eastAsia="en-GB"/>
              </w:rPr>
            </w:pPr>
          </w:p>
        </w:tc>
        <w:tc>
          <w:tcPr>
            <w:tcW w:w="1457" w:type="dxa"/>
            <w:tcBorders>
              <w:top w:val="single" w:sz="4" w:space="0" w:color="auto"/>
              <w:bottom w:val="nil"/>
            </w:tcBorders>
            <w:shd w:val="clear" w:color="auto" w:fill="auto"/>
          </w:tcPr>
          <w:p w:rsidR="00C81A68" w:rsidRPr="00C81A68" w:rsidRDefault="00C81A68" w:rsidP="00C81A68">
            <w:pPr>
              <w:spacing w:after="0" w:line="260" w:lineRule="exact"/>
              <w:jc w:val="center"/>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LETR</w:t>
            </w:r>
          </w:p>
        </w:tc>
        <w:tc>
          <w:tcPr>
            <w:tcW w:w="1520" w:type="dxa"/>
            <w:tcBorders>
              <w:top w:val="single" w:sz="4" w:space="0" w:color="auto"/>
              <w:bottom w:val="nil"/>
            </w:tcBorders>
            <w:shd w:val="clear" w:color="auto" w:fill="auto"/>
          </w:tcPr>
          <w:p w:rsidR="00C81A68" w:rsidRPr="00C81A68" w:rsidRDefault="00C81A68" w:rsidP="00C81A68">
            <w:pPr>
              <w:spacing w:after="0" w:line="260" w:lineRule="exact"/>
              <w:jc w:val="center"/>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ETR2</w:t>
            </w:r>
          </w:p>
        </w:tc>
        <w:tc>
          <w:tcPr>
            <w:tcW w:w="1436" w:type="dxa"/>
            <w:tcBorders>
              <w:top w:val="single" w:sz="4" w:space="0" w:color="auto"/>
              <w:bottom w:val="nil"/>
            </w:tcBorders>
            <w:shd w:val="clear" w:color="auto" w:fill="auto"/>
          </w:tcPr>
          <w:p w:rsidR="00C81A68" w:rsidRPr="00C81A68" w:rsidRDefault="00C81A68" w:rsidP="00C81A68">
            <w:pPr>
              <w:spacing w:after="0" w:line="260" w:lineRule="exact"/>
              <w:jc w:val="center"/>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ETR3</w:t>
            </w:r>
          </w:p>
        </w:tc>
        <w:tc>
          <w:tcPr>
            <w:tcW w:w="1502" w:type="dxa"/>
            <w:tcBorders>
              <w:top w:val="single" w:sz="4" w:space="0" w:color="auto"/>
              <w:bottom w:val="nil"/>
            </w:tcBorders>
            <w:shd w:val="clear" w:color="auto" w:fill="auto"/>
          </w:tcPr>
          <w:p w:rsidR="00C81A68" w:rsidRPr="00C81A68" w:rsidRDefault="00C81A68" w:rsidP="00C81A68">
            <w:pPr>
              <w:spacing w:after="0" w:line="260" w:lineRule="exact"/>
              <w:jc w:val="center"/>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Cash ETR</w:t>
            </w:r>
          </w:p>
        </w:tc>
        <w:tc>
          <w:tcPr>
            <w:tcW w:w="1321" w:type="dxa"/>
            <w:tcBorders>
              <w:top w:val="single" w:sz="4" w:space="0" w:color="auto"/>
              <w:bottom w:val="nil"/>
            </w:tcBorders>
            <w:shd w:val="clear" w:color="auto" w:fill="auto"/>
          </w:tcPr>
          <w:p w:rsidR="00C81A68" w:rsidRPr="00C81A68" w:rsidRDefault="00C81A68" w:rsidP="00C81A68">
            <w:pPr>
              <w:spacing w:after="0" w:line="260" w:lineRule="exact"/>
              <w:rPr>
                <w:rFonts w:ascii="Times New Roman" w:eastAsia="Calibri" w:hAnsi="Times New Roman" w:cs="Times New Roman"/>
                <w:b/>
                <w:sz w:val="21"/>
                <w:szCs w:val="21"/>
                <w:lang w:eastAsia="en-GB"/>
              </w:rPr>
            </w:pPr>
            <w:r w:rsidRPr="00C81A68">
              <w:rPr>
                <w:rFonts w:ascii="Times New Roman" w:eastAsia="Calibri" w:hAnsi="Times New Roman" w:cs="Times New Roman"/>
                <w:b/>
                <w:sz w:val="21"/>
                <w:szCs w:val="21"/>
                <w:lang w:eastAsia="en-GB"/>
              </w:rPr>
              <w:t xml:space="preserve">  </w:t>
            </w:r>
            <w:r w:rsidRPr="00C81A68">
              <w:rPr>
                <w:rFonts w:ascii="Times New Roman" w:eastAsia="Calibri" w:hAnsi="Times New Roman" w:cs="Times New Roman"/>
                <w:b/>
                <w:sz w:val="21"/>
                <w:szCs w:val="21"/>
                <w:u w:val="single"/>
                <w:lang w:eastAsia="en-GB"/>
              </w:rPr>
              <w:t>SHELTER</w:t>
            </w:r>
          </w:p>
        </w:tc>
      </w:tr>
      <w:tr w:rsidR="00C81A68" w:rsidRPr="00C81A68" w:rsidTr="009032B3">
        <w:trPr>
          <w:trHeight w:val="278"/>
        </w:trPr>
        <w:tc>
          <w:tcPr>
            <w:tcW w:w="1843" w:type="dxa"/>
            <w:tcBorders>
              <w:top w:val="nil"/>
              <w:bottom w:val="single" w:sz="4" w:space="0" w:color="auto"/>
            </w:tcBorders>
            <w:shd w:val="clear" w:color="auto" w:fill="auto"/>
          </w:tcPr>
          <w:p w:rsidR="00C81A68" w:rsidRPr="00C81A68" w:rsidRDefault="00C81A68" w:rsidP="00C81A68">
            <w:pPr>
              <w:spacing w:after="0" w:line="240" w:lineRule="auto"/>
              <w:jc w:val="center"/>
              <w:rPr>
                <w:rFonts w:ascii="Times New Roman" w:eastAsia="Calibri" w:hAnsi="Times New Roman" w:cs="Times New Roman"/>
                <w:sz w:val="21"/>
                <w:szCs w:val="21"/>
                <w:lang w:eastAsia="en-GB"/>
              </w:rPr>
            </w:pPr>
          </w:p>
        </w:tc>
        <w:tc>
          <w:tcPr>
            <w:tcW w:w="1457" w:type="dxa"/>
            <w:tcBorders>
              <w:top w:val="nil"/>
              <w:bottom w:val="single" w:sz="4" w:space="0" w:color="auto"/>
            </w:tcBorders>
            <w:shd w:val="clear" w:color="auto" w:fill="auto"/>
          </w:tcPr>
          <w:p w:rsidR="00C81A68" w:rsidRPr="00C81A68" w:rsidRDefault="00C81A68" w:rsidP="00C81A68">
            <w:pPr>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Model 1</w:t>
            </w:r>
          </w:p>
        </w:tc>
        <w:tc>
          <w:tcPr>
            <w:tcW w:w="1520" w:type="dxa"/>
            <w:tcBorders>
              <w:top w:val="nil"/>
              <w:bottom w:val="single" w:sz="4" w:space="0" w:color="auto"/>
            </w:tcBorders>
            <w:shd w:val="clear" w:color="auto" w:fill="auto"/>
          </w:tcPr>
          <w:p w:rsidR="00C81A68" w:rsidRPr="00C81A68" w:rsidRDefault="00C81A68" w:rsidP="00C81A68">
            <w:pPr>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Model 2</w:t>
            </w:r>
          </w:p>
        </w:tc>
        <w:tc>
          <w:tcPr>
            <w:tcW w:w="1436" w:type="dxa"/>
            <w:tcBorders>
              <w:top w:val="nil"/>
              <w:bottom w:val="single" w:sz="4" w:space="0" w:color="auto"/>
            </w:tcBorders>
            <w:shd w:val="clear" w:color="auto" w:fill="auto"/>
          </w:tcPr>
          <w:p w:rsidR="00C81A68" w:rsidRPr="00C81A68" w:rsidRDefault="00C81A68" w:rsidP="00C81A68">
            <w:pPr>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Model 3</w:t>
            </w:r>
          </w:p>
        </w:tc>
        <w:tc>
          <w:tcPr>
            <w:tcW w:w="1502" w:type="dxa"/>
            <w:tcBorders>
              <w:top w:val="nil"/>
              <w:bottom w:val="single" w:sz="4" w:space="0" w:color="auto"/>
            </w:tcBorders>
            <w:shd w:val="clear" w:color="auto" w:fill="auto"/>
          </w:tcPr>
          <w:p w:rsidR="00C81A68" w:rsidRPr="00C81A68" w:rsidRDefault="00C81A68" w:rsidP="00C81A68">
            <w:pPr>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Model 4</w:t>
            </w:r>
          </w:p>
        </w:tc>
        <w:tc>
          <w:tcPr>
            <w:tcW w:w="1321" w:type="dxa"/>
            <w:tcBorders>
              <w:top w:val="nil"/>
              <w:bottom w:val="single" w:sz="4" w:space="0" w:color="auto"/>
            </w:tcBorders>
            <w:shd w:val="clear" w:color="auto" w:fill="auto"/>
          </w:tcPr>
          <w:p w:rsidR="00C81A68" w:rsidRPr="00C81A68" w:rsidRDefault="00C81A68" w:rsidP="00C81A68">
            <w:pPr>
              <w:spacing w:after="0" w:line="240" w:lineRule="auto"/>
              <w:jc w:val="center"/>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Model 5</w:t>
            </w:r>
          </w:p>
        </w:tc>
      </w:tr>
      <w:tr w:rsidR="00C81A68" w:rsidRPr="00C81A68" w:rsidTr="009032B3">
        <w:trPr>
          <w:trHeight w:val="264"/>
        </w:trPr>
        <w:tc>
          <w:tcPr>
            <w:tcW w:w="1843"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IDD</w:t>
            </w:r>
          </w:p>
        </w:tc>
        <w:tc>
          <w:tcPr>
            <w:tcW w:w="1457" w:type="dxa"/>
            <w:tcBorders>
              <w:top w:val="single" w:sz="4" w:space="0" w:color="auto"/>
            </w:tcBorders>
            <w:shd w:val="clear" w:color="auto" w:fill="auto"/>
            <w:vAlign w:val="bottom"/>
          </w:tcPr>
          <w:p w:rsidR="00C81A68" w:rsidRPr="00C81A68" w:rsidRDefault="00C81A68" w:rsidP="00C81A68">
            <w:pPr>
              <w:tabs>
                <w:tab w:val="decimal" w:pos="40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-0.005**</w:t>
            </w:r>
          </w:p>
        </w:tc>
        <w:tc>
          <w:tcPr>
            <w:tcW w:w="1520" w:type="dxa"/>
            <w:tcBorders>
              <w:top w:val="single" w:sz="4" w:space="0" w:color="auto"/>
            </w:tcBorders>
            <w:shd w:val="clear" w:color="auto" w:fill="auto"/>
            <w:vAlign w:val="bottom"/>
          </w:tcPr>
          <w:p w:rsidR="00C81A68" w:rsidRPr="00C81A68" w:rsidRDefault="00C81A68" w:rsidP="00C81A68">
            <w:pPr>
              <w:tabs>
                <w:tab w:val="decimal" w:pos="49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-0.005***</w:t>
            </w:r>
          </w:p>
        </w:tc>
        <w:tc>
          <w:tcPr>
            <w:tcW w:w="1436" w:type="dxa"/>
            <w:tcBorders>
              <w:top w:val="single" w:sz="4" w:space="0" w:color="auto"/>
            </w:tcBorders>
            <w:shd w:val="clear" w:color="auto" w:fill="auto"/>
            <w:vAlign w:val="bottom"/>
          </w:tcPr>
          <w:p w:rsidR="00C81A68" w:rsidRPr="00C81A68" w:rsidRDefault="00C81A68" w:rsidP="00C81A68">
            <w:pPr>
              <w:tabs>
                <w:tab w:val="decimal" w:pos="32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-0.006**</w:t>
            </w:r>
          </w:p>
        </w:tc>
        <w:tc>
          <w:tcPr>
            <w:tcW w:w="1502" w:type="dxa"/>
            <w:tcBorders>
              <w:top w:val="single" w:sz="4" w:space="0" w:color="auto"/>
            </w:tcBorders>
            <w:shd w:val="clear" w:color="auto" w:fill="auto"/>
            <w:vAlign w:val="bottom"/>
          </w:tcPr>
          <w:p w:rsidR="00C81A68" w:rsidRPr="00C81A68" w:rsidRDefault="00C81A68" w:rsidP="00C81A68">
            <w:pPr>
              <w:tabs>
                <w:tab w:val="decimal" w:pos="44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-0.006**</w:t>
            </w:r>
          </w:p>
        </w:tc>
        <w:tc>
          <w:tcPr>
            <w:tcW w:w="1321" w:type="dxa"/>
            <w:tcBorders>
              <w:top w:val="single" w:sz="4" w:space="0" w:color="auto"/>
            </w:tcBorders>
            <w:shd w:val="clear" w:color="auto" w:fill="auto"/>
            <w:vAlign w:val="bottom"/>
          </w:tcPr>
          <w:p w:rsidR="00C81A68" w:rsidRPr="00C81A68" w:rsidRDefault="00C81A68" w:rsidP="00C81A68">
            <w:pPr>
              <w:tabs>
                <w:tab w:val="decimal" w:pos="36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0.059*</w:t>
            </w:r>
          </w:p>
        </w:tc>
      </w:tr>
      <w:tr w:rsidR="00C81A68" w:rsidRPr="00C81A68" w:rsidTr="009032B3">
        <w:trPr>
          <w:trHeight w:val="264"/>
        </w:trPr>
        <w:tc>
          <w:tcPr>
            <w:tcW w:w="1843"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1457" w:type="dxa"/>
            <w:shd w:val="clear" w:color="auto" w:fill="auto"/>
            <w:vAlign w:val="bottom"/>
          </w:tcPr>
          <w:p w:rsidR="00C81A68" w:rsidRPr="00C81A68" w:rsidRDefault="00C81A68" w:rsidP="00C81A68">
            <w:pPr>
              <w:tabs>
                <w:tab w:val="decimal" w:pos="40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(0.002)</w:t>
            </w:r>
          </w:p>
        </w:tc>
        <w:tc>
          <w:tcPr>
            <w:tcW w:w="1520" w:type="dxa"/>
            <w:shd w:val="clear" w:color="auto" w:fill="auto"/>
            <w:vAlign w:val="bottom"/>
          </w:tcPr>
          <w:p w:rsidR="00C81A68" w:rsidRPr="00C81A68" w:rsidRDefault="00C81A68" w:rsidP="00C81A68">
            <w:pPr>
              <w:tabs>
                <w:tab w:val="decimal" w:pos="49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(0.001)</w:t>
            </w:r>
          </w:p>
        </w:tc>
        <w:tc>
          <w:tcPr>
            <w:tcW w:w="1436" w:type="dxa"/>
            <w:shd w:val="clear" w:color="auto" w:fill="auto"/>
            <w:vAlign w:val="bottom"/>
          </w:tcPr>
          <w:p w:rsidR="00C81A68" w:rsidRPr="00C81A68" w:rsidRDefault="00C81A68" w:rsidP="00C81A68">
            <w:pPr>
              <w:tabs>
                <w:tab w:val="decimal" w:pos="32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(0.003)</w:t>
            </w:r>
          </w:p>
        </w:tc>
        <w:tc>
          <w:tcPr>
            <w:tcW w:w="1502" w:type="dxa"/>
            <w:shd w:val="clear" w:color="auto" w:fill="auto"/>
            <w:vAlign w:val="bottom"/>
          </w:tcPr>
          <w:p w:rsidR="00C81A68" w:rsidRPr="00C81A68" w:rsidRDefault="00C81A68" w:rsidP="00C81A68">
            <w:pPr>
              <w:tabs>
                <w:tab w:val="decimal" w:pos="44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(0.003)</w:t>
            </w:r>
          </w:p>
        </w:tc>
        <w:tc>
          <w:tcPr>
            <w:tcW w:w="1321" w:type="dxa"/>
            <w:shd w:val="clear" w:color="auto" w:fill="auto"/>
            <w:vAlign w:val="bottom"/>
          </w:tcPr>
          <w:p w:rsidR="00C81A68" w:rsidRPr="00C81A68" w:rsidRDefault="00C81A68" w:rsidP="00C81A68">
            <w:pPr>
              <w:tabs>
                <w:tab w:val="decimal" w:pos="36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(0.034)</w:t>
            </w:r>
          </w:p>
        </w:tc>
      </w:tr>
      <w:tr w:rsidR="00C81A68" w:rsidRPr="00C81A68" w:rsidTr="009032B3">
        <w:trPr>
          <w:trHeight w:val="264"/>
        </w:trPr>
        <w:tc>
          <w:tcPr>
            <w:tcW w:w="1843"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Intercept</w:t>
            </w:r>
          </w:p>
        </w:tc>
        <w:tc>
          <w:tcPr>
            <w:tcW w:w="1457" w:type="dxa"/>
            <w:shd w:val="clear" w:color="auto" w:fill="auto"/>
            <w:vAlign w:val="bottom"/>
          </w:tcPr>
          <w:p w:rsidR="00C81A68" w:rsidRPr="00C81A68" w:rsidRDefault="00C81A68" w:rsidP="00C81A68">
            <w:pPr>
              <w:tabs>
                <w:tab w:val="decimal" w:pos="40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0.486***</w:t>
            </w:r>
          </w:p>
        </w:tc>
        <w:tc>
          <w:tcPr>
            <w:tcW w:w="1520" w:type="dxa"/>
            <w:shd w:val="clear" w:color="auto" w:fill="auto"/>
            <w:vAlign w:val="bottom"/>
          </w:tcPr>
          <w:p w:rsidR="00C81A68" w:rsidRPr="00C81A68" w:rsidRDefault="00C81A68" w:rsidP="00C81A68">
            <w:pPr>
              <w:tabs>
                <w:tab w:val="decimal" w:pos="49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0.253***</w:t>
            </w:r>
          </w:p>
        </w:tc>
        <w:tc>
          <w:tcPr>
            <w:tcW w:w="1436" w:type="dxa"/>
            <w:shd w:val="clear" w:color="auto" w:fill="auto"/>
            <w:vAlign w:val="bottom"/>
          </w:tcPr>
          <w:p w:rsidR="00C81A68" w:rsidRPr="00C81A68" w:rsidRDefault="00C81A68" w:rsidP="00C81A68">
            <w:pPr>
              <w:tabs>
                <w:tab w:val="decimal" w:pos="32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0.122</w:t>
            </w:r>
          </w:p>
        </w:tc>
        <w:tc>
          <w:tcPr>
            <w:tcW w:w="1502" w:type="dxa"/>
            <w:shd w:val="clear" w:color="auto" w:fill="auto"/>
            <w:vAlign w:val="bottom"/>
          </w:tcPr>
          <w:p w:rsidR="00C81A68" w:rsidRPr="00C81A68" w:rsidRDefault="00C81A68" w:rsidP="00C81A68">
            <w:pPr>
              <w:tabs>
                <w:tab w:val="decimal" w:pos="44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0.176***</w:t>
            </w:r>
          </w:p>
        </w:tc>
        <w:tc>
          <w:tcPr>
            <w:tcW w:w="1321" w:type="dxa"/>
            <w:shd w:val="clear" w:color="auto" w:fill="auto"/>
          </w:tcPr>
          <w:p w:rsidR="00C81A68" w:rsidRPr="00C81A68" w:rsidRDefault="00C81A68" w:rsidP="00C81A68">
            <w:pPr>
              <w:tabs>
                <w:tab w:val="decimal" w:pos="36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-8.603***</w:t>
            </w:r>
          </w:p>
        </w:tc>
      </w:tr>
      <w:tr w:rsidR="00C81A68" w:rsidRPr="00C81A68" w:rsidTr="009032B3">
        <w:trPr>
          <w:trHeight w:val="264"/>
        </w:trPr>
        <w:tc>
          <w:tcPr>
            <w:tcW w:w="1843"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1457" w:type="dxa"/>
            <w:shd w:val="clear" w:color="auto" w:fill="auto"/>
            <w:vAlign w:val="bottom"/>
          </w:tcPr>
          <w:p w:rsidR="00C81A68" w:rsidRPr="00C81A68" w:rsidRDefault="00C81A68" w:rsidP="00C81A68">
            <w:pPr>
              <w:tabs>
                <w:tab w:val="decimal" w:pos="40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(0.078)</w:t>
            </w:r>
          </w:p>
        </w:tc>
        <w:tc>
          <w:tcPr>
            <w:tcW w:w="1520" w:type="dxa"/>
            <w:shd w:val="clear" w:color="auto" w:fill="auto"/>
            <w:vAlign w:val="bottom"/>
          </w:tcPr>
          <w:p w:rsidR="00C81A68" w:rsidRPr="00C81A68" w:rsidRDefault="00C81A68" w:rsidP="00C81A68">
            <w:pPr>
              <w:tabs>
                <w:tab w:val="decimal" w:pos="49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(0.011)</w:t>
            </w:r>
          </w:p>
        </w:tc>
        <w:tc>
          <w:tcPr>
            <w:tcW w:w="1436" w:type="dxa"/>
            <w:shd w:val="clear" w:color="auto" w:fill="auto"/>
            <w:vAlign w:val="bottom"/>
          </w:tcPr>
          <w:p w:rsidR="00C81A68" w:rsidRPr="00C81A68" w:rsidRDefault="00C81A68" w:rsidP="00C81A68">
            <w:pPr>
              <w:tabs>
                <w:tab w:val="decimal" w:pos="32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(0.110)</w:t>
            </w:r>
          </w:p>
        </w:tc>
        <w:tc>
          <w:tcPr>
            <w:tcW w:w="1502" w:type="dxa"/>
            <w:shd w:val="clear" w:color="auto" w:fill="auto"/>
            <w:vAlign w:val="bottom"/>
          </w:tcPr>
          <w:p w:rsidR="00C81A68" w:rsidRPr="00C81A68" w:rsidRDefault="00C81A68" w:rsidP="00C81A68">
            <w:pPr>
              <w:tabs>
                <w:tab w:val="decimal" w:pos="44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(0.041)</w:t>
            </w:r>
          </w:p>
        </w:tc>
        <w:tc>
          <w:tcPr>
            <w:tcW w:w="1321" w:type="dxa"/>
            <w:shd w:val="clear" w:color="auto" w:fill="auto"/>
          </w:tcPr>
          <w:p w:rsidR="00C81A68" w:rsidRPr="00C81A68" w:rsidRDefault="00C81A68" w:rsidP="00C81A68">
            <w:pPr>
              <w:tabs>
                <w:tab w:val="decimal" w:pos="36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(0.138)</w:t>
            </w:r>
          </w:p>
        </w:tc>
      </w:tr>
      <w:tr w:rsidR="00C81A68" w:rsidRPr="00C81A68" w:rsidTr="009032B3">
        <w:trPr>
          <w:trHeight w:val="264"/>
        </w:trPr>
        <w:tc>
          <w:tcPr>
            <w:tcW w:w="1843" w:type="dxa"/>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Observations</w:t>
            </w:r>
          </w:p>
        </w:tc>
        <w:tc>
          <w:tcPr>
            <w:tcW w:w="1457" w:type="dxa"/>
            <w:tcBorders>
              <w:top w:val="single" w:sz="4" w:space="0" w:color="auto"/>
            </w:tcBorders>
            <w:shd w:val="clear" w:color="auto" w:fill="auto"/>
            <w:vAlign w:val="bottom"/>
          </w:tcPr>
          <w:p w:rsidR="00C81A68" w:rsidRPr="00C81A68" w:rsidRDefault="00C81A68" w:rsidP="00C81A68">
            <w:pPr>
              <w:tabs>
                <w:tab w:val="decimal" w:pos="40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53,784</w:t>
            </w:r>
          </w:p>
        </w:tc>
        <w:tc>
          <w:tcPr>
            <w:tcW w:w="1520" w:type="dxa"/>
            <w:tcBorders>
              <w:top w:val="single" w:sz="4" w:space="0" w:color="auto"/>
            </w:tcBorders>
            <w:shd w:val="clear" w:color="auto" w:fill="auto"/>
            <w:vAlign w:val="bottom"/>
          </w:tcPr>
          <w:p w:rsidR="00C81A68" w:rsidRPr="00C81A68" w:rsidRDefault="00C81A68" w:rsidP="00C81A68">
            <w:pPr>
              <w:tabs>
                <w:tab w:val="decimal" w:pos="49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62,439</w:t>
            </w:r>
          </w:p>
        </w:tc>
        <w:tc>
          <w:tcPr>
            <w:tcW w:w="1436" w:type="dxa"/>
            <w:tcBorders>
              <w:top w:val="single" w:sz="4" w:space="0" w:color="auto"/>
            </w:tcBorders>
            <w:shd w:val="clear" w:color="auto" w:fill="auto"/>
            <w:vAlign w:val="bottom"/>
          </w:tcPr>
          <w:p w:rsidR="00C81A68" w:rsidRPr="00C81A68" w:rsidRDefault="00C81A68" w:rsidP="00C81A68">
            <w:pPr>
              <w:tabs>
                <w:tab w:val="decimal" w:pos="32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49,648</w:t>
            </w:r>
          </w:p>
        </w:tc>
        <w:tc>
          <w:tcPr>
            <w:tcW w:w="1502" w:type="dxa"/>
            <w:tcBorders>
              <w:top w:val="single" w:sz="4" w:space="0" w:color="auto"/>
            </w:tcBorders>
            <w:shd w:val="clear" w:color="auto" w:fill="auto"/>
            <w:vAlign w:val="bottom"/>
          </w:tcPr>
          <w:p w:rsidR="00C81A68" w:rsidRPr="00C81A68" w:rsidRDefault="00C81A68" w:rsidP="00C81A68">
            <w:pPr>
              <w:tabs>
                <w:tab w:val="decimal" w:pos="44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44,634</w:t>
            </w:r>
          </w:p>
        </w:tc>
        <w:tc>
          <w:tcPr>
            <w:tcW w:w="1321" w:type="dxa"/>
            <w:tcBorders>
              <w:top w:val="single" w:sz="4" w:space="0" w:color="auto"/>
            </w:tcBorders>
            <w:shd w:val="clear" w:color="auto" w:fill="auto"/>
          </w:tcPr>
          <w:p w:rsidR="00C81A68" w:rsidRPr="00C81A68" w:rsidRDefault="00C81A68" w:rsidP="00C81A68">
            <w:pPr>
              <w:tabs>
                <w:tab w:val="decimal" w:pos="36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58,890</w:t>
            </w:r>
          </w:p>
        </w:tc>
      </w:tr>
      <w:tr w:rsidR="00C81A68" w:rsidRPr="00C81A68" w:rsidTr="009032B3">
        <w:trPr>
          <w:trHeight w:val="278"/>
        </w:trPr>
        <w:tc>
          <w:tcPr>
            <w:tcW w:w="1843"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i/>
                <w:sz w:val="21"/>
                <w:szCs w:val="21"/>
                <w:lang w:eastAsia="en-GB"/>
              </w:rPr>
            </w:pPr>
            <w:r w:rsidRPr="00C81A68">
              <w:rPr>
                <w:rFonts w:ascii="Times New Roman" w:eastAsia="Calibri" w:hAnsi="Times New Roman" w:cs="Times New Roman"/>
                <w:i/>
                <w:sz w:val="21"/>
                <w:szCs w:val="21"/>
                <w:lang w:eastAsia="en-GB"/>
              </w:rPr>
              <w:t>R</w:t>
            </w:r>
            <w:r w:rsidRPr="00C81A68">
              <w:rPr>
                <w:rFonts w:ascii="Times New Roman" w:eastAsia="Calibri" w:hAnsi="Times New Roman" w:cs="Times New Roman"/>
                <w:i/>
                <w:sz w:val="21"/>
                <w:szCs w:val="21"/>
                <w:vertAlign w:val="superscript"/>
                <w:lang w:eastAsia="en-GB"/>
              </w:rPr>
              <w:t xml:space="preserve">2 </w:t>
            </w:r>
            <w:r w:rsidRPr="00C81A68">
              <w:rPr>
                <w:rFonts w:ascii="Times New Roman" w:eastAsia="Calibri" w:hAnsi="Times New Roman" w:cs="Times New Roman"/>
                <w:sz w:val="21"/>
                <w:szCs w:val="21"/>
                <w:lang w:eastAsia="en-GB"/>
              </w:rPr>
              <w:t>(Pseudo</w:t>
            </w:r>
            <w:r w:rsidRPr="00C81A68">
              <w:rPr>
                <w:rFonts w:ascii="Times New Roman" w:eastAsia="Calibri" w:hAnsi="Times New Roman" w:cs="Times New Roman"/>
                <w:i/>
                <w:sz w:val="21"/>
                <w:szCs w:val="21"/>
                <w:lang w:eastAsia="en-GB"/>
              </w:rPr>
              <w:t xml:space="preserve"> R</w:t>
            </w:r>
            <w:r w:rsidRPr="00C81A68">
              <w:rPr>
                <w:rFonts w:ascii="Times New Roman" w:eastAsia="Calibri" w:hAnsi="Times New Roman" w:cs="Times New Roman"/>
                <w:i/>
                <w:sz w:val="21"/>
                <w:szCs w:val="21"/>
                <w:vertAlign w:val="superscript"/>
                <w:lang w:eastAsia="en-GB"/>
              </w:rPr>
              <w:t>2</w:t>
            </w:r>
            <w:r w:rsidRPr="00C81A68">
              <w:rPr>
                <w:rFonts w:ascii="Times New Roman" w:eastAsia="Calibri" w:hAnsi="Times New Roman" w:cs="Times New Roman"/>
                <w:sz w:val="21"/>
                <w:szCs w:val="21"/>
                <w:lang w:eastAsia="en-GB"/>
              </w:rPr>
              <w:t>)</w:t>
            </w:r>
          </w:p>
        </w:tc>
        <w:tc>
          <w:tcPr>
            <w:tcW w:w="1457" w:type="dxa"/>
            <w:shd w:val="clear" w:color="auto" w:fill="auto"/>
            <w:vAlign w:val="bottom"/>
          </w:tcPr>
          <w:p w:rsidR="00C81A68" w:rsidRPr="00C81A68" w:rsidRDefault="00C81A68" w:rsidP="00C81A68">
            <w:pPr>
              <w:tabs>
                <w:tab w:val="decimal" w:pos="40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0.477</w:t>
            </w:r>
          </w:p>
        </w:tc>
        <w:tc>
          <w:tcPr>
            <w:tcW w:w="1520" w:type="dxa"/>
            <w:shd w:val="clear" w:color="auto" w:fill="auto"/>
            <w:vAlign w:val="bottom"/>
          </w:tcPr>
          <w:p w:rsidR="00C81A68" w:rsidRPr="00C81A68" w:rsidRDefault="00C81A68" w:rsidP="00C81A68">
            <w:pPr>
              <w:tabs>
                <w:tab w:val="decimal" w:pos="49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0.435</w:t>
            </w:r>
          </w:p>
        </w:tc>
        <w:tc>
          <w:tcPr>
            <w:tcW w:w="1436" w:type="dxa"/>
            <w:shd w:val="clear" w:color="auto" w:fill="auto"/>
            <w:vAlign w:val="bottom"/>
          </w:tcPr>
          <w:p w:rsidR="00C81A68" w:rsidRPr="00C81A68" w:rsidRDefault="00C81A68" w:rsidP="00C81A68">
            <w:pPr>
              <w:tabs>
                <w:tab w:val="decimal" w:pos="32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0.296</w:t>
            </w:r>
          </w:p>
        </w:tc>
        <w:tc>
          <w:tcPr>
            <w:tcW w:w="1502" w:type="dxa"/>
            <w:shd w:val="clear" w:color="auto" w:fill="auto"/>
            <w:vAlign w:val="bottom"/>
          </w:tcPr>
          <w:p w:rsidR="00C81A68" w:rsidRPr="00C81A68" w:rsidRDefault="00C81A68" w:rsidP="00C81A68">
            <w:pPr>
              <w:tabs>
                <w:tab w:val="decimal" w:pos="44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0.319</w:t>
            </w:r>
          </w:p>
        </w:tc>
        <w:tc>
          <w:tcPr>
            <w:tcW w:w="1321" w:type="dxa"/>
            <w:shd w:val="clear" w:color="auto" w:fill="auto"/>
          </w:tcPr>
          <w:p w:rsidR="00C81A68" w:rsidRPr="00C81A68" w:rsidRDefault="00C81A68" w:rsidP="00C81A68">
            <w:pPr>
              <w:tabs>
                <w:tab w:val="decimal" w:pos="36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(0.690)</w:t>
            </w:r>
          </w:p>
        </w:tc>
      </w:tr>
      <w:tr w:rsidR="00C81A68" w:rsidRPr="00C81A68" w:rsidTr="009032B3">
        <w:trPr>
          <w:trHeight w:val="278"/>
        </w:trPr>
        <w:tc>
          <w:tcPr>
            <w:tcW w:w="1843"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Firm Controls</w:t>
            </w:r>
          </w:p>
        </w:tc>
        <w:tc>
          <w:tcPr>
            <w:tcW w:w="1457" w:type="dxa"/>
            <w:shd w:val="clear" w:color="auto" w:fill="auto"/>
            <w:vAlign w:val="bottom"/>
          </w:tcPr>
          <w:p w:rsidR="00C81A68" w:rsidRPr="00C81A68" w:rsidRDefault="00C81A68" w:rsidP="00C81A68">
            <w:pPr>
              <w:tabs>
                <w:tab w:val="decimal" w:pos="40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520" w:type="dxa"/>
            <w:shd w:val="clear" w:color="auto" w:fill="auto"/>
            <w:vAlign w:val="bottom"/>
          </w:tcPr>
          <w:p w:rsidR="00C81A68" w:rsidRPr="00C81A68" w:rsidRDefault="00C81A68" w:rsidP="00C81A68">
            <w:pPr>
              <w:tabs>
                <w:tab w:val="decimal" w:pos="49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436" w:type="dxa"/>
            <w:shd w:val="clear" w:color="auto" w:fill="auto"/>
          </w:tcPr>
          <w:p w:rsidR="00C81A68" w:rsidRPr="00C81A68" w:rsidRDefault="00C81A68" w:rsidP="00C81A68">
            <w:pPr>
              <w:tabs>
                <w:tab w:val="decimal" w:pos="32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502" w:type="dxa"/>
            <w:shd w:val="clear" w:color="auto" w:fill="auto"/>
          </w:tcPr>
          <w:p w:rsidR="00C81A68" w:rsidRPr="00C81A68" w:rsidRDefault="00C81A68" w:rsidP="00C81A68">
            <w:pPr>
              <w:tabs>
                <w:tab w:val="decimal" w:pos="44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321" w:type="dxa"/>
            <w:shd w:val="clear" w:color="auto" w:fill="auto"/>
          </w:tcPr>
          <w:p w:rsidR="00C81A68" w:rsidRPr="00C81A68" w:rsidRDefault="00C81A68" w:rsidP="00C81A68">
            <w:pPr>
              <w:tabs>
                <w:tab w:val="decimal" w:pos="36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9032B3">
        <w:trPr>
          <w:trHeight w:val="264"/>
        </w:trPr>
        <w:tc>
          <w:tcPr>
            <w:tcW w:w="1843"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Year FE</w:t>
            </w:r>
          </w:p>
        </w:tc>
        <w:tc>
          <w:tcPr>
            <w:tcW w:w="1457" w:type="dxa"/>
            <w:shd w:val="clear" w:color="auto" w:fill="auto"/>
            <w:vAlign w:val="bottom"/>
          </w:tcPr>
          <w:p w:rsidR="00C81A68" w:rsidRPr="00C81A68" w:rsidRDefault="00C81A68" w:rsidP="00C81A68">
            <w:pPr>
              <w:tabs>
                <w:tab w:val="decimal" w:pos="40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520" w:type="dxa"/>
            <w:shd w:val="clear" w:color="auto" w:fill="auto"/>
            <w:vAlign w:val="bottom"/>
          </w:tcPr>
          <w:p w:rsidR="00C81A68" w:rsidRPr="00C81A68" w:rsidRDefault="00C81A68" w:rsidP="00C81A68">
            <w:pPr>
              <w:tabs>
                <w:tab w:val="decimal" w:pos="49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436" w:type="dxa"/>
            <w:shd w:val="clear" w:color="auto" w:fill="auto"/>
          </w:tcPr>
          <w:p w:rsidR="00C81A68" w:rsidRPr="00C81A68" w:rsidRDefault="00C81A68" w:rsidP="00C81A68">
            <w:pPr>
              <w:tabs>
                <w:tab w:val="decimal" w:pos="32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502" w:type="dxa"/>
            <w:shd w:val="clear" w:color="auto" w:fill="auto"/>
          </w:tcPr>
          <w:p w:rsidR="00C81A68" w:rsidRPr="00C81A68" w:rsidRDefault="00C81A68" w:rsidP="00C81A68">
            <w:pPr>
              <w:tabs>
                <w:tab w:val="decimal" w:pos="44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321" w:type="dxa"/>
            <w:shd w:val="clear" w:color="auto" w:fill="auto"/>
          </w:tcPr>
          <w:p w:rsidR="00C81A68" w:rsidRPr="00C81A68" w:rsidRDefault="00C81A68" w:rsidP="00C81A68">
            <w:pPr>
              <w:tabs>
                <w:tab w:val="decimal" w:pos="36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9032B3">
        <w:trPr>
          <w:trHeight w:val="264"/>
        </w:trPr>
        <w:tc>
          <w:tcPr>
            <w:tcW w:w="1843"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3-digit Industry FE </w:t>
            </w:r>
          </w:p>
        </w:tc>
        <w:tc>
          <w:tcPr>
            <w:tcW w:w="1457" w:type="dxa"/>
            <w:shd w:val="clear" w:color="auto" w:fill="auto"/>
            <w:vAlign w:val="bottom"/>
          </w:tcPr>
          <w:p w:rsidR="00C81A68" w:rsidRPr="00C81A68" w:rsidRDefault="00C81A68" w:rsidP="00C81A68">
            <w:pPr>
              <w:tabs>
                <w:tab w:val="decimal" w:pos="40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520" w:type="dxa"/>
            <w:shd w:val="clear" w:color="auto" w:fill="auto"/>
            <w:vAlign w:val="bottom"/>
          </w:tcPr>
          <w:p w:rsidR="00C81A68" w:rsidRPr="00C81A68" w:rsidRDefault="00C81A68" w:rsidP="00C81A68">
            <w:pPr>
              <w:tabs>
                <w:tab w:val="decimal" w:pos="49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436" w:type="dxa"/>
            <w:shd w:val="clear" w:color="auto" w:fill="auto"/>
          </w:tcPr>
          <w:p w:rsidR="00C81A68" w:rsidRPr="00C81A68" w:rsidRDefault="00C81A68" w:rsidP="00C81A68">
            <w:pPr>
              <w:tabs>
                <w:tab w:val="decimal" w:pos="32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502" w:type="dxa"/>
            <w:shd w:val="clear" w:color="auto" w:fill="auto"/>
          </w:tcPr>
          <w:p w:rsidR="00C81A68" w:rsidRPr="00C81A68" w:rsidRDefault="00C81A68" w:rsidP="00C81A68">
            <w:pPr>
              <w:tabs>
                <w:tab w:val="decimal" w:pos="44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321" w:type="dxa"/>
            <w:shd w:val="clear" w:color="auto" w:fill="auto"/>
          </w:tcPr>
          <w:p w:rsidR="00C81A68" w:rsidRPr="00C81A68" w:rsidRDefault="00C81A68" w:rsidP="00C81A68">
            <w:pPr>
              <w:tabs>
                <w:tab w:val="decimal" w:pos="36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9032B3">
        <w:trPr>
          <w:trHeight w:val="278"/>
        </w:trPr>
        <w:tc>
          <w:tcPr>
            <w:tcW w:w="1843"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State FE</w:t>
            </w:r>
          </w:p>
        </w:tc>
        <w:tc>
          <w:tcPr>
            <w:tcW w:w="1457" w:type="dxa"/>
            <w:shd w:val="clear" w:color="auto" w:fill="auto"/>
            <w:vAlign w:val="bottom"/>
          </w:tcPr>
          <w:p w:rsidR="00C81A68" w:rsidRPr="00C81A68" w:rsidRDefault="00C81A68" w:rsidP="00C81A68">
            <w:pPr>
              <w:tabs>
                <w:tab w:val="decimal" w:pos="40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520" w:type="dxa"/>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436" w:type="dxa"/>
            <w:shd w:val="clear" w:color="auto" w:fill="auto"/>
          </w:tcPr>
          <w:p w:rsidR="00C81A68" w:rsidRPr="00C81A68" w:rsidRDefault="00C81A68" w:rsidP="00C81A68">
            <w:pPr>
              <w:tabs>
                <w:tab w:val="decimal" w:pos="32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502" w:type="dxa"/>
            <w:shd w:val="clear" w:color="auto" w:fill="auto"/>
          </w:tcPr>
          <w:p w:rsidR="00C81A68" w:rsidRPr="00C81A68" w:rsidRDefault="00C81A68" w:rsidP="00C81A68">
            <w:pPr>
              <w:tabs>
                <w:tab w:val="decimal" w:pos="44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1321" w:type="dxa"/>
            <w:shd w:val="clear" w:color="auto" w:fill="auto"/>
          </w:tcPr>
          <w:p w:rsidR="00C81A68" w:rsidRPr="00C81A68" w:rsidRDefault="00C81A68" w:rsidP="00C81A68">
            <w:pPr>
              <w:tabs>
                <w:tab w:val="decimal" w:pos="36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No</w:t>
            </w:r>
          </w:p>
        </w:tc>
      </w:tr>
    </w:tbl>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40" w:lineRule="auto"/>
        <w:rPr>
          <w:rFonts w:ascii="Times New Roman" w:eastAsia="Calibri" w:hAnsi="Times New Roman" w:cs="Times New Roman"/>
          <w:sz w:val="19"/>
          <w:szCs w:val="19"/>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C81A68" w:rsidRPr="00C81A68" w:rsidRDefault="00C81A68" w:rsidP="00C81A68">
      <w:pPr>
        <w:spacing w:after="0" w:line="260" w:lineRule="exact"/>
        <w:rPr>
          <w:rFonts w:ascii="Times New Roman" w:eastAsia="Calibri" w:hAnsi="Times New Roman" w:cs="Times New Roman"/>
          <w:b/>
          <w:sz w:val="24"/>
          <w:szCs w:val="24"/>
          <w:lang w:eastAsia="en-GB"/>
        </w:rPr>
      </w:pPr>
      <w:r w:rsidRPr="00C81A68">
        <w:rPr>
          <w:rFonts w:ascii="Times New Roman" w:eastAsia="Calibri" w:hAnsi="Times New Roman" w:cs="Times New Roman"/>
          <w:b/>
          <w:sz w:val="24"/>
          <w:szCs w:val="24"/>
          <w:lang w:eastAsia="en-GB"/>
        </w:rPr>
        <w:br w:type="page"/>
      </w:r>
      <w:r w:rsidRPr="00C81A68">
        <w:rPr>
          <w:rFonts w:ascii="Times New Roman" w:eastAsia="Calibri" w:hAnsi="Times New Roman" w:cs="Times New Roman"/>
          <w:b/>
          <w:sz w:val="24"/>
          <w:szCs w:val="24"/>
          <w:lang w:eastAsia="en-GB"/>
        </w:rPr>
        <w:lastRenderedPageBreak/>
        <w:t>Table 7. Removing Non-Precedent Setting States and Placebo Test</w:t>
      </w:r>
    </w:p>
    <w:p w:rsidR="00C81A68" w:rsidRPr="00C81A68" w:rsidRDefault="00C81A68" w:rsidP="00C81A68">
      <w:pPr>
        <w:spacing w:after="0" w:line="260" w:lineRule="exact"/>
        <w:jc w:val="both"/>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Panel A presents results on the effect of IDD on firms’ ability to engage in tax avoidance based on sub-sample of firms that are headquartered in 21 states whose IDD status can be clearly identified (or rejected). IDD is an indicator variable equal to one if the firm is headquartered in a state whose courts recognize the IDD, and zero otherwise. Panel B presents the results from a Placebo test on the effect of IDD on a firm’s ability to engage in tax avoidance. Placebo IDD is an indicator variable equal to one if the firm is headquartered in a state-year which is within the IDD adoption period, and zero otherwise.  The dependent variable in Model 1 is book effective tax rates (ETR), defined as the ratio of total tax expense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TXT) to pre-tax book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PI). The dependent variable in Model 2 is book-tax differences (BTD), defined as the ratio of pre-tax book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PI) less estimated taxable income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TXFED +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TXFO) / statutory marginal tax rate) to lagged total assets (</w:t>
      </w:r>
      <w:proofErr w:type="spellStart"/>
      <w:r w:rsidRPr="00C81A68">
        <w:rPr>
          <w:rFonts w:ascii="Times New Roman" w:eastAsia="Calibri" w:hAnsi="Times New Roman" w:cs="Times New Roman"/>
          <w:sz w:val="21"/>
          <w:szCs w:val="21"/>
          <w:lang w:eastAsia="en-GB"/>
        </w:rPr>
        <w:t>Compustat</w:t>
      </w:r>
      <w:proofErr w:type="spellEnd"/>
      <w:r w:rsidRPr="00C81A68">
        <w:rPr>
          <w:rFonts w:ascii="Times New Roman" w:eastAsia="Calibri" w:hAnsi="Times New Roman" w:cs="Times New Roman"/>
          <w:sz w:val="21"/>
          <w:szCs w:val="21"/>
          <w:lang w:eastAsia="en-GB"/>
        </w:rPr>
        <w:t xml:space="preserve"> AT). For ease of exposition, we do not report the results on control variables. Analytical definitions for all variables are provided in the Appendix A. Standard errors are robust to heteroscedasticity (reported in parentheses). ***, **, and * denote statistical significance at the 1%, 5% and 10% levels, respectively.</w:t>
      </w:r>
    </w:p>
    <w:tbl>
      <w:tblPr>
        <w:tblW w:w="9192" w:type="dxa"/>
        <w:tblBorders>
          <w:top w:val="double" w:sz="4" w:space="0" w:color="auto"/>
          <w:bottom w:val="double" w:sz="4" w:space="0" w:color="auto"/>
        </w:tblBorders>
        <w:tblLook w:val="04A0" w:firstRow="1" w:lastRow="0" w:firstColumn="1" w:lastColumn="0" w:noHBand="0" w:noVBand="1"/>
      </w:tblPr>
      <w:tblGrid>
        <w:gridCol w:w="107"/>
        <w:gridCol w:w="3711"/>
        <w:gridCol w:w="108"/>
        <w:gridCol w:w="2878"/>
        <w:gridCol w:w="87"/>
        <w:gridCol w:w="2160"/>
        <w:gridCol w:w="141"/>
      </w:tblGrid>
      <w:tr w:rsidR="00C81A68" w:rsidRPr="00C81A68" w:rsidTr="00A151E0">
        <w:trPr>
          <w:gridBefore w:val="1"/>
          <w:gridAfter w:val="1"/>
          <w:wBefore w:w="107" w:type="dxa"/>
          <w:wAfter w:w="141" w:type="dxa"/>
          <w:trHeight w:val="280"/>
        </w:trPr>
        <w:tc>
          <w:tcPr>
            <w:tcW w:w="8944" w:type="dxa"/>
            <w:gridSpan w:val="5"/>
            <w:tcBorders>
              <w:top w:val="single" w:sz="4" w:space="0" w:color="auto"/>
              <w:bottom w:val="nil"/>
            </w:tcBorders>
            <w:shd w:val="clear" w:color="auto" w:fill="auto"/>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lang w:eastAsia="en-GB"/>
              </w:rPr>
              <w:t>Panel A: Removing Non-Precedent Setting States</w:t>
            </w:r>
          </w:p>
        </w:tc>
      </w:tr>
      <w:tr w:rsidR="00C81A68" w:rsidRPr="00C81A68" w:rsidTr="00D03A4E">
        <w:trPr>
          <w:gridBefore w:val="1"/>
          <w:gridAfter w:val="1"/>
          <w:wBefore w:w="107" w:type="dxa"/>
          <w:wAfter w:w="141" w:type="dxa"/>
          <w:trHeight w:val="280"/>
        </w:trPr>
        <w:tc>
          <w:tcPr>
            <w:tcW w:w="3819" w:type="dxa"/>
            <w:gridSpan w:val="2"/>
            <w:tcBorders>
              <w:top w:val="single" w:sz="4" w:space="0" w:color="auto"/>
              <w:bottom w:val="nil"/>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78" w:type="dxa"/>
            <w:tcBorders>
              <w:top w:val="single" w:sz="4" w:space="0" w:color="auto"/>
              <w:bottom w:val="nil"/>
            </w:tcBorders>
            <w:shd w:val="clear" w:color="auto" w:fill="auto"/>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Effective Tax Rates</w:t>
            </w:r>
          </w:p>
        </w:tc>
        <w:tc>
          <w:tcPr>
            <w:tcW w:w="2247" w:type="dxa"/>
            <w:gridSpan w:val="2"/>
            <w:tcBorders>
              <w:top w:val="single" w:sz="4" w:space="0" w:color="auto"/>
              <w:bottom w:val="nil"/>
            </w:tcBorders>
            <w:shd w:val="clear" w:color="auto" w:fill="auto"/>
          </w:tcPr>
          <w:p w:rsidR="00C81A68" w:rsidRPr="00C81A68" w:rsidRDefault="00C81A68" w:rsidP="00C81A68">
            <w:pPr>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Book-Tax Differences</w:t>
            </w:r>
          </w:p>
        </w:tc>
      </w:tr>
      <w:tr w:rsidR="00C81A68" w:rsidRPr="00C81A68" w:rsidTr="00D03A4E">
        <w:trPr>
          <w:gridBefore w:val="1"/>
          <w:gridAfter w:val="1"/>
          <w:wBefore w:w="107" w:type="dxa"/>
          <w:wAfter w:w="141" w:type="dxa"/>
          <w:trHeight w:val="280"/>
        </w:trPr>
        <w:tc>
          <w:tcPr>
            <w:tcW w:w="3819" w:type="dxa"/>
            <w:gridSpan w:val="2"/>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78" w:type="dxa"/>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Model 1</w:t>
            </w:r>
          </w:p>
        </w:tc>
        <w:tc>
          <w:tcPr>
            <w:tcW w:w="2247" w:type="dxa"/>
            <w:gridSpan w:val="2"/>
            <w:tcBorders>
              <w:top w:val="nil"/>
              <w:bottom w:val="single" w:sz="4" w:space="0" w:color="auto"/>
            </w:tcBorders>
            <w:shd w:val="clear" w:color="auto" w:fill="auto"/>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Model 2</w:t>
            </w:r>
          </w:p>
        </w:tc>
      </w:tr>
      <w:tr w:rsidR="00C81A68" w:rsidRPr="00C81A68" w:rsidTr="00D03A4E">
        <w:trPr>
          <w:gridBefore w:val="1"/>
          <w:gridAfter w:val="1"/>
          <w:wBefore w:w="107" w:type="dxa"/>
          <w:wAfter w:w="141" w:type="dxa"/>
          <w:trHeight w:val="266"/>
        </w:trPr>
        <w:tc>
          <w:tcPr>
            <w:tcW w:w="3819" w:type="dxa"/>
            <w:gridSpan w:val="2"/>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IDD</w:t>
            </w:r>
          </w:p>
        </w:tc>
        <w:tc>
          <w:tcPr>
            <w:tcW w:w="2878" w:type="dxa"/>
            <w:tcBorders>
              <w:top w:val="single" w:sz="4" w:space="0" w:color="auto"/>
            </w:tcBorders>
            <w:shd w:val="clear" w:color="auto" w:fill="auto"/>
            <w:vAlign w:val="bottom"/>
          </w:tcPr>
          <w:p w:rsidR="00C81A68" w:rsidRPr="00C81A68" w:rsidRDefault="00C81A68" w:rsidP="00C81A68">
            <w:pPr>
              <w:tabs>
                <w:tab w:val="decimal" w:pos="57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-0.007***</w:t>
            </w:r>
          </w:p>
        </w:tc>
        <w:tc>
          <w:tcPr>
            <w:tcW w:w="2247" w:type="dxa"/>
            <w:gridSpan w:val="2"/>
            <w:tcBorders>
              <w:top w:val="single" w:sz="4" w:space="0" w:color="auto"/>
            </w:tcBorders>
            <w:shd w:val="clear" w:color="auto" w:fill="auto"/>
            <w:vAlign w:val="bottom"/>
          </w:tcPr>
          <w:p w:rsidR="00C81A68" w:rsidRPr="00C81A68" w:rsidRDefault="00C81A68" w:rsidP="00C81A68">
            <w:pPr>
              <w:tabs>
                <w:tab w:val="decimal" w:pos="480"/>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0.050***</w:t>
            </w:r>
          </w:p>
        </w:tc>
      </w:tr>
      <w:tr w:rsidR="00C81A68" w:rsidRPr="00C81A68" w:rsidTr="00D03A4E">
        <w:trPr>
          <w:gridBefore w:val="1"/>
          <w:gridAfter w:val="1"/>
          <w:wBefore w:w="107" w:type="dxa"/>
          <w:wAfter w:w="141" w:type="dxa"/>
          <w:trHeight w:val="266"/>
        </w:trPr>
        <w:tc>
          <w:tcPr>
            <w:tcW w:w="3819"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78" w:type="dxa"/>
            <w:shd w:val="clear" w:color="auto" w:fill="auto"/>
            <w:vAlign w:val="bottom"/>
          </w:tcPr>
          <w:p w:rsidR="00C81A68" w:rsidRPr="00C81A68" w:rsidRDefault="00C81A68" w:rsidP="00C81A68">
            <w:pPr>
              <w:tabs>
                <w:tab w:val="decimal" w:pos="57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(0.002)</w:t>
            </w:r>
          </w:p>
        </w:tc>
        <w:tc>
          <w:tcPr>
            <w:tcW w:w="2247" w:type="dxa"/>
            <w:gridSpan w:val="2"/>
            <w:shd w:val="clear" w:color="auto" w:fill="auto"/>
            <w:vAlign w:val="bottom"/>
          </w:tcPr>
          <w:p w:rsidR="00C81A68" w:rsidRPr="00C81A68" w:rsidRDefault="00C81A68" w:rsidP="00C81A68">
            <w:pPr>
              <w:tabs>
                <w:tab w:val="decimal" w:pos="480"/>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(0.009)</w:t>
            </w:r>
          </w:p>
        </w:tc>
      </w:tr>
      <w:tr w:rsidR="00C81A68" w:rsidRPr="00C81A68" w:rsidTr="00D03A4E">
        <w:trPr>
          <w:gridBefore w:val="1"/>
          <w:gridAfter w:val="1"/>
          <w:wBefore w:w="107" w:type="dxa"/>
          <w:wAfter w:w="141" w:type="dxa"/>
          <w:trHeight w:val="266"/>
        </w:trPr>
        <w:tc>
          <w:tcPr>
            <w:tcW w:w="3819"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Intercept</w:t>
            </w:r>
          </w:p>
        </w:tc>
        <w:tc>
          <w:tcPr>
            <w:tcW w:w="2878" w:type="dxa"/>
            <w:shd w:val="clear" w:color="auto" w:fill="auto"/>
            <w:vAlign w:val="bottom"/>
          </w:tcPr>
          <w:p w:rsidR="00C81A68" w:rsidRPr="00C81A68" w:rsidRDefault="00C81A68" w:rsidP="00C81A68">
            <w:pPr>
              <w:tabs>
                <w:tab w:val="decimal" w:pos="57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0.357***</w:t>
            </w:r>
          </w:p>
        </w:tc>
        <w:tc>
          <w:tcPr>
            <w:tcW w:w="2247" w:type="dxa"/>
            <w:gridSpan w:val="2"/>
            <w:shd w:val="clear" w:color="auto" w:fill="auto"/>
            <w:vAlign w:val="bottom"/>
          </w:tcPr>
          <w:p w:rsidR="00C81A68" w:rsidRPr="00C81A68" w:rsidRDefault="00C81A68" w:rsidP="00C81A68">
            <w:pPr>
              <w:tabs>
                <w:tab w:val="decimal" w:pos="480"/>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-0.138**</w:t>
            </w:r>
          </w:p>
        </w:tc>
      </w:tr>
      <w:tr w:rsidR="00C81A68" w:rsidRPr="00C81A68" w:rsidTr="00D03A4E">
        <w:trPr>
          <w:gridBefore w:val="1"/>
          <w:gridAfter w:val="1"/>
          <w:wBefore w:w="107" w:type="dxa"/>
          <w:wAfter w:w="141" w:type="dxa"/>
          <w:trHeight w:val="266"/>
        </w:trPr>
        <w:tc>
          <w:tcPr>
            <w:tcW w:w="3819"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2878" w:type="dxa"/>
            <w:shd w:val="clear" w:color="auto" w:fill="auto"/>
            <w:vAlign w:val="bottom"/>
          </w:tcPr>
          <w:p w:rsidR="00C81A68" w:rsidRPr="00C81A68" w:rsidRDefault="00C81A68" w:rsidP="00C81A68">
            <w:pPr>
              <w:tabs>
                <w:tab w:val="decimal" w:pos="571"/>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(0.016)</w:t>
            </w:r>
          </w:p>
        </w:tc>
        <w:tc>
          <w:tcPr>
            <w:tcW w:w="2247" w:type="dxa"/>
            <w:gridSpan w:val="2"/>
            <w:shd w:val="clear" w:color="auto" w:fill="auto"/>
            <w:vAlign w:val="bottom"/>
          </w:tcPr>
          <w:p w:rsidR="00C81A68" w:rsidRPr="00C81A68" w:rsidRDefault="00C81A68" w:rsidP="00C81A68">
            <w:pPr>
              <w:tabs>
                <w:tab w:val="decimal" w:pos="480"/>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(0.061)</w:t>
            </w:r>
          </w:p>
        </w:tc>
      </w:tr>
      <w:tr w:rsidR="00C81A68" w:rsidRPr="00C81A68" w:rsidTr="00D03A4E">
        <w:trPr>
          <w:gridBefore w:val="1"/>
          <w:gridAfter w:val="1"/>
          <w:wBefore w:w="107" w:type="dxa"/>
          <w:wAfter w:w="141" w:type="dxa"/>
          <w:trHeight w:val="266"/>
        </w:trPr>
        <w:tc>
          <w:tcPr>
            <w:tcW w:w="3819" w:type="dxa"/>
            <w:gridSpan w:val="2"/>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Observations</w:t>
            </w:r>
          </w:p>
        </w:tc>
        <w:tc>
          <w:tcPr>
            <w:tcW w:w="2878" w:type="dxa"/>
            <w:tcBorders>
              <w:top w:val="single" w:sz="4" w:space="0" w:color="auto"/>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46,926</w:t>
            </w:r>
          </w:p>
        </w:tc>
        <w:tc>
          <w:tcPr>
            <w:tcW w:w="2247" w:type="dxa"/>
            <w:gridSpan w:val="2"/>
            <w:tcBorders>
              <w:top w:val="single" w:sz="4" w:space="0" w:color="auto"/>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37,710</w:t>
            </w:r>
          </w:p>
        </w:tc>
      </w:tr>
      <w:tr w:rsidR="00C81A68" w:rsidRPr="00C81A68" w:rsidTr="00D03A4E">
        <w:trPr>
          <w:gridBefore w:val="1"/>
          <w:gridAfter w:val="1"/>
          <w:wBefore w:w="107" w:type="dxa"/>
          <w:wAfter w:w="141" w:type="dxa"/>
          <w:trHeight w:val="280"/>
        </w:trPr>
        <w:tc>
          <w:tcPr>
            <w:tcW w:w="3819"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i/>
                <w:sz w:val="21"/>
                <w:szCs w:val="21"/>
                <w:lang w:eastAsia="en-GB"/>
              </w:rPr>
            </w:pPr>
            <w:r w:rsidRPr="00C81A68">
              <w:rPr>
                <w:rFonts w:ascii="Times New Roman" w:eastAsia="Calibri" w:hAnsi="Times New Roman" w:cs="Times New Roman"/>
                <w:i/>
                <w:sz w:val="21"/>
                <w:szCs w:val="21"/>
                <w:lang w:eastAsia="en-GB"/>
              </w:rPr>
              <w:t>R</w:t>
            </w:r>
            <w:r w:rsidRPr="00C81A68">
              <w:rPr>
                <w:rFonts w:ascii="Times New Roman" w:eastAsia="Calibri" w:hAnsi="Times New Roman" w:cs="Times New Roman"/>
                <w:i/>
                <w:sz w:val="21"/>
                <w:szCs w:val="21"/>
                <w:vertAlign w:val="superscript"/>
                <w:lang w:eastAsia="en-GB"/>
              </w:rPr>
              <w:t>2</w:t>
            </w:r>
          </w:p>
        </w:tc>
        <w:tc>
          <w:tcPr>
            <w:tcW w:w="2878"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0.500</w:t>
            </w:r>
          </w:p>
        </w:tc>
        <w:tc>
          <w:tcPr>
            <w:tcW w:w="2247" w:type="dxa"/>
            <w:gridSpan w:val="2"/>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0.615</w:t>
            </w:r>
          </w:p>
        </w:tc>
      </w:tr>
      <w:tr w:rsidR="00C81A68" w:rsidRPr="00C81A68" w:rsidTr="00D03A4E">
        <w:trPr>
          <w:gridBefore w:val="1"/>
          <w:gridAfter w:val="1"/>
          <w:wBefore w:w="107" w:type="dxa"/>
          <w:wAfter w:w="141" w:type="dxa"/>
          <w:trHeight w:val="280"/>
        </w:trPr>
        <w:tc>
          <w:tcPr>
            <w:tcW w:w="3819"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Firm Controls</w:t>
            </w:r>
          </w:p>
        </w:tc>
        <w:tc>
          <w:tcPr>
            <w:tcW w:w="2878"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247" w:type="dxa"/>
            <w:gridSpan w:val="2"/>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D03A4E">
        <w:trPr>
          <w:gridBefore w:val="1"/>
          <w:gridAfter w:val="1"/>
          <w:wBefore w:w="107" w:type="dxa"/>
          <w:wAfter w:w="141" w:type="dxa"/>
          <w:trHeight w:val="266"/>
        </w:trPr>
        <w:tc>
          <w:tcPr>
            <w:tcW w:w="3819"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Year Fixed Effects</w:t>
            </w:r>
          </w:p>
        </w:tc>
        <w:tc>
          <w:tcPr>
            <w:tcW w:w="2878"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247" w:type="dxa"/>
            <w:gridSpan w:val="2"/>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D03A4E">
        <w:trPr>
          <w:gridBefore w:val="1"/>
          <w:gridAfter w:val="1"/>
          <w:wBefore w:w="107" w:type="dxa"/>
          <w:wAfter w:w="141" w:type="dxa"/>
          <w:trHeight w:val="266"/>
        </w:trPr>
        <w:tc>
          <w:tcPr>
            <w:tcW w:w="3819"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3-digit Industry Effects</w:t>
            </w:r>
          </w:p>
        </w:tc>
        <w:tc>
          <w:tcPr>
            <w:tcW w:w="2878"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247" w:type="dxa"/>
            <w:gridSpan w:val="2"/>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D03A4E">
        <w:trPr>
          <w:gridBefore w:val="1"/>
          <w:gridAfter w:val="1"/>
          <w:wBefore w:w="107" w:type="dxa"/>
          <w:wAfter w:w="141" w:type="dxa"/>
          <w:trHeight w:val="280"/>
        </w:trPr>
        <w:tc>
          <w:tcPr>
            <w:tcW w:w="3819"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State Fixed Effects</w:t>
            </w:r>
          </w:p>
        </w:tc>
        <w:tc>
          <w:tcPr>
            <w:tcW w:w="2878" w:type="dxa"/>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247" w:type="dxa"/>
            <w:gridSpan w:val="2"/>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D03A4E">
        <w:trPr>
          <w:trHeight w:val="280"/>
        </w:trPr>
        <w:tc>
          <w:tcPr>
            <w:tcW w:w="3818" w:type="dxa"/>
            <w:gridSpan w:val="2"/>
            <w:tcBorders>
              <w:top w:val="single" w:sz="4" w:space="0" w:color="auto"/>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b/>
                <w:sz w:val="21"/>
                <w:szCs w:val="21"/>
                <w:lang w:eastAsia="en-GB"/>
              </w:rPr>
            </w:pPr>
            <w:r w:rsidRPr="00C81A68">
              <w:rPr>
                <w:rFonts w:ascii="Times New Roman" w:eastAsia="Calibri" w:hAnsi="Times New Roman" w:cs="Times New Roman"/>
                <w:b/>
                <w:sz w:val="21"/>
                <w:szCs w:val="21"/>
                <w:lang w:eastAsia="en-GB"/>
              </w:rPr>
              <w:t>Panel B: Placebo Test</w:t>
            </w:r>
          </w:p>
        </w:tc>
        <w:tc>
          <w:tcPr>
            <w:tcW w:w="3073" w:type="dxa"/>
            <w:gridSpan w:val="3"/>
            <w:tcBorders>
              <w:top w:val="single" w:sz="4" w:space="0" w:color="auto"/>
              <w:bottom w:val="nil"/>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p>
        </w:tc>
        <w:tc>
          <w:tcPr>
            <w:tcW w:w="2301" w:type="dxa"/>
            <w:gridSpan w:val="2"/>
            <w:tcBorders>
              <w:top w:val="single" w:sz="4" w:space="0" w:color="auto"/>
              <w:bottom w:val="nil"/>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p>
        </w:tc>
      </w:tr>
      <w:tr w:rsidR="00C81A68" w:rsidRPr="00C81A68" w:rsidTr="00D03A4E">
        <w:trPr>
          <w:trHeight w:val="280"/>
        </w:trPr>
        <w:tc>
          <w:tcPr>
            <w:tcW w:w="3818" w:type="dxa"/>
            <w:gridSpan w:val="2"/>
            <w:tcBorders>
              <w:top w:val="single" w:sz="4" w:space="0" w:color="auto"/>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w:t>
            </w:r>
          </w:p>
        </w:tc>
        <w:tc>
          <w:tcPr>
            <w:tcW w:w="3073" w:type="dxa"/>
            <w:gridSpan w:val="3"/>
            <w:tcBorders>
              <w:top w:val="single" w:sz="4" w:space="0" w:color="auto"/>
              <w:bottom w:val="nil"/>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Effective Tax Rates</w:t>
            </w:r>
          </w:p>
        </w:tc>
        <w:tc>
          <w:tcPr>
            <w:tcW w:w="2301" w:type="dxa"/>
            <w:gridSpan w:val="2"/>
            <w:tcBorders>
              <w:top w:val="single" w:sz="4" w:space="0" w:color="auto"/>
              <w:bottom w:val="nil"/>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b/>
                <w:sz w:val="21"/>
                <w:szCs w:val="21"/>
                <w:u w:val="single"/>
                <w:lang w:eastAsia="en-GB"/>
              </w:rPr>
            </w:pPr>
            <w:r w:rsidRPr="00C81A68">
              <w:rPr>
                <w:rFonts w:ascii="Times New Roman" w:eastAsia="Calibri" w:hAnsi="Times New Roman" w:cs="Times New Roman"/>
                <w:b/>
                <w:sz w:val="21"/>
                <w:szCs w:val="21"/>
                <w:u w:val="single"/>
                <w:lang w:eastAsia="en-GB"/>
              </w:rPr>
              <w:t>Book-Tax Differences</w:t>
            </w:r>
          </w:p>
        </w:tc>
      </w:tr>
      <w:tr w:rsidR="00C81A68" w:rsidRPr="00C81A68" w:rsidTr="00D03A4E">
        <w:trPr>
          <w:trHeight w:val="280"/>
        </w:trPr>
        <w:tc>
          <w:tcPr>
            <w:tcW w:w="3818" w:type="dxa"/>
            <w:gridSpan w:val="2"/>
            <w:tcBorders>
              <w:top w:val="nil"/>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3073" w:type="dxa"/>
            <w:gridSpan w:val="3"/>
            <w:tcBorders>
              <w:top w:val="nil"/>
              <w:bottom w:val="single" w:sz="4" w:space="0" w:color="auto"/>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Model 1</w:t>
            </w:r>
          </w:p>
        </w:tc>
        <w:tc>
          <w:tcPr>
            <w:tcW w:w="2301" w:type="dxa"/>
            <w:gridSpan w:val="2"/>
            <w:tcBorders>
              <w:top w:val="nil"/>
              <w:bottom w:val="single" w:sz="4" w:space="0" w:color="auto"/>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Model 2</w:t>
            </w:r>
          </w:p>
        </w:tc>
      </w:tr>
      <w:tr w:rsidR="00C81A68" w:rsidRPr="00C81A68" w:rsidTr="00D03A4E">
        <w:trPr>
          <w:trHeight w:val="280"/>
        </w:trPr>
        <w:tc>
          <w:tcPr>
            <w:tcW w:w="3818" w:type="dxa"/>
            <w:gridSpan w:val="2"/>
            <w:tcBorders>
              <w:top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Placebo IDD</w:t>
            </w:r>
          </w:p>
        </w:tc>
        <w:tc>
          <w:tcPr>
            <w:tcW w:w="3073" w:type="dxa"/>
            <w:gridSpan w:val="3"/>
            <w:tcBorders>
              <w:top w:val="single" w:sz="4" w:space="0" w:color="auto"/>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-0.002</w:t>
            </w:r>
          </w:p>
        </w:tc>
        <w:tc>
          <w:tcPr>
            <w:tcW w:w="2301" w:type="dxa"/>
            <w:gridSpan w:val="2"/>
            <w:tcBorders>
              <w:top w:val="single" w:sz="4" w:space="0" w:color="auto"/>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0.007</w:t>
            </w:r>
          </w:p>
        </w:tc>
      </w:tr>
      <w:tr w:rsidR="00C81A68" w:rsidRPr="00C81A68" w:rsidTr="00D03A4E">
        <w:trPr>
          <w:trHeight w:val="280"/>
        </w:trPr>
        <w:tc>
          <w:tcPr>
            <w:tcW w:w="381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3073" w:type="dxa"/>
            <w:gridSpan w:val="3"/>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(0.002)</w:t>
            </w:r>
          </w:p>
        </w:tc>
        <w:tc>
          <w:tcPr>
            <w:tcW w:w="2301" w:type="dxa"/>
            <w:gridSpan w:val="2"/>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(0.008)</w:t>
            </w:r>
          </w:p>
        </w:tc>
      </w:tr>
      <w:tr w:rsidR="00C81A68" w:rsidRPr="00C81A68" w:rsidTr="00D03A4E">
        <w:trPr>
          <w:trHeight w:val="280"/>
        </w:trPr>
        <w:tc>
          <w:tcPr>
            <w:tcW w:w="3818" w:type="dxa"/>
            <w:gridSpan w:val="2"/>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Intercept</w:t>
            </w:r>
          </w:p>
        </w:tc>
        <w:tc>
          <w:tcPr>
            <w:tcW w:w="3073" w:type="dxa"/>
            <w:gridSpan w:val="3"/>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0.349***</w:t>
            </w:r>
          </w:p>
        </w:tc>
        <w:tc>
          <w:tcPr>
            <w:tcW w:w="2301" w:type="dxa"/>
            <w:gridSpan w:val="2"/>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0.037</w:t>
            </w:r>
          </w:p>
        </w:tc>
      </w:tr>
      <w:tr w:rsidR="00C81A68" w:rsidRPr="00C81A68" w:rsidTr="00D03A4E">
        <w:trPr>
          <w:trHeight w:val="280"/>
        </w:trPr>
        <w:tc>
          <w:tcPr>
            <w:tcW w:w="3818" w:type="dxa"/>
            <w:gridSpan w:val="2"/>
            <w:tcBorders>
              <w:bottom w:val="sing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p>
        </w:tc>
        <w:tc>
          <w:tcPr>
            <w:tcW w:w="3073" w:type="dxa"/>
            <w:gridSpan w:val="3"/>
            <w:tcBorders>
              <w:bottom w:val="single" w:sz="4" w:space="0" w:color="auto"/>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(0.052)</w:t>
            </w:r>
          </w:p>
        </w:tc>
        <w:tc>
          <w:tcPr>
            <w:tcW w:w="2301" w:type="dxa"/>
            <w:gridSpan w:val="2"/>
            <w:tcBorders>
              <w:bottom w:val="single" w:sz="4" w:space="0" w:color="auto"/>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(0.247)</w:t>
            </w:r>
          </w:p>
        </w:tc>
      </w:tr>
      <w:tr w:rsidR="00C81A68" w:rsidRPr="00C81A68" w:rsidTr="00D03A4E">
        <w:trPr>
          <w:trHeight w:val="280"/>
        </w:trPr>
        <w:tc>
          <w:tcPr>
            <w:tcW w:w="3818" w:type="dxa"/>
            <w:gridSpan w:val="2"/>
            <w:tcBorders>
              <w:top w:val="single" w:sz="4" w:space="0" w:color="auto"/>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Observations</w:t>
            </w:r>
          </w:p>
        </w:tc>
        <w:tc>
          <w:tcPr>
            <w:tcW w:w="3073" w:type="dxa"/>
            <w:gridSpan w:val="3"/>
            <w:tcBorders>
              <w:top w:val="single" w:sz="4" w:space="0" w:color="auto"/>
              <w:bottom w:val="nil"/>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70,739</w:t>
            </w:r>
          </w:p>
        </w:tc>
        <w:tc>
          <w:tcPr>
            <w:tcW w:w="2301" w:type="dxa"/>
            <w:gridSpan w:val="2"/>
            <w:tcBorders>
              <w:top w:val="single" w:sz="4" w:space="0" w:color="auto"/>
              <w:bottom w:val="nil"/>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66,243</w:t>
            </w:r>
          </w:p>
        </w:tc>
      </w:tr>
      <w:tr w:rsidR="00C81A68" w:rsidRPr="00C81A68" w:rsidTr="00D03A4E">
        <w:trPr>
          <w:trHeight w:val="280"/>
        </w:trPr>
        <w:tc>
          <w:tcPr>
            <w:tcW w:w="3818" w:type="dxa"/>
            <w:gridSpan w:val="2"/>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R</w:t>
            </w:r>
            <w:r w:rsidRPr="00C81A68">
              <w:rPr>
                <w:rFonts w:ascii="Times New Roman" w:eastAsia="Calibri" w:hAnsi="Times New Roman" w:cs="Times New Roman"/>
                <w:sz w:val="21"/>
                <w:szCs w:val="21"/>
                <w:vertAlign w:val="superscript"/>
                <w:lang w:eastAsia="en-GB"/>
              </w:rPr>
              <w:t>2</w:t>
            </w:r>
          </w:p>
        </w:tc>
        <w:tc>
          <w:tcPr>
            <w:tcW w:w="3073" w:type="dxa"/>
            <w:gridSpan w:val="3"/>
            <w:tcBorders>
              <w:top w:val="nil"/>
              <w:bottom w:val="nil"/>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0.507</w:t>
            </w:r>
          </w:p>
        </w:tc>
        <w:tc>
          <w:tcPr>
            <w:tcW w:w="2301" w:type="dxa"/>
            <w:gridSpan w:val="2"/>
            <w:tcBorders>
              <w:top w:val="nil"/>
              <w:bottom w:val="nil"/>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0.601</w:t>
            </w:r>
          </w:p>
        </w:tc>
      </w:tr>
      <w:tr w:rsidR="00C81A68" w:rsidRPr="00C81A68" w:rsidTr="00D03A4E">
        <w:trPr>
          <w:trHeight w:val="280"/>
        </w:trPr>
        <w:tc>
          <w:tcPr>
            <w:tcW w:w="3818" w:type="dxa"/>
            <w:gridSpan w:val="2"/>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Firm Controls</w:t>
            </w:r>
          </w:p>
        </w:tc>
        <w:tc>
          <w:tcPr>
            <w:tcW w:w="3073" w:type="dxa"/>
            <w:gridSpan w:val="3"/>
            <w:tcBorders>
              <w:top w:val="nil"/>
              <w:bottom w:val="nil"/>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301" w:type="dxa"/>
            <w:gridSpan w:val="2"/>
            <w:tcBorders>
              <w:top w:val="nil"/>
              <w:bottom w:val="nil"/>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D03A4E">
        <w:trPr>
          <w:trHeight w:val="280"/>
        </w:trPr>
        <w:tc>
          <w:tcPr>
            <w:tcW w:w="3818" w:type="dxa"/>
            <w:gridSpan w:val="2"/>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Year FE</w:t>
            </w:r>
          </w:p>
        </w:tc>
        <w:tc>
          <w:tcPr>
            <w:tcW w:w="3073" w:type="dxa"/>
            <w:gridSpan w:val="3"/>
            <w:tcBorders>
              <w:top w:val="nil"/>
              <w:bottom w:val="nil"/>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301" w:type="dxa"/>
            <w:gridSpan w:val="2"/>
            <w:tcBorders>
              <w:top w:val="nil"/>
              <w:bottom w:val="nil"/>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D03A4E">
        <w:trPr>
          <w:trHeight w:val="280"/>
        </w:trPr>
        <w:tc>
          <w:tcPr>
            <w:tcW w:w="3818" w:type="dxa"/>
            <w:gridSpan w:val="2"/>
            <w:tcBorders>
              <w:top w:val="nil"/>
              <w:bottom w:val="nil"/>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3-digit Industry FE</w:t>
            </w:r>
          </w:p>
        </w:tc>
        <w:tc>
          <w:tcPr>
            <w:tcW w:w="3073" w:type="dxa"/>
            <w:gridSpan w:val="3"/>
            <w:tcBorders>
              <w:top w:val="nil"/>
              <w:bottom w:val="nil"/>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301" w:type="dxa"/>
            <w:gridSpan w:val="2"/>
            <w:tcBorders>
              <w:top w:val="nil"/>
              <w:bottom w:val="nil"/>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r w:rsidR="00C81A68" w:rsidRPr="00C81A68" w:rsidTr="00D03A4E">
        <w:trPr>
          <w:trHeight w:val="280"/>
        </w:trPr>
        <w:tc>
          <w:tcPr>
            <w:tcW w:w="3818" w:type="dxa"/>
            <w:gridSpan w:val="2"/>
            <w:tcBorders>
              <w:top w:val="nil"/>
              <w:bottom w:val="double" w:sz="4" w:space="0" w:color="auto"/>
            </w:tcBorders>
            <w:shd w:val="clear" w:color="auto" w:fill="auto"/>
            <w:vAlign w:val="bottom"/>
          </w:tcPr>
          <w:p w:rsidR="00C81A68" w:rsidRPr="00C81A68" w:rsidRDefault="00C81A68" w:rsidP="00C81A68">
            <w:pPr>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State FE</w:t>
            </w:r>
          </w:p>
        </w:tc>
        <w:tc>
          <w:tcPr>
            <w:tcW w:w="3073" w:type="dxa"/>
            <w:gridSpan w:val="3"/>
            <w:tcBorders>
              <w:top w:val="nil"/>
              <w:bottom w:val="double" w:sz="4" w:space="0" w:color="auto"/>
            </w:tcBorders>
            <w:shd w:val="clear" w:color="auto" w:fill="auto"/>
            <w:vAlign w:val="bottom"/>
          </w:tcPr>
          <w:p w:rsidR="00C81A68" w:rsidRPr="00C81A68" w:rsidRDefault="00C81A68" w:rsidP="00C81A68">
            <w:pPr>
              <w:tabs>
                <w:tab w:val="decimal" w:pos="583"/>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c>
          <w:tcPr>
            <w:tcW w:w="2301" w:type="dxa"/>
            <w:gridSpan w:val="2"/>
            <w:tcBorders>
              <w:top w:val="nil"/>
              <w:bottom w:val="double" w:sz="4" w:space="0" w:color="auto"/>
            </w:tcBorders>
            <w:shd w:val="clear" w:color="auto" w:fill="auto"/>
            <w:vAlign w:val="bottom"/>
          </w:tcPr>
          <w:p w:rsidR="00C81A68" w:rsidRPr="00C81A68" w:rsidRDefault="00C81A68" w:rsidP="00C81A68">
            <w:pPr>
              <w:tabs>
                <w:tab w:val="decimal" w:pos="492"/>
              </w:tabs>
              <w:spacing w:after="0" w:line="240" w:lineRule="auto"/>
              <w:rPr>
                <w:rFonts w:ascii="Times New Roman" w:eastAsia="Calibri" w:hAnsi="Times New Roman" w:cs="Times New Roman"/>
                <w:sz w:val="21"/>
                <w:szCs w:val="21"/>
                <w:lang w:eastAsia="en-GB"/>
              </w:rPr>
            </w:pPr>
            <w:r w:rsidRPr="00C81A68">
              <w:rPr>
                <w:rFonts w:ascii="Times New Roman" w:eastAsia="Calibri" w:hAnsi="Times New Roman" w:cs="Times New Roman"/>
                <w:sz w:val="21"/>
                <w:szCs w:val="21"/>
                <w:lang w:eastAsia="en-GB"/>
              </w:rPr>
              <w:t xml:space="preserve">           Yes</w:t>
            </w:r>
          </w:p>
        </w:tc>
      </w:tr>
    </w:tbl>
    <w:p w:rsidR="00C81A68" w:rsidRPr="00C81A68" w:rsidRDefault="00C81A68" w:rsidP="00C81A68">
      <w:pPr>
        <w:spacing w:after="0" w:line="260" w:lineRule="exact"/>
        <w:rPr>
          <w:rFonts w:ascii="Times New Roman" w:eastAsia="Calibri" w:hAnsi="Times New Roman" w:cs="Times New Roman"/>
          <w:b/>
          <w:sz w:val="24"/>
          <w:szCs w:val="24"/>
          <w:lang w:eastAsia="en-GB"/>
        </w:rPr>
      </w:pPr>
    </w:p>
    <w:p w:rsidR="009032B3" w:rsidRDefault="009032B3"/>
    <w:sectPr w:rsidR="009032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E61" w:rsidRDefault="000A0E61" w:rsidP="00C81A68">
      <w:pPr>
        <w:spacing w:after="0" w:line="240" w:lineRule="auto"/>
      </w:pPr>
      <w:r>
        <w:separator/>
      </w:r>
    </w:p>
  </w:endnote>
  <w:endnote w:type="continuationSeparator" w:id="0">
    <w:p w:rsidR="000A0E61" w:rsidRDefault="000A0E61" w:rsidP="00C8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 Roman 12">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61" w:rsidRDefault="000A0E61">
    <w:pPr>
      <w:pStyle w:val="Footer"/>
      <w:jc w:val="center"/>
    </w:pPr>
    <w:r>
      <w:fldChar w:fldCharType="begin"/>
    </w:r>
    <w:r>
      <w:instrText xml:space="preserve"> PAGE   \* MERGEFORMAT </w:instrText>
    </w:r>
    <w:r>
      <w:fldChar w:fldCharType="separate"/>
    </w:r>
    <w:r>
      <w:rPr>
        <w:noProof/>
      </w:rPr>
      <w:t>22</w:t>
    </w:r>
    <w:r>
      <w:rPr>
        <w:noProof/>
      </w:rPr>
      <w:fldChar w:fldCharType="end"/>
    </w:r>
  </w:p>
  <w:p w:rsidR="000A0E61" w:rsidRDefault="000A0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E61" w:rsidRDefault="000A0E61" w:rsidP="00C81A68">
      <w:pPr>
        <w:spacing w:after="0" w:line="240" w:lineRule="auto"/>
      </w:pPr>
      <w:r>
        <w:separator/>
      </w:r>
    </w:p>
  </w:footnote>
  <w:footnote w:type="continuationSeparator" w:id="0">
    <w:p w:rsidR="000A0E61" w:rsidRDefault="000A0E61" w:rsidP="00C81A68">
      <w:pPr>
        <w:spacing w:after="0" w:line="240" w:lineRule="auto"/>
      </w:pPr>
      <w:r>
        <w:continuationSeparator/>
      </w:r>
    </w:p>
  </w:footnote>
  <w:footnote w:id="1">
    <w:p w:rsidR="000A0E61" w:rsidRPr="00E33A73" w:rsidRDefault="000A0E61" w:rsidP="00E33A73">
      <w:pPr>
        <w:spacing w:after="0"/>
        <w:jc w:val="both"/>
        <w:rPr>
          <w:rFonts w:ascii="Times New Roman" w:eastAsia="Times New Roman" w:hAnsi="Times New Roman"/>
          <w:color w:val="222222"/>
          <w:sz w:val="20"/>
          <w:szCs w:val="20"/>
          <w:shd w:val="clear" w:color="auto" w:fill="FFFFFF"/>
        </w:rPr>
      </w:pPr>
      <w:r>
        <w:rPr>
          <w:rStyle w:val="FootnoteReference"/>
        </w:rPr>
        <w:footnoteRef/>
      </w:r>
      <w:r>
        <w:t xml:space="preserve"> </w:t>
      </w:r>
      <w:r w:rsidRPr="00E33A73">
        <w:rPr>
          <w:rFonts w:ascii="Times New Roman" w:eastAsia="Times New Roman" w:hAnsi="Times New Roman"/>
          <w:color w:val="222222"/>
          <w:sz w:val="20"/>
          <w:szCs w:val="20"/>
          <w:shd w:val="clear" w:color="auto" w:fill="FFFFFF"/>
        </w:rPr>
        <w:t>There are also studies reporting insignificant association between information environment and tax avoidance. For instance, Joshi et al. (2019) examine the effect of increased transparency on the tax planning of European banks. Relying on the introduction of country-by-country reporting requirements to the banking industry across Europe, they find only limited evidence supporting a decline of income-shifting by banks’ affiliates and no significant change in the effective tax rates among the banks affected by the regulatory change. They conclude that increased transparency in reporting does not materially influence a bank’s tax avoidance activities.</w:t>
      </w:r>
    </w:p>
    <w:p w:rsidR="000A0E61" w:rsidRPr="00364DE9" w:rsidRDefault="000A0E61" w:rsidP="00C81A68">
      <w:pPr>
        <w:pStyle w:val="FootnoteText"/>
        <w:rPr>
          <w:lang w:val="en-GB"/>
        </w:rPr>
      </w:pPr>
    </w:p>
  </w:footnote>
  <w:footnote w:id="2">
    <w:p w:rsidR="000A0E61" w:rsidRPr="00364DE9" w:rsidRDefault="000A0E61" w:rsidP="00C81A68">
      <w:pPr>
        <w:pStyle w:val="EndNoteBibliography"/>
        <w:spacing w:after="0"/>
        <w:jc w:val="both"/>
        <w:rPr>
          <w:rFonts w:ascii="Times New Roman" w:hAnsi="Times New Roman" w:cs="Times New Roman"/>
          <w:noProof/>
          <w:sz w:val="24"/>
          <w:szCs w:val="24"/>
        </w:rPr>
      </w:pPr>
      <w:r>
        <w:rPr>
          <w:rStyle w:val="FootnoteReference"/>
        </w:rPr>
        <w:footnoteRef/>
      </w:r>
      <w:r>
        <w:rPr>
          <w:rFonts w:ascii="Times New Roman" w:eastAsia="Arial" w:hAnsi="Times New Roman" w:cs="Times New Roman"/>
          <w:sz w:val="20"/>
          <w:szCs w:val="20"/>
        </w:rPr>
        <w:t xml:space="preserve"> </w:t>
      </w:r>
      <w:r w:rsidRPr="00364DE9">
        <w:rPr>
          <w:rFonts w:ascii="Times New Roman" w:eastAsia="Arial" w:hAnsi="Times New Roman" w:cs="Times New Roman"/>
          <w:sz w:val="20"/>
          <w:szCs w:val="20"/>
        </w:rPr>
        <w:t xml:space="preserve">Even if a </w:t>
      </w:r>
      <w:r>
        <w:rPr>
          <w:rFonts w:ascii="Times New Roman" w:eastAsia="Arial" w:hAnsi="Times New Roman" w:cs="Times New Roman"/>
          <w:sz w:val="20"/>
          <w:szCs w:val="20"/>
        </w:rPr>
        <w:t xml:space="preserve">US </w:t>
      </w:r>
      <w:r w:rsidRPr="00364DE9">
        <w:rPr>
          <w:rFonts w:ascii="Times New Roman" w:eastAsia="Arial" w:hAnsi="Times New Roman" w:cs="Times New Roman"/>
          <w:sz w:val="20"/>
          <w:szCs w:val="20"/>
        </w:rPr>
        <w:t>state has not ratified the UTSA, the state court can still adopt the IDD (Klasa et al.</w:t>
      </w:r>
      <w:r>
        <w:rPr>
          <w:rFonts w:ascii="Times New Roman" w:eastAsia="Arial" w:hAnsi="Times New Roman" w:cs="Times New Roman"/>
          <w:sz w:val="20"/>
          <w:szCs w:val="20"/>
        </w:rPr>
        <w:t xml:space="preserve"> </w:t>
      </w:r>
      <w:r w:rsidRPr="00364DE9">
        <w:rPr>
          <w:rFonts w:ascii="Times New Roman" w:eastAsia="Arial" w:hAnsi="Times New Roman" w:cs="Times New Roman"/>
          <w:sz w:val="20"/>
          <w:szCs w:val="20"/>
        </w:rPr>
        <w:t>2018)</w:t>
      </w:r>
      <w:r>
        <w:rPr>
          <w:rFonts w:ascii="Times New Roman" w:eastAsia="Arial" w:hAnsi="Times New Roman" w:cs="Times New Roman"/>
          <w:sz w:val="20"/>
          <w:szCs w:val="20"/>
        </w:rPr>
        <w:t>. See section 2 for details about the IDD</w:t>
      </w:r>
      <w:r w:rsidRPr="00364DE9">
        <w:rPr>
          <w:rFonts w:ascii="Times New Roman" w:eastAsia="Arial" w:hAnsi="Times New Roman" w:cs="Times New Roman"/>
          <w:sz w:val="20"/>
          <w:szCs w:val="20"/>
        </w:rPr>
        <w:t>.</w:t>
      </w:r>
    </w:p>
  </w:footnote>
  <w:footnote w:id="3">
    <w:p w:rsidR="000A0E61" w:rsidRPr="003D1529" w:rsidRDefault="000A0E61" w:rsidP="003D1529">
      <w:pPr>
        <w:spacing w:after="0"/>
        <w:jc w:val="both"/>
        <w:rPr>
          <w:rFonts w:ascii="Times New Roman" w:eastAsia="Times New Roman" w:hAnsi="Times New Roman"/>
          <w:color w:val="222222"/>
          <w:sz w:val="20"/>
          <w:szCs w:val="20"/>
        </w:rPr>
      </w:pPr>
      <w:r>
        <w:rPr>
          <w:rStyle w:val="FootnoteReference"/>
        </w:rPr>
        <w:footnoteRef/>
      </w:r>
      <w:r>
        <w:t xml:space="preserve"> </w:t>
      </w:r>
      <w:r w:rsidRPr="003D1529">
        <w:rPr>
          <w:rFonts w:ascii="Times New Roman" w:eastAsia="Times New Roman" w:hAnsi="Times New Roman"/>
          <w:color w:val="222222"/>
          <w:sz w:val="20"/>
          <w:szCs w:val="20"/>
        </w:rPr>
        <w:t>Based on a sample of 28, 547 firms in US between 1994 and 2010, Li et al. (2018a) report that firms respond to IDD recognition by decreasing the level of disclosure of their customers’ identities, and such effect is stronger for firms in more volatile industries and firms with lower reliance on external financing. These findings are consistent with the conjecture that IDD is associated with reduced disclosure and higher corporate opacity.</w:t>
      </w:r>
    </w:p>
  </w:footnote>
  <w:footnote w:id="4">
    <w:p w:rsidR="000A0E61" w:rsidRPr="003D1529" w:rsidRDefault="000A0E61" w:rsidP="003D1529">
      <w:pPr>
        <w:pStyle w:val="FootnoteText"/>
        <w:jc w:val="both"/>
        <w:rPr>
          <w:lang w:val="en-GB"/>
        </w:rPr>
      </w:pPr>
      <w:r w:rsidRPr="003D1529">
        <w:rPr>
          <w:rStyle w:val="FootnoteReference"/>
        </w:rPr>
        <w:footnoteRef/>
      </w:r>
      <w:r w:rsidRPr="003D1529">
        <w:t xml:space="preserve"> </w:t>
      </w:r>
      <w:r w:rsidRPr="003D1529">
        <w:rPr>
          <w:lang w:val="en-GB"/>
        </w:rPr>
        <w:t xml:space="preserve">The location of the firm is based on the location of its headquarters (Klasa et al. 2018). </w:t>
      </w:r>
    </w:p>
  </w:footnote>
  <w:footnote w:id="5">
    <w:p w:rsidR="000A0E61" w:rsidRPr="002C3C67" w:rsidRDefault="000A0E61" w:rsidP="002C3C67">
      <w:pPr>
        <w:pStyle w:val="FootnoteText"/>
        <w:jc w:val="both"/>
        <w:rPr>
          <w:lang w:val="en-GB"/>
        </w:rPr>
      </w:pPr>
      <w:r>
        <w:rPr>
          <w:rStyle w:val="FootnoteReference"/>
        </w:rPr>
        <w:footnoteRef/>
      </w:r>
      <w:r>
        <w:t xml:space="preserve"> </w:t>
      </w:r>
      <w:r w:rsidRPr="002C3C67">
        <w:rPr>
          <w:lang w:val="en-GB" w:eastAsia="zh-CN"/>
        </w:rPr>
        <w:t>Robustness tests confirm that our results are insensitive to alternative measures of tax avoidance including cash effective tax rates.</w:t>
      </w:r>
    </w:p>
  </w:footnote>
  <w:footnote w:id="6">
    <w:p w:rsidR="000A0E61" w:rsidRPr="002C3C67" w:rsidRDefault="000A0E61" w:rsidP="002C3C67">
      <w:pPr>
        <w:autoSpaceDE w:val="0"/>
        <w:autoSpaceDN w:val="0"/>
        <w:adjustRightInd w:val="0"/>
        <w:spacing w:after="0"/>
        <w:jc w:val="both"/>
        <w:rPr>
          <w:rFonts w:ascii="Times New Roman" w:eastAsia="SimSun" w:hAnsi="Times New Roman" w:cs="Times New Roman"/>
          <w:sz w:val="20"/>
          <w:szCs w:val="20"/>
          <w:lang w:eastAsia="zh-CN"/>
        </w:rPr>
      </w:pPr>
      <w:r w:rsidRPr="002C3C67">
        <w:rPr>
          <w:rStyle w:val="FootnoteReference"/>
          <w:rFonts w:ascii="Times New Roman" w:hAnsi="Times New Roman" w:cs="Times New Roman"/>
          <w:sz w:val="20"/>
          <w:szCs w:val="20"/>
        </w:rPr>
        <w:footnoteRef/>
      </w:r>
      <w:r w:rsidRPr="002C3C67">
        <w:rPr>
          <w:rFonts w:ascii="Times New Roman" w:hAnsi="Times New Roman" w:cs="Times New Roman"/>
          <w:sz w:val="20"/>
          <w:szCs w:val="20"/>
        </w:rPr>
        <w:t xml:space="preserve"> </w:t>
      </w:r>
      <w:r w:rsidRPr="002C3C67">
        <w:rPr>
          <w:rFonts w:ascii="Times New Roman" w:eastAsia="SimSun" w:hAnsi="Times New Roman" w:cs="Times New Roman"/>
          <w:sz w:val="20"/>
          <w:szCs w:val="20"/>
          <w:lang w:eastAsia="zh-CN"/>
        </w:rPr>
        <w:t>The sample contains 70,739 (66,243) observations when we use effective tax rate (ETR) (book-tax difference) as the measure of tax avoidance.</w:t>
      </w:r>
    </w:p>
    <w:p w:rsidR="000A0E61" w:rsidRPr="008E5E3F" w:rsidRDefault="000A0E61" w:rsidP="00C81A68">
      <w:pPr>
        <w:pStyle w:val="FootnoteText"/>
        <w:rPr>
          <w:lang w:val="en-GB"/>
        </w:rPr>
      </w:pPr>
    </w:p>
  </w:footnote>
  <w:footnote w:id="7">
    <w:p w:rsidR="000A0E61" w:rsidRPr="0010134F" w:rsidRDefault="000A0E61" w:rsidP="00C81A68">
      <w:pPr>
        <w:tabs>
          <w:tab w:val="left" w:pos="340"/>
        </w:tabs>
        <w:spacing w:line="191" w:lineRule="auto"/>
        <w:jc w:val="both"/>
        <w:rPr>
          <w:rFonts w:ascii="Arial" w:eastAsia="Arial" w:hAnsi="Arial"/>
          <w:sz w:val="20"/>
          <w:szCs w:val="20"/>
          <w:vertAlign w:val="superscript"/>
        </w:rPr>
      </w:pPr>
      <w:r>
        <w:rPr>
          <w:rStyle w:val="FootnoteReference"/>
        </w:rPr>
        <w:footnoteRef/>
      </w:r>
      <w:r>
        <w:t xml:space="preserve"> </w:t>
      </w:r>
      <w:r w:rsidRPr="0010134F">
        <w:rPr>
          <w:rFonts w:ascii="Times New Roman" w:eastAsia="Arial" w:hAnsi="Times New Roman" w:cs="Times New Roman"/>
          <w:sz w:val="20"/>
          <w:szCs w:val="20"/>
        </w:rPr>
        <w:t>In Appendix B, we provide a summary of the states that have adopted IDD.</w:t>
      </w:r>
    </w:p>
    <w:p w:rsidR="000A0E61" w:rsidRPr="001927CA" w:rsidRDefault="000A0E61" w:rsidP="00C81A68">
      <w:pPr>
        <w:pStyle w:val="FootnoteText"/>
        <w:rPr>
          <w:lang w:val="en-GB"/>
        </w:rPr>
      </w:pPr>
    </w:p>
  </w:footnote>
  <w:footnote w:id="8">
    <w:p w:rsidR="000A0E61" w:rsidRPr="005E7E48" w:rsidRDefault="000A0E61" w:rsidP="00C81A68">
      <w:pPr>
        <w:pStyle w:val="FootnoteText"/>
        <w:jc w:val="both"/>
        <w:rPr>
          <w:lang w:val="en-GB"/>
        </w:rPr>
      </w:pPr>
      <w:r>
        <w:rPr>
          <w:rStyle w:val="FootnoteReference"/>
        </w:rPr>
        <w:footnoteRef/>
      </w:r>
      <w:r>
        <w:t xml:space="preserve"> </w:t>
      </w:r>
      <w:hyperlink w:anchor="page19" w:history="1">
        <w:r w:rsidRPr="005E7E48">
          <w:rPr>
            <w:rFonts w:eastAsia="Arial"/>
            <w:color w:val="000000"/>
          </w:rPr>
          <w:t xml:space="preserve">Klasa et al. </w:t>
        </w:r>
      </w:hyperlink>
      <w:r w:rsidRPr="005E7E48">
        <w:rPr>
          <w:rFonts w:eastAsia="Arial"/>
          <w:color w:val="000000"/>
        </w:rPr>
        <w:t>(</w:t>
      </w:r>
      <w:hyperlink w:anchor="page19" w:history="1">
        <w:r w:rsidRPr="005E7E48">
          <w:rPr>
            <w:rFonts w:eastAsia="Arial"/>
            <w:color w:val="000000"/>
          </w:rPr>
          <w:t>2018</w:t>
        </w:r>
      </w:hyperlink>
      <w:r w:rsidRPr="005E7E48">
        <w:rPr>
          <w:rFonts w:eastAsia="Arial"/>
          <w:color w:val="000000"/>
        </w:rPr>
        <w:t>) create the list of IDD adoption by collecting the court rulings of recognizing or rejecting the IDD from prior legal studies to identify the states where the IDD is adopted or rejected.</w:t>
      </w:r>
      <w:r>
        <w:rPr>
          <w:rFonts w:eastAsia="Arial"/>
          <w:color w:val="000000"/>
        </w:rPr>
        <w:t xml:space="preserve"> </w:t>
      </w:r>
      <w:r w:rsidRPr="005E7E48">
        <w:rPr>
          <w:rFonts w:eastAsia="Arial"/>
          <w:color w:val="000000"/>
        </w:rPr>
        <w:t>This list is reproduced in Appendix B.</w:t>
      </w:r>
    </w:p>
  </w:footnote>
  <w:footnote w:id="9">
    <w:p w:rsidR="000A0E61" w:rsidRPr="0010134F" w:rsidRDefault="000A0E61" w:rsidP="0010134F">
      <w:pPr>
        <w:spacing w:after="0" w:line="229" w:lineRule="auto"/>
        <w:jc w:val="both"/>
        <w:rPr>
          <w:rFonts w:ascii="Times New Roman" w:eastAsia="Arial" w:hAnsi="Times New Roman" w:cs="Times New Roman"/>
          <w:sz w:val="20"/>
          <w:szCs w:val="20"/>
          <w:lang w:val="en-US"/>
        </w:rPr>
      </w:pPr>
      <w:r w:rsidRPr="00775B42">
        <w:rPr>
          <w:rStyle w:val="FootnoteReference"/>
        </w:rPr>
        <w:footnoteRef/>
      </w:r>
      <w:r w:rsidRPr="00775B42">
        <w:rPr>
          <w:rFonts w:ascii="Times New Roman" w:hAnsi="Times New Roman" w:cs="Times New Roman"/>
        </w:rPr>
        <w:t xml:space="preserve"> </w:t>
      </w:r>
      <w:r w:rsidRPr="0010134F">
        <w:rPr>
          <w:rFonts w:ascii="Times New Roman" w:eastAsia="Arial" w:hAnsi="Times New Roman" w:cs="Times New Roman"/>
          <w:sz w:val="20"/>
          <w:szCs w:val="20"/>
        </w:rPr>
        <w:t>The fixed effects approach used in our primary analysis addresses this concern to the extent that it controls for unobserved time-invariant local factors that might affect firms’ corporate avoidance strategies. However, if some observable time-variant factors drive the effect, then fixed effects cannot adequately address this problem.</w:t>
      </w:r>
    </w:p>
  </w:footnote>
  <w:footnote w:id="10">
    <w:p w:rsidR="000A0E61" w:rsidRPr="0010134F" w:rsidRDefault="000A0E61" w:rsidP="0010134F">
      <w:pPr>
        <w:autoSpaceDE w:val="0"/>
        <w:autoSpaceDN w:val="0"/>
        <w:adjustRightInd w:val="0"/>
        <w:spacing w:after="0"/>
        <w:jc w:val="both"/>
        <w:rPr>
          <w:rFonts w:ascii="Times New Roman" w:eastAsia="SimSun" w:hAnsi="Times New Roman" w:cs="Times New Roman"/>
          <w:sz w:val="20"/>
          <w:szCs w:val="20"/>
          <w:lang w:eastAsia="zh-CN"/>
        </w:rPr>
      </w:pPr>
      <w:r w:rsidRPr="0010134F">
        <w:rPr>
          <w:rStyle w:val="FootnoteReference"/>
          <w:rFonts w:ascii="Times New Roman" w:hAnsi="Times New Roman" w:cs="Times New Roman"/>
          <w:sz w:val="20"/>
          <w:szCs w:val="20"/>
        </w:rPr>
        <w:footnoteRef/>
      </w:r>
      <w:r w:rsidRPr="0010134F">
        <w:rPr>
          <w:rFonts w:ascii="Times New Roman" w:hAnsi="Times New Roman" w:cs="Times New Roman"/>
          <w:sz w:val="20"/>
          <w:szCs w:val="20"/>
        </w:rPr>
        <w:t xml:space="preserve"> </w:t>
      </w:r>
      <w:r w:rsidRPr="0010134F">
        <w:rPr>
          <w:rFonts w:ascii="Times New Roman" w:eastAsia="SimSun" w:hAnsi="Times New Roman" w:cs="Times New Roman"/>
          <w:sz w:val="20"/>
          <w:szCs w:val="20"/>
          <w:lang w:eastAsia="zh-CN"/>
        </w:rPr>
        <w:t>If we are unable to identify a close-by matched control firm to a treated firm, we drop this treated firm from the sample.</w:t>
      </w:r>
    </w:p>
    <w:p w:rsidR="000A0E61" w:rsidRPr="00775B42" w:rsidRDefault="000A0E61" w:rsidP="00C81A68">
      <w:pPr>
        <w:pStyle w:val="FootnoteText"/>
        <w:jc w:val="both"/>
        <w:rPr>
          <w:lang w:val="en-GB"/>
        </w:rPr>
      </w:pPr>
    </w:p>
  </w:footnote>
  <w:footnote w:id="11">
    <w:p w:rsidR="000A0E61" w:rsidRPr="0010134F" w:rsidRDefault="000A0E61" w:rsidP="00C81A68">
      <w:pPr>
        <w:tabs>
          <w:tab w:val="left" w:pos="332"/>
        </w:tabs>
        <w:jc w:val="both"/>
        <w:rPr>
          <w:rFonts w:ascii="Times New Roman" w:eastAsia="Arial" w:hAnsi="Times New Roman" w:cs="Times New Roman"/>
          <w:sz w:val="20"/>
          <w:szCs w:val="20"/>
        </w:rPr>
      </w:pPr>
      <w:r w:rsidRPr="00203E30">
        <w:rPr>
          <w:rStyle w:val="FootnoteReference"/>
        </w:rPr>
        <w:footnoteRef/>
      </w:r>
      <w:r w:rsidRPr="00203E30">
        <w:rPr>
          <w:rFonts w:ascii="Times New Roman" w:hAnsi="Times New Roman" w:cs="Times New Roman"/>
        </w:rPr>
        <w:t xml:space="preserve"> </w:t>
      </w:r>
      <w:r w:rsidRPr="0010134F">
        <w:rPr>
          <w:rFonts w:ascii="Times New Roman" w:eastAsia="Arial" w:hAnsi="Times New Roman" w:cs="Times New Roman"/>
          <w:sz w:val="20"/>
          <w:szCs w:val="20"/>
        </w:rPr>
        <w:t xml:space="preserve">Following </w:t>
      </w:r>
      <w:hyperlink w:anchor="page19" w:history="1">
        <w:r w:rsidRPr="0010134F">
          <w:rPr>
            <w:rFonts w:ascii="Times New Roman" w:eastAsia="Arial" w:hAnsi="Times New Roman" w:cs="Times New Roman"/>
            <w:sz w:val="20"/>
            <w:szCs w:val="20"/>
          </w:rPr>
          <w:t xml:space="preserve">Wilson </w:t>
        </w:r>
      </w:hyperlink>
      <w:r w:rsidRPr="0010134F">
        <w:rPr>
          <w:rFonts w:ascii="Times New Roman" w:eastAsia="Arial" w:hAnsi="Times New Roman" w:cs="Times New Roman"/>
          <w:sz w:val="20"/>
          <w:szCs w:val="20"/>
        </w:rPr>
        <w:t>(</w:t>
      </w:r>
      <w:hyperlink w:anchor="page19" w:history="1">
        <w:r w:rsidRPr="0010134F">
          <w:rPr>
            <w:rFonts w:ascii="Times New Roman" w:eastAsia="Arial" w:hAnsi="Times New Roman" w:cs="Times New Roman"/>
            <w:sz w:val="20"/>
            <w:szCs w:val="20"/>
          </w:rPr>
          <w:t>2009</w:t>
        </w:r>
      </w:hyperlink>
      <w:r w:rsidRPr="0010134F">
        <w:rPr>
          <w:rFonts w:ascii="Times New Roman" w:eastAsia="Arial" w:hAnsi="Times New Roman" w:cs="Times New Roman"/>
          <w:sz w:val="20"/>
          <w:szCs w:val="20"/>
        </w:rPr>
        <w:t xml:space="preserve">), we compute shelter probability as follows. P (Shelter) = –4.30 + (6.63 × book-tax difference) – (1.72 × Leverage) + (0.66 × Firm Size) + (2.26 × Return on Assets) + (1.62 × Foreign Income) + (1.56 × Research and Development Expense). Because </w:t>
      </w:r>
      <w:hyperlink w:anchor="page19" w:history="1">
        <w:r w:rsidRPr="0010134F">
          <w:rPr>
            <w:rFonts w:ascii="Times New Roman" w:eastAsia="Arial" w:hAnsi="Times New Roman" w:cs="Times New Roman"/>
            <w:sz w:val="20"/>
            <w:szCs w:val="20"/>
          </w:rPr>
          <w:t xml:space="preserve">Wilson </w:t>
        </w:r>
      </w:hyperlink>
      <w:r w:rsidRPr="0010134F">
        <w:rPr>
          <w:rFonts w:ascii="Times New Roman" w:eastAsia="Arial" w:hAnsi="Times New Roman" w:cs="Times New Roman"/>
          <w:sz w:val="20"/>
          <w:szCs w:val="20"/>
        </w:rPr>
        <w:t>(</w:t>
      </w:r>
      <w:hyperlink w:anchor="page19" w:history="1">
        <w:r w:rsidRPr="0010134F">
          <w:rPr>
            <w:rFonts w:ascii="Times New Roman" w:eastAsia="Arial" w:hAnsi="Times New Roman" w:cs="Times New Roman"/>
            <w:sz w:val="20"/>
            <w:szCs w:val="20"/>
          </w:rPr>
          <w:t>2009</w:t>
        </w:r>
      </w:hyperlink>
      <w:r w:rsidRPr="0010134F">
        <w:rPr>
          <w:rFonts w:ascii="Times New Roman" w:eastAsia="Arial" w:hAnsi="Times New Roman" w:cs="Times New Roman"/>
          <w:sz w:val="20"/>
          <w:szCs w:val="20"/>
        </w:rPr>
        <w:t>) computes the predicted value of the probability of a tax shelter (P(Shelter)) with a model that includes the variables that we use as control variables (i.e., ROA, Leverage, Foreign Income and Firm Size), we estimate our regression both with and without these control variables and obtain similar results.</w:t>
      </w:r>
    </w:p>
    <w:p w:rsidR="000A0E61" w:rsidRPr="00653DB3" w:rsidRDefault="000A0E61" w:rsidP="00C81A68">
      <w:pPr>
        <w:pStyle w:val="FootnoteText"/>
        <w:jc w:val="both"/>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80F81F54"/>
    <w:lvl w:ilvl="0" w:tplc="279AA938">
      <w:start w:val="1"/>
      <w:numFmt w:val="bullet"/>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DD780404"/>
    <w:lvl w:ilvl="0" w:tplc="FFFFFFFF">
      <w:start w:val="1"/>
      <w:numFmt w:val="bullet"/>
      <w:lvlText w:val="2"/>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BD062C2"/>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2200854"/>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CC266542"/>
    <w:lvl w:ilvl="0" w:tplc="FFFFFFFF">
      <w:start w:val="1"/>
      <w:numFmt w:val="bullet"/>
      <w:lvlText w:val="3"/>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16231A"/>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F16E9E8"/>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190CD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6EF438C"/>
    <w:lvl w:ilvl="0" w:tplc="FFFFFFFF">
      <w:start w:val="1"/>
      <w:numFmt w:val="bullet"/>
      <w:lvlText w:val="6"/>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40E0F76"/>
    <w:lvl w:ilvl="0" w:tplc="FFFFFFFF">
      <w:start w:val="1"/>
      <w:numFmt w:val="bullet"/>
      <w:lvlText w:val="7"/>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352255A"/>
    <w:lvl w:ilvl="0" w:tplc="FFFFFFFF">
      <w:start w:val="1"/>
      <w:numFmt w:val="bullet"/>
      <w:lvlText w:val="7"/>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9BA5C4F"/>
    <w:multiLevelType w:val="hybridMultilevel"/>
    <w:tmpl w:val="24BE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50FBC"/>
    <w:multiLevelType w:val="hybridMultilevel"/>
    <w:tmpl w:val="1AD4A8A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C708D5"/>
    <w:multiLevelType w:val="hybridMultilevel"/>
    <w:tmpl w:val="97CCDC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9873FB"/>
    <w:multiLevelType w:val="hybridMultilevel"/>
    <w:tmpl w:val="B17674B6"/>
    <w:lvl w:ilvl="0" w:tplc="31666790">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3"/>
  </w:num>
  <w:num w:numId="3">
    <w:abstractNumId w:val="6"/>
  </w:num>
  <w:num w:numId="4">
    <w:abstractNumId w:val="14"/>
  </w:num>
  <w:num w:numId="5">
    <w:abstractNumId w:val="15"/>
  </w:num>
  <w:num w:numId="6">
    <w:abstractNumId w:val="0"/>
  </w:num>
  <w:num w:numId="7">
    <w:abstractNumId w:val="2"/>
  </w:num>
  <w:num w:numId="8">
    <w:abstractNumId w:val="4"/>
  </w:num>
  <w:num w:numId="9">
    <w:abstractNumId w:val="5"/>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68"/>
    <w:rsid w:val="00015225"/>
    <w:rsid w:val="0004146D"/>
    <w:rsid w:val="000575B8"/>
    <w:rsid w:val="00072D8F"/>
    <w:rsid w:val="000A0E61"/>
    <w:rsid w:val="000E5E9C"/>
    <w:rsid w:val="0010134F"/>
    <w:rsid w:val="001614B8"/>
    <w:rsid w:val="00176D4E"/>
    <w:rsid w:val="001D3567"/>
    <w:rsid w:val="001F75D4"/>
    <w:rsid w:val="00234AA6"/>
    <w:rsid w:val="0026363D"/>
    <w:rsid w:val="002C3C67"/>
    <w:rsid w:val="003153AF"/>
    <w:rsid w:val="0032789F"/>
    <w:rsid w:val="00336912"/>
    <w:rsid w:val="003D1529"/>
    <w:rsid w:val="00434B74"/>
    <w:rsid w:val="00473910"/>
    <w:rsid w:val="00494FF9"/>
    <w:rsid w:val="004D1FA8"/>
    <w:rsid w:val="004D62AE"/>
    <w:rsid w:val="00576AA3"/>
    <w:rsid w:val="005C4B49"/>
    <w:rsid w:val="005F70BA"/>
    <w:rsid w:val="00616132"/>
    <w:rsid w:val="006308B6"/>
    <w:rsid w:val="00650EBA"/>
    <w:rsid w:val="00674F65"/>
    <w:rsid w:val="006B098F"/>
    <w:rsid w:val="006C512F"/>
    <w:rsid w:val="00737012"/>
    <w:rsid w:val="007D4064"/>
    <w:rsid w:val="00890974"/>
    <w:rsid w:val="008A720D"/>
    <w:rsid w:val="008B68B9"/>
    <w:rsid w:val="008B6BE4"/>
    <w:rsid w:val="008C5651"/>
    <w:rsid w:val="009032B3"/>
    <w:rsid w:val="009346A7"/>
    <w:rsid w:val="00942158"/>
    <w:rsid w:val="00954026"/>
    <w:rsid w:val="009908B9"/>
    <w:rsid w:val="00A151E0"/>
    <w:rsid w:val="00A73944"/>
    <w:rsid w:val="00B07386"/>
    <w:rsid w:val="00B27F45"/>
    <w:rsid w:val="00B50725"/>
    <w:rsid w:val="00B9588B"/>
    <w:rsid w:val="00BA1BF8"/>
    <w:rsid w:val="00BF3084"/>
    <w:rsid w:val="00C44720"/>
    <w:rsid w:val="00C61B45"/>
    <w:rsid w:val="00C81A68"/>
    <w:rsid w:val="00CA6F65"/>
    <w:rsid w:val="00CB5C44"/>
    <w:rsid w:val="00D03A4E"/>
    <w:rsid w:val="00D0417E"/>
    <w:rsid w:val="00D30820"/>
    <w:rsid w:val="00D44595"/>
    <w:rsid w:val="00D670A5"/>
    <w:rsid w:val="00D77E8C"/>
    <w:rsid w:val="00D81C2F"/>
    <w:rsid w:val="00DE60E4"/>
    <w:rsid w:val="00DE654B"/>
    <w:rsid w:val="00E33A73"/>
    <w:rsid w:val="00E6230F"/>
    <w:rsid w:val="00E64D51"/>
    <w:rsid w:val="00E919A3"/>
    <w:rsid w:val="00EC001E"/>
    <w:rsid w:val="00ED1327"/>
    <w:rsid w:val="00F578F5"/>
    <w:rsid w:val="00F6788B"/>
    <w:rsid w:val="00FB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4180A0"/>
  <w15:chartTrackingRefBased/>
  <w15:docId w15:val="{EA315A3E-93EA-4E4B-8893-67EA4F6C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81A68"/>
  </w:style>
  <w:style w:type="paragraph" w:styleId="FootnoteText">
    <w:name w:val="footnote text"/>
    <w:aliases w:val="fn,Footnote Text Char Char,Footnote Text Char Char Char"/>
    <w:basedOn w:val="Normal"/>
    <w:link w:val="FootnoteTextChar"/>
    <w:rsid w:val="00C81A68"/>
    <w:pPr>
      <w:spacing w:after="0" w:line="240" w:lineRule="auto"/>
    </w:pPr>
    <w:rPr>
      <w:rFonts w:ascii="Times New Roman" w:eastAsia="SimSun" w:hAnsi="Times New Roman" w:cs="Times New Roman"/>
      <w:sz w:val="20"/>
      <w:szCs w:val="20"/>
      <w:lang w:val="en-US"/>
    </w:rPr>
  </w:style>
  <w:style w:type="character" w:customStyle="1" w:styleId="FootnoteTextChar">
    <w:name w:val="Footnote Text Char"/>
    <w:aliases w:val="fn Char,Footnote Text Char Char Char1,Footnote Text Char Char Char Char"/>
    <w:basedOn w:val="DefaultParagraphFont"/>
    <w:link w:val="FootnoteText"/>
    <w:rsid w:val="00C81A68"/>
    <w:rPr>
      <w:rFonts w:ascii="Times New Roman" w:eastAsia="SimSun" w:hAnsi="Times New Roman" w:cs="Times New Roman"/>
      <w:sz w:val="20"/>
      <w:szCs w:val="20"/>
      <w:lang w:val="en-US"/>
    </w:rPr>
  </w:style>
  <w:style w:type="character" w:styleId="FootnoteReference">
    <w:name w:val="footnote reference"/>
    <w:rsid w:val="00C81A68"/>
    <w:rPr>
      <w:vertAlign w:val="superscript"/>
    </w:rPr>
  </w:style>
  <w:style w:type="paragraph" w:styleId="Footer">
    <w:name w:val="footer"/>
    <w:basedOn w:val="Normal"/>
    <w:link w:val="FooterChar"/>
    <w:uiPriority w:val="99"/>
    <w:unhideWhenUsed/>
    <w:rsid w:val="00C81A68"/>
    <w:pPr>
      <w:tabs>
        <w:tab w:val="center" w:pos="4513"/>
        <w:tab w:val="right" w:pos="9026"/>
      </w:tabs>
      <w:spacing w:after="0" w:line="240" w:lineRule="auto"/>
    </w:pPr>
    <w:rPr>
      <w:rFonts w:ascii="Calibri" w:eastAsia="Calibri" w:hAnsi="Calibri" w:cs="Arial"/>
      <w:sz w:val="20"/>
      <w:szCs w:val="20"/>
      <w:lang w:eastAsia="en-GB"/>
    </w:rPr>
  </w:style>
  <w:style w:type="character" w:customStyle="1" w:styleId="FooterChar">
    <w:name w:val="Footer Char"/>
    <w:basedOn w:val="DefaultParagraphFont"/>
    <w:link w:val="Footer"/>
    <w:uiPriority w:val="99"/>
    <w:rsid w:val="00C81A68"/>
    <w:rPr>
      <w:rFonts w:ascii="Calibri" w:eastAsia="Calibri" w:hAnsi="Calibri" w:cs="Arial"/>
      <w:sz w:val="20"/>
      <w:szCs w:val="20"/>
      <w:lang w:eastAsia="en-GB"/>
    </w:rPr>
  </w:style>
  <w:style w:type="paragraph" w:customStyle="1" w:styleId="EndNoteBibliography">
    <w:name w:val="EndNote Bibliography"/>
    <w:basedOn w:val="Normal"/>
    <w:link w:val="EndNoteBibliographyChar"/>
    <w:rsid w:val="00C81A68"/>
    <w:pPr>
      <w:spacing w:line="240" w:lineRule="auto"/>
    </w:pPr>
    <w:rPr>
      <w:rFonts w:ascii="Calibri" w:eastAsia="SimSun" w:hAnsi="Calibri" w:cs="Calibri"/>
      <w:lang w:val="en-US" w:eastAsia="zh-CN"/>
    </w:rPr>
  </w:style>
  <w:style w:type="character" w:customStyle="1" w:styleId="EndNoteBibliographyChar">
    <w:name w:val="EndNote Bibliography Char"/>
    <w:link w:val="EndNoteBibliography"/>
    <w:rsid w:val="00C81A68"/>
    <w:rPr>
      <w:rFonts w:ascii="Calibri" w:eastAsia="SimSun" w:hAnsi="Calibri" w:cs="Calibri"/>
      <w:lang w:val="en-US" w:eastAsia="zh-CN"/>
    </w:rPr>
  </w:style>
  <w:style w:type="character" w:styleId="CommentReference">
    <w:name w:val="annotation reference"/>
    <w:uiPriority w:val="99"/>
    <w:semiHidden/>
    <w:unhideWhenUsed/>
    <w:rsid w:val="00C81A68"/>
    <w:rPr>
      <w:sz w:val="16"/>
      <w:szCs w:val="16"/>
    </w:rPr>
  </w:style>
  <w:style w:type="paragraph" w:styleId="CommentText">
    <w:name w:val="annotation text"/>
    <w:basedOn w:val="Normal"/>
    <w:link w:val="CommentTextChar"/>
    <w:uiPriority w:val="99"/>
    <w:semiHidden/>
    <w:unhideWhenUsed/>
    <w:rsid w:val="00C81A6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81A68"/>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C81A68"/>
    <w:pPr>
      <w:tabs>
        <w:tab w:val="center" w:pos="4513"/>
        <w:tab w:val="right" w:pos="9026"/>
      </w:tabs>
      <w:spacing w:after="0" w:line="240" w:lineRule="auto"/>
    </w:pPr>
    <w:rPr>
      <w:rFonts w:ascii="Calibri" w:eastAsia="Calibri" w:hAnsi="Calibri" w:cs="Arial"/>
      <w:sz w:val="20"/>
      <w:szCs w:val="20"/>
      <w:lang w:eastAsia="en-GB"/>
    </w:rPr>
  </w:style>
  <w:style w:type="character" w:customStyle="1" w:styleId="HeaderChar">
    <w:name w:val="Header Char"/>
    <w:basedOn w:val="DefaultParagraphFont"/>
    <w:link w:val="Header"/>
    <w:uiPriority w:val="99"/>
    <w:rsid w:val="00C81A68"/>
    <w:rPr>
      <w:rFonts w:ascii="Calibri" w:eastAsia="Calibri" w:hAnsi="Calibri" w:cs="Arial"/>
      <w:sz w:val="20"/>
      <w:szCs w:val="20"/>
      <w:lang w:eastAsia="en-GB"/>
    </w:rPr>
  </w:style>
  <w:style w:type="paragraph" w:customStyle="1" w:styleId="Default">
    <w:name w:val="Default"/>
    <w:rsid w:val="00C81A68"/>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odyText">
    <w:name w:val="Body Text"/>
    <w:basedOn w:val="Normal"/>
    <w:link w:val="BodyTextChar"/>
    <w:uiPriority w:val="1"/>
    <w:qFormat/>
    <w:rsid w:val="00C81A68"/>
    <w:pPr>
      <w:spacing w:after="200" w:line="480" w:lineRule="auto"/>
      <w:jc w:val="both"/>
    </w:pPr>
    <w:rPr>
      <w:rFonts w:ascii="Times New Roman" w:eastAsia="SimSun" w:hAnsi="Times New Roman" w:cs="Times New Roman"/>
      <w:noProof/>
      <w:sz w:val="24"/>
      <w:lang w:val="en-US"/>
    </w:rPr>
  </w:style>
  <w:style w:type="character" w:customStyle="1" w:styleId="BodyTextChar">
    <w:name w:val="Body Text Char"/>
    <w:basedOn w:val="DefaultParagraphFont"/>
    <w:link w:val="BodyText"/>
    <w:uiPriority w:val="1"/>
    <w:rsid w:val="00C81A68"/>
    <w:rPr>
      <w:rFonts w:ascii="Times New Roman" w:eastAsia="SimSun" w:hAnsi="Times New Roman" w:cs="Times New Roman"/>
      <w:noProof/>
      <w:sz w:val="24"/>
      <w:lang w:val="en-US"/>
    </w:rPr>
  </w:style>
  <w:style w:type="paragraph" w:styleId="BalloonText">
    <w:name w:val="Balloon Text"/>
    <w:basedOn w:val="Normal"/>
    <w:link w:val="BalloonTextChar"/>
    <w:uiPriority w:val="99"/>
    <w:semiHidden/>
    <w:unhideWhenUsed/>
    <w:rsid w:val="00C81A68"/>
    <w:pPr>
      <w:spacing w:after="0" w:line="240" w:lineRule="auto"/>
    </w:pPr>
    <w:rPr>
      <w:rFonts w:ascii="Segoe UI" w:eastAsia="Calibri" w:hAnsi="Segoe UI" w:cs="Segoe UI"/>
      <w:sz w:val="18"/>
      <w:szCs w:val="18"/>
      <w:lang w:eastAsia="en-GB"/>
    </w:rPr>
  </w:style>
  <w:style w:type="character" w:customStyle="1" w:styleId="BalloonTextChar">
    <w:name w:val="Balloon Text Char"/>
    <w:basedOn w:val="DefaultParagraphFont"/>
    <w:link w:val="BalloonText"/>
    <w:uiPriority w:val="99"/>
    <w:semiHidden/>
    <w:rsid w:val="00C81A68"/>
    <w:rPr>
      <w:rFonts w:ascii="Segoe UI" w:eastAsia="Calibr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81A68"/>
    <w:rPr>
      <w:rFonts w:ascii="Calibri" w:eastAsia="Calibri" w:hAnsi="Calibri" w:cs="Arial"/>
      <w:b/>
      <w:bCs/>
      <w:lang w:val="en-GB" w:eastAsia="en-GB"/>
    </w:rPr>
  </w:style>
  <w:style w:type="character" w:customStyle="1" w:styleId="CommentSubjectChar">
    <w:name w:val="Comment Subject Char"/>
    <w:basedOn w:val="CommentTextChar"/>
    <w:link w:val="CommentSubject"/>
    <w:uiPriority w:val="99"/>
    <w:semiHidden/>
    <w:rsid w:val="00C81A68"/>
    <w:rPr>
      <w:rFonts w:ascii="Calibri" w:eastAsia="Calibri" w:hAnsi="Calibri" w:cs="Arial"/>
      <w:b/>
      <w:bCs/>
      <w:sz w:val="20"/>
      <w:szCs w:val="20"/>
      <w:lang w:val="en-US" w:eastAsia="en-GB"/>
    </w:rPr>
  </w:style>
  <w:style w:type="character" w:styleId="Hyperlink">
    <w:name w:val="Hyperlink"/>
    <w:uiPriority w:val="99"/>
    <w:unhideWhenUsed/>
    <w:rsid w:val="00C81A68"/>
    <w:rPr>
      <w:color w:val="0563C1"/>
      <w:u w:val="single"/>
    </w:rPr>
  </w:style>
  <w:style w:type="table" w:styleId="TableGrid">
    <w:name w:val="Table Grid"/>
    <w:basedOn w:val="TableNormal"/>
    <w:uiPriority w:val="39"/>
    <w:rsid w:val="00C81A6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C81A68"/>
    <w:pPr>
      <w:widowControl w:val="0"/>
      <w:autoSpaceDE w:val="0"/>
      <w:autoSpaceDN w:val="0"/>
      <w:spacing w:after="0" w:line="457" w:lineRule="exact"/>
      <w:ind w:right="1" w:firstLine="284"/>
      <w:contextualSpacing/>
      <w:jc w:val="center"/>
    </w:pPr>
    <w:rPr>
      <w:rFonts w:ascii="LM Roman 12" w:eastAsia="LM Roman 12" w:hAnsi="LM Roman 12" w:cs="LM Roman 12"/>
      <w:b/>
      <w:bCs/>
      <w:sz w:val="34"/>
      <w:szCs w:val="34"/>
      <w:lang w:val="en-US"/>
    </w:rPr>
  </w:style>
  <w:style w:type="character" w:customStyle="1" w:styleId="TitleChar">
    <w:name w:val="Title Char"/>
    <w:basedOn w:val="DefaultParagraphFont"/>
    <w:link w:val="Title"/>
    <w:uiPriority w:val="1"/>
    <w:rsid w:val="00C81A68"/>
    <w:rPr>
      <w:rFonts w:ascii="LM Roman 12" w:eastAsia="LM Roman 12" w:hAnsi="LM Roman 12" w:cs="LM Roman 12"/>
      <w:b/>
      <w:bCs/>
      <w:sz w:val="34"/>
      <w:szCs w:val="34"/>
      <w:lang w:val="en-US"/>
    </w:rPr>
  </w:style>
  <w:style w:type="paragraph" w:styleId="ListParagraph">
    <w:name w:val="List Paragraph"/>
    <w:basedOn w:val="Normal"/>
    <w:uiPriority w:val="34"/>
    <w:qFormat/>
    <w:rsid w:val="00C81A68"/>
    <w:pPr>
      <w:spacing w:after="0" w:line="240" w:lineRule="auto"/>
      <w:ind w:left="720"/>
      <w:contextualSpacing/>
    </w:pPr>
    <w:rPr>
      <w:rFonts w:ascii="Calibri" w:eastAsia="Calibri" w:hAnsi="Calibri" w:cs="Arial"/>
      <w:sz w:val="20"/>
      <w:szCs w:val="20"/>
      <w:lang w:eastAsia="en-GB"/>
    </w:rPr>
  </w:style>
  <w:style w:type="character" w:customStyle="1" w:styleId="text">
    <w:name w:val="text"/>
    <w:rsid w:val="00C81A68"/>
  </w:style>
  <w:style w:type="character" w:styleId="UnresolvedMention">
    <w:name w:val="Unresolved Mention"/>
    <w:basedOn w:val="DefaultParagraphFont"/>
    <w:uiPriority w:val="99"/>
    <w:semiHidden/>
    <w:unhideWhenUsed/>
    <w:rsid w:val="00DE6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fineco.2009.02.003" TargetMode="External"/><Relationship Id="rId18" Type="http://schemas.openxmlformats.org/officeDocument/2006/relationships/hyperlink" Target="https://www.jstor.org/stable/41790634" TargetMode="External"/><Relationship Id="rId26" Type="http://schemas.openxmlformats.org/officeDocument/2006/relationships/hyperlink" Target="https://doi.org/10.1093/jleo/ewp033" TargetMode="External"/><Relationship Id="rId39" Type="http://schemas.openxmlformats.org/officeDocument/2006/relationships/hyperlink" Target="https://doi.org/10.1016/j.jacceco.2004.11.002" TargetMode="External"/><Relationship Id="rId21" Type="http://schemas.openxmlformats.org/officeDocument/2006/relationships/hyperlink" Target="https://doi.org/10.2308/accr.2008.83.1.61" TargetMode="External"/><Relationship Id="rId34" Type="http://schemas.openxmlformats.org/officeDocument/2006/relationships/hyperlink" Target="https://www.sciencedirect.com/science/article/pii/S0304405X1100033X" TargetMode="External"/><Relationship Id="rId42" Type="http://schemas.openxmlformats.org/officeDocument/2006/relationships/hyperlink" Target="https://doi.org/10.1111/1475-679X.12081" TargetMode="External"/><Relationship Id="rId47" Type="http://schemas.openxmlformats.org/officeDocument/2006/relationships/hyperlink" Target="http://www.aaajournals.org/doi/abs/10.2308/accr.2009.84.3.969?code=aaan-site" TargetMode="External"/><Relationship Id="rId50"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2308/jata.2011.33.1.51" TargetMode="External"/><Relationship Id="rId29" Type="http://schemas.openxmlformats.org/officeDocument/2006/relationships/hyperlink" Target="https://doi.org/10.1111/jofi.12120" TargetMode="External"/><Relationship Id="rId11" Type="http://schemas.openxmlformats.org/officeDocument/2006/relationships/hyperlink" Target="https://doi.org/10.1506/car.26.1.1" TargetMode="External"/><Relationship Id="rId24" Type="http://schemas.openxmlformats.org/officeDocument/2006/relationships/hyperlink" Target="https://doi.org/10.1016/j.jacceco.2014.09.005" TargetMode="External"/><Relationship Id="rId32" Type="http://schemas.openxmlformats.org/officeDocument/2006/relationships/hyperlink" Target="https://doi.org/10.1111/1911-3846.12601" TargetMode="External"/><Relationship Id="rId37" Type="http://schemas.openxmlformats.org/officeDocument/2006/relationships/hyperlink" Target="https://doi.org/10.1093/rfs/hhaa103" TargetMode="External"/><Relationship Id="rId40" Type="http://schemas.openxmlformats.org/officeDocument/2006/relationships/hyperlink" Target="https://doi.org/10.2308/accr-50883" TargetMode="External"/><Relationship Id="rId45" Type="http://schemas.openxmlformats.org/officeDocument/2006/relationships/hyperlink" Target="https://dx.doi.org/10.2139/ssrn.3273200" TargetMode="External"/><Relationship Id="rId5" Type="http://schemas.openxmlformats.org/officeDocument/2006/relationships/footnotes" Target="footnotes.xml"/><Relationship Id="rId15" Type="http://schemas.openxmlformats.org/officeDocument/2006/relationships/hyperlink" Target="https://doi.org/10.1287/mnsc.2020.3707" TargetMode="External"/><Relationship Id="rId23" Type="http://schemas.openxmlformats.org/officeDocument/2006/relationships/hyperlink" Target="https://doi.org/10.2308/accr-51282" TargetMode="External"/><Relationship Id="rId28" Type="http://schemas.openxmlformats.org/officeDocument/2006/relationships/hyperlink" Target="https://doi.org/10.2308/accr-50678" TargetMode="External"/><Relationship Id="rId36" Type="http://schemas.openxmlformats.org/officeDocument/2006/relationships/hyperlink" Target="https://doi.org/10.2308/tar-2017-0425" TargetMode="External"/><Relationship Id="rId49" Type="http://schemas.openxmlformats.org/officeDocument/2006/relationships/fontTable" Target="fontTable.xml"/><Relationship Id="rId10" Type="http://schemas.openxmlformats.org/officeDocument/2006/relationships/hyperlink" Target="https://doi.org/10.2308/accr-52314" TargetMode="External"/><Relationship Id="rId19" Type="http://schemas.openxmlformats.org/officeDocument/2006/relationships/hyperlink" Target="http://www.aaajournals.org/doi/abs/10.2308/accr.2008.83.1.61?code=aaan-site" TargetMode="External"/><Relationship Id="rId31" Type="http://schemas.openxmlformats.org/officeDocument/2006/relationships/hyperlink" Target="https://openscholarship.wustl.edu/law_lawreview/vol78/iss1/7" TargetMode="External"/><Relationship Id="rId44" Type="http://schemas.openxmlformats.org/officeDocument/2006/relationships/hyperlink" Target="https://doi.org/10.1111/1475-679X.12187"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doi.org/10.1017/S0022109017000576" TargetMode="External"/><Relationship Id="rId22" Type="http://schemas.openxmlformats.org/officeDocument/2006/relationships/hyperlink" Target="https://dx.doi.org/10.2139/ssrn.3070239" TargetMode="External"/><Relationship Id="rId27" Type="http://schemas.openxmlformats.org/officeDocument/2006/relationships/hyperlink" Target="http://www.aaajournals.org/doi/abs/10.2308/accr-50678?code=aaan-site" TargetMode="External"/><Relationship Id="rId30" Type="http://schemas.openxmlformats.org/officeDocument/2006/relationships/hyperlink" Target="https://doi.org/10.1016/j.jacceco.2010.09.002" TargetMode="External"/><Relationship Id="rId35" Type="http://schemas.openxmlformats.org/officeDocument/2006/relationships/hyperlink" Target="https://doi.org/10.1016/j.jfineco.2010.07.007" TargetMode="External"/><Relationship Id="rId43" Type="http://schemas.openxmlformats.org/officeDocument/2006/relationships/hyperlink" Target="https://doi.org/10.1111/joar.12002" TargetMode="External"/><Relationship Id="rId48" Type="http://schemas.openxmlformats.org/officeDocument/2006/relationships/hyperlink" Target="https://doi.org/10.1016/j.jfineco.2010.07.007" TargetMode="Externa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https://doi.org/10.2308/accr-52130" TargetMode="External"/><Relationship Id="rId17" Type="http://schemas.openxmlformats.org/officeDocument/2006/relationships/hyperlink" Target="https://doi.org/10.1016/j.jfineco.2005.02.002" TargetMode="External"/><Relationship Id="rId25" Type="http://schemas.openxmlformats.org/officeDocument/2006/relationships/hyperlink" Target="https://doi.org/10.1016/j.jacceco.2015.02.001" TargetMode="External"/><Relationship Id="rId33" Type="http://schemas.openxmlformats.org/officeDocument/2006/relationships/hyperlink" Target="https://doi.org/10.1111/1911-3846.12449" TargetMode="External"/><Relationship Id="rId38" Type="http://schemas.openxmlformats.org/officeDocument/2006/relationships/hyperlink" Target="https://doi.org/10.1016/j.jfineco.2018.02.008" TargetMode="External"/><Relationship Id="rId46" Type="http://schemas.openxmlformats.org/officeDocument/2006/relationships/hyperlink" Target="https://dx.doi.org/10.2139/ssrn.2184892" TargetMode="External"/><Relationship Id="rId20" Type="http://schemas.openxmlformats.org/officeDocument/2006/relationships/hyperlink" Target="http://www.aaajournals.org/doi/abs/10.2308/accr.2008.83.1.61?code=aaan-site" TargetMode="External"/><Relationship Id="rId41" Type="http://schemas.openxmlformats.org/officeDocument/2006/relationships/hyperlink" Target="https://onlinelibrary.wiley.com/doi/epdf/10.1111/1475-679X.1208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40</Pages>
  <Words>12886</Words>
  <Characters>73453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Ziyang</dc:creator>
  <cp:keywords/>
  <dc:description/>
  <cp:lastModifiedBy>Zhang, Ziyang</cp:lastModifiedBy>
  <cp:revision>54</cp:revision>
  <dcterms:created xsi:type="dcterms:W3CDTF">2021-01-08T17:16:00Z</dcterms:created>
  <dcterms:modified xsi:type="dcterms:W3CDTF">2021-01-10T20:53:00Z</dcterms:modified>
</cp:coreProperties>
</file>