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B4508" w14:textId="77777777" w:rsidR="00CA2320" w:rsidRDefault="00CA2320">
      <w:pPr>
        <w:widowControl w:val="0"/>
        <w:spacing w:before="231" w:line="224" w:lineRule="auto"/>
        <w:rPr>
          <w:rFonts w:ascii="Times" w:eastAsia="Times" w:hAnsi="Times" w:cs="Times"/>
          <w:b/>
          <w:sz w:val="48"/>
          <w:szCs w:val="48"/>
        </w:rPr>
      </w:pPr>
    </w:p>
    <w:p w14:paraId="57441BA5" w14:textId="77777777" w:rsidR="00CA2320" w:rsidRDefault="00CA2320">
      <w:pPr>
        <w:widowControl w:val="0"/>
        <w:spacing w:before="231" w:line="224" w:lineRule="auto"/>
        <w:ind w:left="1700"/>
        <w:rPr>
          <w:rFonts w:ascii="Times" w:eastAsia="Times" w:hAnsi="Times" w:cs="Times"/>
          <w:b/>
        </w:rPr>
      </w:pPr>
    </w:p>
    <w:tbl>
      <w:tblPr>
        <w:tblStyle w:val="a"/>
        <w:tblW w:w="8760" w:type="dxa"/>
        <w:tblInd w:w="1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60"/>
      </w:tblGrid>
      <w:tr w:rsidR="00CA2320" w14:paraId="011355E7" w14:textId="77777777">
        <w:trPr>
          <w:trHeight w:val="2310"/>
        </w:trPr>
        <w:tc>
          <w:tcPr>
            <w:tcW w:w="8760" w:type="dxa"/>
            <w:shd w:val="clear" w:color="auto" w:fill="auto"/>
            <w:tcMar>
              <w:top w:w="100" w:type="dxa"/>
              <w:left w:w="100" w:type="dxa"/>
              <w:bottom w:w="100" w:type="dxa"/>
              <w:right w:w="100" w:type="dxa"/>
            </w:tcMar>
          </w:tcPr>
          <w:p w14:paraId="6AE57DAD" w14:textId="77777777" w:rsidR="00CA2320" w:rsidRDefault="00713283">
            <w:pPr>
              <w:widowControl w:val="0"/>
              <w:spacing w:before="231" w:line="224" w:lineRule="auto"/>
              <w:rPr>
                <w:rFonts w:ascii="Times" w:eastAsia="Times" w:hAnsi="Times" w:cs="Times"/>
                <w:b/>
                <w:i/>
                <w:color w:val="EFEFEF"/>
              </w:rPr>
            </w:pPr>
            <w:r>
              <w:rPr>
                <w:rFonts w:ascii="Times" w:eastAsia="Times" w:hAnsi="Times" w:cs="Times"/>
                <w:b/>
                <w:i/>
              </w:rPr>
              <w:t xml:space="preserve">Note: This </w:t>
            </w:r>
            <w:proofErr w:type="gramStart"/>
            <w:r>
              <w:rPr>
                <w:rFonts w:ascii="Times" w:eastAsia="Times" w:hAnsi="Times" w:cs="Times"/>
                <w:b/>
                <w:i/>
              </w:rPr>
              <w:t>is  an</w:t>
            </w:r>
            <w:proofErr w:type="gramEnd"/>
            <w:r>
              <w:rPr>
                <w:rFonts w:ascii="Times" w:eastAsia="Times" w:hAnsi="Times" w:cs="Times"/>
                <w:b/>
                <w:i/>
              </w:rPr>
              <w:t xml:space="preserve"> Accepted Manuscript version of the final published paper - so does not include some final publisher copy edits, corrections and formatting changes. This version is made available under a </w:t>
            </w:r>
            <w:hyperlink r:id="rId6">
              <w:r>
                <w:rPr>
                  <w:rFonts w:ascii="Times" w:eastAsia="Times" w:hAnsi="Times" w:cs="Times"/>
                  <w:b/>
                  <w:i/>
                  <w:color w:val="1155CC"/>
                  <w:u w:val="single"/>
                </w:rPr>
                <w:t>creative commons BY-NC-SA license</w:t>
              </w:r>
            </w:hyperlink>
            <w:r>
              <w:rPr>
                <w:rFonts w:ascii="Times" w:eastAsia="Times" w:hAnsi="Times" w:cs="Times"/>
                <w:b/>
                <w:i/>
              </w:rPr>
              <w:t xml:space="preserve">. </w:t>
            </w:r>
            <w:r>
              <w:rPr>
                <w:rFonts w:ascii="Times" w:eastAsia="Times" w:hAnsi="Times" w:cs="Times"/>
                <w:b/>
                <w:i/>
              </w:rPr>
              <w:br/>
            </w:r>
            <w:r>
              <w:rPr>
                <w:rFonts w:ascii="Times" w:eastAsia="Times" w:hAnsi="Times" w:cs="Times"/>
                <w:b/>
                <w:i/>
              </w:rPr>
              <w:br/>
              <w:t xml:space="preserve">Please see the final published paper here, and use this </w:t>
            </w:r>
            <w:proofErr w:type="spellStart"/>
            <w:r>
              <w:rPr>
                <w:rFonts w:ascii="Times" w:eastAsia="Times" w:hAnsi="Times" w:cs="Times"/>
                <w:b/>
                <w:i/>
              </w:rPr>
              <w:t>veriosn</w:t>
            </w:r>
            <w:proofErr w:type="spellEnd"/>
            <w:r>
              <w:rPr>
                <w:rFonts w:ascii="Times" w:eastAsia="Times" w:hAnsi="Times" w:cs="Times"/>
                <w:b/>
                <w:i/>
              </w:rPr>
              <w:t xml:space="preserve"> for referencing or quotation </w:t>
            </w:r>
            <w:hyperlink r:id="rId7">
              <w:r>
                <w:rPr>
                  <w:rFonts w:ascii="Times" w:eastAsia="Times" w:hAnsi="Times" w:cs="Times"/>
                  <w:b/>
                  <w:i/>
                  <w:color w:val="1155CC"/>
                  <w:u w:val="single"/>
                </w:rPr>
                <w:t>https://www.scienced</w:t>
              </w:r>
              <w:r>
                <w:rPr>
                  <w:rFonts w:ascii="Times" w:eastAsia="Times" w:hAnsi="Times" w:cs="Times"/>
                  <w:b/>
                  <w:i/>
                  <w:color w:val="1155CC"/>
                  <w:u w:val="single"/>
                </w:rPr>
                <w:t>irect.com/science/article/pii/S0955395921000785</w:t>
              </w:r>
            </w:hyperlink>
            <w:r>
              <w:rPr>
                <w:rFonts w:ascii="Times" w:eastAsia="Times" w:hAnsi="Times" w:cs="Times"/>
                <w:b/>
                <w:i/>
              </w:rPr>
              <w:t xml:space="preserve">   </w:t>
            </w:r>
          </w:p>
        </w:tc>
      </w:tr>
    </w:tbl>
    <w:p w14:paraId="5DD342BA" w14:textId="77777777" w:rsidR="00CA2320" w:rsidRDefault="00CA2320">
      <w:pPr>
        <w:widowControl w:val="0"/>
        <w:spacing w:before="231" w:line="224" w:lineRule="auto"/>
        <w:rPr>
          <w:rFonts w:ascii="Times" w:eastAsia="Times" w:hAnsi="Times" w:cs="Times"/>
          <w:b/>
        </w:rPr>
      </w:pPr>
    </w:p>
    <w:p w14:paraId="0CB3C22D" w14:textId="77777777" w:rsidR="00CA2320" w:rsidRDefault="00713283">
      <w:pPr>
        <w:widowControl w:val="0"/>
        <w:spacing w:before="231" w:line="224" w:lineRule="auto"/>
        <w:ind w:firstLine="1700"/>
        <w:rPr>
          <w:rFonts w:ascii="Times" w:eastAsia="Times" w:hAnsi="Times" w:cs="Times"/>
          <w:b/>
          <w:sz w:val="48"/>
          <w:szCs w:val="48"/>
        </w:rPr>
      </w:pPr>
      <w:r>
        <w:rPr>
          <w:rFonts w:ascii="Times" w:eastAsia="Times" w:hAnsi="Times" w:cs="Times"/>
          <w:b/>
          <w:sz w:val="48"/>
          <w:szCs w:val="48"/>
        </w:rPr>
        <w:t xml:space="preserve">A Multi Criteria Decision Analysis  </w:t>
      </w:r>
    </w:p>
    <w:p w14:paraId="672CE6CD" w14:textId="77777777" w:rsidR="00CA2320" w:rsidRDefault="00713283">
      <w:pPr>
        <w:widowControl w:val="0"/>
        <w:pBdr>
          <w:top w:val="nil"/>
          <w:left w:val="nil"/>
          <w:bottom w:val="nil"/>
          <w:right w:val="nil"/>
          <w:between w:val="nil"/>
        </w:pBdr>
        <w:spacing w:line="229" w:lineRule="auto"/>
        <w:ind w:left="1708" w:right="969" w:firstLine="8"/>
        <w:rPr>
          <w:rFonts w:ascii="Times" w:eastAsia="Times" w:hAnsi="Times" w:cs="Times"/>
          <w:b/>
          <w:color w:val="000000"/>
          <w:sz w:val="48"/>
          <w:szCs w:val="48"/>
        </w:rPr>
      </w:pPr>
      <w:r>
        <w:rPr>
          <w:rFonts w:ascii="Times" w:eastAsia="Times" w:hAnsi="Times" w:cs="Times"/>
          <w:b/>
          <w:sz w:val="48"/>
          <w:szCs w:val="48"/>
        </w:rPr>
        <w:t xml:space="preserve">(MCDA) for evaluating and </w:t>
      </w:r>
      <w:proofErr w:type="gramStart"/>
      <w:r>
        <w:rPr>
          <w:rFonts w:ascii="Times" w:eastAsia="Times" w:hAnsi="Times" w:cs="Times"/>
          <w:b/>
          <w:sz w:val="48"/>
          <w:szCs w:val="48"/>
        </w:rPr>
        <w:t>appraising  government</w:t>
      </w:r>
      <w:proofErr w:type="gramEnd"/>
      <w:r>
        <w:rPr>
          <w:rFonts w:ascii="Times" w:eastAsia="Times" w:hAnsi="Times" w:cs="Times"/>
          <w:b/>
          <w:sz w:val="48"/>
          <w:szCs w:val="48"/>
        </w:rPr>
        <w:t xml:space="preserve"> policy responses </w:t>
      </w:r>
      <w:r>
        <w:rPr>
          <w:rFonts w:ascii="Times" w:eastAsia="Times" w:hAnsi="Times" w:cs="Times"/>
          <w:b/>
          <w:color w:val="000000"/>
          <w:sz w:val="48"/>
          <w:szCs w:val="48"/>
        </w:rPr>
        <w:t xml:space="preserve">to non </w:t>
      </w:r>
    </w:p>
    <w:p w14:paraId="409F37FD" w14:textId="77777777" w:rsidR="00CA2320" w:rsidRDefault="00713283">
      <w:pPr>
        <w:widowControl w:val="0"/>
        <w:pBdr>
          <w:top w:val="nil"/>
          <w:left w:val="nil"/>
          <w:bottom w:val="nil"/>
          <w:right w:val="nil"/>
          <w:between w:val="nil"/>
        </w:pBdr>
        <w:spacing w:before="12" w:line="240" w:lineRule="auto"/>
        <w:ind w:left="1702"/>
        <w:rPr>
          <w:rFonts w:ascii="Times" w:eastAsia="Times" w:hAnsi="Times" w:cs="Times"/>
          <w:b/>
          <w:color w:val="000000"/>
          <w:sz w:val="48"/>
          <w:szCs w:val="48"/>
        </w:rPr>
      </w:pPr>
      <w:r>
        <w:rPr>
          <w:rFonts w:ascii="Times" w:eastAsia="Times" w:hAnsi="Times" w:cs="Times"/>
          <w:b/>
          <w:color w:val="000000"/>
          <w:sz w:val="48"/>
          <w:szCs w:val="48"/>
        </w:rPr>
        <w:t xml:space="preserve">medical heroin use  </w:t>
      </w:r>
    </w:p>
    <w:p w14:paraId="3733C5DE" w14:textId="531DCB1D" w:rsidR="00CA2320" w:rsidRDefault="00713283">
      <w:pPr>
        <w:widowControl w:val="0"/>
        <w:pBdr>
          <w:top w:val="nil"/>
          <w:left w:val="nil"/>
          <w:bottom w:val="nil"/>
          <w:right w:val="nil"/>
          <w:between w:val="nil"/>
        </w:pBdr>
        <w:spacing w:before="565" w:line="233" w:lineRule="auto"/>
        <w:ind w:left="1716" w:right="1269" w:hanging="7"/>
        <w:rPr>
          <w:rFonts w:ascii="Cambria" w:eastAsia="Cambria" w:hAnsi="Cambria" w:cs="Cambria"/>
          <w:color w:val="000000"/>
          <w:sz w:val="24"/>
          <w:szCs w:val="24"/>
        </w:rPr>
      </w:pPr>
      <w:r>
        <w:rPr>
          <w:rFonts w:ascii="Cambria" w:eastAsia="Cambria" w:hAnsi="Cambria" w:cs="Cambria"/>
          <w:color w:val="000000"/>
          <w:sz w:val="24"/>
          <w:szCs w:val="24"/>
        </w:rPr>
        <w:t>Steve Rolles., Senior Policy Analyst, T</w:t>
      </w:r>
      <w:r>
        <w:rPr>
          <w:rFonts w:ascii="Cambria" w:eastAsia="Cambria" w:hAnsi="Cambria" w:cs="Cambria"/>
          <w:sz w:val="24"/>
          <w:szCs w:val="24"/>
        </w:rPr>
        <w:t>ransform Drug Policy Foundation</w:t>
      </w:r>
      <w:r>
        <w:rPr>
          <w:rFonts w:ascii="Cambria" w:eastAsia="Cambria" w:hAnsi="Cambria" w:cs="Cambria"/>
          <w:color w:val="000000"/>
          <w:sz w:val="24"/>
          <w:szCs w:val="24"/>
        </w:rPr>
        <w:t xml:space="preserve">. </w:t>
      </w:r>
      <w:hyperlink r:id="rId8" w:history="1">
        <w:r w:rsidR="00941BA8" w:rsidRPr="00822A3D">
          <w:rPr>
            <w:rStyle w:val="Hyperlink"/>
            <w:rFonts w:ascii="Cambria" w:eastAsia="Cambria" w:hAnsi="Cambria" w:cs="Cambria"/>
            <w:sz w:val="24"/>
            <w:szCs w:val="24"/>
            <w:highlight w:val="white"/>
          </w:rPr>
          <w:t>steve@transformdrugs.org</w:t>
        </w:r>
      </w:hyperlink>
      <w:r w:rsidR="00941BA8">
        <w:rPr>
          <w:rFonts w:ascii="Cambria" w:eastAsia="Cambria" w:hAnsi="Cambria" w:cs="Cambria"/>
          <w:color w:val="000000"/>
          <w:sz w:val="24"/>
          <w:szCs w:val="24"/>
          <w:u w:val="single"/>
        </w:rPr>
        <w:t xml:space="preserve"> </w:t>
      </w:r>
      <w:r>
        <w:rPr>
          <w:rFonts w:ascii="Cambria" w:eastAsia="Cambria" w:hAnsi="Cambria" w:cs="Cambria"/>
          <w:color w:val="000000"/>
          <w:sz w:val="24"/>
          <w:szCs w:val="24"/>
          <w:highlight w:val="white"/>
        </w:rPr>
        <w:t xml:space="preserve">(Corresponding author) </w:t>
      </w:r>
      <w:r>
        <w:rPr>
          <w:rFonts w:ascii="Cambria" w:eastAsia="Cambria" w:hAnsi="Cambria" w:cs="Cambria"/>
          <w:color w:val="000000"/>
          <w:sz w:val="24"/>
          <w:szCs w:val="24"/>
        </w:rPr>
        <w:t xml:space="preserve"> </w:t>
      </w:r>
    </w:p>
    <w:p w14:paraId="583AB122" w14:textId="77777777" w:rsidR="00CA2320" w:rsidRDefault="00713283">
      <w:pPr>
        <w:widowControl w:val="0"/>
        <w:pBdr>
          <w:top w:val="nil"/>
          <w:left w:val="nil"/>
          <w:bottom w:val="nil"/>
          <w:right w:val="nil"/>
          <w:between w:val="nil"/>
        </w:pBdr>
        <w:spacing w:before="290" w:line="240" w:lineRule="auto"/>
        <w:ind w:left="1709"/>
        <w:rPr>
          <w:rFonts w:ascii="Cambria" w:eastAsia="Cambria" w:hAnsi="Cambria" w:cs="Cambria"/>
          <w:color w:val="000000"/>
          <w:sz w:val="24"/>
          <w:szCs w:val="24"/>
        </w:rPr>
      </w:pPr>
      <w:r>
        <w:rPr>
          <w:rFonts w:ascii="Cambria" w:eastAsia="Cambria" w:hAnsi="Cambria" w:cs="Cambria"/>
          <w:color w:val="000000"/>
          <w:sz w:val="24"/>
          <w:szCs w:val="24"/>
        </w:rPr>
        <w:t xml:space="preserve">Dr Anne Katrin </w:t>
      </w:r>
      <w:proofErr w:type="spellStart"/>
      <w:r>
        <w:rPr>
          <w:rFonts w:ascii="Cambria" w:eastAsia="Cambria" w:hAnsi="Cambria" w:cs="Cambria"/>
          <w:color w:val="000000"/>
          <w:sz w:val="24"/>
          <w:szCs w:val="24"/>
        </w:rPr>
        <w:t>Schlag</w:t>
      </w:r>
      <w:proofErr w:type="spellEnd"/>
      <w:r>
        <w:rPr>
          <w:rFonts w:ascii="Cambria" w:eastAsia="Cambria" w:hAnsi="Cambria" w:cs="Cambria"/>
          <w:color w:val="000000"/>
          <w:sz w:val="24"/>
          <w:szCs w:val="24"/>
        </w:rPr>
        <w:t xml:space="preserve">, Head of Research, Drug Science.  </w:t>
      </w:r>
    </w:p>
    <w:p w14:paraId="5EAA5D3C" w14:textId="7B8B04FC" w:rsidR="00CA2320" w:rsidRDefault="00941BA8">
      <w:pPr>
        <w:widowControl w:val="0"/>
        <w:pBdr>
          <w:top w:val="nil"/>
          <w:left w:val="nil"/>
          <w:bottom w:val="nil"/>
          <w:right w:val="nil"/>
          <w:between w:val="nil"/>
        </w:pBdr>
        <w:spacing w:line="240" w:lineRule="auto"/>
        <w:ind w:left="1695"/>
        <w:rPr>
          <w:rFonts w:ascii="Cambria" w:eastAsia="Cambria" w:hAnsi="Cambria" w:cs="Cambria"/>
          <w:color w:val="000000"/>
          <w:sz w:val="24"/>
          <w:szCs w:val="24"/>
        </w:rPr>
      </w:pPr>
      <w:hyperlink r:id="rId9" w:history="1">
        <w:r w:rsidRPr="00822A3D">
          <w:rPr>
            <w:rStyle w:val="Hyperlink"/>
            <w:rFonts w:ascii="Cambria" w:eastAsia="Cambria" w:hAnsi="Cambria" w:cs="Cambria"/>
            <w:sz w:val="24"/>
            <w:szCs w:val="24"/>
          </w:rPr>
          <w:t>Anne.schlag@drugscience.org.uk</w:t>
        </w:r>
      </w:hyperlink>
      <w:r>
        <w:rPr>
          <w:rFonts w:ascii="Cambria" w:eastAsia="Cambria" w:hAnsi="Cambria" w:cs="Cambria"/>
          <w:color w:val="000000"/>
          <w:sz w:val="24"/>
          <w:szCs w:val="24"/>
          <w:u w:val="single"/>
        </w:rPr>
        <w:t xml:space="preserve"> </w:t>
      </w:r>
    </w:p>
    <w:p w14:paraId="48C7B89D" w14:textId="7D452B60" w:rsidR="00CA2320" w:rsidRDefault="00713283">
      <w:pPr>
        <w:widowControl w:val="0"/>
        <w:pBdr>
          <w:top w:val="nil"/>
          <w:left w:val="nil"/>
          <w:bottom w:val="nil"/>
          <w:right w:val="nil"/>
          <w:between w:val="nil"/>
        </w:pBdr>
        <w:spacing w:before="282" w:line="235" w:lineRule="auto"/>
        <w:ind w:left="1709" w:right="1418"/>
        <w:rPr>
          <w:rFonts w:ascii="Cambria" w:eastAsia="Cambria" w:hAnsi="Cambria" w:cs="Cambria"/>
          <w:color w:val="000000"/>
          <w:sz w:val="24"/>
          <w:szCs w:val="24"/>
        </w:rPr>
      </w:pPr>
      <w:r>
        <w:rPr>
          <w:rFonts w:ascii="Cambria" w:eastAsia="Cambria" w:hAnsi="Cambria" w:cs="Cambria"/>
          <w:color w:val="000000"/>
          <w:sz w:val="24"/>
          <w:szCs w:val="24"/>
        </w:rPr>
        <w:t>Prof Fiona Measham</w:t>
      </w:r>
      <w:r>
        <w:rPr>
          <w:rFonts w:ascii="Cambria" w:eastAsia="Cambria" w:hAnsi="Cambria" w:cs="Cambria"/>
          <w:color w:val="000000"/>
          <w:sz w:val="24"/>
          <w:szCs w:val="24"/>
          <w:highlight w:val="white"/>
        </w:rPr>
        <w:t xml:space="preserve">, </w:t>
      </w:r>
      <w:r w:rsidR="00941BA8">
        <w:rPr>
          <w:rFonts w:ascii="Cambria" w:eastAsia="Cambria" w:hAnsi="Cambria" w:cs="Cambria"/>
          <w:color w:val="000000"/>
          <w:sz w:val="24"/>
          <w:szCs w:val="24"/>
          <w:highlight w:val="white"/>
        </w:rPr>
        <w:t xml:space="preserve">Dept of </w:t>
      </w:r>
      <w:r>
        <w:rPr>
          <w:rFonts w:ascii="Cambria" w:eastAsia="Cambria" w:hAnsi="Cambria" w:cs="Cambria"/>
          <w:color w:val="000000"/>
          <w:sz w:val="24"/>
          <w:szCs w:val="24"/>
          <w:highlight w:val="white"/>
        </w:rPr>
        <w:t xml:space="preserve">Social Policy and Criminology, University </w:t>
      </w:r>
      <w:proofErr w:type="gramStart"/>
      <w:r>
        <w:rPr>
          <w:rFonts w:ascii="Cambria" w:eastAsia="Cambria" w:hAnsi="Cambria" w:cs="Cambria"/>
          <w:color w:val="000000"/>
          <w:sz w:val="24"/>
          <w:szCs w:val="24"/>
          <w:highlight w:val="white"/>
        </w:rPr>
        <w:t xml:space="preserve">of </w:t>
      </w:r>
      <w:r>
        <w:rPr>
          <w:rFonts w:ascii="Cambria" w:eastAsia="Cambria" w:hAnsi="Cambria" w:cs="Cambria"/>
          <w:color w:val="000000"/>
          <w:sz w:val="24"/>
          <w:szCs w:val="24"/>
        </w:rPr>
        <w:t xml:space="preserve"> </w:t>
      </w:r>
      <w:r>
        <w:rPr>
          <w:rFonts w:ascii="Cambria" w:eastAsia="Cambria" w:hAnsi="Cambria" w:cs="Cambria"/>
          <w:color w:val="000000"/>
          <w:sz w:val="24"/>
          <w:szCs w:val="24"/>
          <w:highlight w:val="white"/>
        </w:rPr>
        <w:t>Liverpool</w:t>
      </w:r>
      <w:proofErr w:type="gramEnd"/>
      <w:r>
        <w:rPr>
          <w:rFonts w:ascii="Cambria" w:eastAsia="Cambria" w:hAnsi="Cambria" w:cs="Cambria"/>
          <w:color w:val="000000"/>
          <w:sz w:val="24"/>
          <w:szCs w:val="24"/>
          <w:highlight w:val="white"/>
        </w:rPr>
        <w:t xml:space="preserve">. </w:t>
      </w:r>
      <w:hyperlink r:id="rId10" w:history="1">
        <w:r w:rsidR="00941BA8" w:rsidRPr="00822A3D">
          <w:rPr>
            <w:rStyle w:val="Hyperlink"/>
            <w:rFonts w:ascii="Cambria" w:eastAsia="Cambria" w:hAnsi="Cambria" w:cs="Cambria"/>
            <w:sz w:val="24"/>
            <w:szCs w:val="24"/>
            <w:highlight w:val="white"/>
          </w:rPr>
          <w:t>F.Measham@</w:t>
        </w:r>
        <w:r w:rsidR="00941BA8" w:rsidRPr="00822A3D">
          <w:rPr>
            <w:rStyle w:val="Hyperlink"/>
            <w:rFonts w:ascii="Cambria" w:eastAsia="Cambria" w:hAnsi="Cambria" w:cs="Cambria"/>
            <w:sz w:val="24"/>
            <w:szCs w:val="24"/>
          </w:rPr>
          <w:t>liverpool</w:t>
        </w:r>
        <w:r w:rsidR="00941BA8" w:rsidRPr="00822A3D">
          <w:rPr>
            <w:rStyle w:val="Hyperlink"/>
            <w:rFonts w:ascii="Cambria" w:eastAsia="Cambria" w:hAnsi="Cambria" w:cs="Cambria"/>
            <w:sz w:val="24"/>
            <w:szCs w:val="24"/>
            <w:highlight w:val="white"/>
          </w:rPr>
          <w:t>.ac.uk</w:t>
        </w:r>
      </w:hyperlink>
      <w:r w:rsidR="00941BA8">
        <w:rPr>
          <w:rFonts w:ascii="Cambria" w:eastAsia="Cambria" w:hAnsi="Cambria" w:cs="Cambria"/>
          <w:color w:val="000000"/>
          <w:sz w:val="24"/>
          <w:szCs w:val="24"/>
          <w:u w:val="single"/>
        </w:rPr>
        <w:t xml:space="preserve"> </w:t>
      </w:r>
    </w:p>
    <w:p w14:paraId="31023581" w14:textId="77777777" w:rsidR="00CA2320" w:rsidRDefault="00713283">
      <w:pPr>
        <w:widowControl w:val="0"/>
        <w:pBdr>
          <w:top w:val="nil"/>
          <w:left w:val="nil"/>
          <w:bottom w:val="nil"/>
          <w:right w:val="nil"/>
          <w:between w:val="nil"/>
        </w:pBdr>
        <w:spacing w:before="285" w:line="233" w:lineRule="auto"/>
        <w:ind w:left="1709" w:right="985"/>
        <w:rPr>
          <w:rFonts w:ascii="Cambria" w:eastAsia="Cambria" w:hAnsi="Cambria" w:cs="Cambria"/>
          <w:color w:val="0000FF"/>
          <w:sz w:val="24"/>
          <w:szCs w:val="24"/>
        </w:rPr>
      </w:pPr>
      <w:r>
        <w:rPr>
          <w:rFonts w:ascii="Cambria" w:eastAsia="Cambria" w:hAnsi="Cambria" w:cs="Cambria"/>
          <w:color w:val="000000"/>
          <w:sz w:val="24"/>
          <w:szCs w:val="24"/>
        </w:rPr>
        <w:t>Prof La</w:t>
      </w:r>
      <w:r>
        <w:rPr>
          <w:rFonts w:ascii="Cambria" w:eastAsia="Cambria" w:hAnsi="Cambria" w:cs="Cambria"/>
          <w:sz w:val="24"/>
          <w:szCs w:val="24"/>
        </w:rPr>
        <w:t>wrence</w:t>
      </w:r>
      <w:r>
        <w:rPr>
          <w:rFonts w:ascii="Cambria" w:eastAsia="Cambria" w:hAnsi="Cambria" w:cs="Cambria"/>
          <w:color w:val="000000"/>
          <w:sz w:val="24"/>
          <w:szCs w:val="24"/>
        </w:rPr>
        <w:t xml:space="preserve"> Phillips, Department of Management, London School of Economics &amp; Political Science, London. </w:t>
      </w:r>
      <w:r>
        <w:rPr>
          <w:rFonts w:ascii="Cambria" w:eastAsia="Cambria" w:hAnsi="Cambria" w:cs="Cambria"/>
          <w:color w:val="0000FF"/>
          <w:sz w:val="24"/>
          <w:szCs w:val="24"/>
          <w:u w:val="single"/>
        </w:rPr>
        <w:t>larry_phillips@msn.com</w:t>
      </w:r>
      <w:r>
        <w:rPr>
          <w:rFonts w:ascii="Cambria" w:eastAsia="Cambria" w:hAnsi="Cambria" w:cs="Cambria"/>
          <w:color w:val="0000FF"/>
          <w:sz w:val="24"/>
          <w:szCs w:val="24"/>
        </w:rPr>
        <w:t xml:space="preserve"> </w:t>
      </w:r>
    </w:p>
    <w:p w14:paraId="3CCB60DE" w14:textId="10B68AE7" w:rsidR="00CA2320" w:rsidRDefault="00713283">
      <w:pPr>
        <w:widowControl w:val="0"/>
        <w:pBdr>
          <w:top w:val="nil"/>
          <w:left w:val="nil"/>
          <w:bottom w:val="nil"/>
          <w:right w:val="nil"/>
          <w:between w:val="nil"/>
        </w:pBdr>
        <w:spacing w:before="290" w:line="233" w:lineRule="auto"/>
        <w:ind w:left="1708" w:right="1235"/>
        <w:rPr>
          <w:rFonts w:ascii="Cambria" w:eastAsia="Cambria" w:hAnsi="Cambria" w:cs="Cambria"/>
          <w:color w:val="000000"/>
          <w:sz w:val="24"/>
          <w:szCs w:val="24"/>
        </w:rPr>
      </w:pPr>
      <w:r>
        <w:rPr>
          <w:rFonts w:ascii="Cambria" w:eastAsia="Cambria" w:hAnsi="Cambria" w:cs="Cambria"/>
          <w:color w:val="000000"/>
          <w:sz w:val="24"/>
          <w:szCs w:val="24"/>
        </w:rPr>
        <w:t xml:space="preserve">Prof David Nutt, Department of Brain Sciences, Faculty of Medicine, </w:t>
      </w:r>
      <w:proofErr w:type="gramStart"/>
      <w:r>
        <w:rPr>
          <w:rFonts w:ascii="Cambria" w:eastAsia="Cambria" w:hAnsi="Cambria" w:cs="Cambria"/>
          <w:color w:val="000000"/>
          <w:sz w:val="24"/>
          <w:szCs w:val="24"/>
          <w:highlight w:val="white"/>
        </w:rPr>
        <w:t xml:space="preserve">Imperial </w:t>
      </w:r>
      <w:r>
        <w:rPr>
          <w:rFonts w:ascii="Cambria" w:eastAsia="Cambria" w:hAnsi="Cambria" w:cs="Cambria"/>
          <w:color w:val="000000"/>
          <w:sz w:val="24"/>
          <w:szCs w:val="24"/>
        </w:rPr>
        <w:t xml:space="preserve"> </w:t>
      </w:r>
      <w:r>
        <w:rPr>
          <w:rFonts w:ascii="Cambria" w:eastAsia="Cambria" w:hAnsi="Cambria" w:cs="Cambria"/>
          <w:color w:val="000000"/>
          <w:sz w:val="24"/>
          <w:szCs w:val="24"/>
          <w:highlight w:val="white"/>
        </w:rPr>
        <w:t>College</w:t>
      </w:r>
      <w:proofErr w:type="gramEnd"/>
      <w:r>
        <w:rPr>
          <w:rFonts w:ascii="Cambria" w:eastAsia="Cambria" w:hAnsi="Cambria" w:cs="Cambria"/>
          <w:color w:val="000000"/>
          <w:sz w:val="24"/>
          <w:szCs w:val="24"/>
          <w:highlight w:val="white"/>
        </w:rPr>
        <w:t xml:space="preserve"> London. </w:t>
      </w:r>
      <w:hyperlink r:id="rId11">
        <w:r>
          <w:rPr>
            <w:rFonts w:ascii="Cambria" w:eastAsia="Cambria" w:hAnsi="Cambria" w:cs="Cambria"/>
            <w:color w:val="1155CC"/>
            <w:sz w:val="24"/>
            <w:szCs w:val="24"/>
            <w:highlight w:val="white"/>
            <w:u w:val="single"/>
          </w:rPr>
          <w:t>d.nutt@imperial.ac.uk</w:t>
        </w:r>
      </w:hyperlink>
      <w:r>
        <w:rPr>
          <w:rFonts w:ascii="Cambria" w:eastAsia="Cambria" w:hAnsi="Cambria" w:cs="Cambria"/>
          <w:color w:val="000000"/>
          <w:sz w:val="24"/>
          <w:szCs w:val="24"/>
          <w:highlight w:val="white"/>
        </w:rPr>
        <w:t xml:space="preserve"> </w:t>
      </w:r>
    </w:p>
    <w:p w14:paraId="614FF7AB" w14:textId="6F76C3F4" w:rsidR="00CA2320" w:rsidRDefault="00713283">
      <w:pPr>
        <w:widowControl w:val="0"/>
        <w:pBdr>
          <w:top w:val="nil"/>
          <w:left w:val="nil"/>
          <w:bottom w:val="nil"/>
          <w:right w:val="nil"/>
          <w:between w:val="nil"/>
        </w:pBdr>
        <w:spacing w:before="285" w:line="271" w:lineRule="auto"/>
        <w:ind w:left="1707" w:right="1397" w:firstLine="1"/>
        <w:rPr>
          <w:rFonts w:ascii="Cambria" w:eastAsia="Cambria" w:hAnsi="Cambria" w:cs="Cambria"/>
          <w:color w:val="000000"/>
          <w:sz w:val="24"/>
          <w:szCs w:val="24"/>
        </w:rPr>
      </w:pPr>
      <w:r>
        <w:rPr>
          <w:rFonts w:ascii="Cambria" w:eastAsia="Cambria" w:hAnsi="Cambria" w:cs="Cambria"/>
          <w:color w:val="000000"/>
          <w:sz w:val="24"/>
          <w:szCs w:val="24"/>
        </w:rPr>
        <w:t xml:space="preserve">Daniel </w:t>
      </w:r>
      <w:proofErr w:type="spellStart"/>
      <w:r>
        <w:rPr>
          <w:rFonts w:ascii="Cambria" w:eastAsia="Cambria" w:hAnsi="Cambria" w:cs="Cambria"/>
          <w:color w:val="000000"/>
          <w:sz w:val="24"/>
          <w:szCs w:val="24"/>
        </w:rPr>
        <w:t>Bergsvik</w:t>
      </w:r>
      <w:proofErr w:type="spellEnd"/>
      <w:r>
        <w:rPr>
          <w:rFonts w:ascii="Cambria" w:eastAsia="Cambria" w:hAnsi="Cambria" w:cs="Cambria"/>
          <w:color w:val="000000"/>
          <w:sz w:val="24"/>
          <w:szCs w:val="24"/>
        </w:rPr>
        <w:t>, SIRUS</w:t>
      </w:r>
      <w:r w:rsidR="00EE0443">
        <w:rPr>
          <w:rFonts w:ascii="Cambria" w:eastAsia="Cambria" w:hAnsi="Cambria" w:cs="Cambria"/>
          <w:color w:val="000000"/>
          <w:sz w:val="24"/>
          <w:szCs w:val="24"/>
        </w:rPr>
        <w:t>,</w:t>
      </w:r>
      <w:r>
        <w:rPr>
          <w:rFonts w:ascii="Cambria" w:eastAsia="Cambria" w:hAnsi="Cambria" w:cs="Cambria"/>
          <w:color w:val="000000"/>
          <w:sz w:val="24"/>
          <w:szCs w:val="24"/>
        </w:rPr>
        <w:t xml:space="preserve"> Norwegian Institute for Alcohol and Drug Research </w:t>
      </w:r>
      <w:hyperlink r:id="rId12" w:history="1">
        <w:r w:rsidR="00941BA8" w:rsidRPr="00822A3D">
          <w:rPr>
            <w:rStyle w:val="Hyperlink"/>
            <w:rFonts w:ascii="Cambria" w:eastAsia="Cambria" w:hAnsi="Cambria" w:cs="Cambria"/>
            <w:sz w:val="24"/>
            <w:szCs w:val="24"/>
          </w:rPr>
          <w:t>danielbergsvik@gmail.com</w:t>
        </w:r>
      </w:hyperlink>
      <w:r w:rsidR="00941BA8">
        <w:rPr>
          <w:rFonts w:ascii="Cambria" w:eastAsia="Cambria" w:hAnsi="Cambria" w:cs="Cambria"/>
          <w:color w:val="000000"/>
          <w:sz w:val="24"/>
          <w:szCs w:val="24"/>
          <w:u w:val="single"/>
        </w:rPr>
        <w:t xml:space="preserve"> </w:t>
      </w:r>
    </w:p>
    <w:p w14:paraId="53DD3EDA" w14:textId="2D02BCD3" w:rsidR="00CA2320" w:rsidRDefault="00713283">
      <w:pPr>
        <w:widowControl w:val="0"/>
        <w:pBdr>
          <w:top w:val="nil"/>
          <w:left w:val="nil"/>
          <w:bottom w:val="nil"/>
          <w:right w:val="nil"/>
          <w:between w:val="nil"/>
        </w:pBdr>
        <w:spacing w:before="252" w:line="233" w:lineRule="auto"/>
        <w:ind w:left="1707" w:right="1172" w:firstLine="1"/>
        <w:rPr>
          <w:rFonts w:ascii="Cambria" w:eastAsia="Cambria" w:hAnsi="Cambria" w:cs="Cambria"/>
          <w:color w:val="000000"/>
          <w:sz w:val="24"/>
          <w:szCs w:val="24"/>
        </w:rPr>
      </w:pPr>
      <w:r>
        <w:rPr>
          <w:rFonts w:ascii="Cambria" w:eastAsia="Cambria" w:hAnsi="Cambria" w:cs="Cambria"/>
          <w:color w:val="000000"/>
          <w:sz w:val="24"/>
          <w:szCs w:val="24"/>
        </w:rPr>
        <w:t xml:space="preserve">Dr Ole </w:t>
      </w:r>
      <w:proofErr w:type="spellStart"/>
      <w:r>
        <w:rPr>
          <w:rFonts w:ascii="Cambria" w:eastAsia="Cambria" w:hAnsi="Cambria" w:cs="Cambria"/>
          <w:color w:val="000000"/>
          <w:sz w:val="24"/>
          <w:szCs w:val="24"/>
        </w:rPr>
        <w:t>Rogeberg</w:t>
      </w:r>
      <w:proofErr w:type="spellEnd"/>
      <w:r>
        <w:rPr>
          <w:rFonts w:ascii="Cambria" w:eastAsia="Cambria" w:hAnsi="Cambria" w:cs="Cambria"/>
          <w:color w:val="000000"/>
          <w:sz w:val="24"/>
          <w:szCs w:val="24"/>
        </w:rPr>
        <w:t xml:space="preserve">, Ragnar Frisch Centre for Economic Research, Oslo, Norway.  </w:t>
      </w:r>
      <w:hyperlink r:id="rId13">
        <w:r>
          <w:rPr>
            <w:rFonts w:ascii="Cambria" w:eastAsia="Cambria" w:hAnsi="Cambria" w:cs="Cambria"/>
            <w:color w:val="1155CC"/>
            <w:sz w:val="24"/>
            <w:szCs w:val="24"/>
            <w:highlight w:val="white"/>
            <w:u w:val="single"/>
          </w:rPr>
          <w:t>ole.rogeberg@gmail.com</w:t>
        </w:r>
      </w:hyperlink>
      <w:r>
        <w:rPr>
          <w:rFonts w:ascii="Cambria" w:eastAsia="Cambria" w:hAnsi="Cambria" w:cs="Cambria"/>
          <w:color w:val="000000"/>
          <w:sz w:val="24"/>
          <w:szCs w:val="24"/>
          <w:highlight w:val="white"/>
        </w:rPr>
        <w:t xml:space="preserve"> </w:t>
      </w:r>
    </w:p>
    <w:p w14:paraId="69C101F7" w14:textId="77777777" w:rsidR="00CA2320" w:rsidRDefault="00713283">
      <w:pPr>
        <w:widowControl w:val="0"/>
        <w:pBdr>
          <w:top w:val="nil"/>
          <w:left w:val="nil"/>
          <w:bottom w:val="nil"/>
          <w:right w:val="nil"/>
          <w:between w:val="nil"/>
        </w:pBdr>
        <w:spacing w:before="542" w:line="240" w:lineRule="auto"/>
        <w:ind w:left="1699"/>
        <w:rPr>
          <w:rFonts w:ascii="Times" w:eastAsia="Times" w:hAnsi="Times" w:cs="Times"/>
          <w:b/>
          <w:color w:val="000000"/>
          <w:sz w:val="36"/>
          <w:szCs w:val="36"/>
        </w:rPr>
      </w:pPr>
      <w:r>
        <w:rPr>
          <w:rFonts w:ascii="Times" w:eastAsia="Times" w:hAnsi="Times" w:cs="Times"/>
          <w:b/>
          <w:color w:val="000000"/>
          <w:sz w:val="36"/>
          <w:szCs w:val="36"/>
        </w:rPr>
        <w:t xml:space="preserve">Abstract </w:t>
      </w:r>
    </w:p>
    <w:p w14:paraId="2C755997" w14:textId="77777777" w:rsidR="00CA2320" w:rsidRDefault="00713283">
      <w:pPr>
        <w:widowControl w:val="0"/>
        <w:pBdr>
          <w:top w:val="nil"/>
          <w:left w:val="nil"/>
          <w:bottom w:val="nil"/>
          <w:right w:val="nil"/>
          <w:between w:val="nil"/>
        </w:pBdr>
        <w:spacing w:before="277" w:line="240" w:lineRule="auto"/>
        <w:ind w:left="1699"/>
        <w:rPr>
          <w:rFonts w:ascii="Times" w:eastAsia="Times" w:hAnsi="Times" w:cs="Times"/>
          <w:b/>
          <w:color w:val="000000"/>
          <w:sz w:val="24"/>
          <w:szCs w:val="24"/>
        </w:rPr>
      </w:pPr>
      <w:r>
        <w:rPr>
          <w:rFonts w:ascii="Times" w:eastAsia="Times" w:hAnsi="Times" w:cs="Times"/>
          <w:b/>
          <w:color w:val="000000"/>
          <w:sz w:val="24"/>
          <w:szCs w:val="24"/>
        </w:rPr>
        <w:t xml:space="preserve">Background </w:t>
      </w:r>
    </w:p>
    <w:p w14:paraId="2CFACF2C" w14:textId="77777777" w:rsidR="00CA2320" w:rsidRDefault="00713283">
      <w:pPr>
        <w:widowControl w:val="0"/>
        <w:pBdr>
          <w:top w:val="nil"/>
          <w:left w:val="nil"/>
          <w:bottom w:val="nil"/>
          <w:right w:val="nil"/>
          <w:between w:val="nil"/>
        </w:pBdr>
        <w:spacing w:line="229" w:lineRule="auto"/>
        <w:ind w:left="1697" w:right="1032" w:firstLine="5"/>
        <w:rPr>
          <w:rFonts w:ascii="Times" w:eastAsia="Times" w:hAnsi="Times" w:cs="Times"/>
          <w:color w:val="000000"/>
          <w:sz w:val="24"/>
          <w:szCs w:val="24"/>
        </w:rPr>
      </w:pPr>
      <w:r>
        <w:rPr>
          <w:rFonts w:ascii="Times" w:eastAsia="Times" w:hAnsi="Times" w:cs="Times"/>
          <w:color w:val="000000"/>
          <w:sz w:val="24"/>
          <w:szCs w:val="24"/>
        </w:rPr>
        <w:t xml:space="preserve">Globally, non-medical heroin use is generating significant public health and </w:t>
      </w:r>
      <w:proofErr w:type="gramStart"/>
      <w:r>
        <w:rPr>
          <w:rFonts w:ascii="Times" w:eastAsia="Times" w:hAnsi="Times" w:cs="Times"/>
          <w:color w:val="000000"/>
          <w:sz w:val="24"/>
          <w:szCs w:val="24"/>
        </w:rPr>
        <w:t>social  harms</w:t>
      </w:r>
      <w:proofErr w:type="gramEnd"/>
      <w:r>
        <w:rPr>
          <w:rFonts w:ascii="Times" w:eastAsia="Times" w:hAnsi="Times" w:cs="Times"/>
          <w:color w:val="000000"/>
          <w:sz w:val="24"/>
          <w:szCs w:val="24"/>
        </w:rPr>
        <w:t xml:space="preserve">, and </w:t>
      </w:r>
      <w:r>
        <w:rPr>
          <w:rFonts w:ascii="Times" w:eastAsia="Times" w:hAnsi="Times" w:cs="Times"/>
          <w:color w:val="2E2E2E"/>
          <w:sz w:val="24"/>
          <w:szCs w:val="24"/>
        </w:rPr>
        <w:t xml:space="preserve">drug policy about heroin is a controversial field that encompasses many  complex issues. </w:t>
      </w:r>
      <w:r>
        <w:rPr>
          <w:rFonts w:ascii="Times" w:eastAsia="Times" w:hAnsi="Times" w:cs="Times"/>
          <w:color w:val="000000"/>
          <w:sz w:val="24"/>
          <w:szCs w:val="24"/>
        </w:rPr>
        <w:t xml:space="preserve">Policy responses to illegal heroin markets have varied from  </w:t>
      </w:r>
    </w:p>
    <w:p w14:paraId="2CEA923E" w14:textId="77777777" w:rsidR="00CA2320" w:rsidRDefault="00713283">
      <w:pPr>
        <w:widowControl w:val="0"/>
        <w:pBdr>
          <w:top w:val="nil"/>
          <w:left w:val="nil"/>
          <w:bottom w:val="nil"/>
          <w:right w:val="nil"/>
          <w:between w:val="nil"/>
        </w:pBdr>
        <w:spacing w:before="6" w:line="229" w:lineRule="auto"/>
        <w:ind w:left="1698" w:right="1080"/>
        <w:rPr>
          <w:rFonts w:ascii="Times" w:eastAsia="Times" w:hAnsi="Times" w:cs="Times"/>
          <w:color w:val="000000"/>
          <w:sz w:val="24"/>
          <w:szCs w:val="24"/>
        </w:rPr>
      </w:pPr>
      <w:r>
        <w:rPr>
          <w:rFonts w:ascii="Times" w:eastAsia="Times" w:hAnsi="Times" w:cs="Times"/>
          <w:color w:val="000000"/>
          <w:sz w:val="24"/>
          <w:szCs w:val="24"/>
        </w:rPr>
        <w:t xml:space="preserve">militarized eradication of the opium poppy and harsh punishment of users, to </w:t>
      </w:r>
      <w:proofErr w:type="gramStart"/>
      <w:r>
        <w:rPr>
          <w:rFonts w:ascii="Times" w:eastAsia="Times" w:hAnsi="Times" w:cs="Times"/>
          <w:color w:val="000000"/>
          <w:sz w:val="24"/>
          <w:szCs w:val="24"/>
        </w:rPr>
        <w:t>more  tolerant</w:t>
      </w:r>
      <w:proofErr w:type="gramEnd"/>
      <w:r>
        <w:rPr>
          <w:rFonts w:ascii="Times" w:eastAsia="Times" w:hAnsi="Times" w:cs="Times"/>
          <w:color w:val="000000"/>
          <w:sz w:val="24"/>
          <w:szCs w:val="24"/>
        </w:rPr>
        <w:t xml:space="preserve"> harm reduction approaches with decriminalized possession and use. </w:t>
      </w:r>
    </w:p>
    <w:p w14:paraId="3DF92466" w14:textId="77777777" w:rsidR="00CA2320" w:rsidRDefault="00713283">
      <w:pPr>
        <w:widowControl w:val="0"/>
        <w:pBdr>
          <w:top w:val="nil"/>
          <w:left w:val="nil"/>
          <w:bottom w:val="nil"/>
          <w:right w:val="nil"/>
          <w:between w:val="nil"/>
        </w:pBdr>
        <w:spacing w:before="246" w:line="240" w:lineRule="auto"/>
        <w:ind w:left="1697"/>
        <w:rPr>
          <w:rFonts w:ascii="Times" w:eastAsia="Times" w:hAnsi="Times" w:cs="Times"/>
          <w:b/>
          <w:color w:val="000000"/>
          <w:sz w:val="24"/>
          <w:szCs w:val="24"/>
        </w:rPr>
      </w:pPr>
      <w:r>
        <w:rPr>
          <w:rFonts w:ascii="Times" w:eastAsia="Times" w:hAnsi="Times" w:cs="Times"/>
          <w:b/>
          <w:color w:val="000000"/>
          <w:sz w:val="24"/>
          <w:szCs w:val="24"/>
        </w:rPr>
        <w:lastRenderedPageBreak/>
        <w:t xml:space="preserve">Methods </w:t>
      </w:r>
    </w:p>
    <w:p w14:paraId="19F628A9" w14:textId="77777777" w:rsidR="00CA2320" w:rsidRDefault="00713283">
      <w:pPr>
        <w:widowControl w:val="0"/>
        <w:pBdr>
          <w:top w:val="nil"/>
          <w:left w:val="nil"/>
          <w:bottom w:val="nil"/>
          <w:right w:val="nil"/>
          <w:between w:val="nil"/>
        </w:pBdr>
        <w:spacing w:line="229" w:lineRule="auto"/>
        <w:ind w:left="1696" w:right="758" w:firstLine="2"/>
        <w:rPr>
          <w:rFonts w:ascii="Times" w:eastAsia="Times" w:hAnsi="Times" w:cs="Times"/>
          <w:color w:val="000000"/>
          <w:sz w:val="24"/>
          <w:szCs w:val="24"/>
        </w:rPr>
      </w:pPr>
      <w:r>
        <w:rPr>
          <w:rFonts w:ascii="Times" w:eastAsia="Times" w:hAnsi="Times" w:cs="Times"/>
          <w:color w:val="000000"/>
          <w:sz w:val="24"/>
          <w:szCs w:val="24"/>
        </w:rPr>
        <w:t xml:space="preserve">This paper reports the outcomes of a multi-criteria decision analysis (MCDA) on </w:t>
      </w:r>
      <w:proofErr w:type="gramStart"/>
      <w:r>
        <w:rPr>
          <w:rFonts w:ascii="Times" w:eastAsia="Times" w:hAnsi="Times" w:cs="Times"/>
          <w:color w:val="000000"/>
          <w:sz w:val="24"/>
          <w:szCs w:val="24"/>
        </w:rPr>
        <w:t>four  ge</w:t>
      </w:r>
      <w:r>
        <w:rPr>
          <w:rFonts w:ascii="Times" w:eastAsia="Times" w:hAnsi="Times" w:cs="Times"/>
          <w:color w:val="000000"/>
          <w:sz w:val="24"/>
          <w:szCs w:val="24"/>
        </w:rPr>
        <w:t>neric</w:t>
      </w:r>
      <w:proofErr w:type="gramEnd"/>
      <w:r>
        <w:rPr>
          <w:rFonts w:ascii="Times" w:eastAsia="Times" w:hAnsi="Times" w:cs="Times"/>
          <w:color w:val="000000"/>
          <w:sz w:val="24"/>
          <w:szCs w:val="24"/>
        </w:rPr>
        <w:t xml:space="preserve"> regulatory regimes of heroin: prohibition, decriminalisation, state control and  free market. Invited experts on drug harms, addiction, criminology and drug </w:t>
      </w:r>
      <w:proofErr w:type="gramStart"/>
      <w:r>
        <w:rPr>
          <w:rFonts w:ascii="Times" w:eastAsia="Times" w:hAnsi="Times" w:cs="Times"/>
          <w:color w:val="000000"/>
          <w:sz w:val="24"/>
          <w:szCs w:val="24"/>
        </w:rPr>
        <w:t>policy  developed</w:t>
      </w:r>
      <w:proofErr w:type="gramEnd"/>
      <w:r>
        <w:rPr>
          <w:rFonts w:ascii="Times" w:eastAsia="Times" w:hAnsi="Times" w:cs="Times"/>
          <w:color w:val="000000"/>
          <w:sz w:val="24"/>
          <w:szCs w:val="24"/>
        </w:rPr>
        <w:t xml:space="preserve"> a comprehensive set of 27 policy outcome criteria against which these drug </w:t>
      </w:r>
      <w:r>
        <w:rPr>
          <w:rFonts w:ascii="Times" w:eastAsia="Times" w:hAnsi="Times" w:cs="Times"/>
          <w:color w:val="000000"/>
          <w:sz w:val="24"/>
          <w:szCs w:val="24"/>
        </w:rPr>
        <w:t xml:space="preserve"> policy regimes were assessed.  </w:t>
      </w:r>
    </w:p>
    <w:p w14:paraId="13829970" w14:textId="77777777" w:rsidR="00CA2320" w:rsidRDefault="00713283">
      <w:pPr>
        <w:widowControl w:val="0"/>
        <w:pBdr>
          <w:top w:val="nil"/>
          <w:left w:val="nil"/>
          <w:bottom w:val="nil"/>
          <w:right w:val="nil"/>
          <w:between w:val="nil"/>
        </w:pBdr>
        <w:spacing w:before="245" w:line="240" w:lineRule="auto"/>
        <w:ind w:left="1699"/>
        <w:rPr>
          <w:rFonts w:ascii="Times" w:eastAsia="Times" w:hAnsi="Times" w:cs="Times"/>
          <w:b/>
          <w:color w:val="000000"/>
          <w:sz w:val="24"/>
          <w:szCs w:val="24"/>
        </w:rPr>
      </w:pPr>
      <w:r>
        <w:rPr>
          <w:rFonts w:ascii="Times" w:eastAsia="Times" w:hAnsi="Times" w:cs="Times"/>
          <w:b/>
          <w:color w:val="000000"/>
          <w:sz w:val="24"/>
          <w:szCs w:val="24"/>
        </w:rPr>
        <w:t xml:space="preserve">Results </w:t>
      </w:r>
    </w:p>
    <w:p w14:paraId="14452074" w14:textId="77777777" w:rsidR="00CA2320" w:rsidRDefault="00713283">
      <w:pPr>
        <w:widowControl w:val="0"/>
        <w:pBdr>
          <w:top w:val="nil"/>
          <w:left w:val="nil"/>
          <w:bottom w:val="nil"/>
          <w:right w:val="nil"/>
          <w:between w:val="nil"/>
        </w:pBdr>
        <w:spacing w:line="229" w:lineRule="auto"/>
        <w:ind w:left="1696" w:right="787" w:firstLine="8"/>
        <w:rPr>
          <w:rFonts w:ascii="Times" w:eastAsia="Times" w:hAnsi="Times" w:cs="Times"/>
          <w:color w:val="2E2E2E"/>
          <w:sz w:val="24"/>
          <w:szCs w:val="24"/>
        </w:rPr>
      </w:pPr>
      <w:r>
        <w:rPr>
          <w:rFonts w:ascii="Times" w:eastAsia="Times" w:hAnsi="Times" w:cs="Times"/>
          <w:color w:val="000000"/>
          <w:sz w:val="24"/>
          <w:szCs w:val="24"/>
        </w:rPr>
        <w:t xml:space="preserve">State control of heroin was identified as the preferred policy option although </w:t>
      </w:r>
      <w:proofErr w:type="gramStart"/>
      <w:r>
        <w:rPr>
          <w:rFonts w:ascii="Times" w:eastAsia="Times" w:hAnsi="Times" w:cs="Times"/>
          <w:color w:val="000000"/>
          <w:sz w:val="24"/>
          <w:szCs w:val="24"/>
        </w:rPr>
        <w:t>other  policy</w:t>
      </w:r>
      <w:proofErr w:type="gramEnd"/>
      <w:r>
        <w:rPr>
          <w:rFonts w:ascii="Times" w:eastAsia="Times" w:hAnsi="Times" w:cs="Times"/>
          <w:color w:val="000000"/>
          <w:sz w:val="24"/>
          <w:szCs w:val="24"/>
        </w:rPr>
        <w:t xml:space="preserve"> regimes scored better on specific outcome criteria. The free market </w:t>
      </w:r>
      <w:proofErr w:type="gramStart"/>
      <w:r>
        <w:rPr>
          <w:rFonts w:ascii="Times" w:eastAsia="Times" w:hAnsi="Times" w:cs="Times"/>
          <w:color w:val="000000"/>
          <w:sz w:val="24"/>
          <w:szCs w:val="24"/>
        </w:rPr>
        <w:t>model  scored</w:t>
      </w:r>
      <w:proofErr w:type="gramEnd"/>
      <w:r>
        <w:rPr>
          <w:rFonts w:ascii="Times" w:eastAsia="Times" w:hAnsi="Times" w:cs="Times"/>
          <w:color w:val="000000"/>
          <w:sz w:val="24"/>
          <w:szCs w:val="24"/>
        </w:rPr>
        <w:t xml:space="preserve"> better than decriminalisation, with absolute prohibition scoring worst on every  </w:t>
      </w:r>
      <w:r>
        <w:rPr>
          <w:rFonts w:ascii="Times" w:eastAsia="Times" w:hAnsi="Times" w:cs="Times"/>
          <w:color w:val="000000"/>
          <w:sz w:val="24"/>
          <w:szCs w:val="24"/>
        </w:rPr>
        <w:t xml:space="preserve">criterium. </w:t>
      </w:r>
      <w:r>
        <w:rPr>
          <w:rFonts w:ascii="Times" w:eastAsia="Times" w:hAnsi="Times" w:cs="Times"/>
          <w:color w:val="2E2E2E"/>
          <w:sz w:val="24"/>
          <w:szCs w:val="24"/>
        </w:rPr>
        <w:t>The ranking of the regimes was robust to variations in the criterion-</w:t>
      </w:r>
      <w:proofErr w:type="gramStart"/>
      <w:r>
        <w:rPr>
          <w:rFonts w:ascii="Times" w:eastAsia="Times" w:hAnsi="Times" w:cs="Times"/>
          <w:color w:val="2E2E2E"/>
          <w:sz w:val="24"/>
          <w:szCs w:val="24"/>
        </w:rPr>
        <w:t>specific  weights</w:t>
      </w:r>
      <w:proofErr w:type="gramEnd"/>
      <w:r>
        <w:rPr>
          <w:rFonts w:ascii="Times" w:eastAsia="Times" w:hAnsi="Times" w:cs="Times"/>
          <w:color w:val="2E2E2E"/>
          <w:sz w:val="24"/>
          <w:szCs w:val="24"/>
        </w:rPr>
        <w:t xml:space="preserve">. </w:t>
      </w:r>
    </w:p>
    <w:p w14:paraId="3AFAAF8C" w14:textId="77777777" w:rsidR="00CA2320" w:rsidRDefault="00713283">
      <w:pPr>
        <w:widowControl w:val="0"/>
        <w:pBdr>
          <w:top w:val="nil"/>
          <w:left w:val="nil"/>
          <w:bottom w:val="nil"/>
          <w:right w:val="nil"/>
          <w:between w:val="nil"/>
        </w:pBdr>
        <w:spacing w:before="245" w:line="240" w:lineRule="auto"/>
        <w:ind w:left="1701"/>
        <w:rPr>
          <w:rFonts w:ascii="Times" w:eastAsia="Times" w:hAnsi="Times" w:cs="Times"/>
          <w:b/>
          <w:color w:val="000000"/>
          <w:sz w:val="24"/>
          <w:szCs w:val="24"/>
        </w:rPr>
      </w:pPr>
      <w:r>
        <w:rPr>
          <w:rFonts w:ascii="Times" w:eastAsia="Times" w:hAnsi="Times" w:cs="Times"/>
          <w:b/>
          <w:color w:val="000000"/>
          <w:sz w:val="24"/>
          <w:szCs w:val="24"/>
        </w:rPr>
        <w:t xml:space="preserve">Conclusion </w:t>
      </w:r>
    </w:p>
    <w:p w14:paraId="3E2D6A8C" w14:textId="77777777" w:rsidR="00CA2320" w:rsidRDefault="00713283">
      <w:pPr>
        <w:widowControl w:val="0"/>
        <w:pBdr>
          <w:top w:val="nil"/>
          <w:left w:val="nil"/>
          <w:bottom w:val="nil"/>
          <w:right w:val="nil"/>
          <w:between w:val="nil"/>
        </w:pBdr>
        <w:spacing w:before="7" w:line="234" w:lineRule="auto"/>
        <w:ind w:left="1699" w:right="751" w:firstLine="3"/>
        <w:rPr>
          <w:rFonts w:ascii="Cambria" w:eastAsia="Cambria" w:hAnsi="Cambria" w:cs="Cambria"/>
          <w:color w:val="000000"/>
          <w:sz w:val="24"/>
          <w:szCs w:val="24"/>
        </w:rPr>
      </w:pPr>
      <w:r>
        <w:rPr>
          <w:rFonts w:ascii="Cambria" w:eastAsia="Cambria" w:hAnsi="Cambria" w:cs="Cambria"/>
          <w:color w:val="000000"/>
          <w:sz w:val="24"/>
          <w:szCs w:val="24"/>
        </w:rPr>
        <w:t xml:space="preserve">The implications of these findings for the development of future policy </w:t>
      </w:r>
      <w:proofErr w:type="gramStart"/>
      <w:r>
        <w:rPr>
          <w:rFonts w:ascii="Cambria" w:eastAsia="Cambria" w:hAnsi="Cambria" w:cs="Cambria"/>
          <w:color w:val="000000"/>
          <w:sz w:val="24"/>
          <w:szCs w:val="24"/>
        </w:rPr>
        <w:t>responses  to</w:t>
      </w:r>
      <w:proofErr w:type="gramEnd"/>
      <w:r>
        <w:rPr>
          <w:rFonts w:ascii="Cambria" w:eastAsia="Cambria" w:hAnsi="Cambria" w:cs="Cambria"/>
          <w:color w:val="000000"/>
          <w:sz w:val="24"/>
          <w:szCs w:val="24"/>
        </w:rPr>
        <w:t xml:space="preserve"> heroin and opioids generally are discussed in detail. Despite </w:t>
      </w:r>
      <w:proofErr w:type="gramStart"/>
      <w:r>
        <w:rPr>
          <w:rFonts w:ascii="Cambria" w:eastAsia="Cambria" w:hAnsi="Cambria" w:cs="Cambria"/>
          <w:color w:val="000000"/>
          <w:sz w:val="24"/>
          <w:szCs w:val="24"/>
        </w:rPr>
        <w:t>increasing  overdose</w:t>
      </w:r>
      <w:proofErr w:type="gramEnd"/>
      <w:r>
        <w:rPr>
          <w:rFonts w:ascii="Cambria" w:eastAsia="Cambria" w:hAnsi="Cambria" w:cs="Cambria"/>
          <w:color w:val="000000"/>
          <w:sz w:val="24"/>
          <w:szCs w:val="24"/>
        </w:rPr>
        <w:t xml:space="preserve"> deaths and an opioid epidemic in the </w:t>
      </w:r>
      <w:r>
        <w:rPr>
          <w:rFonts w:ascii="Cambria" w:eastAsia="Cambria" w:hAnsi="Cambria" w:cs="Cambria"/>
          <w:sz w:val="24"/>
          <w:szCs w:val="24"/>
        </w:rPr>
        <w:t>US</w:t>
      </w:r>
      <w:r>
        <w:rPr>
          <w:rFonts w:ascii="Cambria" w:eastAsia="Cambria" w:hAnsi="Cambria" w:cs="Cambria"/>
          <w:color w:val="000000"/>
          <w:sz w:val="24"/>
          <w:szCs w:val="24"/>
        </w:rPr>
        <w:t xml:space="preserve">, prohibition remains the  predominant policy approach to heroin regulation at present. It is hoped that </w:t>
      </w:r>
      <w:proofErr w:type="gramStart"/>
      <w:r>
        <w:rPr>
          <w:rFonts w:ascii="Cambria" w:eastAsia="Cambria" w:hAnsi="Cambria" w:cs="Cambria"/>
          <w:color w:val="000000"/>
          <w:sz w:val="24"/>
          <w:szCs w:val="24"/>
        </w:rPr>
        <w:t>the  current</w:t>
      </w:r>
      <w:proofErr w:type="gramEnd"/>
      <w:r>
        <w:rPr>
          <w:rFonts w:ascii="Cambria" w:eastAsia="Cambria" w:hAnsi="Cambria" w:cs="Cambria"/>
          <w:color w:val="000000"/>
          <w:sz w:val="24"/>
          <w:szCs w:val="24"/>
        </w:rPr>
        <w:t xml:space="preserve"> paper adds to the discussion of finding a valid regulatory alternative. </w:t>
      </w:r>
    </w:p>
    <w:p w14:paraId="6F5D4AC8" w14:textId="77777777" w:rsidR="00CA2320" w:rsidRDefault="00713283">
      <w:pPr>
        <w:widowControl w:val="0"/>
        <w:pBdr>
          <w:top w:val="nil"/>
          <w:left w:val="nil"/>
          <w:bottom w:val="nil"/>
          <w:right w:val="nil"/>
          <w:between w:val="nil"/>
        </w:pBdr>
        <w:spacing w:before="270" w:line="229" w:lineRule="auto"/>
        <w:ind w:left="1701" w:right="1279"/>
        <w:rPr>
          <w:rFonts w:ascii="Times" w:eastAsia="Times" w:hAnsi="Times" w:cs="Times"/>
          <w:color w:val="000000"/>
          <w:sz w:val="24"/>
          <w:szCs w:val="24"/>
        </w:rPr>
      </w:pPr>
      <w:r>
        <w:rPr>
          <w:rFonts w:ascii="Times" w:eastAsia="Times" w:hAnsi="Times" w:cs="Times"/>
          <w:b/>
          <w:color w:val="000000"/>
          <w:sz w:val="24"/>
          <w:szCs w:val="24"/>
        </w:rPr>
        <w:t xml:space="preserve">Key words: </w:t>
      </w:r>
      <w:r>
        <w:rPr>
          <w:rFonts w:ascii="Times" w:eastAsia="Times" w:hAnsi="Times" w:cs="Times"/>
          <w:color w:val="000000"/>
          <w:sz w:val="24"/>
          <w:szCs w:val="24"/>
        </w:rPr>
        <w:t xml:space="preserve">Heroin, Drug Policy, Regulatory Regimes, Regulation, </w:t>
      </w:r>
      <w:proofErr w:type="gramStart"/>
      <w:r>
        <w:rPr>
          <w:rFonts w:ascii="Times" w:eastAsia="Times" w:hAnsi="Times" w:cs="Times"/>
          <w:color w:val="000000"/>
          <w:sz w:val="24"/>
          <w:szCs w:val="24"/>
        </w:rPr>
        <w:t>l</w:t>
      </w:r>
      <w:r>
        <w:rPr>
          <w:rFonts w:ascii="Times" w:eastAsia="Times" w:hAnsi="Times" w:cs="Times"/>
          <w:color w:val="000000"/>
          <w:sz w:val="24"/>
          <w:szCs w:val="24"/>
        </w:rPr>
        <w:t>egalization,  decriminalization</w:t>
      </w:r>
      <w:proofErr w:type="gramEnd"/>
      <w:r>
        <w:rPr>
          <w:rFonts w:ascii="Times" w:eastAsia="Times" w:hAnsi="Times" w:cs="Times"/>
          <w:color w:val="000000"/>
          <w:sz w:val="24"/>
          <w:szCs w:val="24"/>
        </w:rPr>
        <w:t xml:space="preserve">, prohibition, Multi-Criteria Decision Analysis. </w:t>
      </w:r>
    </w:p>
    <w:p w14:paraId="690AD743" w14:textId="77777777" w:rsidR="00CA2320" w:rsidRDefault="00713283">
      <w:pPr>
        <w:widowControl w:val="0"/>
        <w:pBdr>
          <w:top w:val="nil"/>
          <w:left w:val="nil"/>
          <w:bottom w:val="nil"/>
          <w:right w:val="nil"/>
          <w:between w:val="nil"/>
        </w:pBdr>
        <w:spacing w:before="549" w:line="240" w:lineRule="auto"/>
        <w:ind w:left="1704"/>
        <w:rPr>
          <w:rFonts w:ascii="Times" w:eastAsia="Times" w:hAnsi="Times" w:cs="Times"/>
          <w:b/>
          <w:color w:val="000000"/>
          <w:sz w:val="36"/>
          <w:szCs w:val="36"/>
        </w:rPr>
      </w:pPr>
      <w:r>
        <w:rPr>
          <w:rFonts w:ascii="Times" w:eastAsia="Times" w:hAnsi="Times" w:cs="Times"/>
          <w:b/>
          <w:color w:val="000000"/>
          <w:sz w:val="36"/>
          <w:szCs w:val="36"/>
        </w:rPr>
        <w:t xml:space="preserve">Introduction </w:t>
      </w:r>
    </w:p>
    <w:p w14:paraId="5FF101E0" w14:textId="77777777" w:rsidR="00CA2320" w:rsidRDefault="00713283">
      <w:pPr>
        <w:widowControl w:val="0"/>
        <w:pBdr>
          <w:top w:val="nil"/>
          <w:left w:val="nil"/>
          <w:bottom w:val="nil"/>
          <w:right w:val="nil"/>
          <w:between w:val="nil"/>
        </w:pBdr>
        <w:spacing w:before="277" w:line="229" w:lineRule="auto"/>
        <w:ind w:left="1696" w:right="742" w:firstLine="3"/>
        <w:rPr>
          <w:rFonts w:ascii="Times" w:eastAsia="Times" w:hAnsi="Times" w:cs="Times"/>
          <w:color w:val="000000"/>
          <w:sz w:val="24"/>
          <w:szCs w:val="24"/>
        </w:rPr>
      </w:pPr>
      <w:r>
        <w:rPr>
          <w:rFonts w:ascii="Times" w:eastAsia="Times" w:hAnsi="Times" w:cs="Times"/>
          <w:color w:val="000000"/>
          <w:sz w:val="24"/>
          <w:szCs w:val="24"/>
        </w:rPr>
        <w:t xml:space="preserve">Heroin, also known as diacetylmorphine, occupies a unique space in the drug </w:t>
      </w:r>
      <w:proofErr w:type="gramStart"/>
      <w:r>
        <w:rPr>
          <w:rFonts w:ascii="Times" w:eastAsia="Times" w:hAnsi="Times" w:cs="Times"/>
          <w:color w:val="000000"/>
          <w:sz w:val="24"/>
          <w:szCs w:val="24"/>
        </w:rPr>
        <w:t>policy  debate</w:t>
      </w:r>
      <w:proofErr w:type="gramEnd"/>
      <w:r>
        <w:rPr>
          <w:rFonts w:ascii="Times" w:eastAsia="Times" w:hAnsi="Times" w:cs="Times"/>
          <w:color w:val="000000"/>
          <w:sz w:val="24"/>
          <w:szCs w:val="24"/>
        </w:rPr>
        <w:t xml:space="preserve"> as arguably the most feared and demonized of all drugs (Kohn, 1987). Yet </w:t>
      </w:r>
      <w:proofErr w:type="gramStart"/>
      <w:r>
        <w:rPr>
          <w:rFonts w:ascii="Times" w:eastAsia="Times" w:hAnsi="Times" w:cs="Times"/>
          <w:color w:val="000000"/>
          <w:sz w:val="24"/>
          <w:szCs w:val="24"/>
        </w:rPr>
        <w:t>its  powerful</w:t>
      </w:r>
      <w:proofErr w:type="gramEnd"/>
      <w:r>
        <w:rPr>
          <w:rFonts w:ascii="Times" w:eastAsia="Times" w:hAnsi="Times" w:cs="Times"/>
          <w:color w:val="000000"/>
          <w:sz w:val="24"/>
          <w:szCs w:val="24"/>
        </w:rPr>
        <w:t xml:space="preserve"> cultural associations with addiction, depravity and death, to a significant  e</w:t>
      </w:r>
      <w:r>
        <w:rPr>
          <w:rFonts w:ascii="Times" w:eastAsia="Times" w:hAnsi="Times" w:cs="Times"/>
          <w:color w:val="000000"/>
          <w:sz w:val="24"/>
          <w:szCs w:val="24"/>
        </w:rPr>
        <w:t xml:space="preserve">xtent belie its pharmacology. It can be powerfully addictive, and its low ratio </w:t>
      </w:r>
      <w:proofErr w:type="gramStart"/>
      <w:r>
        <w:rPr>
          <w:rFonts w:ascii="Times" w:eastAsia="Times" w:hAnsi="Times" w:cs="Times"/>
          <w:color w:val="000000"/>
          <w:sz w:val="24"/>
          <w:szCs w:val="24"/>
        </w:rPr>
        <w:t>of  toxic</w:t>
      </w:r>
      <w:proofErr w:type="gramEnd"/>
      <w:r>
        <w:rPr>
          <w:rFonts w:ascii="Times" w:eastAsia="Times" w:hAnsi="Times" w:cs="Times"/>
          <w:color w:val="000000"/>
          <w:sz w:val="24"/>
          <w:szCs w:val="24"/>
        </w:rPr>
        <w:t xml:space="preserve"> to recreational dose (Gable, 2004) creates a high overdose risk, but when used in  controlled medical environments it is relatively safe, hence its enduring place as </w:t>
      </w:r>
      <w:r>
        <w:rPr>
          <w:rFonts w:ascii="Times" w:eastAsia="Times" w:hAnsi="Times" w:cs="Times"/>
          <w:color w:val="000000"/>
          <w:sz w:val="24"/>
          <w:szCs w:val="24"/>
        </w:rPr>
        <w:t xml:space="preserve">an  analgesic in the United Kingdom’s legal pharmacopeia; still used in post-operative  and palliative care, and </w:t>
      </w:r>
      <w:proofErr w:type="spellStart"/>
      <w:r>
        <w:rPr>
          <w:rFonts w:ascii="Times" w:eastAsia="Times" w:hAnsi="Times" w:cs="Times"/>
          <w:color w:val="000000"/>
          <w:sz w:val="24"/>
          <w:szCs w:val="24"/>
        </w:rPr>
        <w:t>pediatric</w:t>
      </w:r>
      <w:proofErr w:type="spellEnd"/>
      <w:r>
        <w:rPr>
          <w:rFonts w:ascii="Times" w:eastAsia="Times" w:hAnsi="Times" w:cs="Times"/>
          <w:color w:val="000000"/>
          <w:sz w:val="24"/>
          <w:szCs w:val="24"/>
        </w:rPr>
        <w:t xml:space="preserve"> emergency analgesia.  </w:t>
      </w:r>
    </w:p>
    <w:p w14:paraId="3BE1D4BA" w14:textId="77777777" w:rsidR="00CA2320" w:rsidRDefault="00713283">
      <w:pPr>
        <w:widowControl w:val="0"/>
        <w:pBdr>
          <w:top w:val="nil"/>
          <w:left w:val="nil"/>
          <w:bottom w:val="nil"/>
          <w:right w:val="nil"/>
          <w:between w:val="nil"/>
        </w:pBdr>
        <w:spacing w:before="282" w:line="229" w:lineRule="auto"/>
        <w:ind w:left="1695" w:right="743" w:firstLine="7"/>
        <w:rPr>
          <w:rFonts w:ascii="Times" w:eastAsia="Times" w:hAnsi="Times" w:cs="Times"/>
          <w:color w:val="000000"/>
          <w:sz w:val="24"/>
          <w:szCs w:val="24"/>
        </w:rPr>
      </w:pPr>
      <w:r>
        <w:rPr>
          <w:rFonts w:ascii="Times" w:eastAsia="Times" w:hAnsi="Times" w:cs="Times"/>
          <w:color w:val="000000"/>
          <w:sz w:val="24"/>
          <w:szCs w:val="24"/>
        </w:rPr>
        <w:t xml:space="preserve">Opium based tinctures and medicines were legally available in countries such </w:t>
      </w:r>
      <w:r>
        <w:rPr>
          <w:rFonts w:ascii="Times" w:eastAsia="Times" w:hAnsi="Times" w:cs="Times"/>
          <w:sz w:val="24"/>
          <w:szCs w:val="24"/>
        </w:rPr>
        <w:t>as the United</w:t>
      </w:r>
      <w:r>
        <w:rPr>
          <w:rFonts w:ascii="Times" w:eastAsia="Times" w:hAnsi="Times" w:cs="Times"/>
          <w:color w:val="000000"/>
          <w:sz w:val="24"/>
          <w:szCs w:val="24"/>
        </w:rPr>
        <w:t xml:space="preserve"> Kingdom in the 19th</w:t>
      </w:r>
      <w:r>
        <w:rPr>
          <w:rFonts w:ascii="Times" w:eastAsia="Times" w:hAnsi="Times" w:cs="Times"/>
          <w:color w:val="000000"/>
          <w:sz w:val="24"/>
          <w:szCs w:val="24"/>
        </w:rPr>
        <w:t xml:space="preserve"> century, and from 1895 to 1910 Bayer marketed “</w:t>
      </w:r>
      <w:proofErr w:type="gramStart"/>
      <w:r>
        <w:rPr>
          <w:rFonts w:ascii="Times" w:eastAsia="Times" w:hAnsi="Times" w:cs="Times"/>
          <w:color w:val="000000"/>
          <w:sz w:val="24"/>
          <w:szCs w:val="24"/>
        </w:rPr>
        <w:t>heroin”  as</w:t>
      </w:r>
      <w:proofErr w:type="gramEnd"/>
      <w:r>
        <w:rPr>
          <w:rFonts w:ascii="Times" w:eastAsia="Times" w:hAnsi="Times" w:cs="Times"/>
          <w:color w:val="000000"/>
          <w:sz w:val="24"/>
          <w:szCs w:val="24"/>
        </w:rPr>
        <w:t xml:space="preserve"> a non-addictive alternative to morphine-based cough-suppressants </w:t>
      </w:r>
      <w:proofErr w:type="spellStart"/>
      <w:r>
        <w:rPr>
          <w:rFonts w:ascii="Times" w:eastAsia="Times" w:hAnsi="Times" w:cs="Times"/>
          <w:color w:val="000000"/>
          <w:sz w:val="24"/>
          <w:szCs w:val="24"/>
        </w:rPr>
        <w:t>Berridge</w:t>
      </w:r>
      <w:proofErr w:type="spellEnd"/>
      <w:r>
        <w:rPr>
          <w:rFonts w:ascii="Times" w:eastAsia="Times" w:hAnsi="Times" w:cs="Times"/>
          <w:color w:val="000000"/>
          <w:sz w:val="24"/>
          <w:szCs w:val="24"/>
        </w:rPr>
        <w:t xml:space="preserve"> and  Edwards, 1981). For most of the 20th century, however, non-medical opioid use </w:t>
      </w:r>
      <w:proofErr w:type="gramStart"/>
      <w:r>
        <w:rPr>
          <w:rFonts w:ascii="Times" w:eastAsia="Times" w:hAnsi="Times" w:cs="Times"/>
          <w:color w:val="000000"/>
          <w:sz w:val="24"/>
          <w:szCs w:val="24"/>
        </w:rPr>
        <w:t>has  been</w:t>
      </w:r>
      <w:proofErr w:type="gramEnd"/>
      <w:r>
        <w:rPr>
          <w:rFonts w:ascii="Times" w:eastAsia="Times" w:hAnsi="Times" w:cs="Times"/>
          <w:color w:val="000000"/>
          <w:sz w:val="24"/>
          <w:szCs w:val="24"/>
        </w:rPr>
        <w:t xml:space="preserve"> subject to prohibitions. Inde</w:t>
      </w:r>
      <w:r>
        <w:rPr>
          <w:rFonts w:ascii="Times" w:eastAsia="Times" w:hAnsi="Times" w:cs="Times"/>
          <w:color w:val="000000"/>
          <w:sz w:val="24"/>
          <w:szCs w:val="24"/>
        </w:rPr>
        <w:t xml:space="preserve">ed, it was a desire to control opium and its </w:t>
      </w:r>
      <w:proofErr w:type="gramStart"/>
      <w:r>
        <w:rPr>
          <w:rFonts w:ascii="Times" w:eastAsia="Times" w:hAnsi="Times" w:cs="Times"/>
          <w:color w:val="000000"/>
          <w:sz w:val="24"/>
          <w:szCs w:val="24"/>
        </w:rPr>
        <w:t>various  derivatives</w:t>
      </w:r>
      <w:proofErr w:type="gramEnd"/>
      <w:r>
        <w:rPr>
          <w:rFonts w:ascii="Times" w:eastAsia="Times" w:hAnsi="Times" w:cs="Times"/>
          <w:color w:val="000000"/>
          <w:sz w:val="24"/>
          <w:szCs w:val="24"/>
        </w:rPr>
        <w:t xml:space="preserve"> that </w:t>
      </w:r>
      <w:proofErr w:type="spellStart"/>
      <w:r>
        <w:rPr>
          <w:rFonts w:ascii="Times" w:eastAsia="Times" w:hAnsi="Times" w:cs="Times"/>
          <w:color w:val="000000"/>
          <w:sz w:val="24"/>
          <w:szCs w:val="24"/>
        </w:rPr>
        <w:t>fueled</w:t>
      </w:r>
      <w:proofErr w:type="spellEnd"/>
      <w:r>
        <w:rPr>
          <w:rFonts w:ascii="Times" w:eastAsia="Times" w:hAnsi="Times" w:cs="Times"/>
          <w:color w:val="000000"/>
          <w:sz w:val="24"/>
          <w:szCs w:val="24"/>
        </w:rPr>
        <w:t xml:space="preserve"> the emergence of the first international drug control treaties,  the Hague International Opium Convention of 1912 implemented globally through the  Treaty of Versailles in 1919. </w:t>
      </w:r>
      <w:r>
        <w:rPr>
          <w:rFonts w:ascii="Times" w:eastAsia="Times" w:hAnsi="Times" w:cs="Times"/>
          <w:color w:val="000000"/>
          <w:sz w:val="24"/>
          <w:szCs w:val="24"/>
        </w:rPr>
        <w:t xml:space="preserve">These policy models went on to shape the wider </w:t>
      </w:r>
      <w:proofErr w:type="gramStart"/>
      <w:r>
        <w:rPr>
          <w:rFonts w:ascii="Times" w:eastAsia="Times" w:hAnsi="Times" w:cs="Times"/>
          <w:color w:val="000000"/>
          <w:sz w:val="24"/>
          <w:szCs w:val="24"/>
        </w:rPr>
        <w:t>global  drug</w:t>
      </w:r>
      <w:proofErr w:type="gramEnd"/>
      <w:r>
        <w:rPr>
          <w:rFonts w:ascii="Times" w:eastAsia="Times" w:hAnsi="Times" w:cs="Times"/>
          <w:color w:val="000000"/>
          <w:sz w:val="24"/>
          <w:szCs w:val="24"/>
        </w:rPr>
        <w:t xml:space="preserve"> prohibition regime under the 1961 UN Single Convention on Drugs (United  Nations, 1972). Policy responses to illegal non-medical heroin markets </w:t>
      </w:r>
      <w:proofErr w:type="gramStart"/>
      <w:r>
        <w:rPr>
          <w:rFonts w:ascii="Times" w:eastAsia="Times" w:hAnsi="Times" w:cs="Times"/>
          <w:color w:val="000000"/>
          <w:sz w:val="24"/>
          <w:szCs w:val="24"/>
        </w:rPr>
        <w:t>have  subsequently</w:t>
      </w:r>
      <w:proofErr w:type="gramEnd"/>
      <w:r>
        <w:rPr>
          <w:rFonts w:ascii="Times" w:eastAsia="Times" w:hAnsi="Times" w:cs="Times"/>
          <w:color w:val="000000"/>
          <w:sz w:val="24"/>
          <w:szCs w:val="24"/>
        </w:rPr>
        <w:t xml:space="preserve"> varied from militarized eradicati</w:t>
      </w:r>
      <w:r>
        <w:rPr>
          <w:rFonts w:ascii="Times" w:eastAsia="Times" w:hAnsi="Times" w:cs="Times"/>
          <w:color w:val="000000"/>
          <w:sz w:val="24"/>
          <w:szCs w:val="24"/>
        </w:rPr>
        <w:t>on of the opium poppy and harsh  punitive user-level enforcement, through to more tolerant harm reduction approaches  with decriminalized possession and use, and pharmaceutical heroin available via  medical prescription for supervised consumption as part o</w:t>
      </w:r>
      <w:r>
        <w:rPr>
          <w:rFonts w:ascii="Times" w:eastAsia="Times" w:hAnsi="Times" w:cs="Times"/>
          <w:color w:val="000000"/>
          <w:sz w:val="24"/>
          <w:szCs w:val="24"/>
        </w:rPr>
        <w:t xml:space="preserve">f a treatment programme. </w:t>
      </w:r>
    </w:p>
    <w:p w14:paraId="61AAC20E" w14:textId="77777777" w:rsidR="00CA2320" w:rsidRDefault="00713283">
      <w:pPr>
        <w:widowControl w:val="0"/>
        <w:pBdr>
          <w:top w:val="nil"/>
          <w:left w:val="nil"/>
          <w:bottom w:val="nil"/>
          <w:right w:val="nil"/>
          <w:between w:val="nil"/>
        </w:pBdr>
        <w:spacing w:before="281" w:line="229" w:lineRule="auto"/>
        <w:ind w:left="1696" w:right="793" w:firstLine="1"/>
        <w:rPr>
          <w:rFonts w:ascii="Times" w:eastAsia="Times" w:hAnsi="Times" w:cs="Times"/>
          <w:color w:val="000000"/>
          <w:sz w:val="24"/>
          <w:szCs w:val="24"/>
        </w:rPr>
      </w:pPr>
      <w:r>
        <w:rPr>
          <w:rFonts w:ascii="Times" w:eastAsia="Times" w:hAnsi="Times" w:cs="Times"/>
          <w:color w:val="000000"/>
          <w:sz w:val="24"/>
          <w:szCs w:val="24"/>
        </w:rPr>
        <w:t xml:space="preserve">Non-medical heroin use is widely seen as generating significant public health </w:t>
      </w:r>
      <w:proofErr w:type="gramStart"/>
      <w:r>
        <w:rPr>
          <w:rFonts w:ascii="Times" w:eastAsia="Times" w:hAnsi="Times" w:cs="Times"/>
          <w:color w:val="000000"/>
          <w:sz w:val="24"/>
          <w:szCs w:val="24"/>
        </w:rPr>
        <w:t>and  social</w:t>
      </w:r>
      <w:proofErr w:type="gramEnd"/>
      <w:r>
        <w:rPr>
          <w:rFonts w:ascii="Times" w:eastAsia="Times" w:hAnsi="Times" w:cs="Times"/>
          <w:color w:val="000000"/>
          <w:sz w:val="24"/>
          <w:szCs w:val="24"/>
        </w:rPr>
        <w:t xml:space="preserve"> harms. Since the 1990s the illegal non-medical use of opioids, </w:t>
      </w:r>
      <w:proofErr w:type="gramStart"/>
      <w:r>
        <w:rPr>
          <w:rFonts w:ascii="Times" w:eastAsia="Times" w:hAnsi="Times" w:cs="Times"/>
          <w:color w:val="000000"/>
          <w:sz w:val="24"/>
          <w:szCs w:val="24"/>
        </w:rPr>
        <w:t>including  prescription</w:t>
      </w:r>
      <w:proofErr w:type="gramEnd"/>
      <w:r>
        <w:rPr>
          <w:rFonts w:ascii="Times" w:eastAsia="Times" w:hAnsi="Times" w:cs="Times"/>
          <w:color w:val="000000"/>
          <w:sz w:val="24"/>
          <w:szCs w:val="24"/>
        </w:rPr>
        <w:t xml:space="preserve"> pain medication, heroin and fentanyl, has been associ</w:t>
      </w:r>
      <w:r>
        <w:rPr>
          <w:rFonts w:ascii="Times" w:eastAsia="Times" w:hAnsi="Times" w:cs="Times"/>
          <w:color w:val="000000"/>
          <w:sz w:val="24"/>
          <w:szCs w:val="24"/>
        </w:rPr>
        <w:t>ated with ever  growing health harms, most prominently in the US, where it is estimated that more  than 130 people a day die from opioid related overdose (CDC, 2018).</w:t>
      </w:r>
      <w:r>
        <w:rPr>
          <w:rFonts w:ascii="Times" w:eastAsia="Times" w:hAnsi="Times" w:cs="Times"/>
          <w:sz w:val="24"/>
          <w:szCs w:val="24"/>
        </w:rPr>
        <w:t xml:space="preserve"> </w:t>
      </w:r>
      <w:r>
        <w:rPr>
          <w:rFonts w:ascii="Times" w:eastAsia="Times" w:hAnsi="Times" w:cs="Times"/>
          <w:color w:val="000000"/>
          <w:sz w:val="24"/>
          <w:szCs w:val="24"/>
        </w:rPr>
        <w:t xml:space="preserve">In the UK, </w:t>
      </w:r>
      <w:proofErr w:type="gramStart"/>
      <w:r>
        <w:rPr>
          <w:rFonts w:ascii="Times" w:eastAsia="Times" w:hAnsi="Times" w:cs="Times"/>
          <w:color w:val="000000"/>
          <w:sz w:val="24"/>
          <w:szCs w:val="24"/>
        </w:rPr>
        <w:t>over  three</w:t>
      </w:r>
      <w:proofErr w:type="gramEnd"/>
      <w:r>
        <w:rPr>
          <w:rFonts w:ascii="Times" w:eastAsia="Times" w:hAnsi="Times" w:cs="Times"/>
          <w:color w:val="000000"/>
          <w:sz w:val="24"/>
          <w:szCs w:val="24"/>
        </w:rPr>
        <w:t xml:space="preserve"> quarters of drug-related deaths are opiate-related (ONS, 2019). </w:t>
      </w:r>
      <w:r>
        <w:rPr>
          <w:rFonts w:ascii="Times" w:eastAsia="Times" w:hAnsi="Times" w:cs="Times"/>
          <w:sz w:val="24"/>
          <w:szCs w:val="24"/>
        </w:rPr>
        <w:br/>
      </w:r>
    </w:p>
    <w:p w14:paraId="6EE36ECC" w14:textId="77777777" w:rsidR="00CA2320" w:rsidRDefault="00713283">
      <w:pPr>
        <w:widowControl w:val="0"/>
        <w:pBdr>
          <w:top w:val="nil"/>
          <w:left w:val="nil"/>
          <w:bottom w:val="nil"/>
          <w:right w:val="nil"/>
          <w:between w:val="nil"/>
        </w:pBdr>
        <w:spacing w:line="229" w:lineRule="auto"/>
        <w:ind w:left="1696" w:right="940" w:firstLine="3"/>
        <w:rPr>
          <w:rFonts w:ascii="Times" w:eastAsia="Times" w:hAnsi="Times" w:cs="Times"/>
          <w:color w:val="000000"/>
          <w:sz w:val="24"/>
          <w:szCs w:val="24"/>
        </w:rPr>
      </w:pPr>
      <w:r>
        <w:rPr>
          <w:rFonts w:ascii="Times" w:eastAsia="Times" w:hAnsi="Times" w:cs="Times"/>
          <w:color w:val="000000"/>
          <w:sz w:val="24"/>
          <w:szCs w:val="24"/>
        </w:rPr>
        <w:t xml:space="preserve">In an unregulated illegal heroin market, increasingly contaminated by </w:t>
      </w:r>
      <w:proofErr w:type="spellStart"/>
      <w:r>
        <w:rPr>
          <w:rFonts w:ascii="Times" w:eastAsia="Times" w:hAnsi="Times" w:cs="Times"/>
          <w:color w:val="000000"/>
          <w:sz w:val="24"/>
          <w:szCs w:val="24"/>
        </w:rPr>
        <w:t>fentanyls</w:t>
      </w:r>
      <w:proofErr w:type="spellEnd"/>
      <w:r>
        <w:rPr>
          <w:rFonts w:ascii="Times" w:eastAsia="Times" w:hAnsi="Times" w:cs="Times"/>
          <w:color w:val="000000"/>
          <w:sz w:val="24"/>
          <w:szCs w:val="24"/>
        </w:rPr>
        <w:t xml:space="preserve">, the risks of use have risen still further. </w:t>
      </w:r>
      <w:r>
        <w:rPr>
          <w:rFonts w:ascii="Times" w:eastAsia="Times" w:hAnsi="Times" w:cs="Times"/>
          <w:color w:val="000000"/>
          <w:sz w:val="24"/>
          <w:szCs w:val="24"/>
          <w:highlight w:val="white"/>
        </w:rPr>
        <w:t>Among the more than 70,200 US drug-related</w:t>
      </w:r>
      <w:r>
        <w:rPr>
          <w:rFonts w:ascii="Times" w:eastAsia="Times" w:hAnsi="Times" w:cs="Times"/>
          <w:color w:val="000000"/>
          <w:sz w:val="24"/>
          <w:szCs w:val="24"/>
        </w:rPr>
        <w:t xml:space="preserve"> </w:t>
      </w:r>
      <w:r>
        <w:rPr>
          <w:rFonts w:ascii="Times" w:eastAsia="Times" w:hAnsi="Times" w:cs="Times"/>
          <w:color w:val="000000"/>
          <w:sz w:val="24"/>
          <w:szCs w:val="24"/>
          <w:highlight w:val="white"/>
        </w:rPr>
        <w:t>overdose deaths estimated in 2017, the sharpest increase occurred among deaths</w:t>
      </w:r>
      <w:r>
        <w:rPr>
          <w:rFonts w:ascii="Times" w:eastAsia="Times" w:hAnsi="Times" w:cs="Times"/>
          <w:color w:val="000000"/>
          <w:sz w:val="24"/>
          <w:szCs w:val="24"/>
        </w:rPr>
        <w:t xml:space="preserve"> </w:t>
      </w:r>
      <w:r>
        <w:rPr>
          <w:rFonts w:ascii="Times" w:eastAsia="Times" w:hAnsi="Times" w:cs="Times"/>
          <w:color w:val="000000"/>
          <w:sz w:val="24"/>
          <w:szCs w:val="24"/>
          <w:highlight w:val="white"/>
        </w:rPr>
        <w:t>related to</w:t>
      </w:r>
      <w:r>
        <w:rPr>
          <w:rFonts w:ascii="Times" w:eastAsia="Times" w:hAnsi="Times" w:cs="Times"/>
          <w:color w:val="000000"/>
          <w:sz w:val="24"/>
          <w:szCs w:val="24"/>
          <w:highlight w:val="white"/>
        </w:rPr>
        <w:t xml:space="preserve"> fentanyl and fentanyl </w:t>
      </w:r>
      <w:proofErr w:type="spellStart"/>
      <w:r>
        <w:rPr>
          <w:rFonts w:ascii="Times" w:eastAsia="Times" w:hAnsi="Times" w:cs="Times"/>
          <w:color w:val="000000"/>
          <w:sz w:val="24"/>
          <w:szCs w:val="24"/>
          <w:highlight w:val="white"/>
        </w:rPr>
        <w:t>analogs</w:t>
      </w:r>
      <w:proofErr w:type="spellEnd"/>
      <w:r>
        <w:rPr>
          <w:rFonts w:ascii="Times" w:eastAsia="Times" w:hAnsi="Times" w:cs="Times"/>
          <w:color w:val="000000"/>
          <w:sz w:val="24"/>
          <w:szCs w:val="24"/>
          <w:highlight w:val="white"/>
        </w:rPr>
        <w:t>, with more than 28,400 overdose deaths</w:t>
      </w:r>
      <w:r>
        <w:rPr>
          <w:rFonts w:ascii="Times" w:eastAsia="Times" w:hAnsi="Times" w:cs="Times"/>
          <w:color w:val="000000"/>
          <w:sz w:val="24"/>
          <w:szCs w:val="24"/>
        </w:rPr>
        <w:t xml:space="preserve"> </w:t>
      </w:r>
      <w:r>
        <w:rPr>
          <w:rFonts w:ascii="Times" w:eastAsia="Times" w:hAnsi="Times" w:cs="Times"/>
          <w:color w:val="000000"/>
          <w:sz w:val="24"/>
          <w:szCs w:val="24"/>
          <w:highlight w:val="white"/>
        </w:rPr>
        <w:t>(CDC, 2018).</w:t>
      </w:r>
      <w:r>
        <w:rPr>
          <w:rFonts w:ascii="Times" w:eastAsia="Times" w:hAnsi="Times" w:cs="Times"/>
          <w:color w:val="000000"/>
          <w:sz w:val="24"/>
          <w:szCs w:val="24"/>
        </w:rPr>
        <w:t xml:space="preserve"> </w:t>
      </w:r>
    </w:p>
    <w:p w14:paraId="261E6E8A" w14:textId="77777777" w:rsidR="00CA2320" w:rsidRDefault="00713283">
      <w:pPr>
        <w:widowControl w:val="0"/>
        <w:pBdr>
          <w:top w:val="nil"/>
          <w:left w:val="nil"/>
          <w:bottom w:val="nil"/>
          <w:right w:val="nil"/>
          <w:between w:val="nil"/>
        </w:pBdr>
        <w:spacing w:before="282" w:line="229" w:lineRule="auto"/>
        <w:ind w:left="1695" w:right="950" w:firstLine="5"/>
        <w:rPr>
          <w:rFonts w:ascii="Times" w:eastAsia="Times" w:hAnsi="Times" w:cs="Times"/>
          <w:color w:val="000000"/>
          <w:sz w:val="24"/>
          <w:szCs w:val="24"/>
        </w:rPr>
      </w:pPr>
      <w:r>
        <w:rPr>
          <w:rFonts w:ascii="Times" w:eastAsia="Times" w:hAnsi="Times" w:cs="Times"/>
          <w:color w:val="000000"/>
          <w:sz w:val="24"/>
          <w:szCs w:val="24"/>
        </w:rPr>
        <w:t xml:space="preserve">Consequently, substantial public resources are expended to prevent use, </w:t>
      </w:r>
      <w:proofErr w:type="gramStart"/>
      <w:r>
        <w:rPr>
          <w:rFonts w:ascii="Times" w:eastAsia="Times" w:hAnsi="Times" w:cs="Times"/>
          <w:color w:val="000000"/>
          <w:sz w:val="24"/>
          <w:szCs w:val="24"/>
        </w:rPr>
        <w:t>interdict  supply</w:t>
      </w:r>
      <w:proofErr w:type="gramEnd"/>
      <w:r>
        <w:rPr>
          <w:rFonts w:ascii="Times" w:eastAsia="Times" w:hAnsi="Times" w:cs="Times"/>
          <w:color w:val="000000"/>
          <w:sz w:val="24"/>
          <w:szCs w:val="24"/>
        </w:rPr>
        <w:t xml:space="preserve"> and treat people with opioid dependence. While a comparative evaluation </w:t>
      </w:r>
      <w:proofErr w:type="gramStart"/>
      <w:r>
        <w:rPr>
          <w:rFonts w:ascii="Times" w:eastAsia="Times" w:hAnsi="Times" w:cs="Times"/>
          <w:color w:val="000000"/>
          <w:sz w:val="24"/>
          <w:szCs w:val="24"/>
        </w:rPr>
        <w:t>of  how</w:t>
      </w:r>
      <w:proofErr w:type="gramEnd"/>
      <w:r>
        <w:rPr>
          <w:rFonts w:ascii="Times" w:eastAsia="Times" w:hAnsi="Times" w:cs="Times"/>
          <w:color w:val="000000"/>
          <w:sz w:val="24"/>
          <w:szCs w:val="24"/>
        </w:rPr>
        <w:t xml:space="preserve"> di</w:t>
      </w:r>
      <w:r>
        <w:rPr>
          <w:rFonts w:ascii="Times" w:eastAsia="Times" w:hAnsi="Times" w:cs="Times"/>
          <w:color w:val="000000"/>
          <w:sz w:val="24"/>
          <w:szCs w:val="24"/>
        </w:rPr>
        <w:t xml:space="preserve">fferent policy models would affect these harms would be useful, such an  analysis is complicated by the large number of social and health outcomes impacted  by the intertwining of non-medical heroin use with the policies implemented to  address these.  </w:t>
      </w:r>
    </w:p>
    <w:p w14:paraId="7883634B" w14:textId="77777777" w:rsidR="00CA2320" w:rsidRDefault="00713283">
      <w:pPr>
        <w:widowControl w:val="0"/>
        <w:pBdr>
          <w:top w:val="nil"/>
          <w:left w:val="nil"/>
          <w:bottom w:val="nil"/>
          <w:right w:val="nil"/>
          <w:between w:val="nil"/>
        </w:pBdr>
        <w:spacing w:before="282" w:line="229" w:lineRule="auto"/>
        <w:ind w:left="1696" w:right="841" w:firstLine="2"/>
        <w:rPr>
          <w:rFonts w:ascii="Times" w:eastAsia="Times" w:hAnsi="Times" w:cs="Times"/>
          <w:color w:val="000000"/>
          <w:sz w:val="24"/>
          <w:szCs w:val="24"/>
        </w:rPr>
      </w:pPr>
      <w:r>
        <w:rPr>
          <w:rFonts w:ascii="Times" w:eastAsia="Times" w:hAnsi="Times" w:cs="Times"/>
          <w:color w:val="000000"/>
          <w:sz w:val="24"/>
          <w:szCs w:val="24"/>
        </w:rPr>
        <w:t>Di</w:t>
      </w:r>
      <w:r>
        <w:rPr>
          <w:rFonts w:ascii="Times" w:eastAsia="Times" w:hAnsi="Times" w:cs="Times"/>
          <w:color w:val="000000"/>
          <w:sz w:val="24"/>
          <w:szCs w:val="24"/>
        </w:rPr>
        <w:t xml:space="preserve">fferent policy approaches are also likely to have a mix of positively and </w:t>
      </w:r>
      <w:proofErr w:type="gramStart"/>
      <w:r>
        <w:rPr>
          <w:rFonts w:ascii="Times" w:eastAsia="Times" w:hAnsi="Times" w:cs="Times"/>
          <w:color w:val="000000"/>
          <w:sz w:val="24"/>
          <w:szCs w:val="24"/>
        </w:rPr>
        <w:t>negatively  valued</w:t>
      </w:r>
      <w:proofErr w:type="gramEnd"/>
      <w:r>
        <w:rPr>
          <w:rFonts w:ascii="Times" w:eastAsia="Times" w:hAnsi="Times" w:cs="Times"/>
          <w:color w:val="000000"/>
          <w:sz w:val="24"/>
          <w:szCs w:val="24"/>
        </w:rPr>
        <w:t xml:space="preserve"> consequences, making trade-offs between different social goods unavoidable.  This is a challenge for drug policy in general. For example, while raising taxes </w:t>
      </w:r>
      <w:proofErr w:type="gramStart"/>
      <w:r>
        <w:rPr>
          <w:rFonts w:ascii="Times" w:eastAsia="Times" w:hAnsi="Times" w:cs="Times"/>
          <w:color w:val="000000"/>
          <w:sz w:val="24"/>
          <w:szCs w:val="24"/>
        </w:rPr>
        <w:t>on  c</w:t>
      </w:r>
      <w:r>
        <w:rPr>
          <w:rFonts w:ascii="Times" w:eastAsia="Times" w:hAnsi="Times" w:cs="Times"/>
          <w:color w:val="000000"/>
          <w:sz w:val="24"/>
          <w:szCs w:val="24"/>
        </w:rPr>
        <w:t>igarettes</w:t>
      </w:r>
      <w:proofErr w:type="gramEnd"/>
      <w:r>
        <w:rPr>
          <w:rFonts w:ascii="Times" w:eastAsia="Times" w:hAnsi="Times" w:cs="Times"/>
          <w:color w:val="000000"/>
          <w:sz w:val="24"/>
          <w:szCs w:val="24"/>
        </w:rPr>
        <w:t xml:space="preserve"> and alcohol increase government revenues and dissuades some users, the  increased legal prices also increase the potential profit opportunities from smuggling,  grey market sales, counterfeiting and shop theft. Conversely, the legalisation </w:t>
      </w:r>
      <w:proofErr w:type="gramStart"/>
      <w:r>
        <w:rPr>
          <w:rFonts w:ascii="Times" w:eastAsia="Times" w:hAnsi="Times" w:cs="Times"/>
          <w:color w:val="000000"/>
          <w:sz w:val="24"/>
          <w:szCs w:val="24"/>
        </w:rPr>
        <w:t>of  ca</w:t>
      </w:r>
      <w:r>
        <w:rPr>
          <w:rFonts w:ascii="Times" w:eastAsia="Times" w:hAnsi="Times" w:cs="Times"/>
          <w:color w:val="000000"/>
          <w:sz w:val="24"/>
          <w:szCs w:val="24"/>
        </w:rPr>
        <w:t>nnabis</w:t>
      </w:r>
      <w:proofErr w:type="gramEnd"/>
      <w:r>
        <w:rPr>
          <w:rFonts w:ascii="Times" w:eastAsia="Times" w:hAnsi="Times" w:cs="Times"/>
          <w:color w:val="000000"/>
          <w:sz w:val="24"/>
          <w:szCs w:val="24"/>
        </w:rPr>
        <w:t xml:space="preserve"> might reduce criminal justice costs and disproportionate criminalisation of  people who use cannabis, but lax regulation could lead to an increase in commercial  promotion, heavy use and associated health harms (</w:t>
      </w:r>
      <w:proofErr w:type="spellStart"/>
      <w:r>
        <w:rPr>
          <w:rFonts w:ascii="Times" w:eastAsia="Times" w:hAnsi="Times" w:cs="Times"/>
          <w:color w:val="000000"/>
          <w:sz w:val="24"/>
          <w:szCs w:val="24"/>
        </w:rPr>
        <w:t>Caulkins</w:t>
      </w:r>
      <w:proofErr w:type="spellEnd"/>
      <w:r>
        <w:rPr>
          <w:rFonts w:ascii="Times" w:eastAsia="Times" w:hAnsi="Times" w:cs="Times"/>
          <w:color w:val="000000"/>
          <w:sz w:val="24"/>
          <w:szCs w:val="24"/>
        </w:rPr>
        <w:t xml:space="preserve"> et al., 2016). </w:t>
      </w:r>
    </w:p>
    <w:p w14:paraId="6385392B" w14:textId="77777777" w:rsidR="00CA2320" w:rsidRDefault="00713283">
      <w:pPr>
        <w:widowControl w:val="0"/>
        <w:pBdr>
          <w:top w:val="nil"/>
          <w:left w:val="nil"/>
          <w:bottom w:val="nil"/>
          <w:right w:val="nil"/>
          <w:between w:val="nil"/>
        </w:pBdr>
        <w:spacing w:before="281" w:line="229" w:lineRule="auto"/>
        <w:ind w:left="1695" w:right="741" w:firstLine="3"/>
        <w:rPr>
          <w:rFonts w:ascii="Times" w:eastAsia="Times" w:hAnsi="Times" w:cs="Times"/>
          <w:color w:val="000000"/>
          <w:sz w:val="24"/>
          <w:szCs w:val="24"/>
        </w:rPr>
      </w:pPr>
      <w:r>
        <w:rPr>
          <w:rFonts w:ascii="Times" w:eastAsia="Times" w:hAnsi="Times" w:cs="Times"/>
          <w:color w:val="000000"/>
          <w:sz w:val="24"/>
          <w:szCs w:val="24"/>
        </w:rPr>
        <w:t xml:space="preserve">Trade-offs can only be made using some normative criterion, and this, in turn, </w:t>
      </w:r>
      <w:proofErr w:type="gramStart"/>
      <w:r>
        <w:rPr>
          <w:rFonts w:ascii="Times" w:eastAsia="Times" w:hAnsi="Times" w:cs="Times"/>
          <w:color w:val="000000"/>
          <w:sz w:val="24"/>
          <w:szCs w:val="24"/>
        </w:rPr>
        <w:t>raises  the</w:t>
      </w:r>
      <w:proofErr w:type="gramEnd"/>
      <w:r>
        <w:rPr>
          <w:rFonts w:ascii="Times" w:eastAsia="Times" w:hAnsi="Times" w:cs="Times"/>
          <w:color w:val="000000"/>
          <w:sz w:val="24"/>
          <w:szCs w:val="24"/>
        </w:rPr>
        <w:t xml:space="preserve"> question of how different interest groups and stakeholders may prioritise different  outcomes and how such prioritisation may in turn influence policy views. </w:t>
      </w:r>
      <w:proofErr w:type="gramStart"/>
      <w:r>
        <w:rPr>
          <w:rFonts w:ascii="Times" w:eastAsia="Times" w:hAnsi="Times" w:cs="Times"/>
          <w:color w:val="000000"/>
          <w:sz w:val="24"/>
          <w:szCs w:val="24"/>
        </w:rPr>
        <w:t>For  ex</w:t>
      </w:r>
      <w:r>
        <w:rPr>
          <w:rFonts w:ascii="Times" w:eastAsia="Times" w:hAnsi="Times" w:cs="Times"/>
          <w:color w:val="000000"/>
          <w:sz w:val="24"/>
          <w:szCs w:val="24"/>
        </w:rPr>
        <w:t>ample</w:t>
      </w:r>
      <w:proofErr w:type="gramEnd"/>
      <w:r>
        <w:rPr>
          <w:rFonts w:ascii="Times" w:eastAsia="Times" w:hAnsi="Times" w:cs="Times"/>
          <w:color w:val="000000"/>
          <w:sz w:val="24"/>
          <w:szCs w:val="24"/>
        </w:rPr>
        <w:t>; the police may prioritise crime reduction; the finance ministry may prioritise  spending efficiencies and tax revenue generation; parents may prioritise child  protection; health professionals may prioritise prevention, treatment, and reducing  over</w:t>
      </w:r>
      <w:r>
        <w:rPr>
          <w:rFonts w:ascii="Times" w:eastAsia="Times" w:hAnsi="Times" w:cs="Times"/>
          <w:color w:val="000000"/>
          <w:sz w:val="24"/>
          <w:szCs w:val="24"/>
        </w:rPr>
        <w:t xml:space="preserve">dose risks, and so on. The intrinsic complexity of thinking about impacts </w:t>
      </w:r>
      <w:proofErr w:type="gramStart"/>
      <w:r>
        <w:rPr>
          <w:rFonts w:ascii="Times" w:eastAsia="Times" w:hAnsi="Times" w:cs="Times"/>
          <w:color w:val="000000"/>
          <w:sz w:val="24"/>
          <w:szCs w:val="24"/>
        </w:rPr>
        <w:t>on  multiple</w:t>
      </w:r>
      <w:proofErr w:type="gramEnd"/>
      <w:r>
        <w:rPr>
          <w:rFonts w:ascii="Times" w:eastAsia="Times" w:hAnsi="Times" w:cs="Times"/>
          <w:color w:val="000000"/>
          <w:sz w:val="24"/>
          <w:szCs w:val="24"/>
        </w:rPr>
        <w:t>, often conflicting sets of indicators; the challenge of integrating an evidence  base spanning multiple research disciplines and policy areas; the differences in  normat</w:t>
      </w:r>
      <w:r>
        <w:rPr>
          <w:rFonts w:ascii="Times" w:eastAsia="Times" w:hAnsi="Times" w:cs="Times"/>
          <w:color w:val="000000"/>
          <w:sz w:val="24"/>
          <w:szCs w:val="24"/>
        </w:rPr>
        <w:t xml:space="preserve">ive judgments regarding the relative importance of outcomes; and the human  tendency to be swayed by cognitive biases both as individuals and as members of  groups, all contribute to making rational and deliberate decision making highly  challenging.  </w:t>
      </w:r>
    </w:p>
    <w:p w14:paraId="08EF0975" w14:textId="77777777" w:rsidR="00CA2320" w:rsidRDefault="00713283">
      <w:pPr>
        <w:widowControl w:val="0"/>
        <w:pBdr>
          <w:top w:val="nil"/>
          <w:left w:val="nil"/>
          <w:bottom w:val="nil"/>
          <w:right w:val="nil"/>
          <w:between w:val="nil"/>
        </w:pBdr>
        <w:spacing w:before="281" w:line="229" w:lineRule="auto"/>
        <w:ind w:left="1696" w:right="746"/>
        <w:rPr>
          <w:rFonts w:ascii="Times" w:eastAsia="Times" w:hAnsi="Times" w:cs="Times"/>
          <w:color w:val="000000"/>
          <w:sz w:val="24"/>
          <w:szCs w:val="24"/>
        </w:rPr>
      </w:pPr>
      <w:r>
        <w:rPr>
          <w:rFonts w:ascii="Times" w:eastAsia="Times" w:hAnsi="Times" w:cs="Times"/>
          <w:color w:val="000000"/>
          <w:sz w:val="24"/>
          <w:szCs w:val="24"/>
        </w:rPr>
        <w:t xml:space="preserve">We </w:t>
      </w:r>
      <w:r>
        <w:rPr>
          <w:rFonts w:ascii="Times" w:eastAsia="Times" w:hAnsi="Times" w:cs="Times"/>
          <w:color w:val="000000"/>
          <w:sz w:val="24"/>
          <w:szCs w:val="24"/>
        </w:rPr>
        <w:t xml:space="preserve">here report on the outcomes of a decision conference that developed a </w:t>
      </w:r>
      <w:proofErr w:type="gramStart"/>
      <w:r>
        <w:rPr>
          <w:rFonts w:ascii="Times" w:eastAsia="Times" w:hAnsi="Times" w:cs="Times"/>
          <w:color w:val="000000"/>
          <w:sz w:val="24"/>
          <w:szCs w:val="24"/>
        </w:rPr>
        <w:t>structured  choice</w:t>
      </w:r>
      <w:proofErr w:type="gramEnd"/>
      <w:r>
        <w:rPr>
          <w:rFonts w:ascii="Times" w:eastAsia="Times" w:hAnsi="Times" w:cs="Times"/>
          <w:color w:val="000000"/>
          <w:sz w:val="24"/>
          <w:szCs w:val="24"/>
        </w:rPr>
        <w:t xml:space="preserve"> analysis of drug policy regimes. The conference invited experts on drug </w:t>
      </w:r>
      <w:proofErr w:type="gramStart"/>
      <w:r>
        <w:rPr>
          <w:rFonts w:ascii="Times" w:eastAsia="Times" w:hAnsi="Times" w:cs="Times"/>
          <w:color w:val="000000"/>
          <w:sz w:val="24"/>
          <w:szCs w:val="24"/>
        </w:rPr>
        <w:t>harms,  addiction</w:t>
      </w:r>
      <w:proofErr w:type="gramEnd"/>
      <w:r>
        <w:rPr>
          <w:rFonts w:ascii="Times" w:eastAsia="Times" w:hAnsi="Times" w:cs="Times"/>
          <w:color w:val="000000"/>
          <w:sz w:val="24"/>
          <w:szCs w:val="24"/>
        </w:rPr>
        <w:t>, criminology and drug policy to develop a comprehensive set of policy  outcom</w:t>
      </w:r>
      <w:r>
        <w:rPr>
          <w:rFonts w:ascii="Times" w:eastAsia="Times" w:hAnsi="Times" w:cs="Times"/>
          <w:color w:val="000000"/>
          <w:sz w:val="24"/>
          <w:szCs w:val="24"/>
        </w:rPr>
        <w:t xml:space="preserve">e criteria against which different generic drug policy regimes could be  assessed, using a facilitated Multi-Criteria Decision Analysis (MCDA). The </w:t>
      </w:r>
      <w:proofErr w:type="gramStart"/>
      <w:r>
        <w:rPr>
          <w:rFonts w:ascii="Times" w:eastAsia="Times" w:hAnsi="Times" w:cs="Times"/>
          <w:color w:val="000000"/>
          <w:sz w:val="24"/>
          <w:szCs w:val="24"/>
        </w:rPr>
        <w:t>policy  regimes</w:t>
      </w:r>
      <w:proofErr w:type="gramEnd"/>
      <w:r>
        <w:rPr>
          <w:rFonts w:ascii="Times" w:eastAsia="Times" w:hAnsi="Times" w:cs="Times"/>
          <w:color w:val="000000"/>
          <w:sz w:val="24"/>
          <w:szCs w:val="24"/>
        </w:rPr>
        <w:t xml:space="preserve"> were ranked separately for three different drugs: alcohol, cannabis and  heroin. The results</w:t>
      </w:r>
      <w:r>
        <w:rPr>
          <w:rFonts w:ascii="Times" w:eastAsia="Times" w:hAnsi="Times" w:cs="Times"/>
          <w:color w:val="000000"/>
          <w:sz w:val="24"/>
          <w:szCs w:val="24"/>
        </w:rPr>
        <w:t xml:space="preserve"> for alcohol and cannabis have been reported elsewhere (</w:t>
      </w:r>
      <w:proofErr w:type="spellStart"/>
      <w:proofErr w:type="gramStart"/>
      <w:r>
        <w:rPr>
          <w:rFonts w:ascii="Times" w:eastAsia="Times" w:hAnsi="Times" w:cs="Times"/>
          <w:color w:val="000000"/>
          <w:sz w:val="24"/>
          <w:szCs w:val="24"/>
        </w:rPr>
        <w:t>Rogeberg</w:t>
      </w:r>
      <w:proofErr w:type="spellEnd"/>
      <w:r>
        <w:rPr>
          <w:rFonts w:ascii="Times" w:eastAsia="Times" w:hAnsi="Times" w:cs="Times"/>
          <w:color w:val="000000"/>
          <w:sz w:val="24"/>
          <w:szCs w:val="24"/>
        </w:rPr>
        <w:t xml:space="preserve">  et al.</w:t>
      </w:r>
      <w:proofErr w:type="gramEnd"/>
      <w:r>
        <w:rPr>
          <w:rFonts w:ascii="Times" w:eastAsia="Times" w:hAnsi="Times" w:cs="Times"/>
          <w:color w:val="000000"/>
          <w:sz w:val="24"/>
          <w:szCs w:val="24"/>
        </w:rPr>
        <w:t xml:space="preserve">, 2018). We </w:t>
      </w:r>
      <w:proofErr w:type="gramStart"/>
      <w:r>
        <w:rPr>
          <w:rFonts w:ascii="Times" w:eastAsia="Times" w:hAnsi="Times" w:cs="Times"/>
          <w:color w:val="000000"/>
          <w:sz w:val="24"/>
          <w:szCs w:val="24"/>
        </w:rPr>
        <w:t>here</w:t>
      </w:r>
      <w:proofErr w:type="gramEnd"/>
      <w:r>
        <w:rPr>
          <w:rFonts w:ascii="Times" w:eastAsia="Times" w:hAnsi="Times" w:cs="Times"/>
          <w:color w:val="000000"/>
          <w:sz w:val="24"/>
          <w:szCs w:val="24"/>
        </w:rPr>
        <w:t xml:space="preserve"> report on the results for heroin. </w:t>
      </w:r>
    </w:p>
    <w:p w14:paraId="554A7105" w14:textId="77777777" w:rsidR="00CA2320" w:rsidRDefault="00713283">
      <w:pPr>
        <w:widowControl w:val="0"/>
        <w:pBdr>
          <w:top w:val="nil"/>
          <w:left w:val="nil"/>
          <w:bottom w:val="nil"/>
          <w:right w:val="nil"/>
          <w:between w:val="nil"/>
        </w:pBdr>
        <w:spacing w:before="272" w:line="240" w:lineRule="auto"/>
        <w:ind w:left="1701"/>
        <w:rPr>
          <w:rFonts w:ascii="Times" w:eastAsia="Times" w:hAnsi="Times" w:cs="Times"/>
          <w:b/>
          <w:sz w:val="24"/>
          <w:szCs w:val="24"/>
        </w:rPr>
      </w:pPr>
      <w:r>
        <w:rPr>
          <w:rFonts w:ascii="Times" w:eastAsia="Times" w:hAnsi="Times" w:cs="Times"/>
          <w:b/>
          <w:color w:val="000000"/>
          <w:sz w:val="36"/>
          <w:szCs w:val="36"/>
        </w:rPr>
        <w:t>Methods</w:t>
      </w:r>
      <w:r>
        <w:rPr>
          <w:rFonts w:ascii="Times" w:eastAsia="Times" w:hAnsi="Times" w:cs="Times"/>
          <w:b/>
          <w:sz w:val="36"/>
          <w:szCs w:val="36"/>
        </w:rPr>
        <w:br/>
      </w:r>
      <w:r>
        <w:rPr>
          <w:rFonts w:ascii="Times" w:eastAsia="Times" w:hAnsi="Times" w:cs="Times"/>
          <w:b/>
        </w:rPr>
        <w:br/>
      </w:r>
      <w:r>
        <w:rPr>
          <w:rFonts w:ascii="Times" w:eastAsia="Times" w:hAnsi="Times" w:cs="Times"/>
          <w:color w:val="000000"/>
          <w:sz w:val="24"/>
          <w:szCs w:val="24"/>
        </w:rPr>
        <w:t xml:space="preserve">The development of an MCDA for appraising different policy models took </w:t>
      </w:r>
      <w:proofErr w:type="gramStart"/>
      <w:r>
        <w:rPr>
          <w:rFonts w:ascii="Times" w:eastAsia="Times" w:hAnsi="Times" w:cs="Times"/>
          <w:color w:val="000000"/>
          <w:sz w:val="24"/>
          <w:szCs w:val="24"/>
        </w:rPr>
        <w:t>place  during</w:t>
      </w:r>
      <w:proofErr w:type="gramEnd"/>
      <w:r>
        <w:rPr>
          <w:rFonts w:ascii="Times" w:eastAsia="Times" w:hAnsi="Times" w:cs="Times"/>
          <w:color w:val="000000"/>
          <w:sz w:val="24"/>
          <w:szCs w:val="24"/>
        </w:rPr>
        <w:t xml:space="preserve"> a ‘decision conference’ of invited exp</w:t>
      </w:r>
      <w:r>
        <w:rPr>
          <w:rFonts w:ascii="Times" w:eastAsia="Times" w:hAnsi="Times" w:cs="Times"/>
          <w:color w:val="000000"/>
          <w:sz w:val="24"/>
          <w:szCs w:val="24"/>
        </w:rPr>
        <w:t xml:space="preserve">erts, facilitated by an impartial specialist  in group processes and decision analysis, Professor Lawrence Phillips. A diverse group of experts on drug-related harms, addiction, criminology, and drug policy </w:t>
      </w:r>
      <w:proofErr w:type="gramStart"/>
      <w:r>
        <w:rPr>
          <w:rFonts w:ascii="Times" w:eastAsia="Times" w:hAnsi="Times" w:cs="Times"/>
          <w:color w:val="000000"/>
          <w:sz w:val="24"/>
          <w:szCs w:val="24"/>
        </w:rPr>
        <w:t>was  assembled</w:t>
      </w:r>
      <w:proofErr w:type="gramEnd"/>
      <w:r>
        <w:rPr>
          <w:rFonts w:ascii="Times" w:eastAsia="Times" w:hAnsi="Times" w:cs="Times"/>
          <w:color w:val="000000"/>
          <w:sz w:val="24"/>
          <w:szCs w:val="24"/>
        </w:rPr>
        <w:t xml:space="preserve"> </w:t>
      </w:r>
      <w:r>
        <w:rPr>
          <w:rFonts w:ascii="Times" w:eastAsia="Times" w:hAnsi="Times" w:cs="Times"/>
          <w:i/>
          <w:color w:val="000000"/>
          <w:sz w:val="24"/>
          <w:szCs w:val="24"/>
        </w:rPr>
        <w:t>(Panel 1)</w:t>
      </w:r>
      <w:r>
        <w:rPr>
          <w:rFonts w:ascii="Times" w:eastAsia="Times" w:hAnsi="Times" w:cs="Times"/>
          <w:color w:val="000000"/>
          <w:sz w:val="24"/>
          <w:szCs w:val="24"/>
        </w:rPr>
        <w:t xml:space="preserve">. A detailed description and explanation of the MCDA </w:t>
      </w:r>
      <w:proofErr w:type="gramStart"/>
      <w:r>
        <w:rPr>
          <w:rFonts w:ascii="Times" w:eastAsia="Times" w:hAnsi="Times" w:cs="Times"/>
          <w:color w:val="000000"/>
          <w:sz w:val="24"/>
          <w:szCs w:val="24"/>
        </w:rPr>
        <w:t>process  has</w:t>
      </w:r>
      <w:proofErr w:type="gramEnd"/>
      <w:r>
        <w:rPr>
          <w:rFonts w:ascii="Times" w:eastAsia="Times" w:hAnsi="Times" w:cs="Times"/>
          <w:color w:val="000000"/>
          <w:sz w:val="24"/>
          <w:szCs w:val="24"/>
        </w:rPr>
        <w:t xml:space="preserve"> already been made available in a previous published paper (</w:t>
      </w:r>
      <w:proofErr w:type="spellStart"/>
      <w:r>
        <w:rPr>
          <w:rFonts w:ascii="Times" w:eastAsia="Times" w:hAnsi="Times" w:cs="Times"/>
          <w:color w:val="000000"/>
          <w:sz w:val="24"/>
          <w:szCs w:val="24"/>
        </w:rPr>
        <w:t>Rogeberg</w:t>
      </w:r>
      <w:proofErr w:type="spellEnd"/>
      <w:r>
        <w:rPr>
          <w:rFonts w:ascii="Times" w:eastAsia="Times" w:hAnsi="Times" w:cs="Times"/>
          <w:color w:val="000000"/>
          <w:sz w:val="24"/>
          <w:szCs w:val="24"/>
        </w:rPr>
        <w:t xml:space="preserve"> et al.,  2018). We here provide </w:t>
      </w:r>
      <w:proofErr w:type="gramStart"/>
      <w:r>
        <w:rPr>
          <w:rFonts w:ascii="Times" w:eastAsia="Times" w:hAnsi="Times" w:cs="Times"/>
          <w:color w:val="000000"/>
          <w:sz w:val="24"/>
          <w:szCs w:val="24"/>
        </w:rPr>
        <w:t>a brief summary</w:t>
      </w:r>
      <w:proofErr w:type="gramEnd"/>
      <w:r>
        <w:rPr>
          <w:rFonts w:ascii="Times" w:eastAsia="Times" w:hAnsi="Times" w:cs="Times"/>
          <w:color w:val="000000"/>
          <w:sz w:val="24"/>
          <w:szCs w:val="24"/>
        </w:rPr>
        <w:t xml:space="preserve">.  </w:t>
      </w:r>
      <w:r>
        <w:rPr>
          <w:rFonts w:ascii="Times" w:eastAsia="Times" w:hAnsi="Times" w:cs="Times"/>
          <w:sz w:val="24"/>
          <w:szCs w:val="24"/>
        </w:rPr>
        <w:br/>
      </w:r>
      <w:r>
        <w:rPr>
          <w:rFonts w:ascii="Times" w:eastAsia="Times" w:hAnsi="Times" w:cs="Times"/>
          <w:sz w:val="24"/>
          <w:szCs w:val="24"/>
        </w:rPr>
        <w:br/>
      </w:r>
      <w:r>
        <w:rPr>
          <w:rFonts w:ascii="Times" w:eastAsia="Times" w:hAnsi="Times" w:cs="Times"/>
          <w:b/>
          <w:sz w:val="24"/>
          <w:szCs w:val="24"/>
        </w:rPr>
        <w:t xml:space="preserve">Panel 1: Participants </w:t>
      </w:r>
      <w:r>
        <w:rPr>
          <w:rFonts w:ascii="Times" w:eastAsia="Times" w:hAnsi="Times" w:cs="Times"/>
          <w:b/>
          <w:sz w:val="24"/>
          <w:szCs w:val="24"/>
        </w:rPr>
        <w:br/>
      </w:r>
    </w:p>
    <w:tbl>
      <w:tblPr>
        <w:tblStyle w:val="a0"/>
        <w:tblW w:w="9086" w:type="dxa"/>
        <w:tblInd w:w="18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86"/>
      </w:tblGrid>
      <w:tr w:rsidR="00CA2320" w14:paraId="3EB34392" w14:textId="77777777">
        <w:tc>
          <w:tcPr>
            <w:tcW w:w="9086" w:type="dxa"/>
            <w:shd w:val="clear" w:color="auto" w:fill="auto"/>
            <w:tcMar>
              <w:top w:w="100" w:type="dxa"/>
              <w:left w:w="100" w:type="dxa"/>
              <w:bottom w:w="100" w:type="dxa"/>
              <w:right w:w="100" w:type="dxa"/>
            </w:tcMar>
          </w:tcPr>
          <w:p w14:paraId="23DEAA67" w14:textId="77777777" w:rsidR="00CA2320" w:rsidRDefault="00713283">
            <w:pPr>
              <w:widowControl w:val="0"/>
              <w:spacing w:before="274" w:line="264" w:lineRule="auto"/>
              <w:ind w:left="258" w:right="463"/>
              <w:rPr>
                <w:rFonts w:ascii="Times" w:eastAsia="Times" w:hAnsi="Times" w:cs="Times"/>
                <w:sz w:val="19"/>
                <w:szCs w:val="19"/>
              </w:rPr>
            </w:pPr>
            <w:r>
              <w:rPr>
                <w:rFonts w:ascii="Times" w:eastAsia="Times" w:hAnsi="Times" w:cs="Times"/>
                <w:sz w:val="19"/>
                <w:szCs w:val="19"/>
              </w:rPr>
              <w:t>Dima Abdulrahim Addiction and Offender Care Di</w:t>
            </w:r>
            <w:r>
              <w:rPr>
                <w:rFonts w:ascii="Times" w:eastAsia="Times" w:hAnsi="Times" w:cs="Times"/>
                <w:sz w:val="19"/>
                <w:szCs w:val="19"/>
              </w:rPr>
              <w:t xml:space="preserve">rectorate, Central and Northwest London </w:t>
            </w:r>
            <w:proofErr w:type="gramStart"/>
            <w:r>
              <w:rPr>
                <w:rFonts w:ascii="Times" w:eastAsia="Times" w:hAnsi="Times" w:cs="Times"/>
                <w:sz w:val="19"/>
                <w:szCs w:val="19"/>
              </w:rPr>
              <w:t>NHS  Foundation</w:t>
            </w:r>
            <w:proofErr w:type="gramEnd"/>
            <w:r>
              <w:rPr>
                <w:rFonts w:ascii="Times" w:eastAsia="Times" w:hAnsi="Times" w:cs="Times"/>
                <w:sz w:val="19"/>
                <w:szCs w:val="19"/>
              </w:rPr>
              <w:t xml:space="preserve"> Trust </w:t>
            </w:r>
          </w:p>
          <w:p w14:paraId="303C063D" w14:textId="77777777" w:rsidR="00CA2320" w:rsidRDefault="00713283">
            <w:pPr>
              <w:widowControl w:val="0"/>
              <w:spacing w:before="10" w:line="240" w:lineRule="auto"/>
              <w:ind w:left="257"/>
              <w:rPr>
                <w:rFonts w:ascii="Times" w:eastAsia="Times" w:hAnsi="Times" w:cs="Times"/>
                <w:sz w:val="19"/>
                <w:szCs w:val="19"/>
              </w:rPr>
            </w:pPr>
            <w:r>
              <w:rPr>
                <w:rFonts w:ascii="Times" w:eastAsia="Times" w:hAnsi="Times" w:cs="Times"/>
                <w:sz w:val="19"/>
                <w:szCs w:val="19"/>
              </w:rPr>
              <w:t xml:space="preserve">Jan van Amsterdam </w:t>
            </w:r>
            <w:proofErr w:type="spellStart"/>
            <w:r>
              <w:rPr>
                <w:rFonts w:ascii="Times" w:eastAsia="Times" w:hAnsi="Times" w:cs="Times"/>
                <w:sz w:val="19"/>
                <w:szCs w:val="19"/>
              </w:rPr>
              <w:t>Amsterdam</w:t>
            </w:r>
            <w:proofErr w:type="spellEnd"/>
            <w:r>
              <w:rPr>
                <w:rFonts w:ascii="Times" w:eastAsia="Times" w:hAnsi="Times" w:cs="Times"/>
                <w:sz w:val="19"/>
                <w:szCs w:val="19"/>
              </w:rPr>
              <w:t xml:space="preserve"> Institute for Addiction Research  </w:t>
            </w:r>
          </w:p>
          <w:p w14:paraId="09C81D51" w14:textId="77777777" w:rsidR="00CA2320" w:rsidRDefault="00713283">
            <w:pPr>
              <w:widowControl w:val="0"/>
              <w:spacing w:before="31" w:line="240" w:lineRule="auto"/>
              <w:ind w:left="258"/>
              <w:rPr>
                <w:rFonts w:ascii="Times" w:eastAsia="Times" w:hAnsi="Times" w:cs="Times"/>
                <w:color w:val="030303"/>
                <w:sz w:val="19"/>
                <w:szCs w:val="19"/>
              </w:rPr>
            </w:pPr>
            <w:r>
              <w:rPr>
                <w:rFonts w:ascii="Times" w:eastAsia="Times" w:hAnsi="Times" w:cs="Times"/>
                <w:sz w:val="19"/>
                <w:szCs w:val="19"/>
              </w:rPr>
              <w:t xml:space="preserve">Roland Archer </w:t>
            </w:r>
            <w:r>
              <w:rPr>
                <w:rFonts w:ascii="Times" w:eastAsia="Times" w:hAnsi="Times" w:cs="Times"/>
                <w:color w:val="030303"/>
                <w:sz w:val="19"/>
                <w:szCs w:val="19"/>
              </w:rPr>
              <w:t xml:space="preserve">Analytical Laboratory, Guernsey (first conference only) </w:t>
            </w:r>
          </w:p>
          <w:p w14:paraId="5D196705" w14:textId="77777777" w:rsidR="00CA2320" w:rsidRDefault="00713283">
            <w:pPr>
              <w:widowControl w:val="0"/>
              <w:spacing w:before="31" w:line="266" w:lineRule="auto"/>
              <w:ind w:left="257" w:right="1943"/>
              <w:rPr>
                <w:rFonts w:ascii="Times" w:eastAsia="Times" w:hAnsi="Times" w:cs="Times"/>
                <w:color w:val="030303"/>
                <w:sz w:val="19"/>
                <w:szCs w:val="19"/>
              </w:rPr>
            </w:pPr>
            <w:r>
              <w:rPr>
                <w:rFonts w:ascii="Times" w:eastAsia="Times" w:hAnsi="Times" w:cs="Times"/>
                <w:sz w:val="19"/>
                <w:szCs w:val="19"/>
              </w:rPr>
              <w:t xml:space="preserve">Daniel </w:t>
            </w:r>
            <w:proofErr w:type="spellStart"/>
            <w:r>
              <w:rPr>
                <w:rFonts w:ascii="Times" w:eastAsia="Times" w:hAnsi="Times" w:cs="Times"/>
                <w:sz w:val="19"/>
                <w:szCs w:val="19"/>
              </w:rPr>
              <w:t>Bergsvik</w:t>
            </w:r>
            <w:proofErr w:type="spellEnd"/>
            <w:r>
              <w:rPr>
                <w:rFonts w:ascii="Times" w:eastAsia="Times" w:hAnsi="Times" w:cs="Times"/>
                <w:sz w:val="19"/>
                <w:szCs w:val="19"/>
              </w:rPr>
              <w:t xml:space="preserve"> SIRUS - Norwegian Institute for Alcohol and Drug Research </w:t>
            </w:r>
            <w:r>
              <w:rPr>
                <w:rFonts w:ascii="Times" w:eastAsia="Times" w:hAnsi="Times" w:cs="Times"/>
                <w:sz w:val="19"/>
                <w:szCs w:val="19"/>
              </w:rPr>
              <w:br/>
              <w:t xml:space="preserve">Eric Carlin </w:t>
            </w:r>
            <w:r>
              <w:rPr>
                <w:rFonts w:ascii="Times" w:eastAsia="Times" w:hAnsi="Times" w:cs="Times"/>
                <w:color w:val="030303"/>
                <w:sz w:val="19"/>
                <w:szCs w:val="19"/>
              </w:rPr>
              <w:t xml:space="preserve">Scottish Health Action on Alcohol (first conference only) </w:t>
            </w:r>
            <w:r>
              <w:rPr>
                <w:rFonts w:ascii="Times" w:eastAsia="Times" w:hAnsi="Times" w:cs="Times"/>
                <w:color w:val="030303"/>
                <w:sz w:val="19"/>
                <w:szCs w:val="19"/>
              </w:rPr>
              <w:br/>
            </w:r>
            <w:r>
              <w:rPr>
                <w:rFonts w:ascii="Times" w:eastAsia="Times" w:hAnsi="Times" w:cs="Times"/>
                <w:sz w:val="19"/>
                <w:szCs w:val="19"/>
              </w:rPr>
              <w:t xml:space="preserve">Niamh Eastwood </w:t>
            </w:r>
            <w:r>
              <w:rPr>
                <w:rFonts w:ascii="Times" w:eastAsia="Times" w:hAnsi="Times" w:cs="Times"/>
                <w:color w:val="030303"/>
                <w:sz w:val="19"/>
                <w:szCs w:val="19"/>
              </w:rPr>
              <w:t xml:space="preserve">Executive Director, Release </w:t>
            </w:r>
          </w:p>
          <w:p w14:paraId="3292064E" w14:textId="77777777" w:rsidR="00CA2320" w:rsidRDefault="00713283">
            <w:pPr>
              <w:widowControl w:val="0"/>
              <w:spacing w:before="9" w:line="240" w:lineRule="auto"/>
              <w:ind w:left="261"/>
              <w:rPr>
                <w:rFonts w:ascii="Times" w:eastAsia="Times" w:hAnsi="Times" w:cs="Times"/>
                <w:sz w:val="19"/>
                <w:szCs w:val="19"/>
              </w:rPr>
            </w:pPr>
            <w:r>
              <w:rPr>
                <w:rFonts w:ascii="Times" w:eastAsia="Times" w:hAnsi="Times" w:cs="Times"/>
                <w:sz w:val="19"/>
                <w:szCs w:val="19"/>
              </w:rPr>
              <w:t xml:space="preserve">Graeme Henderson Professor of Pharmacology, Bristol University </w:t>
            </w:r>
          </w:p>
          <w:p w14:paraId="2708AFDC" w14:textId="77777777" w:rsidR="00CA2320" w:rsidRDefault="00713283">
            <w:pPr>
              <w:widowControl w:val="0"/>
              <w:spacing w:before="32" w:line="265" w:lineRule="auto"/>
              <w:ind w:left="257" w:right="-19"/>
              <w:rPr>
                <w:rFonts w:ascii="Times" w:eastAsia="Times" w:hAnsi="Times" w:cs="Times"/>
                <w:color w:val="030303"/>
                <w:sz w:val="19"/>
                <w:szCs w:val="19"/>
              </w:rPr>
            </w:pPr>
            <w:r>
              <w:rPr>
                <w:rFonts w:ascii="Times" w:eastAsia="Times" w:hAnsi="Times" w:cs="Times"/>
                <w:sz w:val="19"/>
                <w:szCs w:val="19"/>
              </w:rPr>
              <w:t>To</w:t>
            </w:r>
            <w:r>
              <w:rPr>
                <w:rFonts w:ascii="Times" w:eastAsia="Times" w:hAnsi="Times" w:cs="Times"/>
                <w:sz w:val="19"/>
                <w:szCs w:val="19"/>
              </w:rPr>
              <w:t xml:space="preserve">m Lloyd </w:t>
            </w:r>
            <w:r>
              <w:rPr>
                <w:rFonts w:ascii="Times" w:eastAsia="Times" w:hAnsi="Times" w:cs="Times"/>
                <w:color w:val="030303"/>
                <w:sz w:val="19"/>
                <w:szCs w:val="19"/>
              </w:rPr>
              <w:t xml:space="preserve">Independent drugs policy advisor, former Cambridgeshire chief police constable </w:t>
            </w:r>
            <w:r>
              <w:rPr>
                <w:rFonts w:ascii="Times" w:eastAsia="Times" w:hAnsi="Times" w:cs="Times"/>
                <w:color w:val="030303"/>
                <w:sz w:val="19"/>
                <w:szCs w:val="19"/>
              </w:rPr>
              <w:br/>
            </w:r>
            <w:r>
              <w:rPr>
                <w:rFonts w:ascii="Times" w:eastAsia="Times" w:hAnsi="Times" w:cs="Times"/>
                <w:sz w:val="19"/>
                <w:szCs w:val="19"/>
              </w:rPr>
              <w:t xml:space="preserve">Michael </w:t>
            </w:r>
            <w:proofErr w:type="spellStart"/>
            <w:r>
              <w:rPr>
                <w:rFonts w:ascii="Times" w:eastAsia="Times" w:hAnsi="Times" w:cs="Times"/>
                <w:sz w:val="19"/>
                <w:szCs w:val="19"/>
              </w:rPr>
              <w:t>Lynsky</w:t>
            </w:r>
            <w:proofErr w:type="spellEnd"/>
            <w:r>
              <w:rPr>
                <w:rFonts w:ascii="Times" w:eastAsia="Times" w:hAnsi="Times" w:cs="Times"/>
                <w:sz w:val="19"/>
                <w:szCs w:val="19"/>
              </w:rPr>
              <w:t xml:space="preserve"> Epidemiologist and </w:t>
            </w:r>
            <w:r>
              <w:rPr>
                <w:rFonts w:ascii="Times" w:eastAsia="Times" w:hAnsi="Times" w:cs="Times"/>
                <w:color w:val="030303"/>
                <w:sz w:val="19"/>
                <w:szCs w:val="19"/>
              </w:rPr>
              <w:t>Professor of Addictions</w:t>
            </w:r>
            <w:r>
              <w:rPr>
                <w:rFonts w:ascii="Times" w:eastAsia="Times" w:hAnsi="Times" w:cs="Times"/>
                <w:color w:val="030303"/>
                <w:sz w:val="19"/>
                <w:szCs w:val="19"/>
              </w:rPr>
              <w:br/>
            </w:r>
            <w:r>
              <w:rPr>
                <w:rFonts w:ascii="Times" w:eastAsia="Times" w:hAnsi="Times" w:cs="Times"/>
                <w:sz w:val="19"/>
                <w:szCs w:val="19"/>
              </w:rPr>
              <w:t xml:space="preserve">Fiona Measham </w:t>
            </w:r>
            <w:r>
              <w:rPr>
                <w:rFonts w:ascii="Times" w:eastAsia="Times" w:hAnsi="Times" w:cs="Times"/>
                <w:color w:val="030303"/>
                <w:sz w:val="19"/>
                <w:szCs w:val="19"/>
              </w:rPr>
              <w:t xml:space="preserve">Professor of Criminology, University of Liverpool, and co-Director of The Loop </w:t>
            </w:r>
            <w:proofErr w:type="gramStart"/>
            <w:r>
              <w:rPr>
                <w:rFonts w:ascii="Times" w:eastAsia="Times" w:hAnsi="Times" w:cs="Times"/>
                <w:color w:val="030303"/>
                <w:sz w:val="19"/>
                <w:szCs w:val="19"/>
              </w:rPr>
              <w:t>UK  and</w:t>
            </w:r>
            <w:proofErr w:type="gramEnd"/>
            <w:r>
              <w:rPr>
                <w:rFonts w:ascii="Times" w:eastAsia="Times" w:hAnsi="Times" w:cs="Times"/>
                <w:color w:val="030303"/>
                <w:sz w:val="19"/>
                <w:szCs w:val="19"/>
              </w:rPr>
              <w:t xml:space="preserve"> the Loop </w:t>
            </w:r>
            <w:r>
              <w:rPr>
                <w:rFonts w:ascii="Times" w:eastAsia="Times" w:hAnsi="Times" w:cs="Times"/>
                <w:color w:val="030303"/>
                <w:sz w:val="19"/>
                <w:szCs w:val="19"/>
              </w:rPr>
              <w:t xml:space="preserve">AU (harm reduction </w:t>
            </w:r>
            <w:proofErr w:type="spellStart"/>
            <w:r>
              <w:rPr>
                <w:rFonts w:ascii="Times" w:eastAsia="Times" w:hAnsi="Times" w:cs="Times"/>
                <w:color w:val="030303"/>
                <w:sz w:val="19"/>
                <w:szCs w:val="19"/>
              </w:rPr>
              <w:t>non profit</w:t>
            </w:r>
            <w:proofErr w:type="spellEnd"/>
            <w:r>
              <w:rPr>
                <w:rFonts w:ascii="Times" w:eastAsia="Times" w:hAnsi="Times" w:cs="Times"/>
                <w:color w:val="030303"/>
                <w:sz w:val="19"/>
                <w:szCs w:val="19"/>
              </w:rPr>
              <w:t xml:space="preserve"> NGOs) </w:t>
            </w:r>
          </w:p>
          <w:p w14:paraId="134F5661" w14:textId="77777777" w:rsidR="00CA2320" w:rsidRDefault="00713283">
            <w:pPr>
              <w:widowControl w:val="0"/>
              <w:spacing w:before="10" w:line="265" w:lineRule="auto"/>
              <w:ind w:left="257" w:right="234"/>
              <w:rPr>
                <w:rFonts w:ascii="Times" w:eastAsia="Times" w:hAnsi="Times" w:cs="Times"/>
                <w:color w:val="030303"/>
                <w:sz w:val="19"/>
                <w:szCs w:val="19"/>
              </w:rPr>
            </w:pPr>
            <w:r>
              <w:rPr>
                <w:rFonts w:ascii="Times" w:eastAsia="Times" w:hAnsi="Times" w:cs="Times"/>
                <w:sz w:val="19"/>
                <w:szCs w:val="19"/>
              </w:rPr>
              <w:t xml:space="preserve">David Nutt </w:t>
            </w:r>
            <w:r>
              <w:rPr>
                <w:rFonts w:ascii="Times" w:eastAsia="Times" w:hAnsi="Times" w:cs="Times"/>
                <w:color w:val="030303"/>
                <w:sz w:val="19"/>
                <w:szCs w:val="19"/>
              </w:rPr>
              <w:t xml:space="preserve">Professor of Neuropsychopharmacology, Imperial College </w:t>
            </w:r>
            <w:r>
              <w:rPr>
                <w:rFonts w:ascii="Times" w:eastAsia="Times" w:hAnsi="Times" w:cs="Times"/>
                <w:color w:val="030303"/>
                <w:sz w:val="19"/>
                <w:szCs w:val="19"/>
              </w:rPr>
              <w:br/>
            </w:r>
            <w:r>
              <w:rPr>
                <w:rFonts w:ascii="Times" w:eastAsia="Times" w:hAnsi="Times" w:cs="Times"/>
                <w:sz w:val="19"/>
                <w:szCs w:val="19"/>
              </w:rPr>
              <w:t xml:space="preserve">Ole </w:t>
            </w:r>
            <w:proofErr w:type="spellStart"/>
            <w:r>
              <w:rPr>
                <w:rFonts w:ascii="Times" w:eastAsia="Times" w:hAnsi="Times" w:cs="Times"/>
                <w:sz w:val="19"/>
                <w:szCs w:val="19"/>
              </w:rPr>
              <w:t>Rogeberg</w:t>
            </w:r>
            <w:proofErr w:type="spellEnd"/>
            <w:r>
              <w:rPr>
                <w:rFonts w:ascii="Times" w:eastAsia="Times" w:hAnsi="Times" w:cs="Times"/>
                <w:sz w:val="19"/>
                <w:szCs w:val="19"/>
              </w:rPr>
              <w:t xml:space="preserve"> Ragnar Frisch Centre for Economic Research, Oslo, Norway  </w:t>
            </w:r>
            <w:r>
              <w:rPr>
                <w:rFonts w:ascii="Times" w:eastAsia="Times" w:hAnsi="Times" w:cs="Times"/>
                <w:sz w:val="19"/>
                <w:szCs w:val="19"/>
              </w:rPr>
              <w:br/>
              <w:t xml:space="preserve">Steve Rolles </w:t>
            </w:r>
            <w:r>
              <w:rPr>
                <w:rFonts w:ascii="Times" w:eastAsia="Times" w:hAnsi="Times" w:cs="Times"/>
                <w:color w:val="030303"/>
                <w:sz w:val="19"/>
                <w:szCs w:val="19"/>
              </w:rPr>
              <w:t xml:space="preserve">Senior Policy Analysts, Transform Drug Policy Foundation </w:t>
            </w:r>
            <w:r>
              <w:rPr>
                <w:rFonts w:ascii="Times" w:eastAsia="Times" w:hAnsi="Times" w:cs="Times"/>
                <w:color w:val="030303"/>
                <w:sz w:val="19"/>
                <w:szCs w:val="19"/>
              </w:rPr>
              <w:br/>
            </w:r>
            <w:r>
              <w:rPr>
                <w:rFonts w:ascii="Times" w:eastAsia="Times" w:hAnsi="Times" w:cs="Times"/>
                <w:sz w:val="19"/>
                <w:szCs w:val="19"/>
              </w:rPr>
              <w:t xml:space="preserve">Jeremy </w:t>
            </w:r>
            <w:proofErr w:type="spellStart"/>
            <w:r>
              <w:rPr>
                <w:rFonts w:ascii="Times" w:eastAsia="Times" w:hAnsi="Times" w:cs="Times"/>
                <w:sz w:val="19"/>
                <w:szCs w:val="19"/>
              </w:rPr>
              <w:t>Sa</w:t>
            </w:r>
            <w:r>
              <w:rPr>
                <w:rFonts w:ascii="Times" w:eastAsia="Times" w:hAnsi="Times" w:cs="Times"/>
                <w:sz w:val="19"/>
                <w:szCs w:val="19"/>
              </w:rPr>
              <w:t>re</w:t>
            </w:r>
            <w:proofErr w:type="spellEnd"/>
            <w:r>
              <w:rPr>
                <w:rFonts w:ascii="Times" w:eastAsia="Times" w:hAnsi="Times" w:cs="Times"/>
                <w:sz w:val="19"/>
                <w:szCs w:val="19"/>
              </w:rPr>
              <w:t xml:space="preserve"> Director for Government Affairs and Communications, Angelus Foundation </w:t>
            </w:r>
            <w:r>
              <w:rPr>
                <w:rFonts w:ascii="Times" w:eastAsia="Times" w:hAnsi="Times" w:cs="Times"/>
                <w:color w:val="030303"/>
                <w:sz w:val="19"/>
                <w:szCs w:val="19"/>
              </w:rPr>
              <w:t>(</w:t>
            </w:r>
            <w:proofErr w:type="gramStart"/>
            <w:r>
              <w:rPr>
                <w:rFonts w:ascii="Times" w:eastAsia="Times" w:hAnsi="Times" w:cs="Times"/>
                <w:color w:val="030303"/>
                <w:sz w:val="19"/>
                <w:szCs w:val="19"/>
              </w:rPr>
              <w:t>first  conference</w:t>
            </w:r>
            <w:proofErr w:type="gramEnd"/>
            <w:r>
              <w:rPr>
                <w:rFonts w:ascii="Times" w:eastAsia="Times" w:hAnsi="Times" w:cs="Times"/>
                <w:color w:val="030303"/>
                <w:sz w:val="19"/>
                <w:szCs w:val="19"/>
              </w:rPr>
              <w:t xml:space="preserve"> only) </w:t>
            </w:r>
          </w:p>
          <w:p w14:paraId="65B17757" w14:textId="77777777" w:rsidR="00CA2320" w:rsidRDefault="00713283">
            <w:pPr>
              <w:widowControl w:val="0"/>
              <w:spacing w:before="10" w:line="240" w:lineRule="auto"/>
              <w:ind w:left="258"/>
              <w:rPr>
                <w:rFonts w:ascii="Times" w:eastAsia="Times" w:hAnsi="Times" w:cs="Times"/>
                <w:color w:val="030303"/>
                <w:sz w:val="19"/>
                <w:szCs w:val="19"/>
              </w:rPr>
            </w:pPr>
            <w:r>
              <w:rPr>
                <w:rFonts w:ascii="Times" w:eastAsia="Times" w:hAnsi="Times" w:cs="Times"/>
                <w:sz w:val="19"/>
                <w:szCs w:val="19"/>
              </w:rPr>
              <w:t xml:space="preserve">Anne </w:t>
            </w:r>
            <w:proofErr w:type="spellStart"/>
            <w:r>
              <w:rPr>
                <w:rFonts w:ascii="Times" w:eastAsia="Times" w:hAnsi="Times" w:cs="Times"/>
                <w:sz w:val="19"/>
                <w:szCs w:val="19"/>
              </w:rPr>
              <w:t>Schlag</w:t>
            </w:r>
            <w:proofErr w:type="spellEnd"/>
            <w:r>
              <w:rPr>
                <w:rFonts w:ascii="Times" w:eastAsia="Times" w:hAnsi="Times" w:cs="Times"/>
                <w:sz w:val="19"/>
                <w:szCs w:val="19"/>
              </w:rPr>
              <w:t xml:space="preserve"> </w:t>
            </w:r>
            <w:r>
              <w:rPr>
                <w:rFonts w:ascii="Times" w:eastAsia="Times" w:hAnsi="Times" w:cs="Times"/>
                <w:color w:val="030303"/>
                <w:sz w:val="19"/>
                <w:szCs w:val="19"/>
              </w:rPr>
              <w:t xml:space="preserve">Head of Research, Drug Science (first conference only) </w:t>
            </w:r>
          </w:p>
          <w:p w14:paraId="643C35F8" w14:textId="77777777" w:rsidR="00CA2320" w:rsidRDefault="00713283">
            <w:pPr>
              <w:widowControl w:val="0"/>
              <w:spacing w:before="31" w:line="264" w:lineRule="auto"/>
              <w:ind w:left="257" w:right="617"/>
              <w:rPr>
                <w:rFonts w:ascii="Times" w:eastAsia="Times" w:hAnsi="Times" w:cs="Times"/>
                <w:color w:val="030303"/>
                <w:sz w:val="19"/>
                <w:szCs w:val="19"/>
              </w:rPr>
            </w:pPr>
            <w:r>
              <w:rPr>
                <w:rFonts w:ascii="Times" w:eastAsia="Times" w:hAnsi="Times" w:cs="Times"/>
                <w:sz w:val="19"/>
                <w:szCs w:val="19"/>
              </w:rPr>
              <w:t xml:space="preserve">Janie Sheridan </w:t>
            </w:r>
            <w:r>
              <w:rPr>
                <w:rFonts w:ascii="Times" w:eastAsia="Times" w:hAnsi="Times" w:cs="Times"/>
                <w:color w:val="030303"/>
                <w:sz w:val="19"/>
                <w:szCs w:val="19"/>
              </w:rPr>
              <w:t xml:space="preserve">Associate Professor &amp; Director, Centre for Addiction Research, University of Auckland </w:t>
            </w:r>
          </w:p>
          <w:p w14:paraId="74EF647A" w14:textId="77777777" w:rsidR="00CA2320" w:rsidRDefault="00713283">
            <w:pPr>
              <w:widowControl w:val="0"/>
              <w:spacing w:before="13" w:line="240" w:lineRule="auto"/>
              <w:ind w:left="258"/>
              <w:rPr>
                <w:rFonts w:ascii="Times" w:eastAsia="Times" w:hAnsi="Times" w:cs="Times"/>
                <w:sz w:val="19"/>
                <w:szCs w:val="19"/>
              </w:rPr>
            </w:pPr>
            <w:r>
              <w:rPr>
                <w:rFonts w:ascii="Times" w:eastAsia="Times" w:hAnsi="Times" w:cs="Times"/>
                <w:sz w:val="19"/>
                <w:szCs w:val="19"/>
              </w:rPr>
              <w:t xml:space="preserve">Polly Taylor Independent consultant in Veterinary Anaesthesia </w:t>
            </w:r>
          </w:p>
          <w:p w14:paraId="1EEE800D" w14:textId="77777777" w:rsidR="00CA2320" w:rsidRDefault="00713283">
            <w:pPr>
              <w:widowControl w:val="0"/>
              <w:spacing w:before="31" w:line="240" w:lineRule="auto"/>
              <w:ind w:left="258"/>
              <w:rPr>
                <w:rFonts w:ascii="Times" w:eastAsia="Times" w:hAnsi="Times" w:cs="Times"/>
                <w:b/>
                <w:sz w:val="24"/>
                <w:szCs w:val="24"/>
              </w:rPr>
            </w:pPr>
            <w:r>
              <w:rPr>
                <w:rFonts w:ascii="Times" w:eastAsia="Times" w:hAnsi="Times" w:cs="Times"/>
                <w:sz w:val="19"/>
                <w:szCs w:val="19"/>
              </w:rPr>
              <w:t xml:space="preserve">Tim Williams </w:t>
            </w:r>
            <w:r>
              <w:rPr>
                <w:rFonts w:ascii="Times" w:eastAsia="Times" w:hAnsi="Times" w:cs="Times"/>
                <w:color w:val="030303"/>
                <w:sz w:val="19"/>
                <w:szCs w:val="19"/>
              </w:rPr>
              <w:t xml:space="preserve">Consultant addiction psychiatrist, NHS </w:t>
            </w:r>
            <w:r>
              <w:rPr>
                <w:rFonts w:ascii="Times" w:eastAsia="Times" w:hAnsi="Times" w:cs="Times"/>
                <w:color w:val="030303"/>
                <w:sz w:val="19"/>
                <w:szCs w:val="19"/>
              </w:rPr>
              <w:br/>
            </w:r>
            <w:r>
              <w:rPr>
                <w:rFonts w:ascii="Times" w:eastAsia="Times" w:hAnsi="Times" w:cs="Times"/>
                <w:sz w:val="19"/>
                <w:szCs w:val="19"/>
              </w:rPr>
              <w:t xml:space="preserve">Rhys Ponton </w:t>
            </w:r>
            <w:r>
              <w:rPr>
                <w:rFonts w:ascii="Times" w:eastAsia="Times" w:hAnsi="Times" w:cs="Times"/>
                <w:color w:val="030303"/>
                <w:sz w:val="19"/>
                <w:szCs w:val="19"/>
              </w:rPr>
              <w:t>School of Pharmacy, University of Aucklan</w:t>
            </w:r>
            <w:r>
              <w:rPr>
                <w:rFonts w:ascii="Times" w:eastAsia="Times" w:hAnsi="Times" w:cs="Times"/>
                <w:color w:val="030303"/>
                <w:sz w:val="19"/>
                <w:szCs w:val="19"/>
              </w:rPr>
              <w:t xml:space="preserve">d, New Zealand (second </w:t>
            </w:r>
            <w:proofErr w:type="gramStart"/>
            <w:r>
              <w:rPr>
                <w:rFonts w:ascii="Times" w:eastAsia="Times" w:hAnsi="Times" w:cs="Times"/>
                <w:color w:val="030303"/>
                <w:sz w:val="19"/>
                <w:szCs w:val="19"/>
              </w:rPr>
              <w:t>decision  conference</w:t>
            </w:r>
            <w:proofErr w:type="gramEnd"/>
            <w:r>
              <w:rPr>
                <w:rFonts w:ascii="Times" w:eastAsia="Times" w:hAnsi="Times" w:cs="Times"/>
                <w:color w:val="030303"/>
                <w:sz w:val="19"/>
                <w:szCs w:val="19"/>
              </w:rPr>
              <w:t xml:space="preserve"> only) </w:t>
            </w:r>
            <w:r>
              <w:rPr>
                <w:rFonts w:ascii="Times" w:eastAsia="Times" w:hAnsi="Times" w:cs="Times"/>
                <w:sz w:val="24"/>
                <w:szCs w:val="24"/>
              </w:rPr>
              <w:br/>
            </w:r>
            <w:r>
              <w:rPr>
                <w:rFonts w:ascii="Times" w:eastAsia="Times" w:hAnsi="Times" w:cs="Times"/>
                <w:sz w:val="24"/>
                <w:szCs w:val="24"/>
              </w:rPr>
              <w:br/>
            </w:r>
          </w:p>
        </w:tc>
      </w:tr>
    </w:tbl>
    <w:p w14:paraId="7E341180" w14:textId="77777777" w:rsidR="00CA2320" w:rsidRDefault="00713283">
      <w:pPr>
        <w:widowControl w:val="0"/>
        <w:spacing w:before="31" w:line="240" w:lineRule="auto"/>
        <w:ind w:left="1698"/>
        <w:rPr>
          <w:rFonts w:ascii="Times" w:eastAsia="Times" w:hAnsi="Times" w:cs="Times"/>
          <w:color w:val="000000"/>
          <w:sz w:val="24"/>
          <w:szCs w:val="24"/>
        </w:rPr>
      </w:pPr>
      <w:r>
        <w:rPr>
          <w:rFonts w:ascii="Times" w:eastAsia="Times" w:hAnsi="Times" w:cs="Times"/>
          <w:sz w:val="24"/>
          <w:szCs w:val="24"/>
        </w:rPr>
        <w:br/>
      </w:r>
      <w:r>
        <w:rPr>
          <w:rFonts w:ascii="Times" w:eastAsia="Times" w:hAnsi="Times" w:cs="Times"/>
          <w:color w:val="000000"/>
          <w:sz w:val="24"/>
          <w:szCs w:val="24"/>
        </w:rPr>
        <w:t xml:space="preserve">Over two, two-day meetings, the participants first collectively defined four </w:t>
      </w:r>
      <w:proofErr w:type="gramStart"/>
      <w:r>
        <w:rPr>
          <w:rFonts w:ascii="Times" w:eastAsia="Times" w:hAnsi="Times" w:cs="Times"/>
          <w:color w:val="000000"/>
          <w:sz w:val="24"/>
          <w:szCs w:val="24"/>
        </w:rPr>
        <w:t>policy  regimes</w:t>
      </w:r>
      <w:proofErr w:type="gramEnd"/>
      <w:r>
        <w:rPr>
          <w:rFonts w:ascii="Times" w:eastAsia="Times" w:hAnsi="Times" w:cs="Times"/>
          <w:color w:val="000000"/>
          <w:sz w:val="24"/>
          <w:szCs w:val="24"/>
        </w:rPr>
        <w:t xml:space="preserve">: absolute </w:t>
      </w:r>
      <w:r>
        <w:rPr>
          <w:rFonts w:ascii="Times" w:eastAsia="Times" w:hAnsi="Times" w:cs="Times"/>
          <w:b/>
          <w:color w:val="000000"/>
          <w:sz w:val="24"/>
          <w:szCs w:val="24"/>
        </w:rPr>
        <w:t>prohibition</w:t>
      </w:r>
      <w:r>
        <w:rPr>
          <w:rFonts w:ascii="Times" w:eastAsia="Times" w:hAnsi="Times" w:cs="Times"/>
          <w:color w:val="000000"/>
          <w:sz w:val="24"/>
          <w:szCs w:val="24"/>
        </w:rPr>
        <w:t xml:space="preserve">; </w:t>
      </w:r>
      <w:r>
        <w:rPr>
          <w:rFonts w:ascii="Times" w:eastAsia="Times" w:hAnsi="Times" w:cs="Times"/>
          <w:b/>
          <w:color w:val="000000"/>
          <w:sz w:val="24"/>
          <w:szCs w:val="24"/>
        </w:rPr>
        <w:t xml:space="preserve">decriminalisation </w:t>
      </w:r>
      <w:r>
        <w:rPr>
          <w:rFonts w:ascii="Times" w:eastAsia="Times" w:hAnsi="Times" w:cs="Times"/>
          <w:color w:val="000000"/>
          <w:sz w:val="24"/>
          <w:szCs w:val="24"/>
        </w:rPr>
        <w:t>(prohibition of supply with  decriminalisation of personal possessi</w:t>
      </w:r>
      <w:r>
        <w:rPr>
          <w:rFonts w:ascii="Times" w:eastAsia="Times" w:hAnsi="Times" w:cs="Times"/>
          <w:color w:val="000000"/>
          <w:sz w:val="24"/>
          <w:szCs w:val="24"/>
        </w:rPr>
        <w:t xml:space="preserve">on and use e.g. as in Portugal); legal supply via  strict </w:t>
      </w:r>
      <w:r>
        <w:rPr>
          <w:rFonts w:ascii="Times" w:eastAsia="Times" w:hAnsi="Times" w:cs="Times"/>
          <w:b/>
          <w:color w:val="000000"/>
          <w:sz w:val="24"/>
          <w:szCs w:val="24"/>
        </w:rPr>
        <w:t xml:space="preserve">state control </w:t>
      </w:r>
      <w:r>
        <w:rPr>
          <w:rFonts w:ascii="Times" w:eastAsia="Times" w:hAnsi="Times" w:cs="Times"/>
          <w:color w:val="000000"/>
          <w:sz w:val="24"/>
          <w:szCs w:val="24"/>
        </w:rPr>
        <w:t>and regulation, and legal supply via a commercial/</w:t>
      </w:r>
      <w:r>
        <w:rPr>
          <w:rFonts w:ascii="Times" w:eastAsia="Times" w:hAnsi="Times" w:cs="Times"/>
          <w:b/>
          <w:color w:val="000000"/>
          <w:sz w:val="24"/>
          <w:szCs w:val="24"/>
        </w:rPr>
        <w:t xml:space="preserve">free market  </w:t>
      </w:r>
      <w:r>
        <w:rPr>
          <w:rFonts w:ascii="Times" w:eastAsia="Times" w:hAnsi="Times" w:cs="Times"/>
          <w:i/>
          <w:color w:val="000000"/>
          <w:sz w:val="24"/>
          <w:szCs w:val="24"/>
        </w:rPr>
        <w:t>(Panel 2)</w:t>
      </w:r>
      <w:r>
        <w:rPr>
          <w:rFonts w:ascii="Times" w:eastAsia="Times" w:hAnsi="Times" w:cs="Times"/>
          <w:color w:val="000000"/>
          <w:sz w:val="24"/>
          <w:szCs w:val="24"/>
        </w:rPr>
        <w:t xml:space="preserve">.  </w:t>
      </w:r>
    </w:p>
    <w:p w14:paraId="2E90570F" w14:textId="77777777" w:rsidR="00CA2320" w:rsidRDefault="00713283">
      <w:pPr>
        <w:widowControl w:val="0"/>
        <w:spacing w:before="284" w:line="240" w:lineRule="auto"/>
        <w:ind w:left="1698"/>
        <w:rPr>
          <w:rFonts w:ascii="Times" w:eastAsia="Times" w:hAnsi="Times" w:cs="Times"/>
          <w:b/>
          <w:sz w:val="24"/>
          <w:szCs w:val="24"/>
        </w:rPr>
      </w:pPr>
      <w:r>
        <w:rPr>
          <w:rFonts w:ascii="Times" w:eastAsia="Times" w:hAnsi="Times" w:cs="Times"/>
          <w:b/>
          <w:sz w:val="24"/>
          <w:szCs w:val="24"/>
        </w:rPr>
        <w:t xml:space="preserve">Panel 2: Policy Models </w:t>
      </w:r>
      <w:r>
        <w:rPr>
          <w:rFonts w:ascii="Times" w:eastAsia="Times" w:hAnsi="Times" w:cs="Times"/>
          <w:b/>
          <w:sz w:val="24"/>
          <w:szCs w:val="24"/>
        </w:rPr>
        <w:br/>
      </w:r>
    </w:p>
    <w:tbl>
      <w:tblPr>
        <w:tblStyle w:val="a1"/>
        <w:tblW w:w="9089" w:type="dxa"/>
        <w:tblInd w:w="17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89"/>
      </w:tblGrid>
      <w:tr w:rsidR="00CA2320" w14:paraId="028DADD2" w14:textId="77777777">
        <w:tc>
          <w:tcPr>
            <w:tcW w:w="9089" w:type="dxa"/>
            <w:shd w:val="clear" w:color="auto" w:fill="auto"/>
            <w:tcMar>
              <w:top w:w="100" w:type="dxa"/>
              <w:left w:w="100" w:type="dxa"/>
              <w:bottom w:w="100" w:type="dxa"/>
              <w:right w:w="100" w:type="dxa"/>
            </w:tcMar>
          </w:tcPr>
          <w:p w14:paraId="7268A227" w14:textId="77777777" w:rsidR="00CA2320" w:rsidRDefault="00713283">
            <w:pPr>
              <w:widowControl w:val="0"/>
              <w:spacing w:before="269" w:line="229" w:lineRule="auto"/>
              <w:ind w:left="254" w:right="826"/>
              <w:rPr>
                <w:rFonts w:ascii="Times" w:eastAsia="Times" w:hAnsi="Times" w:cs="Times"/>
                <w:sz w:val="20"/>
                <w:szCs w:val="20"/>
              </w:rPr>
            </w:pPr>
            <w:r>
              <w:rPr>
                <w:rFonts w:ascii="Times" w:eastAsia="Times" w:hAnsi="Times" w:cs="Times"/>
                <w:b/>
                <w:sz w:val="20"/>
                <w:szCs w:val="20"/>
              </w:rPr>
              <w:t xml:space="preserve">Absolute prohibition: </w:t>
            </w:r>
            <w:r>
              <w:rPr>
                <w:rFonts w:ascii="Times" w:eastAsia="Times" w:hAnsi="Times" w:cs="Times"/>
                <w:sz w:val="20"/>
                <w:szCs w:val="20"/>
              </w:rPr>
              <w:t xml:space="preserve">Production, distribution, possession and use are illegal under </w:t>
            </w:r>
            <w:proofErr w:type="gramStart"/>
            <w:r>
              <w:rPr>
                <w:rFonts w:ascii="Times" w:eastAsia="Times" w:hAnsi="Times" w:cs="Times"/>
                <w:sz w:val="20"/>
                <w:szCs w:val="20"/>
              </w:rPr>
              <w:t>criminal  law</w:t>
            </w:r>
            <w:proofErr w:type="gramEnd"/>
            <w:r>
              <w:rPr>
                <w:rFonts w:ascii="Times" w:eastAsia="Times" w:hAnsi="Times" w:cs="Times"/>
                <w:sz w:val="20"/>
                <w:szCs w:val="20"/>
              </w:rPr>
              <w:t xml:space="preserve">, and the laws are actively enforced. Policies within this class may differ as to </w:t>
            </w:r>
            <w:proofErr w:type="gramStart"/>
            <w:r>
              <w:rPr>
                <w:rFonts w:ascii="Times" w:eastAsia="Times" w:hAnsi="Times" w:cs="Times"/>
                <w:sz w:val="20"/>
                <w:szCs w:val="20"/>
              </w:rPr>
              <w:t>the  strictness</w:t>
            </w:r>
            <w:proofErr w:type="gramEnd"/>
            <w:r>
              <w:rPr>
                <w:rFonts w:ascii="Times" w:eastAsia="Times" w:hAnsi="Times" w:cs="Times"/>
                <w:sz w:val="20"/>
                <w:szCs w:val="20"/>
              </w:rPr>
              <w:t xml:space="preserve"> of penalties, the relative emphasis of enforcement efforts, as well as the type of</w:t>
            </w:r>
            <w:r>
              <w:rPr>
                <w:rFonts w:ascii="Times" w:eastAsia="Times" w:hAnsi="Times" w:cs="Times"/>
                <w:sz w:val="20"/>
                <w:szCs w:val="20"/>
              </w:rPr>
              <w:t xml:space="preserve">  police procedures used in investigation (e.g., entrapment, surveillance, interception of  personal communications, requirements for “probable cause” before demanding house  searches or drug tests). </w:t>
            </w:r>
          </w:p>
          <w:p w14:paraId="3321ABDA" w14:textId="77777777" w:rsidR="00CA2320" w:rsidRDefault="00713283">
            <w:pPr>
              <w:widowControl w:val="0"/>
              <w:spacing w:before="258" w:line="229" w:lineRule="auto"/>
              <w:ind w:left="257" w:right="812"/>
              <w:rPr>
                <w:rFonts w:ascii="Times" w:eastAsia="Times" w:hAnsi="Times" w:cs="Times"/>
                <w:sz w:val="20"/>
                <w:szCs w:val="20"/>
              </w:rPr>
            </w:pPr>
            <w:r>
              <w:rPr>
                <w:rFonts w:ascii="Times" w:eastAsia="Times" w:hAnsi="Times" w:cs="Times"/>
                <w:b/>
                <w:sz w:val="20"/>
                <w:szCs w:val="20"/>
              </w:rPr>
              <w:t xml:space="preserve">Decriminalisation: </w:t>
            </w:r>
            <w:r>
              <w:rPr>
                <w:rFonts w:ascii="Times" w:eastAsia="Times" w:hAnsi="Times" w:cs="Times"/>
                <w:sz w:val="20"/>
                <w:szCs w:val="20"/>
              </w:rPr>
              <w:t xml:space="preserve">Production and distribution remain illegal. Use and possession are a </w:t>
            </w:r>
            <w:proofErr w:type="gramStart"/>
            <w:r>
              <w:rPr>
                <w:rFonts w:ascii="Times" w:eastAsia="Times" w:hAnsi="Times" w:cs="Times"/>
                <w:sz w:val="20"/>
                <w:szCs w:val="20"/>
              </w:rPr>
              <w:t>civil  offence</w:t>
            </w:r>
            <w:proofErr w:type="gramEnd"/>
            <w:r>
              <w:rPr>
                <w:rFonts w:ascii="Times" w:eastAsia="Times" w:hAnsi="Times" w:cs="Times"/>
                <w:sz w:val="20"/>
                <w:szCs w:val="20"/>
              </w:rPr>
              <w:t xml:space="preserve">, but may be subject to fines, or result in recommendations to voluntarily enter  treatment (without threat of criminal sanctions for non-compliance), e.g. Portugal. </w:t>
            </w:r>
            <w:proofErr w:type="gramStart"/>
            <w:r>
              <w:rPr>
                <w:rFonts w:ascii="Times" w:eastAsia="Times" w:hAnsi="Times" w:cs="Times"/>
                <w:sz w:val="20"/>
                <w:szCs w:val="20"/>
              </w:rPr>
              <w:t>Policie</w:t>
            </w:r>
            <w:r>
              <w:rPr>
                <w:rFonts w:ascii="Times" w:eastAsia="Times" w:hAnsi="Times" w:cs="Times"/>
                <w:sz w:val="20"/>
                <w:szCs w:val="20"/>
              </w:rPr>
              <w:t>s  within</w:t>
            </w:r>
            <w:proofErr w:type="gramEnd"/>
            <w:r>
              <w:rPr>
                <w:rFonts w:ascii="Times" w:eastAsia="Times" w:hAnsi="Times" w:cs="Times"/>
                <w:sz w:val="20"/>
                <w:szCs w:val="20"/>
              </w:rPr>
              <w:t xml:space="preserve"> this class may differ as to the strictness and enforcement of remaining penalties, in the degree of enforcement of supply-side control efforts, or in the particular groups targeted by enforcement (e.g., adolescents, minorities).  ‘Decriminalisati</w:t>
            </w:r>
            <w:r>
              <w:rPr>
                <w:rFonts w:ascii="Times" w:eastAsia="Times" w:hAnsi="Times" w:cs="Times"/>
                <w:sz w:val="20"/>
                <w:szCs w:val="20"/>
              </w:rPr>
              <w:t xml:space="preserve">on’ is not a strictly defined legal term, but its common usage in drug policy (and the definition used here) refers to the removal of criminal sanctions for possession </w:t>
            </w:r>
            <w:proofErr w:type="gramStart"/>
            <w:r>
              <w:rPr>
                <w:rFonts w:ascii="Times" w:eastAsia="Times" w:hAnsi="Times" w:cs="Times"/>
                <w:sz w:val="20"/>
                <w:szCs w:val="20"/>
              </w:rPr>
              <w:t>of  small</w:t>
            </w:r>
            <w:proofErr w:type="gramEnd"/>
            <w:r>
              <w:rPr>
                <w:rFonts w:ascii="Times" w:eastAsia="Times" w:hAnsi="Times" w:cs="Times"/>
                <w:sz w:val="20"/>
                <w:szCs w:val="20"/>
              </w:rPr>
              <w:t xml:space="preserve"> quantities of currently illegal drugs for personal use, with optional use of c</w:t>
            </w:r>
            <w:r>
              <w:rPr>
                <w:rFonts w:ascii="Times" w:eastAsia="Times" w:hAnsi="Times" w:cs="Times"/>
                <w:sz w:val="20"/>
                <w:szCs w:val="20"/>
              </w:rPr>
              <w:t>ivil or administrative sanctions. Under this definition of ‘decriminalisation’, possession of drugs remains unlawful and a punishable offence (albeit not one that results in a criminal record).</w:t>
            </w:r>
          </w:p>
          <w:p w14:paraId="2DCAA370" w14:textId="77777777" w:rsidR="00CA2320" w:rsidRDefault="00713283">
            <w:pPr>
              <w:widowControl w:val="0"/>
              <w:spacing w:line="229" w:lineRule="auto"/>
              <w:ind w:left="257" w:right="738" w:firstLine="5"/>
              <w:rPr>
                <w:rFonts w:ascii="Times" w:eastAsia="Times" w:hAnsi="Times" w:cs="Times"/>
                <w:sz w:val="20"/>
                <w:szCs w:val="20"/>
              </w:rPr>
            </w:pPr>
            <w:r>
              <w:rPr>
                <w:rFonts w:ascii="Times" w:eastAsia="Times" w:hAnsi="Times" w:cs="Times"/>
              </w:rPr>
              <w:br/>
            </w:r>
            <w:r>
              <w:rPr>
                <w:rFonts w:ascii="Times" w:eastAsia="Times" w:hAnsi="Times" w:cs="Times"/>
                <w:b/>
                <w:sz w:val="20"/>
                <w:szCs w:val="20"/>
              </w:rPr>
              <w:t xml:space="preserve">State control: </w:t>
            </w:r>
            <w:r>
              <w:rPr>
                <w:rFonts w:ascii="Times" w:eastAsia="Times" w:hAnsi="Times" w:cs="Times"/>
                <w:sz w:val="20"/>
                <w:szCs w:val="20"/>
              </w:rPr>
              <w:t>There are legal options available for users to</w:t>
            </w:r>
            <w:r>
              <w:rPr>
                <w:rFonts w:ascii="Times" w:eastAsia="Times" w:hAnsi="Times" w:cs="Times"/>
                <w:sz w:val="20"/>
                <w:szCs w:val="20"/>
              </w:rPr>
              <w:t xml:space="preserve"> access the substance, possess </w:t>
            </w:r>
            <w:proofErr w:type="gramStart"/>
            <w:r>
              <w:rPr>
                <w:rFonts w:ascii="Times" w:eastAsia="Times" w:hAnsi="Times" w:cs="Times"/>
                <w:sz w:val="20"/>
                <w:szCs w:val="20"/>
              </w:rPr>
              <w:t>and  use</w:t>
            </w:r>
            <w:proofErr w:type="gramEnd"/>
            <w:r>
              <w:rPr>
                <w:rFonts w:ascii="Times" w:eastAsia="Times" w:hAnsi="Times" w:cs="Times"/>
                <w:sz w:val="20"/>
                <w:szCs w:val="20"/>
              </w:rPr>
              <w:t xml:space="preserve"> it, but a variety of regulatory interventions may be applied to structure the market and  shape the levels and type of use: Age limits, state controlled production and sales, legal </w:t>
            </w:r>
            <w:proofErr w:type="spellStart"/>
            <w:r>
              <w:rPr>
                <w:rFonts w:ascii="Times" w:eastAsia="Times" w:hAnsi="Times" w:cs="Times"/>
                <w:sz w:val="20"/>
                <w:szCs w:val="20"/>
              </w:rPr>
              <w:t>non commercial</w:t>
            </w:r>
            <w:proofErr w:type="spellEnd"/>
            <w:r>
              <w:rPr>
                <w:rFonts w:ascii="Times" w:eastAsia="Times" w:hAnsi="Times" w:cs="Times"/>
                <w:sz w:val="20"/>
                <w:szCs w:val="20"/>
              </w:rPr>
              <w:t xml:space="preserve"> home production, reg</w:t>
            </w:r>
            <w:r>
              <w:rPr>
                <w:rFonts w:ascii="Times" w:eastAsia="Times" w:hAnsi="Times" w:cs="Times"/>
                <w:sz w:val="20"/>
                <w:szCs w:val="20"/>
              </w:rPr>
              <w:t xml:space="preserve">ulations on where, when and by whom consumption is  legal, taxation, advertising and marketing restrictions, etc. Policies within this class </w:t>
            </w:r>
            <w:proofErr w:type="gramStart"/>
            <w:r>
              <w:rPr>
                <w:rFonts w:ascii="Times" w:eastAsia="Times" w:hAnsi="Times" w:cs="Times"/>
                <w:sz w:val="20"/>
                <w:szCs w:val="20"/>
              </w:rPr>
              <w:t>may  differ</w:t>
            </w:r>
            <w:proofErr w:type="gramEnd"/>
            <w:r>
              <w:rPr>
                <w:rFonts w:ascii="Times" w:eastAsia="Times" w:hAnsi="Times" w:cs="Times"/>
                <w:sz w:val="20"/>
                <w:szCs w:val="20"/>
              </w:rPr>
              <w:t xml:space="preserve"> as to which regulatory instruments they employ and in what way, but a substantial share  of users are a</w:t>
            </w:r>
            <w:r>
              <w:rPr>
                <w:rFonts w:ascii="Times" w:eastAsia="Times" w:hAnsi="Times" w:cs="Times"/>
                <w:sz w:val="20"/>
                <w:szCs w:val="20"/>
              </w:rPr>
              <w:t xml:space="preserve">ble to access and use the substance without involving either themselves or others  in illegal activity. </w:t>
            </w:r>
          </w:p>
          <w:p w14:paraId="51ECBFFA" w14:textId="77777777" w:rsidR="00CA2320" w:rsidRDefault="00713283">
            <w:pPr>
              <w:widowControl w:val="0"/>
              <w:spacing w:before="258" w:line="229" w:lineRule="auto"/>
              <w:ind w:left="256" w:right="815" w:firstLine="2"/>
              <w:rPr>
                <w:rFonts w:ascii="Times" w:eastAsia="Times" w:hAnsi="Times" w:cs="Times"/>
                <w:b/>
              </w:rPr>
            </w:pPr>
            <w:r>
              <w:rPr>
                <w:rFonts w:ascii="Times" w:eastAsia="Times" w:hAnsi="Times" w:cs="Times"/>
                <w:b/>
                <w:sz w:val="20"/>
                <w:szCs w:val="20"/>
              </w:rPr>
              <w:t xml:space="preserve">Free market: </w:t>
            </w:r>
            <w:r>
              <w:rPr>
                <w:rFonts w:ascii="Times" w:eastAsia="Times" w:hAnsi="Times" w:cs="Times"/>
                <w:sz w:val="20"/>
                <w:szCs w:val="20"/>
              </w:rPr>
              <w:t xml:space="preserve">Production, distribution, possession and use are not subject to any </w:t>
            </w:r>
            <w:proofErr w:type="gramStart"/>
            <w:r>
              <w:rPr>
                <w:rFonts w:ascii="Times" w:eastAsia="Times" w:hAnsi="Times" w:cs="Times"/>
                <w:sz w:val="20"/>
                <w:szCs w:val="20"/>
              </w:rPr>
              <w:t>specific  regulatory</w:t>
            </w:r>
            <w:proofErr w:type="gramEnd"/>
            <w:r>
              <w:rPr>
                <w:rFonts w:ascii="Times" w:eastAsia="Times" w:hAnsi="Times" w:cs="Times"/>
                <w:sz w:val="20"/>
                <w:szCs w:val="20"/>
              </w:rPr>
              <w:t xml:space="preserve"> policies beyond those that apply in general to co</w:t>
            </w:r>
            <w:r>
              <w:rPr>
                <w:rFonts w:ascii="Times" w:eastAsia="Times" w:hAnsi="Times" w:cs="Times"/>
                <w:sz w:val="20"/>
                <w:szCs w:val="20"/>
              </w:rPr>
              <w:t xml:space="preserve">nsumer goods within a modern  market economy (e.g., accurate content declarations, absence of fraud, payment of taxes). </w:t>
            </w:r>
            <w:proofErr w:type="gramStart"/>
            <w:r>
              <w:rPr>
                <w:rFonts w:ascii="Times" w:eastAsia="Times" w:hAnsi="Times" w:cs="Times"/>
                <w:sz w:val="20"/>
                <w:szCs w:val="20"/>
              </w:rPr>
              <w:t>No  additional</w:t>
            </w:r>
            <w:proofErr w:type="gramEnd"/>
            <w:r>
              <w:rPr>
                <w:rFonts w:ascii="Times" w:eastAsia="Times" w:hAnsi="Times" w:cs="Times"/>
                <w:sz w:val="20"/>
                <w:szCs w:val="20"/>
              </w:rPr>
              <w:t xml:space="preserve"> taxes or restrictions apply beyond those that apply to all goods (e.g., VAT) beyond  age limits. </w:t>
            </w:r>
            <w:r>
              <w:rPr>
                <w:rFonts w:ascii="Times" w:eastAsia="Times" w:hAnsi="Times" w:cs="Times"/>
                <w:sz w:val="20"/>
                <w:szCs w:val="20"/>
              </w:rPr>
              <w:br/>
            </w:r>
          </w:p>
        </w:tc>
      </w:tr>
    </w:tbl>
    <w:p w14:paraId="1051F628" w14:textId="77777777" w:rsidR="00CA2320" w:rsidRDefault="00713283">
      <w:pPr>
        <w:widowControl w:val="0"/>
        <w:pBdr>
          <w:top w:val="nil"/>
          <w:left w:val="nil"/>
          <w:bottom w:val="nil"/>
          <w:right w:val="nil"/>
          <w:between w:val="nil"/>
        </w:pBdr>
        <w:spacing w:before="271" w:line="229" w:lineRule="auto"/>
        <w:ind w:left="1696" w:right="745" w:firstLine="2"/>
        <w:rPr>
          <w:rFonts w:ascii="Times" w:eastAsia="Times" w:hAnsi="Times" w:cs="Times"/>
          <w:b/>
          <w:sz w:val="24"/>
          <w:szCs w:val="24"/>
        </w:rPr>
      </w:pPr>
      <w:r>
        <w:rPr>
          <w:rFonts w:ascii="Times" w:eastAsia="Times" w:hAnsi="Times" w:cs="Times"/>
          <w:sz w:val="24"/>
          <w:szCs w:val="24"/>
        </w:rPr>
        <w:t>P</w:t>
      </w:r>
      <w:r>
        <w:rPr>
          <w:rFonts w:ascii="Times" w:eastAsia="Times" w:hAnsi="Times" w:cs="Times"/>
          <w:color w:val="000000"/>
          <w:sz w:val="24"/>
          <w:szCs w:val="24"/>
        </w:rPr>
        <w:t xml:space="preserve">articipants then identified and defined twenty-seven key outcome criteria reflecting </w:t>
      </w:r>
      <w:proofErr w:type="gramStart"/>
      <w:r>
        <w:rPr>
          <w:rFonts w:ascii="Times" w:eastAsia="Times" w:hAnsi="Times" w:cs="Times"/>
          <w:color w:val="000000"/>
          <w:sz w:val="24"/>
          <w:szCs w:val="24"/>
        </w:rPr>
        <w:t>a  range</w:t>
      </w:r>
      <w:proofErr w:type="gramEnd"/>
      <w:r>
        <w:rPr>
          <w:rFonts w:ascii="Times" w:eastAsia="Times" w:hAnsi="Times" w:cs="Times"/>
          <w:color w:val="000000"/>
          <w:sz w:val="24"/>
          <w:szCs w:val="24"/>
        </w:rPr>
        <w:t xml:space="preserve"> of ethical and normative concerns, organised within seven broad thematic  policy-impact clusters </w:t>
      </w:r>
      <w:r>
        <w:rPr>
          <w:rFonts w:ascii="Times" w:eastAsia="Times" w:hAnsi="Times" w:cs="Times"/>
          <w:i/>
          <w:color w:val="000000"/>
          <w:sz w:val="24"/>
          <w:szCs w:val="24"/>
        </w:rPr>
        <w:t xml:space="preserve">(Panel 3). </w:t>
      </w:r>
      <w:r>
        <w:rPr>
          <w:rFonts w:ascii="Times" w:eastAsia="Times" w:hAnsi="Times" w:cs="Times"/>
          <w:b/>
          <w:sz w:val="24"/>
          <w:szCs w:val="24"/>
        </w:rPr>
        <w:br/>
      </w:r>
      <w:r>
        <w:rPr>
          <w:rFonts w:ascii="Times" w:eastAsia="Times" w:hAnsi="Times" w:cs="Times"/>
          <w:b/>
          <w:sz w:val="24"/>
          <w:szCs w:val="24"/>
        </w:rPr>
        <w:br/>
        <w:t>Panel 3: Outcome criterion</w:t>
      </w:r>
      <w:r>
        <w:rPr>
          <w:rFonts w:ascii="Times" w:eastAsia="Times" w:hAnsi="Times" w:cs="Times"/>
          <w:b/>
          <w:sz w:val="24"/>
          <w:szCs w:val="24"/>
        </w:rPr>
        <w:br/>
      </w:r>
      <w:r>
        <w:rPr>
          <w:rFonts w:ascii="Times" w:eastAsia="Times" w:hAnsi="Times" w:cs="Times"/>
          <w:b/>
          <w:sz w:val="24"/>
          <w:szCs w:val="24"/>
        </w:rPr>
        <w:br/>
      </w:r>
    </w:p>
    <w:tbl>
      <w:tblPr>
        <w:tblStyle w:val="a2"/>
        <w:tblW w:w="8517" w:type="dxa"/>
        <w:tblInd w:w="16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5"/>
        <w:gridCol w:w="2259"/>
        <w:gridCol w:w="5203"/>
      </w:tblGrid>
      <w:tr w:rsidR="00CA2320" w14:paraId="7FA1FE30" w14:textId="77777777">
        <w:trPr>
          <w:trHeight w:val="254"/>
        </w:trPr>
        <w:tc>
          <w:tcPr>
            <w:tcW w:w="1055" w:type="dxa"/>
            <w:shd w:val="clear" w:color="auto" w:fill="auto"/>
            <w:tcMar>
              <w:top w:w="100" w:type="dxa"/>
              <w:left w:w="100" w:type="dxa"/>
              <w:bottom w:w="100" w:type="dxa"/>
              <w:right w:w="100" w:type="dxa"/>
            </w:tcMar>
          </w:tcPr>
          <w:p w14:paraId="335D1E19" w14:textId="77777777" w:rsidR="00CA2320" w:rsidRDefault="00713283">
            <w:pPr>
              <w:widowControl w:val="0"/>
              <w:spacing w:line="240" w:lineRule="auto"/>
              <w:ind w:left="122"/>
              <w:rPr>
                <w:rFonts w:ascii="Calibri" w:eastAsia="Calibri" w:hAnsi="Calibri" w:cs="Calibri"/>
                <w:sz w:val="19"/>
                <w:szCs w:val="19"/>
              </w:rPr>
            </w:pPr>
            <w:r>
              <w:rPr>
                <w:rFonts w:ascii="Calibri" w:eastAsia="Calibri" w:hAnsi="Calibri" w:cs="Calibri"/>
                <w:sz w:val="19"/>
                <w:szCs w:val="19"/>
              </w:rPr>
              <w:t xml:space="preserve">Cluster </w:t>
            </w:r>
          </w:p>
        </w:tc>
        <w:tc>
          <w:tcPr>
            <w:tcW w:w="2258" w:type="dxa"/>
            <w:shd w:val="clear" w:color="auto" w:fill="auto"/>
            <w:tcMar>
              <w:top w:w="100" w:type="dxa"/>
              <w:left w:w="100" w:type="dxa"/>
              <w:bottom w:w="100" w:type="dxa"/>
              <w:right w:w="100" w:type="dxa"/>
            </w:tcMar>
          </w:tcPr>
          <w:p w14:paraId="16586D17" w14:textId="77777777" w:rsidR="00CA2320" w:rsidRDefault="00713283">
            <w:pPr>
              <w:widowControl w:val="0"/>
              <w:spacing w:line="240" w:lineRule="auto"/>
              <w:ind w:left="122"/>
              <w:rPr>
                <w:rFonts w:ascii="Calibri" w:eastAsia="Calibri" w:hAnsi="Calibri" w:cs="Calibri"/>
                <w:sz w:val="19"/>
                <w:szCs w:val="19"/>
              </w:rPr>
            </w:pPr>
            <w:r>
              <w:rPr>
                <w:rFonts w:ascii="Calibri" w:eastAsia="Calibri" w:hAnsi="Calibri" w:cs="Calibri"/>
                <w:sz w:val="19"/>
                <w:szCs w:val="19"/>
              </w:rPr>
              <w:t xml:space="preserve">Criterion </w:t>
            </w:r>
          </w:p>
        </w:tc>
        <w:tc>
          <w:tcPr>
            <w:tcW w:w="5202" w:type="dxa"/>
            <w:shd w:val="clear" w:color="auto" w:fill="auto"/>
            <w:tcMar>
              <w:top w:w="100" w:type="dxa"/>
              <w:left w:w="100" w:type="dxa"/>
              <w:bottom w:w="100" w:type="dxa"/>
              <w:right w:w="100" w:type="dxa"/>
            </w:tcMar>
          </w:tcPr>
          <w:p w14:paraId="595DD42F"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Definition</w:t>
            </w:r>
          </w:p>
        </w:tc>
      </w:tr>
      <w:tr w:rsidR="00CA2320" w14:paraId="31755C50" w14:textId="77777777">
        <w:trPr>
          <w:trHeight w:val="741"/>
        </w:trPr>
        <w:tc>
          <w:tcPr>
            <w:tcW w:w="1055" w:type="dxa"/>
            <w:vMerge w:val="restart"/>
            <w:shd w:val="clear" w:color="auto" w:fill="auto"/>
            <w:tcMar>
              <w:top w:w="100" w:type="dxa"/>
              <w:left w:w="100" w:type="dxa"/>
              <w:bottom w:w="100" w:type="dxa"/>
              <w:right w:w="100" w:type="dxa"/>
            </w:tcMar>
          </w:tcPr>
          <w:p w14:paraId="04A185F4"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 xml:space="preserve">Health </w:t>
            </w:r>
          </w:p>
        </w:tc>
        <w:tc>
          <w:tcPr>
            <w:tcW w:w="2258" w:type="dxa"/>
            <w:shd w:val="clear" w:color="auto" w:fill="auto"/>
            <w:tcMar>
              <w:top w:w="100" w:type="dxa"/>
              <w:left w:w="100" w:type="dxa"/>
              <w:bottom w:w="100" w:type="dxa"/>
              <w:right w:w="100" w:type="dxa"/>
            </w:tcMar>
          </w:tcPr>
          <w:p w14:paraId="439CA7B3"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 xml:space="preserve">Harm to user </w:t>
            </w:r>
          </w:p>
        </w:tc>
        <w:tc>
          <w:tcPr>
            <w:tcW w:w="5202" w:type="dxa"/>
            <w:shd w:val="clear" w:color="auto" w:fill="auto"/>
            <w:tcMar>
              <w:top w:w="100" w:type="dxa"/>
              <w:left w:w="100" w:type="dxa"/>
              <w:bottom w:w="100" w:type="dxa"/>
              <w:right w:w="100" w:type="dxa"/>
            </w:tcMar>
          </w:tcPr>
          <w:p w14:paraId="6BDA517F" w14:textId="77777777" w:rsidR="00CA2320" w:rsidRDefault="00713283">
            <w:pPr>
              <w:widowControl w:val="0"/>
              <w:spacing w:line="245" w:lineRule="auto"/>
              <w:ind w:left="116" w:right="299" w:firstLine="13"/>
              <w:rPr>
                <w:rFonts w:ascii="Calibri" w:eastAsia="Calibri" w:hAnsi="Calibri" w:cs="Calibri"/>
                <w:sz w:val="19"/>
                <w:szCs w:val="19"/>
              </w:rPr>
            </w:pPr>
            <w:r>
              <w:rPr>
                <w:rFonts w:ascii="Calibri" w:eastAsia="Calibri" w:hAnsi="Calibri" w:cs="Calibri"/>
                <w:sz w:val="19"/>
                <w:szCs w:val="19"/>
              </w:rPr>
              <w:t xml:space="preserve">Prevents medical harms to a user resulting </w:t>
            </w:r>
            <w:proofErr w:type="gramStart"/>
            <w:r>
              <w:rPr>
                <w:rFonts w:ascii="Calibri" w:eastAsia="Calibri" w:hAnsi="Calibri" w:cs="Calibri"/>
                <w:sz w:val="19"/>
                <w:szCs w:val="19"/>
              </w:rPr>
              <w:t>from  consumption</w:t>
            </w:r>
            <w:proofErr w:type="gramEnd"/>
            <w:r>
              <w:rPr>
                <w:rFonts w:ascii="Calibri" w:eastAsia="Calibri" w:hAnsi="Calibri" w:cs="Calibri"/>
                <w:sz w:val="19"/>
                <w:szCs w:val="19"/>
              </w:rPr>
              <w:t xml:space="preserve"> of intended substance; includes blood-borne  viruses (BBV)</w:t>
            </w:r>
          </w:p>
        </w:tc>
      </w:tr>
      <w:tr w:rsidR="00CA2320" w14:paraId="1F426EB0" w14:textId="77777777">
        <w:trPr>
          <w:trHeight w:val="986"/>
        </w:trPr>
        <w:tc>
          <w:tcPr>
            <w:tcW w:w="1055" w:type="dxa"/>
            <w:vMerge/>
            <w:shd w:val="clear" w:color="auto" w:fill="auto"/>
            <w:tcMar>
              <w:top w:w="100" w:type="dxa"/>
              <w:left w:w="100" w:type="dxa"/>
              <w:bottom w:w="100" w:type="dxa"/>
              <w:right w:w="100" w:type="dxa"/>
            </w:tcMar>
          </w:tcPr>
          <w:p w14:paraId="7E63478B" w14:textId="77777777" w:rsidR="00CA2320" w:rsidRDefault="00CA2320">
            <w:pPr>
              <w:widowControl w:val="0"/>
              <w:rPr>
                <w:rFonts w:ascii="Calibri" w:eastAsia="Calibri" w:hAnsi="Calibri" w:cs="Calibri"/>
                <w:sz w:val="19"/>
                <w:szCs w:val="19"/>
              </w:rPr>
            </w:pPr>
          </w:p>
        </w:tc>
        <w:tc>
          <w:tcPr>
            <w:tcW w:w="2258" w:type="dxa"/>
            <w:shd w:val="clear" w:color="auto" w:fill="auto"/>
            <w:tcMar>
              <w:top w:w="100" w:type="dxa"/>
              <w:left w:w="100" w:type="dxa"/>
              <w:bottom w:w="100" w:type="dxa"/>
              <w:right w:w="100" w:type="dxa"/>
            </w:tcMar>
          </w:tcPr>
          <w:p w14:paraId="41BCA192"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 xml:space="preserve">Harm to others </w:t>
            </w:r>
          </w:p>
        </w:tc>
        <w:tc>
          <w:tcPr>
            <w:tcW w:w="5202" w:type="dxa"/>
            <w:shd w:val="clear" w:color="auto" w:fill="auto"/>
            <w:tcMar>
              <w:top w:w="100" w:type="dxa"/>
              <w:left w:w="100" w:type="dxa"/>
              <w:bottom w:w="100" w:type="dxa"/>
              <w:right w:w="100" w:type="dxa"/>
            </w:tcMar>
          </w:tcPr>
          <w:p w14:paraId="7C8F4476" w14:textId="77777777" w:rsidR="00CA2320" w:rsidRDefault="00713283">
            <w:pPr>
              <w:widowControl w:val="0"/>
              <w:spacing w:line="245" w:lineRule="auto"/>
              <w:ind w:left="115" w:right="215" w:firstLine="13"/>
              <w:rPr>
                <w:rFonts w:ascii="Calibri" w:eastAsia="Calibri" w:hAnsi="Calibri" w:cs="Calibri"/>
                <w:sz w:val="19"/>
                <w:szCs w:val="19"/>
              </w:rPr>
            </w:pPr>
            <w:r>
              <w:rPr>
                <w:rFonts w:ascii="Calibri" w:eastAsia="Calibri" w:hAnsi="Calibri" w:cs="Calibri"/>
                <w:sz w:val="19"/>
                <w:szCs w:val="19"/>
              </w:rPr>
              <w:t xml:space="preserve">Prevents health harms (including BBVs) to third parties </w:t>
            </w:r>
            <w:proofErr w:type="gramStart"/>
            <w:r>
              <w:rPr>
                <w:rFonts w:ascii="Calibri" w:eastAsia="Calibri" w:hAnsi="Calibri" w:cs="Calibri"/>
                <w:sz w:val="19"/>
                <w:szCs w:val="19"/>
              </w:rPr>
              <w:t>due  to</w:t>
            </w:r>
            <w:proofErr w:type="gramEnd"/>
            <w:r>
              <w:rPr>
                <w:rFonts w:ascii="Calibri" w:eastAsia="Calibri" w:hAnsi="Calibri" w:cs="Calibri"/>
                <w:sz w:val="19"/>
                <w:szCs w:val="19"/>
              </w:rPr>
              <w:t xml:space="preserve"> either indirect exposure (e.g., second hand smoking) a</w:t>
            </w:r>
            <w:r>
              <w:rPr>
                <w:rFonts w:ascii="Calibri" w:eastAsia="Calibri" w:hAnsi="Calibri" w:cs="Calibri"/>
                <w:sz w:val="19"/>
                <w:szCs w:val="19"/>
              </w:rPr>
              <w:t>nd  behavioural responses to consumption (e.g., injury due to  alcohol induced violence)</w:t>
            </w:r>
          </w:p>
        </w:tc>
      </w:tr>
      <w:tr w:rsidR="00CA2320" w14:paraId="59FDF5C6" w14:textId="77777777">
        <w:trPr>
          <w:trHeight w:val="744"/>
        </w:trPr>
        <w:tc>
          <w:tcPr>
            <w:tcW w:w="1055" w:type="dxa"/>
            <w:vMerge/>
            <w:shd w:val="clear" w:color="auto" w:fill="auto"/>
            <w:tcMar>
              <w:top w:w="100" w:type="dxa"/>
              <w:left w:w="100" w:type="dxa"/>
              <w:bottom w:w="100" w:type="dxa"/>
              <w:right w:w="100" w:type="dxa"/>
            </w:tcMar>
          </w:tcPr>
          <w:p w14:paraId="529D0750" w14:textId="77777777" w:rsidR="00CA2320" w:rsidRDefault="00CA2320">
            <w:pPr>
              <w:widowControl w:val="0"/>
              <w:rPr>
                <w:rFonts w:ascii="Calibri" w:eastAsia="Calibri" w:hAnsi="Calibri" w:cs="Calibri"/>
                <w:sz w:val="19"/>
                <w:szCs w:val="19"/>
              </w:rPr>
            </w:pPr>
          </w:p>
        </w:tc>
        <w:tc>
          <w:tcPr>
            <w:tcW w:w="2258" w:type="dxa"/>
            <w:shd w:val="clear" w:color="auto" w:fill="auto"/>
            <w:tcMar>
              <w:top w:w="100" w:type="dxa"/>
              <w:left w:w="100" w:type="dxa"/>
              <w:bottom w:w="100" w:type="dxa"/>
              <w:right w:w="100" w:type="dxa"/>
            </w:tcMar>
          </w:tcPr>
          <w:p w14:paraId="6D2E7CCC"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 xml:space="preserve">More harmful  </w:t>
            </w:r>
          </w:p>
          <w:p w14:paraId="2B769E2A" w14:textId="77777777" w:rsidR="00CA2320" w:rsidRDefault="00713283">
            <w:pPr>
              <w:widowControl w:val="0"/>
              <w:spacing w:before="9" w:line="240" w:lineRule="auto"/>
              <w:ind w:left="120"/>
              <w:rPr>
                <w:rFonts w:ascii="Calibri" w:eastAsia="Calibri" w:hAnsi="Calibri" w:cs="Calibri"/>
                <w:sz w:val="19"/>
                <w:szCs w:val="19"/>
              </w:rPr>
            </w:pPr>
            <w:r>
              <w:rPr>
                <w:rFonts w:ascii="Calibri" w:eastAsia="Calibri" w:hAnsi="Calibri" w:cs="Calibri"/>
                <w:sz w:val="19"/>
                <w:szCs w:val="19"/>
              </w:rPr>
              <w:t>substances</w:t>
            </w:r>
          </w:p>
        </w:tc>
        <w:tc>
          <w:tcPr>
            <w:tcW w:w="5202" w:type="dxa"/>
            <w:shd w:val="clear" w:color="auto" w:fill="auto"/>
            <w:tcMar>
              <w:top w:w="100" w:type="dxa"/>
              <w:left w:w="100" w:type="dxa"/>
              <w:bottom w:w="100" w:type="dxa"/>
              <w:right w:w="100" w:type="dxa"/>
            </w:tcMar>
          </w:tcPr>
          <w:p w14:paraId="009E7512" w14:textId="77777777" w:rsidR="00CA2320" w:rsidRDefault="00713283">
            <w:pPr>
              <w:widowControl w:val="0"/>
              <w:spacing w:line="244" w:lineRule="auto"/>
              <w:ind w:left="121" w:right="543" w:firstLine="7"/>
              <w:jc w:val="both"/>
              <w:rPr>
                <w:rFonts w:ascii="Calibri" w:eastAsia="Calibri" w:hAnsi="Calibri" w:cs="Calibri"/>
                <w:sz w:val="19"/>
                <w:szCs w:val="19"/>
              </w:rPr>
            </w:pPr>
            <w:r>
              <w:rPr>
                <w:rFonts w:ascii="Calibri" w:eastAsia="Calibri" w:hAnsi="Calibri" w:cs="Calibri"/>
                <w:sz w:val="19"/>
                <w:szCs w:val="19"/>
              </w:rPr>
              <w:t xml:space="preserve">Decreases consumption of more harmful substances </w:t>
            </w:r>
            <w:proofErr w:type="gramStart"/>
            <w:r>
              <w:rPr>
                <w:rFonts w:ascii="Calibri" w:eastAsia="Calibri" w:hAnsi="Calibri" w:cs="Calibri"/>
                <w:sz w:val="19"/>
                <w:szCs w:val="19"/>
              </w:rPr>
              <w:t>or  increases</w:t>
            </w:r>
            <w:proofErr w:type="gramEnd"/>
            <w:r>
              <w:rPr>
                <w:rFonts w:ascii="Calibri" w:eastAsia="Calibri" w:hAnsi="Calibri" w:cs="Calibri"/>
                <w:sz w:val="19"/>
                <w:szCs w:val="19"/>
              </w:rPr>
              <w:t xml:space="preserve"> consumption of less harmful substances (e.g.,  cannabis prohibition leading to synthetic cannabinoids)</w:t>
            </w:r>
          </w:p>
        </w:tc>
      </w:tr>
      <w:tr w:rsidR="00CA2320" w14:paraId="04EE69CD" w14:textId="77777777">
        <w:trPr>
          <w:trHeight w:val="254"/>
        </w:trPr>
        <w:tc>
          <w:tcPr>
            <w:tcW w:w="1055" w:type="dxa"/>
            <w:vMerge/>
            <w:shd w:val="clear" w:color="auto" w:fill="auto"/>
            <w:tcMar>
              <w:top w:w="100" w:type="dxa"/>
              <w:left w:w="100" w:type="dxa"/>
              <w:bottom w:w="100" w:type="dxa"/>
              <w:right w:w="100" w:type="dxa"/>
            </w:tcMar>
          </w:tcPr>
          <w:p w14:paraId="7ECA9CA5" w14:textId="77777777" w:rsidR="00CA2320" w:rsidRDefault="00CA2320">
            <w:pPr>
              <w:widowControl w:val="0"/>
              <w:rPr>
                <w:rFonts w:ascii="Calibri" w:eastAsia="Calibri" w:hAnsi="Calibri" w:cs="Calibri"/>
                <w:sz w:val="19"/>
                <w:szCs w:val="19"/>
              </w:rPr>
            </w:pPr>
          </w:p>
        </w:tc>
        <w:tc>
          <w:tcPr>
            <w:tcW w:w="2258" w:type="dxa"/>
            <w:shd w:val="clear" w:color="auto" w:fill="auto"/>
            <w:tcMar>
              <w:top w:w="100" w:type="dxa"/>
              <w:left w:w="100" w:type="dxa"/>
              <w:bottom w:w="100" w:type="dxa"/>
              <w:right w:w="100" w:type="dxa"/>
            </w:tcMar>
          </w:tcPr>
          <w:p w14:paraId="3DE86AF1"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 xml:space="preserve">Encourages treatment </w:t>
            </w:r>
          </w:p>
        </w:tc>
        <w:tc>
          <w:tcPr>
            <w:tcW w:w="5202" w:type="dxa"/>
            <w:shd w:val="clear" w:color="auto" w:fill="auto"/>
            <w:tcMar>
              <w:top w:w="100" w:type="dxa"/>
              <w:left w:w="100" w:type="dxa"/>
              <w:bottom w:w="100" w:type="dxa"/>
              <w:right w:w="100" w:type="dxa"/>
            </w:tcMar>
          </w:tcPr>
          <w:p w14:paraId="185B62EA"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Encourages treatment of substance-use problems</w:t>
            </w:r>
          </w:p>
        </w:tc>
      </w:tr>
      <w:tr w:rsidR="00CA2320" w14:paraId="25525EA7" w14:textId="77777777">
        <w:trPr>
          <w:trHeight w:val="497"/>
        </w:trPr>
        <w:tc>
          <w:tcPr>
            <w:tcW w:w="1055" w:type="dxa"/>
            <w:vMerge/>
            <w:shd w:val="clear" w:color="auto" w:fill="auto"/>
            <w:tcMar>
              <w:top w:w="100" w:type="dxa"/>
              <w:left w:w="100" w:type="dxa"/>
              <w:bottom w:w="100" w:type="dxa"/>
              <w:right w:w="100" w:type="dxa"/>
            </w:tcMar>
          </w:tcPr>
          <w:p w14:paraId="495D9931" w14:textId="77777777" w:rsidR="00CA2320" w:rsidRDefault="00CA2320">
            <w:pPr>
              <w:widowControl w:val="0"/>
              <w:rPr>
                <w:rFonts w:ascii="Calibri" w:eastAsia="Calibri" w:hAnsi="Calibri" w:cs="Calibri"/>
                <w:sz w:val="19"/>
                <w:szCs w:val="19"/>
              </w:rPr>
            </w:pPr>
          </w:p>
        </w:tc>
        <w:tc>
          <w:tcPr>
            <w:tcW w:w="2258" w:type="dxa"/>
            <w:shd w:val="clear" w:color="auto" w:fill="auto"/>
            <w:tcMar>
              <w:top w:w="100" w:type="dxa"/>
              <w:left w:w="100" w:type="dxa"/>
              <w:bottom w:w="100" w:type="dxa"/>
              <w:right w:w="100" w:type="dxa"/>
            </w:tcMar>
          </w:tcPr>
          <w:p w14:paraId="26CABDBA"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 xml:space="preserve">Product quality </w:t>
            </w:r>
          </w:p>
        </w:tc>
        <w:tc>
          <w:tcPr>
            <w:tcW w:w="5202" w:type="dxa"/>
            <w:shd w:val="clear" w:color="auto" w:fill="auto"/>
            <w:tcMar>
              <w:top w:w="100" w:type="dxa"/>
              <w:left w:w="100" w:type="dxa"/>
              <w:bottom w:w="100" w:type="dxa"/>
              <w:right w:w="100" w:type="dxa"/>
            </w:tcMar>
          </w:tcPr>
          <w:p w14:paraId="4ADD42A4" w14:textId="77777777" w:rsidR="00CA2320" w:rsidRDefault="00713283">
            <w:pPr>
              <w:widowControl w:val="0"/>
              <w:spacing w:line="246" w:lineRule="auto"/>
              <w:ind w:left="121" w:right="617" w:hanging="5"/>
              <w:rPr>
                <w:rFonts w:ascii="Calibri" w:eastAsia="Calibri" w:hAnsi="Calibri" w:cs="Calibri"/>
                <w:sz w:val="19"/>
                <w:szCs w:val="19"/>
              </w:rPr>
            </w:pPr>
            <w:r>
              <w:rPr>
                <w:rFonts w:ascii="Calibri" w:eastAsia="Calibri" w:hAnsi="Calibri" w:cs="Calibri"/>
                <w:sz w:val="19"/>
                <w:szCs w:val="19"/>
              </w:rPr>
              <w:t xml:space="preserve">Assures the quality of products due to mislabelled </w:t>
            </w:r>
            <w:proofErr w:type="gramStart"/>
            <w:r>
              <w:rPr>
                <w:rFonts w:ascii="Calibri" w:eastAsia="Calibri" w:hAnsi="Calibri" w:cs="Calibri"/>
                <w:sz w:val="19"/>
                <w:szCs w:val="19"/>
              </w:rPr>
              <w:t>or  counterfeit</w:t>
            </w:r>
            <w:proofErr w:type="gramEnd"/>
            <w:r>
              <w:rPr>
                <w:rFonts w:ascii="Calibri" w:eastAsia="Calibri" w:hAnsi="Calibri" w:cs="Calibri"/>
                <w:sz w:val="19"/>
                <w:szCs w:val="19"/>
              </w:rPr>
              <w:t>/adulterated product, unknown dose/purity</w:t>
            </w:r>
          </w:p>
        </w:tc>
      </w:tr>
      <w:tr w:rsidR="00CA2320" w14:paraId="63945BE1" w14:textId="77777777">
        <w:trPr>
          <w:trHeight w:val="254"/>
        </w:trPr>
        <w:tc>
          <w:tcPr>
            <w:tcW w:w="1055" w:type="dxa"/>
            <w:vMerge w:val="restart"/>
            <w:shd w:val="clear" w:color="auto" w:fill="auto"/>
            <w:tcMar>
              <w:top w:w="100" w:type="dxa"/>
              <w:left w:w="100" w:type="dxa"/>
              <w:bottom w:w="100" w:type="dxa"/>
              <w:right w:w="100" w:type="dxa"/>
            </w:tcMar>
          </w:tcPr>
          <w:p w14:paraId="6405F4AC" w14:textId="77777777" w:rsidR="00CA2320" w:rsidRDefault="00713283">
            <w:pPr>
              <w:widowControl w:val="0"/>
              <w:spacing w:line="240" w:lineRule="auto"/>
              <w:ind w:left="119"/>
              <w:rPr>
                <w:rFonts w:ascii="Calibri" w:eastAsia="Calibri" w:hAnsi="Calibri" w:cs="Calibri"/>
                <w:sz w:val="19"/>
                <w:szCs w:val="19"/>
              </w:rPr>
            </w:pPr>
            <w:r>
              <w:rPr>
                <w:rFonts w:ascii="Calibri" w:eastAsia="Calibri" w:hAnsi="Calibri" w:cs="Calibri"/>
                <w:sz w:val="19"/>
                <w:szCs w:val="19"/>
              </w:rPr>
              <w:t xml:space="preserve">Social </w:t>
            </w:r>
          </w:p>
        </w:tc>
        <w:tc>
          <w:tcPr>
            <w:tcW w:w="2258" w:type="dxa"/>
            <w:shd w:val="clear" w:color="auto" w:fill="auto"/>
            <w:tcMar>
              <w:top w:w="100" w:type="dxa"/>
              <w:left w:w="100" w:type="dxa"/>
              <w:bottom w:w="100" w:type="dxa"/>
              <w:right w:w="100" w:type="dxa"/>
            </w:tcMar>
          </w:tcPr>
          <w:p w14:paraId="538859AD"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 xml:space="preserve">Education </w:t>
            </w:r>
          </w:p>
        </w:tc>
        <w:tc>
          <w:tcPr>
            <w:tcW w:w="5202" w:type="dxa"/>
            <w:shd w:val="clear" w:color="auto" w:fill="auto"/>
            <w:tcMar>
              <w:top w:w="100" w:type="dxa"/>
              <w:left w:w="100" w:type="dxa"/>
              <w:bottom w:w="100" w:type="dxa"/>
              <w:right w:w="100" w:type="dxa"/>
            </w:tcMar>
          </w:tcPr>
          <w:p w14:paraId="30E530F8"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Improves education about drugs</w:t>
            </w:r>
          </w:p>
        </w:tc>
      </w:tr>
      <w:tr w:rsidR="00CA2320" w14:paraId="34DE1060" w14:textId="77777777">
        <w:trPr>
          <w:trHeight w:val="254"/>
        </w:trPr>
        <w:tc>
          <w:tcPr>
            <w:tcW w:w="1055" w:type="dxa"/>
            <w:vMerge/>
            <w:shd w:val="clear" w:color="auto" w:fill="auto"/>
            <w:tcMar>
              <w:top w:w="100" w:type="dxa"/>
              <w:left w:w="100" w:type="dxa"/>
              <w:bottom w:w="100" w:type="dxa"/>
              <w:right w:w="100" w:type="dxa"/>
            </w:tcMar>
          </w:tcPr>
          <w:p w14:paraId="4D95B302" w14:textId="77777777" w:rsidR="00CA2320" w:rsidRDefault="00CA2320">
            <w:pPr>
              <w:widowControl w:val="0"/>
              <w:rPr>
                <w:rFonts w:ascii="Calibri" w:eastAsia="Calibri" w:hAnsi="Calibri" w:cs="Calibri"/>
                <w:sz w:val="19"/>
                <w:szCs w:val="19"/>
              </w:rPr>
            </w:pPr>
          </w:p>
        </w:tc>
        <w:tc>
          <w:tcPr>
            <w:tcW w:w="2258" w:type="dxa"/>
            <w:shd w:val="clear" w:color="auto" w:fill="auto"/>
            <w:tcMar>
              <w:top w:w="100" w:type="dxa"/>
              <w:left w:w="100" w:type="dxa"/>
              <w:bottom w:w="100" w:type="dxa"/>
              <w:right w:w="100" w:type="dxa"/>
            </w:tcMar>
          </w:tcPr>
          <w:p w14:paraId="03013FA1"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 xml:space="preserve">Medical use </w:t>
            </w:r>
          </w:p>
        </w:tc>
        <w:tc>
          <w:tcPr>
            <w:tcW w:w="5202" w:type="dxa"/>
            <w:shd w:val="clear" w:color="auto" w:fill="auto"/>
            <w:tcMar>
              <w:top w:w="100" w:type="dxa"/>
              <w:left w:w="100" w:type="dxa"/>
              <w:bottom w:w="100" w:type="dxa"/>
              <w:right w:w="100" w:type="dxa"/>
            </w:tcMar>
          </w:tcPr>
          <w:p w14:paraId="61F2A62E"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Policy does not impede medical use</w:t>
            </w:r>
          </w:p>
        </w:tc>
      </w:tr>
      <w:tr w:rsidR="00CA2320" w14:paraId="77585EE0" w14:textId="77777777">
        <w:trPr>
          <w:trHeight w:val="254"/>
        </w:trPr>
        <w:tc>
          <w:tcPr>
            <w:tcW w:w="1055" w:type="dxa"/>
            <w:vMerge/>
            <w:shd w:val="clear" w:color="auto" w:fill="auto"/>
            <w:tcMar>
              <w:top w:w="100" w:type="dxa"/>
              <w:left w:w="100" w:type="dxa"/>
              <w:bottom w:w="100" w:type="dxa"/>
              <w:right w:w="100" w:type="dxa"/>
            </w:tcMar>
          </w:tcPr>
          <w:p w14:paraId="4626FF4D" w14:textId="77777777" w:rsidR="00CA2320" w:rsidRDefault="00CA2320">
            <w:pPr>
              <w:widowControl w:val="0"/>
              <w:rPr>
                <w:rFonts w:ascii="Calibri" w:eastAsia="Calibri" w:hAnsi="Calibri" w:cs="Calibri"/>
                <w:sz w:val="19"/>
                <w:szCs w:val="19"/>
              </w:rPr>
            </w:pPr>
          </w:p>
        </w:tc>
        <w:tc>
          <w:tcPr>
            <w:tcW w:w="2258" w:type="dxa"/>
            <w:shd w:val="clear" w:color="auto" w:fill="auto"/>
            <w:tcMar>
              <w:top w:w="100" w:type="dxa"/>
              <w:left w:w="100" w:type="dxa"/>
              <w:bottom w:w="100" w:type="dxa"/>
              <w:right w:w="100" w:type="dxa"/>
            </w:tcMar>
          </w:tcPr>
          <w:p w14:paraId="611D114D"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 xml:space="preserve">Research </w:t>
            </w:r>
          </w:p>
        </w:tc>
        <w:tc>
          <w:tcPr>
            <w:tcW w:w="5202" w:type="dxa"/>
            <w:shd w:val="clear" w:color="auto" w:fill="auto"/>
            <w:tcMar>
              <w:top w:w="100" w:type="dxa"/>
              <w:left w:w="100" w:type="dxa"/>
              <w:bottom w:w="100" w:type="dxa"/>
              <w:right w:w="100" w:type="dxa"/>
            </w:tcMar>
          </w:tcPr>
          <w:p w14:paraId="332D9921"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Policy does not impede research</w:t>
            </w:r>
          </w:p>
        </w:tc>
      </w:tr>
      <w:tr w:rsidR="00CA2320" w14:paraId="569AC855" w14:textId="77777777">
        <w:trPr>
          <w:trHeight w:val="499"/>
        </w:trPr>
        <w:tc>
          <w:tcPr>
            <w:tcW w:w="1055" w:type="dxa"/>
            <w:vMerge/>
            <w:shd w:val="clear" w:color="auto" w:fill="auto"/>
            <w:tcMar>
              <w:top w:w="100" w:type="dxa"/>
              <w:left w:w="100" w:type="dxa"/>
              <w:bottom w:w="100" w:type="dxa"/>
              <w:right w:w="100" w:type="dxa"/>
            </w:tcMar>
          </w:tcPr>
          <w:p w14:paraId="143CBA0E" w14:textId="77777777" w:rsidR="00CA2320" w:rsidRDefault="00CA2320">
            <w:pPr>
              <w:widowControl w:val="0"/>
              <w:rPr>
                <w:rFonts w:ascii="Calibri" w:eastAsia="Calibri" w:hAnsi="Calibri" w:cs="Calibri"/>
                <w:sz w:val="19"/>
                <w:szCs w:val="19"/>
              </w:rPr>
            </w:pPr>
          </w:p>
        </w:tc>
        <w:tc>
          <w:tcPr>
            <w:tcW w:w="2258" w:type="dxa"/>
            <w:shd w:val="clear" w:color="auto" w:fill="auto"/>
            <w:tcMar>
              <w:top w:w="100" w:type="dxa"/>
              <w:left w:w="100" w:type="dxa"/>
              <w:bottom w:w="100" w:type="dxa"/>
              <w:right w:w="100" w:type="dxa"/>
            </w:tcMar>
          </w:tcPr>
          <w:p w14:paraId="78BA562B"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 xml:space="preserve">Human rights </w:t>
            </w:r>
          </w:p>
        </w:tc>
        <w:tc>
          <w:tcPr>
            <w:tcW w:w="5202" w:type="dxa"/>
            <w:shd w:val="clear" w:color="auto" w:fill="auto"/>
            <w:tcMar>
              <w:top w:w="100" w:type="dxa"/>
              <w:left w:w="100" w:type="dxa"/>
              <w:bottom w:w="100" w:type="dxa"/>
              <w:right w:w="100" w:type="dxa"/>
            </w:tcMar>
          </w:tcPr>
          <w:p w14:paraId="1F889A79" w14:textId="77777777" w:rsidR="00CA2320" w:rsidRDefault="00713283">
            <w:pPr>
              <w:widowControl w:val="0"/>
              <w:spacing w:line="245" w:lineRule="auto"/>
              <w:ind w:left="115" w:right="222" w:firstLine="13"/>
              <w:rPr>
                <w:rFonts w:ascii="Calibri" w:eastAsia="Calibri" w:hAnsi="Calibri" w:cs="Calibri"/>
                <w:sz w:val="19"/>
                <w:szCs w:val="19"/>
              </w:rPr>
            </w:pPr>
            <w:r>
              <w:rPr>
                <w:rFonts w:ascii="Calibri" w:eastAsia="Calibri" w:hAnsi="Calibri" w:cs="Calibri"/>
                <w:sz w:val="19"/>
                <w:szCs w:val="19"/>
              </w:rPr>
              <w:t xml:space="preserve">Policy does not interfere with human rights as distinct </w:t>
            </w:r>
            <w:proofErr w:type="gramStart"/>
            <w:r>
              <w:rPr>
                <w:rFonts w:ascii="Calibri" w:eastAsia="Calibri" w:hAnsi="Calibri" w:cs="Calibri"/>
                <w:sz w:val="19"/>
                <w:szCs w:val="19"/>
              </w:rPr>
              <w:t>from  the</w:t>
            </w:r>
            <w:proofErr w:type="gramEnd"/>
            <w:r>
              <w:rPr>
                <w:rFonts w:ascii="Calibri" w:eastAsia="Calibri" w:hAnsi="Calibri" w:cs="Calibri"/>
                <w:sz w:val="19"/>
                <w:szCs w:val="19"/>
              </w:rPr>
              <w:t xml:space="preserve"> individual’s right to use.</w:t>
            </w:r>
          </w:p>
        </w:tc>
      </w:tr>
      <w:tr w:rsidR="00CA2320" w14:paraId="77D8E1BE" w14:textId="77777777">
        <w:trPr>
          <w:trHeight w:val="496"/>
        </w:trPr>
        <w:tc>
          <w:tcPr>
            <w:tcW w:w="1055" w:type="dxa"/>
            <w:vMerge/>
            <w:shd w:val="clear" w:color="auto" w:fill="auto"/>
            <w:tcMar>
              <w:top w:w="100" w:type="dxa"/>
              <w:left w:w="100" w:type="dxa"/>
              <w:bottom w:w="100" w:type="dxa"/>
              <w:right w:w="100" w:type="dxa"/>
            </w:tcMar>
          </w:tcPr>
          <w:p w14:paraId="0B043D73" w14:textId="77777777" w:rsidR="00CA2320" w:rsidRDefault="00CA2320">
            <w:pPr>
              <w:widowControl w:val="0"/>
              <w:rPr>
                <w:rFonts w:ascii="Calibri" w:eastAsia="Calibri" w:hAnsi="Calibri" w:cs="Calibri"/>
                <w:sz w:val="19"/>
                <w:szCs w:val="19"/>
              </w:rPr>
            </w:pPr>
          </w:p>
        </w:tc>
        <w:tc>
          <w:tcPr>
            <w:tcW w:w="2258" w:type="dxa"/>
            <w:shd w:val="clear" w:color="auto" w:fill="auto"/>
            <w:tcMar>
              <w:top w:w="100" w:type="dxa"/>
              <w:left w:w="100" w:type="dxa"/>
              <w:bottom w:w="100" w:type="dxa"/>
              <w:right w:w="100" w:type="dxa"/>
            </w:tcMar>
          </w:tcPr>
          <w:p w14:paraId="3CB60CB7"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 xml:space="preserve">Individual liberty </w:t>
            </w:r>
          </w:p>
        </w:tc>
        <w:tc>
          <w:tcPr>
            <w:tcW w:w="5202" w:type="dxa"/>
            <w:shd w:val="clear" w:color="auto" w:fill="auto"/>
            <w:tcMar>
              <w:top w:w="100" w:type="dxa"/>
              <w:left w:w="100" w:type="dxa"/>
              <w:bottom w:w="100" w:type="dxa"/>
              <w:right w:w="100" w:type="dxa"/>
            </w:tcMar>
          </w:tcPr>
          <w:p w14:paraId="2F129B34" w14:textId="77777777" w:rsidR="00CA2320" w:rsidRDefault="00713283">
            <w:pPr>
              <w:widowControl w:val="0"/>
              <w:spacing w:line="243" w:lineRule="auto"/>
              <w:ind w:left="127" w:right="222" w:firstLine="1"/>
              <w:rPr>
                <w:rFonts w:ascii="Calibri" w:eastAsia="Calibri" w:hAnsi="Calibri" w:cs="Calibri"/>
                <w:sz w:val="19"/>
                <w:szCs w:val="19"/>
              </w:rPr>
            </w:pPr>
            <w:r>
              <w:rPr>
                <w:rFonts w:ascii="Calibri" w:eastAsia="Calibri" w:hAnsi="Calibri" w:cs="Calibri"/>
                <w:sz w:val="19"/>
                <w:szCs w:val="19"/>
              </w:rPr>
              <w:t>Policy does not interfere with individual liberty (</w:t>
            </w:r>
            <w:proofErr w:type="gramStart"/>
            <w:r>
              <w:rPr>
                <w:rFonts w:ascii="Calibri" w:eastAsia="Calibri" w:hAnsi="Calibri" w:cs="Calibri"/>
                <w:sz w:val="19"/>
                <w:szCs w:val="19"/>
              </w:rPr>
              <w:t>individual’s  right</w:t>
            </w:r>
            <w:proofErr w:type="gramEnd"/>
            <w:r>
              <w:rPr>
                <w:rFonts w:ascii="Calibri" w:eastAsia="Calibri" w:hAnsi="Calibri" w:cs="Calibri"/>
                <w:sz w:val="19"/>
                <w:szCs w:val="19"/>
              </w:rPr>
              <w:t xml:space="preserve"> to use)</w:t>
            </w:r>
          </w:p>
        </w:tc>
      </w:tr>
      <w:tr w:rsidR="00CA2320" w14:paraId="45267297" w14:textId="77777777">
        <w:trPr>
          <w:trHeight w:val="254"/>
        </w:trPr>
        <w:tc>
          <w:tcPr>
            <w:tcW w:w="1055" w:type="dxa"/>
            <w:vMerge/>
            <w:shd w:val="clear" w:color="auto" w:fill="auto"/>
            <w:tcMar>
              <w:top w:w="100" w:type="dxa"/>
              <w:left w:w="100" w:type="dxa"/>
              <w:bottom w:w="100" w:type="dxa"/>
              <w:right w:w="100" w:type="dxa"/>
            </w:tcMar>
          </w:tcPr>
          <w:p w14:paraId="56593DA5" w14:textId="77777777" w:rsidR="00CA2320" w:rsidRDefault="00CA2320">
            <w:pPr>
              <w:widowControl w:val="0"/>
              <w:rPr>
                <w:rFonts w:ascii="Calibri" w:eastAsia="Calibri" w:hAnsi="Calibri" w:cs="Calibri"/>
                <w:sz w:val="19"/>
                <w:szCs w:val="19"/>
              </w:rPr>
            </w:pPr>
          </w:p>
        </w:tc>
        <w:tc>
          <w:tcPr>
            <w:tcW w:w="2258" w:type="dxa"/>
            <w:shd w:val="clear" w:color="auto" w:fill="auto"/>
            <w:tcMar>
              <w:top w:w="100" w:type="dxa"/>
              <w:left w:w="100" w:type="dxa"/>
              <w:bottom w:w="100" w:type="dxa"/>
              <w:right w:w="100" w:type="dxa"/>
            </w:tcMar>
          </w:tcPr>
          <w:p w14:paraId="389EB417" w14:textId="77777777" w:rsidR="00CA2320" w:rsidRDefault="00713283">
            <w:pPr>
              <w:widowControl w:val="0"/>
              <w:spacing w:line="240" w:lineRule="auto"/>
              <w:ind w:left="122"/>
              <w:rPr>
                <w:rFonts w:ascii="Calibri" w:eastAsia="Calibri" w:hAnsi="Calibri" w:cs="Calibri"/>
                <w:sz w:val="19"/>
                <w:szCs w:val="19"/>
              </w:rPr>
            </w:pPr>
            <w:r>
              <w:rPr>
                <w:rFonts w:ascii="Calibri" w:eastAsia="Calibri" w:hAnsi="Calibri" w:cs="Calibri"/>
                <w:sz w:val="19"/>
                <w:szCs w:val="19"/>
              </w:rPr>
              <w:t xml:space="preserve">Community cohesion </w:t>
            </w:r>
          </w:p>
        </w:tc>
        <w:tc>
          <w:tcPr>
            <w:tcW w:w="5202" w:type="dxa"/>
            <w:shd w:val="clear" w:color="auto" w:fill="auto"/>
            <w:tcMar>
              <w:top w:w="100" w:type="dxa"/>
              <w:left w:w="100" w:type="dxa"/>
              <w:bottom w:w="100" w:type="dxa"/>
              <w:right w:w="100" w:type="dxa"/>
            </w:tcMar>
          </w:tcPr>
          <w:p w14:paraId="3B6FA555"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Policy does not undermine social cohesion in communities</w:t>
            </w:r>
          </w:p>
        </w:tc>
      </w:tr>
      <w:tr w:rsidR="00CA2320" w14:paraId="5B39C5CE" w14:textId="77777777">
        <w:trPr>
          <w:trHeight w:val="254"/>
        </w:trPr>
        <w:tc>
          <w:tcPr>
            <w:tcW w:w="1055" w:type="dxa"/>
            <w:vMerge/>
            <w:shd w:val="clear" w:color="auto" w:fill="auto"/>
            <w:tcMar>
              <w:top w:w="100" w:type="dxa"/>
              <w:left w:w="100" w:type="dxa"/>
              <w:bottom w:w="100" w:type="dxa"/>
              <w:right w:w="100" w:type="dxa"/>
            </w:tcMar>
          </w:tcPr>
          <w:p w14:paraId="6F06D3FC" w14:textId="77777777" w:rsidR="00CA2320" w:rsidRDefault="00CA2320">
            <w:pPr>
              <w:widowControl w:val="0"/>
              <w:rPr>
                <w:rFonts w:ascii="Calibri" w:eastAsia="Calibri" w:hAnsi="Calibri" w:cs="Calibri"/>
                <w:sz w:val="19"/>
                <w:szCs w:val="19"/>
              </w:rPr>
            </w:pPr>
          </w:p>
        </w:tc>
        <w:tc>
          <w:tcPr>
            <w:tcW w:w="2258" w:type="dxa"/>
            <w:shd w:val="clear" w:color="auto" w:fill="auto"/>
            <w:tcMar>
              <w:top w:w="100" w:type="dxa"/>
              <w:left w:w="100" w:type="dxa"/>
              <w:bottom w:w="100" w:type="dxa"/>
              <w:right w:w="100" w:type="dxa"/>
            </w:tcMar>
          </w:tcPr>
          <w:p w14:paraId="73FF4F2C"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 xml:space="preserve">Family cohesion </w:t>
            </w:r>
          </w:p>
        </w:tc>
        <w:tc>
          <w:tcPr>
            <w:tcW w:w="5202" w:type="dxa"/>
            <w:shd w:val="clear" w:color="auto" w:fill="auto"/>
            <w:tcMar>
              <w:top w:w="100" w:type="dxa"/>
              <w:left w:w="100" w:type="dxa"/>
              <w:bottom w:w="100" w:type="dxa"/>
              <w:right w:w="100" w:type="dxa"/>
            </w:tcMar>
          </w:tcPr>
          <w:p w14:paraId="248D4917"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Policy does not undermine family cohesion</w:t>
            </w:r>
          </w:p>
        </w:tc>
      </w:tr>
      <w:tr w:rsidR="00CA2320" w14:paraId="2CC79E84" w14:textId="77777777">
        <w:trPr>
          <w:trHeight w:val="499"/>
        </w:trPr>
        <w:tc>
          <w:tcPr>
            <w:tcW w:w="1055" w:type="dxa"/>
            <w:vMerge w:val="restart"/>
            <w:shd w:val="clear" w:color="auto" w:fill="auto"/>
            <w:tcMar>
              <w:top w:w="100" w:type="dxa"/>
              <w:left w:w="100" w:type="dxa"/>
              <w:bottom w:w="100" w:type="dxa"/>
              <w:right w:w="100" w:type="dxa"/>
            </w:tcMar>
          </w:tcPr>
          <w:p w14:paraId="5266507E"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 xml:space="preserve">Political </w:t>
            </w:r>
          </w:p>
        </w:tc>
        <w:tc>
          <w:tcPr>
            <w:tcW w:w="2258" w:type="dxa"/>
            <w:shd w:val="clear" w:color="auto" w:fill="auto"/>
            <w:tcMar>
              <w:top w:w="100" w:type="dxa"/>
              <w:left w:w="100" w:type="dxa"/>
              <w:bottom w:w="100" w:type="dxa"/>
              <w:right w:w="100" w:type="dxa"/>
            </w:tcMar>
          </w:tcPr>
          <w:p w14:paraId="3A2AD7C0"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 xml:space="preserve">International  </w:t>
            </w:r>
          </w:p>
          <w:p w14:paraId="18A3C2C2" w14:textId="77777777" w:rsidR="00CA2320" w:rsidRDefault="00713283">
            <w:pPr>
              <w:widowControl w:val="0"/>
              <w:spacing w:before="12" w:line="240" w:lineRule="auto"/>
              <w:ind w:left="122"/>
              <w:rPr>
                <w:rFonts w:ascii="Calibri" w:eastAsia="Calibri" w:hAnsi="Calibri" w:cs="Calibri"/>
                <w:sz w:val="19"/>
                <w:szCs w:val="19"/>
              </w:rPr>
            </w:pPr>
            <w:r>
              <w:rPr>
                <w:rFonts w:ascii="Calibri" w:eastAsia="Calibri" w:hAnsi="Calibri" w:cs="Calibri"/>
                <w:sz w:val="19"/>
                <w:szCs w:val="19"/>
              </w:rPr>
              <w:t>development &amp; security</w:t>
            </w:r>
          </w:p>
        </w:tc>
        <w:tc>
          <w:tcPr>
            <w:tcW w:w="5202" w:type="dxa"/>
            <w:shd w:val="clear" w:color="auto" w:fill="auto"/>
            <w:tcMar>
              <w:top w:w="100" w:type="dxa"/>
              <w:left w:w="100" w:type="dxa"/>
              <w:bottom w:w="100" w:type="dxa"/>
              <w:right w:w="100" w:type="dxa"/>
            </w:tcMar>
          </w:tcPr>
          <w:p w14:paraId="5D73566E" w14:textId="77777777" w:rsidR="00CA2320" w:rsidRDefault="00713283">
            <w:pPr>
              <w:widowControl w:val="0"/>
              <w:spacing w:line="245" w:lineRule="auto"/>
              <w:ind w:left="120" w:right="299" w:firstLine="8"/>
              <w:rPr>
                <w:rFonts w:ascii="Calibri" w:eastAsia="Calibri" w:hAnsi="Calibri" w:cs="Calibri"/>
                <w:sz w:val="19"/>
                <w:szCs w:val="19"/>
              </w:rPr>
            </w:pPr>
            <w:r>
              <w:rPr>
                <w:rFonts w:ascii="Calibri" w:eastAsia="Calibri" w:hAnsi="Calibri" w:cs="Calibri"/>
                <w:sz w:val="19"/>
                <w:szCs w:val="19"/>
              </w:rPr>
              <w:t xml:space="preserve">Policy does not undermine international development </w:t>
            </w:r>
            <w:proofErr w:type="gramStart"/>
            <w:r>
              <w:rPr>
                <w:rFonts w:ascii="Calibri" w:eastAsia="Calibri" w:hAnsi="Calibri" w:cs="Calibri"/>
                <w:sz w:val="19"/>
                <w:szCs w:val="19"/>
              </w:rPr>
              <w:t>and  security</w:t>
            </w:r>
            <w:proofErr w:type="gramEnd"/>
          </w:p>
        </w:tc>
      </w:tr>
      <w:tr w:rsidR="00CA2320" w14:paraId="47B3CD4B" w14:textId="77777777">
        <w:trPr>
          <w:trHeight w:val="496"/>
        </w:trPr>
        <w:tc>
          <w:tcPr>
            <w:tcW w:w="1055" w:type="dxa"/>
            <w:vMerge/>
            <w:shd w:val="clear" w:color="auto" w:fill="auto"/>
            <w:tcMar>
              <w:top w:w="100" w:type="dxa"/>
              <w:left w:w="100" w:type="dxa"/>
              <w:bottom w:w="100" w:type="dxa"/>
              <w:right w:w="100" w:type="dxa"/>
            </w:tcMar>
          </w:tcPr>
          <w:p w14:paraId="0118FEA8" w14:textId="77777777" w:rsidR="00CA2320" w:rsidRDefault="00CA2320">
            <w:pPr>
              <w:widowControl w:val="0"/>
              <w:rPr>
                <w:rFonts w:ascii="Calibri" w:eastAsia="Calibri" w:hAnsi="Calibri" w:cs="Calibri"/>
                <w:sz w:val="19"/>
                <w:szCs w:val="19"/>
              </w:rPr>
            </w:pPr>
          </w:p>
        </w:tc>
        <w:tc>
          <w:tcPr>
            <w:tcW w:w="2258" w:type="dxa"/>
            <w:shd w:val="clear" w:color="auto" w:fill="auto"/>
            <w:tcMar>
              <w:top w:w="100" w:type="dxa"/>
              <w:left w:w="100" w:type="dxa"/>
              <w:bottom w:w="100" w:type="dxa"/>
              <w:right w:w="100" w:type="dxa"/>
            </w:tcMar>
          </w:tcPr>
          <w:p w14:paraId="36EE1832" w14:textId="77777777" w:rsidR="00CA2320" w:rsidRDefault="00713283">
            <w:pPr>
              <w:widowControl w:val="0"/>
              <w:spacing w:line="243" w:lineRule="auto"/>
              <w:ind w:left="117" w:right="379" w:firstLine="11"/>
              <w:rPr>
                <w:rFonts w:ascii="Calibri" w:eastAsia="Calibri" w:hAnsi="Calibri" w:cs="Calibri"/>
                <w:sz w:val="19"/>
                <w:szCs w:val="19"/>
              </w:rPr>
            </w:pPr>
            <w:r>
              <w:rPr>
                <w:rFonts w:ascii="Calibri" w:eastAsia="Calibri" w:hAnsi="Calibri" w:cs="Calibri"/>
                <w:sz w:val="19"/>
                <w:szCs w:val="19"/>
              </w:rPr>
              <w:t xml:space="preserve">Industry influence </w:t>
            </w:r>
            <w:proofErr w:type="gramStart"/>
            <w:r>
              <w:rPr>
                <w:rFonts w:ascii="Calibri" w:eastAsia="Calibri" w:hAnsi="Calibri" w:cs="Calibri"/>
                <w:sz w:val="19"/>
                <w:szCs w:val="19"/>
              </w:rPr>
              <w:t>on  governments</w:t>
            </w:r>
            <w:proofErr w:type="gramEnd"/>
          </w:p>
        </w:tc>
        <w:tc>
          <w:tcPr>
            <w:tcW w:w="5202" w:type="dxa"/>
            <w:shd w:val="clear" w:color="auto" w:fill="auto"/>
            <w:tcMar>
              <w:top w:w="100" w:type="dxa"/>
              <w:left w:w="100" w:type="dxa"/>
              <w:bottom w:w="100" w:type="dxa"/>
              <w:right w:w="100" w:type="dxa"/>
            </w:tcMar>
          </w:tcPr>
          <w:p w14:paraId="67231399" w14:textId="77777777" w:rsidR="00CA2320" w:rsidRDefault="00713283">
            <w:pPr>
              <w:widowControl w:val="0"/>
              <w:spacing w:line="243" w:lineRule="auto"/>
              <w:ind w:left="127" w:right="643" w:firstLine="1"/>
              <w:rPr>
                <w:rFonts w:ascii="Calibri" w:eastAsia="Calibri" w:hAnsi="Calibri" w:cs="Calibri"/>
                <w:sz w:val="19"/>
                <w:szCs w:val="19"/>
              </w:rPr>
            </w:pPr>
            <w:r>
              <w:rPr>
                <w:rFonts w:ascii="Calibri" w:eastAsia="Calibri" w:hAnsi="Calibri" w:cs="Calibri"/>
                <w:sz w:val="19"/>
                <w:szCs w:val="19"/>
              </w:rPr>
              <w:t>Impedes drug industry influence on governments (</w:t>
            </w:r>
            <w:proofErr w:type="gramStart"/>
            <w:r>
              <w:rPr>
                <w:rFonts w:ascii="Calibri" w:eastAsia="Calibri" w:hAnsi="Calibri" w:cs="Calibri"/>
                <w:sz w:val="19"/>
                <w:szCs w:val="19"/>
              </w:rPr>
              <w:t>less  lobbying</w:t>
            </w:r>
            <w:proofErr w:type="gramEnd"/>
            <w:r>
              <w:rPr>
                <w:rFonts w:ascii="Calibri" w:eastAsia="Calibri" w:hAnsi="Calibri" w:cs="Calibri"/>
                <w:sz w:val="19"/>
                <w:szCs w:val="19"/>
              </w:rPr>
              <w:t xml:space="preserve"> is preferable)</w:t>
            </w:r>
          </w:p>
        </w:tc>
      </w:tr>
      <w:tr w:rsidR="00CA2320" w14:paraId="438DC4E6" w14:textId="77777777">
        <w:trPr>
          <w:trHeight w:val="254"/>
        </w:trPr>
        <w:tc>
          <w:tcPr>
            <w:tcW w:w="1055" w:type="dxa"/>
            <w:vMerge w:val="restart"/>
            <w:shd w:val="clear" w:color="auto" w:fill="auto"/>
            <w:tcMar>
              <w:top w:w="100" w:type="dxa"/>
              <w:left w:w="100" w:type="dxa"/>
              <w:bottom w:w="100" w:type="dxa"/>
              <w:right w:w="100" w:type="dxa"/>
            </w:tcMar>
          </w:tcPr>
          <w:p w14:paraId="57D7819F"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 xml:space="preserve">Public </w:t>
            </w:r>
          </w:p>
        </w:tc>
        <w:tc>
          <w:tcPr>
            <w:tcW w:w="2258" w:type="dxa"/>
            <w:shd w:val="clear" w:color="auto" w:fill="auto"/>
            <w:tcMar>
              <w:top w:w="100" w:type="dxa"/>
              <w:left w:w="100" w:type="dxa"/>
              <w:bottom w:w="100" w:type="dxa"/>
              <w:right w:w="100" w:type="dxa"/>
            </w:tcMar>
          </w:tcPr>
          <w:p w14:paraId="0194A6A1"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 xml:space="preserve">Promotes well-being </w:t>
            </w:r>
          </w:p>
        </w:tc>
        <w:tc>
          <w:tcPr>
            <w:tcW w:w="5202" w:type="dxa"/>
            <w:shd w:val="clear" w:color="auto" w:fill="auto"/>
            <w:tcMar>
              <w:top w:w="100" w:type="dxa"/>
              <w:left w:w="100" w:type="dxa"/>
              <w:bottom w:w="100" w:type="dxa"/>
              <w:right w:w="100" w:type="dxa"/>
            </w:tcMar>
          </w:tcPr>
          <w:p w14:paraId="3EC91740"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Promotes social and personal well-being</w:t>
            </w:r>
          </w:p>
        </w:tc>
      </w:tr>
      <w:tr w:rsidR="00CA2320" w14:paraId="06E05A27" w14:textId="77777777">
        <w:trPr>
          <w:trHeight w:val="255"/>
        </w:trPr>
        <w:tc>
          <w:tcPr>
            <w:tcW w:w="1055" w:type="dxa"/>
            <w:vMerge/>
            <w:shd w:val="clear" w:color="auto" w:fill="auto"/>
            <w:tcMar>
              <w:top w:w="100" w:type="dxa"/>
              <w:left w:w="100" w:type="dxa"/>
              <w:bottom w:w="100" w:type="dxa"/>
              <w:right w:w="100" w:type="dxa"/>
            </w:tcMar>
          </w:tcPr>
          <w:p w14:paraId="30C777E8" w14:textId="77777777" w:rsidR="00CA2320" w:rsidRDefault="00CA2320">
            <w:pPr>
              <w:widowControl w:val="0"/>
              <w:rPr>
                <w:rFonts w:ascii="Calibri" w:eastAsia="Calibri" w:hAnsi="Calibri" w:cs="Calibri"/>
                <w:sz w:val="19"/>
                <w:szCs w:val="19"/>
              </w:rPr>
            </w:pPr>
          </w:p>
        </w:tc>
        <w:tc>
          <w:tcPr>
            <w:tcW w:w="2258" w:type="dxa"/>
            <w:shd w:val="clear" w:color="auto" w:fill="auto"/>
            <w:tcMar>
              <w:top w:w="100" w:type="dxa"/>
              <w:left w:w="100" w:type="dxa"/>
              <w:bottom w:w="100" w:type="dxa"/>
              <w:right w:w="100" w:type="dxa"/>
            </w:tcMar>
          </w:tcPr>
          <w:p w14:paraId="6F4FDCA4" w14:textId="77777777" w:rsidR="00CA2320" w:rsidRDefault="00713283">
            <w:pPr>
              <w:widowControl w:val="0"/>
              <w:spacing w:line="240" w:lineRule="auto"/>
              <w:ind w:left="122"/>
              <w:rPr>
                <w:rFonts w:ascii="Calibri" w:eastAsia="Calibri" w:hAnsi="Calibri" w:cs="Calibri"/>
                <w:sz w:val="19"/>
                <w:szCs w:val="19"/>
              </w:rPr>
            </w:pPr>
            <w:r>
              <w:rPr>
                <w:rFonts w:ascii="Calibri" w:eastAsia="Calibri" w:hAnsi="Calibri" w:cs="Calibri"/>
                <w:sz w:val="19"/>
                <w:szCs w:val="19"/>
              </w:rPr>
              <w:t xml:space="preserve">Children and young </w:t>
            </w:r>
          </w:p>
        </w:tc>
        <w:tc>
          <w:tcPr>
            <w:tcW w:w="5202" w:type="dxa"/>
            <w:shd w:val="clear" w:color="auto" w:fill="auto"/>
            <w:tcMar>
              <w:top w:w="100" w:type="dxa"/>
              <w:left w:w="100" w:type="dxa"/>
              <w:bottom w:w="100" w:type="dxa"/>
              <w:right w:w="100" w:type="dxa"/>
            </w:tcMar>
          </w:tcPr>
          <w:p w14:paraId="65D065DA"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Protects children and young people</w:t>
            </w:r>
          </w:p>
        </w:tc>
      </w:tr>
      <w:tr w:rsidR="00CA2320" w14:paraId="0B938AE8" w14:textId="77777777">
        <w:trPr>
          <w:trHeight w:val="499"/>
        </w:trPr>
        <w:tc>
          <w:tcPr>
            <w:tcW w:w="1055" w:type="dxa"/>
            <w:vMerge/>
            <w:shd w:val="clear" w:color="auto" w:fill="auto"/>
            <w:tcMar>
              <w:top w:w="100" w:type="dxa"/>
              <w:left w:w="100" w:type="dxa"/>
              <w:bottom w:w="100" w:type="dxa"/>
              <w:right w:w="100" w:type="dxa"/>
            </w:tcMar>
          </w:tcPr>
          <w:p w14:paraId="67EF4A9B" w14:textId="77777777" w:rsidR="00CA2320" w:rsidRDefault="00CA2320">
            <w:pPr>
              <w:widowControl w:val="0"/>
              <w:rPr>
                <w:rFonts w:ascii="Calibri" w:eastAsia="Calibri" w:hAnsi="Calibri" w:cs="Calibri"/>
                <w:sz w:val="19"/>
                <w:szCs w:val="19"/>
              </w:rPr>
            </w:pPr>
          </w:p>
        </w:tc>
        <w:tc>
          <w:tcPr>
            <w:tcW w:w="2258" w:type="dxa"/>
            <w:shd w:val="clear" w:color="auto" w:fill="auto"/>
            <w:tcMar>
              <w:top w:w="100" w:type="dxa"/>
              <w:left w:w="100" w:type="dxa"/>
              <w:bottom w:w="100" w:type="dxa"/>
              <w:right w:w="100" w:type="dxa"/>
            </w:tcMar>
          </w:tcPr>
          <w:p w14:paraId="620DFE3D"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 xml:space="preserve">Protects vulnerable </w:t>
            </w:r>
          </w:p>
        </w:tc>
        <w:tc>
          <w:tcPr>
            <w:tcW w:w="5202" w:type="dxa"/>
            <w:shd w:val="clear" w:color="auto" w:fill="auto"/>
            <w:tcMar>
              <w:top w:w="100" w:type="dxa"/>
              <w:left w:w="100" w:type="dxa"/>
              <w:bottom w:w="100" w:type="dxa"/>
              <w:right w:w="100" w:type="dxa"/>
            </w:tcMar>
          </w:tcPr>
          <w:p w14:paraId="4DDF5382" w14:textId="77777777" w:rsidR="00CA2320" w:rsidRDefault="00713283">
            <w:pPr>
              <w:widowControl w:val="0"/>
              <w:spacing w:line="245" w:lineRule="auto"/>
              <w:ind w:left="127" w:right="350" w:firstLine="1"/>
              <w:rPr>
                <w:rFonts w:ascii="Calibri" w:eastAsia="Calibri" w:hAnsi="Calibri" w:cs="Calibri"/>
                <w:sz w:val="19"/>
                <w:szCs w:val="19"/>
              </w:rPr>
            </w:pPr>
            <w:r>
              <w:rPr>
                <w:rFonts w:ascii="Calibri" w:eastAsia="Calibri" w:hAnsi="Calibri" w:cs="Calibri"/>
                <w:sz w:val="19"/>
                <w:szCs w:val="19"/>
              </w:rPr>
              <w:t xml:space="preserve">Protects vulnerable groups other than children and </w:t>
            </w:r>
            <w:proofErr w:type="gramStart"/>
            <w:r>
              <w:rPr>
                <w:rFonts w:ascii="Calibri" w:eastAsia="Calibri" w:hAnsi="Calibri" w:cs="Calibri"/>
                <w:sz w:val="19"/>
                <w:szCs w:val="19"/>
              </w:rPr>
              <w:t>young  people</w:t>
            </w:r>
            <w:proofErr w:type="gramEnd"/>
          </w:p>
        </w:tc>
      </w:tr>
      <w:tr w:rsidR="00CA2320" w14:paraId="2DAE02CA" w14:textId="77777777">
        <w:trPr>
          <w:trHeight w:val="252"/>
        </w:trPr>
        <w:tc>
          <w:tcPr>
            <w:tcW w:w="1055" w:type="dxa"/>
            <w:vMerge/>
            <w:shd w:val="clear" w:color="auto" w:fill="auto"/>
            <w:tcMar>
              <w:top w:w="100" w:type="dxa"/>
              <w:left w:w="100" w:type="dxa"/>
              <w:bottom w:w="100" w:type="dxa"/>
              <w:right w:w="100" w:type="dxa"/>
            </w:tcMar>
          </w:tcPr>
          <w:p w14:paraId="3644903E" w14:textId="77777777" w:rsidR="00CA2320" w:rsidRDefault="00CA2320">
            <w:pPr>
              <w:widowControl w:val="0"/>
              <w:rPr>
                <w:rFonts w:ascii="Calibri" w:eastAsia="Calibri" w:hAnsi="Calibri" w:cs="Calibri"/>
                <w:sz w:val="19"/>
                <w:szCs w:val="19"/>
              </w:rPr>
            </w:pPr>
          </w:p>
        </w:tc>
        <w:tc>
          <w:tcPr>
            <w:tcW w:w="2258" w:type="dxa"/>
            <w:shd w:val="clear" w:color="auto" w:fill="auto"/>
            <w:tcMar>
              <w:top w:w="100" w:type="dxa"/>
              <w:left w:w="100" w:type="dxa"/>
              <w:bottom w:w="100" w:type="dxa"/>
              <w:right w:w="100" w:type="dxa"/>
            </w:tcMar>
          </w:tcPr>
          <w:p w14:paraId="7F5E6992"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 xml:space="preserve">Religious/cultural value </w:t>
            </w:r>
          </w:p>
        </w:tc>
        <w:tc>
          <w:tcPr>
            <w:tcW w:w="5202" w:type="dxa"/>
            <w:shd w:val="clear" w:color="auto" w:fill="auto"/>
            <w:tcMar>
              <w:top w:w="100" w:type="dxa"/>
              <w:left w:w="100" w:type="dxa"/>
              <w:bottom w:w="100" w:type="dxa"/>
              <w:right w:w="100" w:type="dxa"/>
            </w:tcMar>
          </w:tcPr>
          <w:p w14:paraId="6404F814"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Respects religious or cultural values</w:t>
            </w:r>
          </w:p>
        </w:tc>
      </w:tr>
      <w:tr w:rsidR="00CA2320" w14:paraId="3C7E8DD3" w14:textId="77777777">
        <w:trPr>
          <w:trHeight w:val="399"/>
        </w:trPr>
        <w:tc>
          <w:tcPr>
            <w:tcW w:w="1055" w:type="dxa"/>
            <w:vMerge w:val="restart"/>
            <w:shd w:val="clear" w:color="auto" w:fill="auto"/>
            <w:tcMar>
              <w:top w:w="100" w:type="dxa"/>
              <w:left w:w="100" w:type="dxa"/>
              <w:bottom w:w="100" w:type="dxa"/>
              <w:right w:w="100" w:type="dxa"/>
            </w:tcMar>
          </w:tcPr>
          <w:p w14:paraId="07ADCBF7" w14:textId="77777777" w:rsidR="00CA2320" w:rsidRDefault="00713283">
            <w:pPr>
              <w:widowControl w:val="0"/>
              <w:spacing w:line="240" w:lineRule="auto"/>
              <w:ind w:left="122"/>
              <w:rPr>
                <w:rFonts w:ascii="Calibri" w:eastAsia="Calibri" w:hAnsi="Calibri" w:cs="Calibri"/>
                <w:sz w:val="19"/>
                <w:szCs w:val="19"/>
              </w:rPr>
            </w:pPr>
            <w:r>
              <w:rPr>
                <w:rFonts w:ascii="Calibri" w:eastAsia="Calibri" w:hAnsi="Calibri" w:cs="Calibri"/>
                <w:sz w:val="19"/>
                <w:szCs w:val="19"/>
              </w:rPr>
              <w:t xml:space="preserve">Crime </w:t>
            </w:r>
          </w:p>
        </w:tc>
        <w:tc>
          <w:tcPr>
            <w:tcW w:w="2258" w:type="dxa"/>
            <w:shd w:val="clear" w:color="auto" w:fill="auto"/>
            <w:tcMar>
              <w:top w:w="100" w:type="dxa"/>
              <w:left w:w="100" w:type="dxa"/>
              <w:bottom w:w="100" w:type="dxa"/>
              <w:right w:w="100" w:type="dxa"/>
            </w:tcMar>
          </w:tcPr>
          <w:p w14:paraId="31766845" w14:textId="77777777" w:rsidR="00CA2320" w:rsidRDefault="00713283">
            <w:pPr>
              <w:widowControl w:val="0"/>
              <w:spacing w:line="240" w:lineRule="auto"/>
              <w:ind w:left="122"/>
              <w:rPr>
                <w:rFonts w:ascii="Calibri" w:eastAsia="Calibri" w:hAnsi="Calibri" w:cs="Calibri"/>
                <w:sz w:val="19"/>
                <w:szCs w:val="19"/>
              </w:rPr>
            </w:pPr>
            <w:r>
              <w:rPr>
                <w:rFonts w:ascii="Calibri" w:eastAsia="Calibri" w:hAnsi="Calibri" w:cs="Calibri"/>
                <w:sz w:val="19"/>
                <w:szCs w:val="19"/>
              </w:rPr>
              <w:t xml:space="preserve">Criminalises users </w:t>
            </w:r>
          </w:p>
        </w:tc>
        <w:tc>
          <w:tcPr>
            <w:tcW w:w="5202" w:type="dxa"/>
            <w:shd w:val="clear" w:color="auto" w:fill="auto"/>
            <w:tcMar>
              <w:top w:w="100" w:type="dxa"/>
              <w:left w:w="100" w:type="dxa"/>
              <w:bottom w:w="100" w:type="dxa"/>
              <w:right w:w="100" w:type="dxa"/>
            </w:tcMar>
          </w:tcPr>
          <w:p w14:paraId="268AF8FB"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Does not criminalise users</w:t>
            </w:r>
          </w:p>
        </w:tc>
      </w:tr>
      <w:tr w:rsidR="00CA2320" w14:paraId="053E970F" w14:textId="77777777">
        <w:trPr>
          <w:trHeight w:val="691"/>
        </w:trPr>
        <w:tc>
          <w:tcPr>
            <w:tcW w:w="1055" w:type="dxa"/>
            <w:vMerge/>
            <w:shd w:val="clear" w:color="auto" w:fill="auto"/>
            <w:tcMar>
              <w:top w:w="100" w:type="dxa"/>
              <w:left w:w="100" w:type="dxa"/>
              <w:bottom w:w="100" w:type="dxa"/>
              <w:right w:w="100" w:type="dxa"/>
            </w:tcMar>
          </w:tcPr>
          <w:p w14:paraId="5E13ACEB" w14:textId="77777777" w:rsidR="00CA2320" w:rsidRDefault="00CA2320">
            <w:pPr>
              <w:widowControl w:val="0"/>
              <w:spacing w:line="240" w:lineRule="auto"/>
              <w:rPr>
                <w:rFonts w:ascii="Calibri" w:eastAsia="Calibri" w:hAnsi="Calibri" w:cs="Calibri"/>
                <w:sz w:val="19"/>
                <w:szCs w:val="19"/>
              </w:rPr>
            </w:pPr>
          </w:p>
        </w:tc>
        <w:tc>
          <w:tcPr>
            <w:tcW w:w="2258" w:type="dxa"/>
            <w:shd w:val="clear" w:color="auto" w:fill="auto"/>
            <w:tcMar>
              <w:top w:w="100" w:type="dxa"/>
              <w:left w:w="100" w:type="dxa"/>
              <w:bottom w:w="100" w:type="dxa"/>
              <w:right w:w="100" w:type="dxa"/>
            </w:tcMar>
          </w:tcPr>
          <w:p w14:paraId="33DDA856"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 xml:space="preserve">Reduces acquisitive  </w:t>
            </w:r>
          </w:p>
          <w:p w14:paraId="598FB379" w14:textId="77777777" w:rsidR="00CA2320" w:rsidRDefault="00713283">
            <w:pPr>
              <w:widowControl w:val="0"/>
              <w:spacing w:before="9" w:line="240" w:lineRule="auto"/>
              <w:ind w:left="121"/>
              <w:rPr>
                <w:rFonts w:ascii="Calibri" w:eastAsia="Calibri" w:hAnsi="Calibri" w:cs="Calibri"/>
                <w:sz w:val="19"/>
                <w:szCs w:val="19"/>
              </w:rPr>
            </w:pPr>
            <w:r>
              <w:rPr>
                <w:rFonts w:ascii="Calibri" w:eastAsia="Calibri" w:hAnsi="Calibri" w:cs="Calibri"/>
                <w:sz w:val="19"/>
                <w:szCs w:val="19"/>
              </w:rPr>
              <w:t>crime</w:t>
            </w:r>
          </w:p>
        </w:tc>
        <w:tc>
          <w:tcPr>
            <w:tcW w:w="5202" w:type="dxa"/>
            <w:shd w:val="clear" w:color="auto" w:fill="auto"/>
            <w:tcMar>
              <w:top w:w="100" w:type="dxa"/>
              <w:left w:w="100" w:type="dxa"/>
              <w:bottom w:w="100" w:type="dxa"/>
              <w:right w:w="100" w:type="dxa"/>
            </w:tcMar>
          </w:tcPr>
          <w:p w14:paraId="78E506B0"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Reduces acquisitive crime to finance use</w:t>
            </w:r>
          </w:p>
        </w:tc>
      </w:tr>
      <w:tr w:rsidR="00CA2320" w14:paraId="65739367" w14:textId="77777777">
        <w:trPr>
          <w:trHeight w:val="399"/>
        </w:trPr>
        <w:tc>
          <w:tcPr>
            <w:tcW w:w="1055" w:type="dxa"/>
            <w:vMerge/>
            <w:shd w:val="clear" w:color="auto" w:fill="auto"/>
            <w:tcMar>
              <w:top w:w="100" w:type="dxa"/>
              <w:left w:w="100" w:type="dxa"/>
              <w:bottom w:w="100" w:type="dxa"/>
              <w:right w:w="100" w:type="dxa"/>
            </w:tcMar>
          </w:tcPr>
          <w:p w14:paraId="4D35DD82" w14:textId="77777777" w:rsidR="00CA2320" w:rsidRDefault="00CA2320">
            <w:pPr>
              <w:widowControl w:val="0"/>
              <w:spacing w:line="240" w:lineRule="auto"/>
              <w:rPr>
                <w:rFonts w:ascii="Calibri" w:eastAsia="Calibri" w:hAnsi="Calibri" w:cs="Calibri"/>
                <w:sz w:val="19"/>
                <w:szCs w:val="19"/>
              </w:rPr>
            </w:pPr>
          </w:p>
        </w:tc>
        <w:tc>
          <w:tcPr>
            <w:tcW w:w="2258" w:type="dxa"/>
            <w:shd w:val="clear" w:color="auto" w:fill="auto"/>
            <w:tcMar>
              <w:top w:w="100" w:type="dxa"/>
              <w:left w:w="100" w:type="dxa"/>
              <w:bottom w:w="100" w:type="dxa"/>
              <w:right w:w="100" w:type="dxa"/>
            </w:tcMar>
          </w:tcPr>
          <w:p w14:paraId="267FB3DF"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 xml:space="preserve">Reduces violent crime </w:t>
            </w:r>
          </w:p>
        </w:tc>
        <w:tc>
          <w:tcPr>
            <w:tcW w:w="5202" w:type="dxa"/>
            <w:shd w:val="clear" w:color="auto" w:fill="auto"/>
            <w:tcMar>
              <w:top w:w="100" w:type="dxa"/>
              <w:left w:w="100" w:type="dxa"/>
              <w:bottom w:w="100" w:type="dxa"/>
              <w:right w:w="100" w:type="dxa"/>
            </w:tcMar>
          </w:tcPr>
          <w:p w14:paraId="0C243E38"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Reduces violent crime due to illegal markets</w:t>
            </w:r>
          </w:p>
        </w:tc>
      </w:tr>
      <w:tr w:rsidR="00CA2320" w14:paraId="3222B4DB" w14:textId="77777777">
        <w:trPr>
          <w:trHeight w:val="399"/>
        </w:trPr>
        <w:tc>
          <w:tcPr>
            <w:tcW w:w="1055" w:type="dxa"/>
            <w:vMerge/>
            <w:shd w:val="clear" w:color="auto" w:fill="auto"/>
            <w:tcMar>
              <w:top w:w="100" w:type="dxa"/>
              <w:left w:w="100" w:type="dxa"/>
              <w:bottom w:w="100" w:type="dxa"/>
              <w:right w:w="100" w:type="dxa"/>
            </w:tcMar>
          </w:tcPr>
          <w:p w14:paraId="1DEAC4F1" w14:textId="77777777" w:rsidR="00CA2320" w:rsidRDefault="00CA2320">
            <w:pPr>
              <w:widowControl w:val="0"/>
              <w:spacing w:line="240" w:lineRule="auto"/>
              <w:rPr>
                <w:rFonts w:ascii="Calibri" w:eastAsia="Calibri" w:hAnsi="Calibri" w:cs="Calibri"/>
                <w:sz w:val="19"/>
                <w:szCs w:val="19"/>
              </w:rPr>
            </w:pPr>
          </w:p>
        </w:tc>
        <w:tc>
          <w:tcPr>
            <w:tcW w:w="2258" w:type="dxa"/>
            <w:shd w:val="clear" w:color="auto" w:fill="auto"/>
            <w:tcMar>
              <w:top w:w="100" w:type="dxa"/>
              <w:left w:w="100" w:type="dxa"/>
              <w:bottom w:w="100" w:type="dxa"/>
              <w:right w:w="100" w:type="dxa"/>
            </w:tcMar>
          </w:tcPr>
          <w:p w14:paraId="529201F4"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Prevents corporate crime</w:t>
            </w:r>
          </w:p>
        </w:tc>
        <w:tc>
          <w:tcPr>
            <w:tcW w:w="5202" w:type="dxa"/>
            <w:shd w:val="clear" w:color="auto" w:fill="auto"/>
            <w:tcMar>
              <w:top w:w="100" w:type="dxa"/>
              <w:left w:w="100" w:type="dxa"/>
              <w:bottom w:w="100" w:type="dxa"/>
              <w:right w:w="100" w:type="dxa"/>
            </w:tcMar>
          </w:tcPr>
          <w:p w14:paraId="4661D484"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 xml:space="preserve">Prevents corporate crime, </w:t>
            </w:r>
            <w:proofErr w:type="gramStart"/>
            <w:r>
              <w:rPr>
                <w:rFonts w:ascii="Calibri" w:eastAsia="Calibri" w:hAnsi="Calibri" w:cs="Calibri"/>
                <w:sz w:val="19"/>
                <w:szCs w:val="19"/>
              </w:rPr>
              <w:t>e.g.</w:t>
            </w:r>
            <w:proofErr w:type="gramEnd"/>
            <w:r>
              <w:rPr>
                <w:rFonts w:ascii="Calibri" w:eastAsia="Calibri" w:hAnsi="Calibri" w:cs="Calibri"/>
                <w:sz w:val="19"/>
                <w:szCs w:val="19"/>
              </w:rPr>
              <w:t xml:space="preserve"> money-laundering, tax evasion</w:t>
            </w:r>
          </w:p>
        </w:tc>
      </w:tr>
      <w:tr w:rsidR="00CA2320" w14:paraId="2901E1EA" w14:textId="77777777">
        <w:trPr>
          <w:trHeight w:val="399"/>
        </w:trPr>
        <w:tc>
          <w:tcPr>
            <w:tcW w:w="1055" w:type="dxa"/>
            <w:vMerge/>
            <w:shd w:val="clear" w:color="auto" w:fill="auto"/>
            <w:tcMar>
              <w:top w:w="100" w:type="dxa"/>
              <w:left w:w="100" w:type="dxa"/>
              <w:bottom w:w="100" w:type="dxa"/>
              <w:right w:w="100" w:type="dxa"/>
            </w:tcMar>
          </w:tcPr>
          <w:p w14:paraId="7880F46C" w14:textId="77777777" w:rsidR="00CA2320" w:rsidRDefault="00CA2320">
            <w:pPr>
              <w:widowControl w:val="0"/>
              <w:spacing w:line="240" w:lineRule="auto"/>
              <w:rPr>
                <w:rFonts w:ascii="Calibri" w:eastAsia="Calibri" w:hAnsi="Calibri" w:cs="Calibri"/>
                <w:sz w:val="19"/>
                <w:szCs w:val="19"/>
              </w:rPr>
            </w:pPr>
          </w:p>
        </w:tc>
        <w:tc>
          <w:tcPr>
            <w:tcW w:w="2258" w:type="dxa"/>
            <w:shd w:val="clear" w:color="auto" w:fill="auto"/>
            <w:tcMar>
              <w:top w:w="100" w:type="dxa"/>
              <w:left w:w="100" w:type="dxa"/>
              <w:bottom w:w="100" w:type="dxa"/>
              <w:right w:w="100" w:type="dxa"/>
            </w:tcMar>
          </w:tcPr>
          <w:p w14:paraId="062DBC4A"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 xml:space="preserve">Prevents criminal  </w:t>
            </w:r>
          </w:p>
          <w:p w14:paraId="239D0979" w14:textId="77777777" w:rsidR="00CA2320" w:rsidRDefault="00713283">
            <w:pPr>
              <w:widowControl w:val="0"/>
              <w:spacing w:before="12" w:line="240" w:lineRule="auto"/>
              <w:ind w:left="125"/>
              <w:rPr>
                <w:rFonts w:ascii="Calibri" w:eastAsia="Calibri" w:hAnsi="Calibri" w:cs="Calibri"/>
                <w:sz w:val="19"/>
                <w:szCs w:val="19"/>
              </w:rPr>
            </w:pPr>
            <w:r>
              <w:rPr>
                <w:rFonts w:ascii="Calibri" w:eastAsia="Calibri" w:hAnsi="Calibri" w:cs="Calibri"/>
                <w:sz w:val="19"/>
                <w:szCs w:val="19"/>
              </w:rPr>
              <w:t>industry</w:t>
            </w:r>
          </w:p>
        </w:tc>
        <w:tc>
          <w:tcPr>
            <w:tcW w:w="5202" w:type="dxa"/>
            <w:shd w:val="clear" w:color="auto" w:fill="auto"/>
            <w:tcMar>
              <w:top w:w="100" w:type="dxa"/>
              <w:left w:w="100" w:type="dxa"/>
              <w:bottom w:w="100" w:type="dxa"/>
              <w:right w:w="100" w:type="dxa"/>
            </w:tcMar>
          </w:tcPr>
          <w:p w14:paraId="5A812F56" w14:textId="77777777" w:rsidR="00CA2320" w:rsidRDefault="00713283">
            <w:pPr>
              <w:widowControl w:val="0"/>
              <w:spacing w:line="240" w:lineRule="auto"/>
              <w:ind w:left="129"/>
              <w:jc w:val="center"/>
              <w:rPr>
                <w:rFonts w:ascii="Calibri" w:eastAsia="Calibri" w:hAnsi="Calibri" w:cs="Calibri"/>
                <w:sz w:val="19"/>
                <w:szCs w:val="19"/>
              </w:rPr>
            </w:pPr>
            <w:r>
              <w:rPr>
                <w:rFonts w:ascii="Calibri" w:eastAsia="Calibri" w:hAnsi="Calibri" w:cs="Calibri"/>
                <w:sz w:val="19"/>
                <w:szCs w:val="19"/>
              </w:rPr>
              <w:t>Extent to which the policy discourages illegal market activity</w:t>
            </w:r>
          </w:p>
        </w:tc>
      </w:tr>
      <w:tr w:rsidR="00CA2320" w14:paraId="042FDCAB" w14:textId="77777777">
        <w:trPr>
          <w:trHeight w:val="399"/>
        </w:trPr>
        <w:tc>
          <w:tcPr>
            <w:tcW w:w="1055" w:type="dxa"/>
            <w:vMerge w:val="restart"/>
            <w:shd w:val="clear" w:color="auto" w:fill="auto"/>
            <w:tcMar>
              <w:top w:w="100" w:type="dxa"/>
              <w:left w:w="100" w:type="dxa"/>
              <w:bottom w:w="100" w:type="dxa"/>
              <w:right w:w="100" w:type="dxa"/>
            </w:tcMar>
          </w:tcPr>
          <w:p w14:paraId="4844A885" w14:textId="77777777" w:rsidR="00CA2320" w:rsidRDefault="00713283">
            <w:pPr>
              <w:widowControl w:val="0"/>
              <w:spacing w:line="240" w:lineRule="auto"/>
              <w:jc w:val="center"/>
              <w:rPr>
                <w:rFonts w:ascii="Calibri" w:eastAsia="Calibri" w:hAnsi="Calibri" w:cs="Calibri"/>
                <w:sz w:val="19"/>
                <w:szCs w:val="19"/>
              </w:rPr>
            </w:pPr>
            <w:r>
              <w:rPr>
                <w:rFonts w:ascii="Calibri" w:eastAsia="Calibri" w:hAnsi="Calibri" w:cs="Calibri"/>
                <w:sz w:val="19"/>
                <w:szCs w:val="19"/>
              </w:rPr>
              <w:t xml:space="preserve">Economic </w:t>
            </w:r>
          </w:p>
        </w:tc>
        <w:tc>
          <w:tcPr>
            <w:tcW w:w="2258" w:type="dxa"/>
            <w:shd w:val="clear" w:color="auto" w:fill="auto"/>
            <w:tcMar>
              <w:top w:w="100" w:type="dxa"/>
              <w:left w:w="100" w:type="dxa"/>
              <w:bottom w:w="100" w:type="dxa"/>
              <w:right w:w="100" w:type="dxa"/>
            </w:tcMar>
          </w:tcPr>
          <w:p w14:paraId="0D01E058" w14:textId="77777777" w:rsidR="00CA2320" w:rsidRDefault="00713283">
            <w:pPr>
              <w:widowControl w:val="0"/>
              <w:spacing w:line="240" w:lineRule="auto"/>
              <w:jc w:val="center"/>
              <w:rPr>
                <w:rFonts w:ascii="Calibri" w:eastAsia="Calibri" w:hAnsi="Calibri" w:cs="Calibri"/>
                <w:sz w:val="19"/>
                <w:szCs w:val="19"/>
              </w:rPr>
            </w:pPr>
            <w:r>
              <w:rPr>
                <w:rFonts w:ascii="Calibri" w:eastAsia="Calibri" w:hAnsi="Calibri" w:cs="Calibri"/>
                <w:sz w:val="19"/>
                <w:szCs w:val="19"/>
              </w:rPr>
              <w:t xml:space="preserve">Generates state revenue </w:t>
            </w:r>
          </w:p>
        </w:tc>
        <w:tc>
          <w:tcPr>
            <w:tcW w:w="5202" w:type="dxa"/>
            <w:shd w:val="clear" w:color="auto" w:fill="auto"/>
            <w:tcMar>
              <w:top w:w="100" w:type="dxa"/>
              <w:left w:w="100" w:type="dxa"/>
              <w:bottom w:w="100" w:type="dxa"/>
              <w:right w:w="100" w:type="dxa"/>
            </w:tcMar>
          </w:tcPr>
          <w:p w14:paraId="1C084445" w14:textId="77777777" w:rsidR="00CA2320" w:rsidRDefault="00713283">
            <w:pPr>
              <w:widowControl w:val="0"/>
              <w:spacing w:line="240" w:lineRule="auto"/>
              <w:ind w:left="121"/>
              <w:rPr>
                <w:rFonts w:ascii="Calibri" w:eastAsia="Calibri" w:hAnsi="Calibri" w:cs="Calibri"/>
                <w:sz w:val="19"/>
                <w:szCs w:val="19"/>
              </w:rPr>
            </w:pPr>
            <w:r>
              <w:rPr>
                <w:rFonts w:ascii="Calibri" w:eastAsia="Calibri" w:hAnsi="Calibri" w:cs="Calibri"/>
                <w:sz w:val="19"/>
                <w:szCs w:val="19"/>
              </w:rPr>
              <w:t>Generates state revenue</w:t>
            </w:r>
          </w:p>
        </w:tc>
      </w:tr>
      <w:tr w:rsidR="00CA2320" w14:paraId="486AFD84" w14:textId="77777777">
        <w:trPr>
          <w:trHeight w:val="399"/>
        </w:trPr>
        <w:tc>
          <w:tcPr>
            <w:tcW w:w="1055" w:type="dxa"/>
            <w:vMerge/>
            <w:shd w:val="clear" w:color="auto" w:fill="auto"/>
            <w:tcMar>
              <w:top w:w="100" w:type="dxa"/>
              <w:left w:w="100" w:type="dxa"/>
              <w:bottom w:w="100" w:type="dxa"/>
              <w:right w:w="100" w:type="dxa"/>
            </w:tcMar>
          </w:tcPr>
          <w:p w14:paraId="3B31382E" w14:textId="77777777" w:rsidR="00CA2320" w:rsidRDefault="00CA2320">
            <w:pPr>
              <w:widowControl w:val="0"/>
              <w:spacing w:line="240" w:lineRule="auto"/>
              <w:rPr>
                <w:rFonts w:ascii="Calibri" w:eastAsia="Calibri" w:hAnsi="Calibri" w:cs="Calibri"/>
                <w:sz w:val="19"/>
                <w:szCs w:val="19"/>
              </w:rPr>
            </w:pPr>
          </w:p>
        </w:tc>
        <w:tc>
          <w:tcPr>
            <w:tcW w:w="2258" w:type="dxa"/>
            <w:shd w:val="clear" w:color="auto" w:fill="auto"/>
            <w:tcMar>
              <w:top w:w="100" w:type="dxa"/>
              <w:left w:w="100" w:type="dxa"/>
              <w:bottom w:w="100" w:type="dxa"/>
              <w:right w:w="100" w:type="dxa"/>
            </w:tcMar>
          </w:tcPr>
          <w:p w14:paraId="6A450F0E" w14:textId="77777777" w:rsidR="00CA2320" w:rsidRDefault="00713283">
            <w:pPr>
              <w:widowControl w:val="0"/>
              <w:spacing w:line="240" w:lineRule="auto"/>
              <w:jc w:val="center"/>
              <w:rPr>
                <w:rFonts w:ascii="Calibri" w:eastAsia="Calibri" w:hAnsi="Calibri" w:cs="Calibri"/>
                <w:sz w:val="19"/>
                <w:szCs w:val="19"/>
              </w:rPr>
            </w:pPr>
            <w:r>
              <w:rPr>
                <w:rFonts w:ascii="Calibri" w:eastAsia="Calibri" w:hAnsi="Calibri" w:cs="Calibri"/>
                <w:sz w:val="19"/>
                <w:szCs w:val="19"/>
              </w:rPr>
              <w:t xml:space="preserve">Reduces economic costs </w:t>
            </w:r>
          </w:p>
        </w:tc>
        <w:tc>
          <w:tcPr>
            <w:tcW w:w="5202" w:type="dxa"/>
            <w:shd w:val="clear" w:color="auto" w:fill="auto"/>
            <w:tcMar>
              <w:top w:w="100" w:type="dxa"/>
              <w:left w:w="100" w:type="dxa"/>
              <w:bottom w:w="100" w:type="dxa"/>
              <w:right w:w="100" w:type="dxa"/>
            </w:tcMar>
          </w:tcPr>
          <w:p w14:paraId="765F7DD3" w14:textId="77777777" w:rsidR="00CA2320" w:rsidRDefault="00713283">
            <w:pPr>
              <w:widowControl w:val="0"/>
              <w:spacing w:line="244" w:lineRule="auto"/>
              <w:ind w:left="121" w:right="350" w:firstLine="7"/>
              <w:rPr>
                <w:rFonts w:ascii="Calibri" w:eastAsia="Calibri" w:hAnsi="Calibri" w:cs="Calibri"/>
                <w:sz w:val="19"/>
                <w:szCs w:val="19"/>
              </w:rPr>
            </w:pPr>
            <w:r>
              <w:rPr>
                <w:rFonts w:ascii="Calibri" w:eastAsia="Calibri" w:hAnsi="Calibri" w:cs="Calibri"/>
                <w:sz w:val="19"/>
                <w:szCs w:val="19"/>
              </w:rPr>
              <w:t xml:space="preserve">Reduces public financial costs not directly related to </w:t>
            </w:r>
            <w:proofErr w:type="gramStart"/>
            <w:r>
              <w:rPr>
                <w:rFonts w:ascii="Calibri" w:eastAsia="Calibri" w:hAnsi="Calibri" w:cs="Calibri"/>
                <w:sz w:val="19"/>
                <w:szCs w:val="19"/>
              </w:rPr>
              <w:t>the  enforcement</w:t>
            </w:r>
            <w:proofErr w:type="gramEnd"/>
            <w:r>
              <w:rPr>
                <w:rFonts w:ascii="Calibri" w:eastAsia="Calibri" w:hAnsi="Calibri" w:cs="Calibri"/>
                <w:sz w:val="19"/>
                <w:szCs w:val="19"/>
              </w:rPr>
              <w:t xml:space="preserve"> policy (e.g., </w:t>
            </w:r>
            <w:proofErr w:type="spellStart"/>
            <w:r>
              <w:rPr>
                <w:rFonts w:ascii="Calibri" w:eastAsia="Calibri" w:hAnsi="Calibri" w:cs="Calibri"/>
                <w:sz w:val="19"/>
                <w:szCs w:val="19"/>
              </w:rPr>
              <w:t>spillover</w:t>
            </w:r>
            <w:proofErr w:type="spellEnd"/>
            <w:r>
              <w:rPr>
                <w:rFonts w:ascii="Calibri" w:eastAsia="Calibri" w:hAnsi="Calibri" w:cs="Calibri"/>
                <w:sz w:val="19"/>
                <w:szCs w:val="19"/>
              </w:rPr>
              <w:t xml:space="preserve"> effects on health policy  budgets)</w:t>
            </w:r>
          </w:p>
        </w:tc>
      </w:tr>
      <w:tr w:rsidR="00CA2320" w14:paraId="31570CC6" w14:textId="77777777">
        <w:trPr>
          <w:trHeight w:val="399"/>
        </w:trPr>
        <w:tc>
          <w:tcPr>
            <w:tcW w:w="1055" w:type="dxa"/>
            <w:vMerge w:val="restart"/>
            <w:shd w:val="clear" w:color="auto" w:fill="auto"/>
            <w:tcMar>
              <w:top w:w="100" w:type="dxa"/>
              <w:left w:w="100" w:type="dxa"/>
              <w:bottom w:w="100" w:type="dxa"/>
              <w:right w:w="100" w:type="dxa"/>
            </w:tcMar>
          </w:tcPr>
          <w:p w14:paraId="4B8C8027" w14:textId="77777777" w:rsidR="00CA2320" w:rsidRDefault="00713283">
            <w:pPr>
              <w:widowControl w:val="0"/>
              <w:spacing w:line="240" w:lineRule="auto"/>
              <w:ind w:left="122"/>
              <w:rPr>
                <w:rFonts w:ascii="Calibri" w:eastAsia="Calibri" w:hAnsi="Calibri" w:cs="Calibri"/>
                <w:sz w:val="19"/>
                <w:szCs w:val="19"/>
              </w:rPr>
            </w:pPr>
            <w:r>
              <w:rPr>
                <w:rFonts w:ascii="Calibri" w:eastAsia="Calibri" w:hAnsi="Calibri" w:cs="Calibri"/>
                <w:sz w:val="19"/>
                <w:szCs w:val="19"/>
              </w:rPr>
              <w:t xml:space="preserve">Cost </w:t>
            </w:r>
          </w:p>
        </w:tc>
        <w:tc>
          <w:tcPr>
            <w:tcW w:w="2258" w:type="dxa"/>
            <w:shd w:val="clear" w:color="auto" w:fill="auto"/>
            <w:tcMar>
              <w:top w:w="100" w:type="dxa"/>
              <w:left w:w="100" w:type="dxa"/>
              <w:bottom w:w="100" w:type="dxa"/>
              <w:right w:w="100" w:type="dxa"/>
            </w:tcMar>
          </w:tcPr>
          <w:p w14:paraId="681D31C8"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 xml:space="preserve">Introduction </w:t>
            </w:r>
          </w:p>
        </w:tc>
        <w:tc>
          <w:tcPr>
            <w:tcW w:w="5202" w:type="dxa"/>
            <w:shd w:val="clear" w:color="auto" w:fill="auto"/>
            <w:tcMar>
              <w:top w:w="100" w:type="dxa"/>
              <w:left w:w="100" w:type="dxa"/>
              <w:bottom w:w="100" w:type="dxa"/>
              <w:right w:w="100" w:type="dxa"/>
            </w:tcMar>
          </w:tcPr>
          <w:p w14:paraId="430BA8C9"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Financial costs of introducing the policy</w:t>
            </w:r>
          </w:p>
        </w:tc>
      </w:tr>
      <w:tr w:rsidR="00CA2320" w14:paraId="311A49FB" w14:textId="77777777">
        <w:trPr>
          <w:trHeight w:val="399"/>
        </w:trPr>
        <w:tc>
          <w:tcPr>
            <w:tcW w:w="1055" w:type="dxa"/>
            <w:vMerge/>
            <w:shd w:val="clear" w:color="auto" w:fill="auto"/>
            <w:tcMar>
              <w:top w:w="100" w:type="dxa"/>
              <w:left w:w="100" w:type="dxa"/>
              <w:bottom w:w="100" w:type="dxa"/>
              <w:right w:w="100" w:type="dxa"/>
            </w:tcMar>
          </w:tcPr>
          <w:p w14:paraId="7391D507" w14:textId="77777777" w:rsidR="00CA2320" w:rsidRDefault="00CA2320">
            <w:pPr>
              <w:widowControl w:val="0"/>
              <w:spacing w:line="240" w:lineRule="auto"/>
              <w:rPr>
                <w:rFonts w:ascii="Calibri" w:eastAsia="Calibri" w:hAnsi="Calibri" w:cs="Calibri"/>
                <w:sz w:val="19"/>
                <w:szCs w:val="19"/>
              </w:rPr>
            </w:pPr>
          </w:p>
        </w:tc>
        <w:tc>
          <w:tcPr>
            <w:tcW w:w="2258" w:type="dxa"/>
            <w:shd w:val="clear" w:color="auto" w:fill="auto"/>
            <w:tcMar>
              <w:top w:w="100" w:type="dxa"/>
              <w:left w:w="100" w:type="dxa"/>
              <w:bottom w:w="100" w:type="dxa"/>
              <w:right w:w="100" w:type="dxa"/>
            </w:tcMar>
          </w:tcPr>
          <w:p w14:paraId="3CA66A39"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 xml:space="preserve">Maintenance </w:t>
            </w:r>
          </w:p>
        </w:tc>
        <w:tc>
          <w:tcPr>
            <w:tcW w:w="5202" w:type="dxa"/>
            <w:shd w:val="clear" w:color="auto" w:fill="auto"/>
            <w:tcMar>
              <w:top w:w="100" w:type="dxa"/>
              <w:left w:w="100" w:type="dxa"/>
              <w:bottom w:w="100" w:type="dxa"/>
              <w:right w:w="100" w:type="dxa"/>
            </w:tcMar>
          </w:tcPr>
          <w:p w14:paraId="5745F023" w14:textId="77777777" w:rsidR="00CA2320" w:rsidRDefault="00713283">
            <w:pPr>
              <w:widowControl w:val="0"/>
              <w:spacing w:line="240" w:lineRule="auto"/>
              <w:ind w:left="129"/>
              <w:rPr>
                <w:rFonts w:ascii="Calibri" w:eastAsia="Calibri" w:hAnsi="Calibri" w:cs="Calibri"/>
                <w:sz w:val="19"/>
                <w:szCs w:val="19"/>
              </w:rPr>
            </w:pPr>
            <w:r>
              <w:rPr>
                <w:rFonts w:ascii="Calibri" w:eastAsia="Calibri" w:hAnsi="Calibri" w:cs="Calibri"/>
                <w:sz w:val="19"/>
                <w:szCs w:val="19"/>
              </w:rPr>
              <w:t>Financial costs of enforcing the policy</w:t>
            </w:r>
          </w:p>
        </w:tc>
      </w:tr>
    </w:tbl>
    <w:p w14:paraId="5894DECD" w14:textId="77777777" w:rsidR="00CA2320" w:rsidRDefault="00713283">
      <w:pPr>
        <w:widowControl w:val="0"/>
        <w:spacing w:before="559" w:line="240" w:lineRule="auto"/>
        <w:ind w:left="1698"/>
        <w:rPr>
          <w:rFonts w:ascii="Times" w:eastAsia="Times" w:hAnsi="Times" w:cs="Times"/>
          <w:color w:val="000000"/>
          <w:sz w:val="24"/>
          <w:szCs w:val="24"/>
        </w:rPr>
      </w:pPr>
      <w:r>
        <w:rPr>
          <w:rFonts w:ascii="Times" w:eastAsia="Times" w:hAnsi="Times" w:cs="Times"/>
          <w:color w:val="000000"/>
          <w:sz w:val="24"/>
          <w:szCs w:val="24"/>
        </w:rPr>
        <w:t xml:space="preserve">Each of the four policy options was evaluated on each of the twenty-seven </w:t>
      </w:r>
      <w:proofErr w:type="gramStart"/>
      <w:r>
        <w:rPr>
          <w:rFonts w:ascii="Times" w:eastAsia="Times" w:hAnsi="Times" w:cs="Times"/>
          <w:color w:val="000000"/>
          <w:sz w:val="24"/>
          <w:szCs w:val="24"/>
        </w:rPr>
        <w:t>criteria,  which</w:t>
      </w:r>
      <w:proofErr w:type="gramEnd"/>
      <w:r>
        <w:rPr>
          <w:rFonts w:ascii="Times" w:eastAsia="Times" w:hAnsi="Times" w:cs="Times"/>
          <w:color w:val="000000"/>
          <w:sz w:val="24"/>
          <w:szCs w:val="24"/>
        </w:rPr>
        <w:t xml:space="preserve"> were subsequently weighted to a common utility scale prior to summing scores  across criteria to identify the overall relative value of outcomes under different poli</w:t>
      </w:r>
      <w:r>
        <w:rPr>
          <w:rFonts w:ascii="Times" w:eastAsia="Times" w:hAnsi="Times" w:cs="Times"/>
          <w:color w:val="000000"/>
          <w:sz w:val="24"/>
          <w:szCs w:val="24"/>
        </w:rPr>
        <w:t xml:space="preserve">cy  regimes. The weightings of each criterion scale summarized both the </w:t>
      </w:r>
      <w:proofErr w:type="gramStart"/>
      <w:r>
        <w:rPr>
          <w:rFonts w:ascii="Times" w:eastAsia="Times" w:hAnsi="Times" w:cs="Times"/>
          <w:color w:val="000000"/>
          <w:sz w:val="24"/>
          <w:szCs w:val="24"/>
        </w:rPr>
        <w:t>relative  importance</w:t>
      </w:r>
      <w:proofErr w:type="gramEnd"/>
      <w:r>
        <w:rPr>
          <w:rFonts w:ascii="Times" w:eastAsia="Times" w:hAnsi="Times" w:cs="Times"/>
          <w:color w:val="000000"/>
          <w:sz w:val="24"/>
          <w:szCs w:val="24"/>
        </w:rPr>
        <w:t xml:space="preserve"> of the outcome and the policy-induced variation in the outcome under the  best and worst option. The weighting was a two-stage process; firstly, criteria </w:t>
      </w:r>
      <w:proofErr w:type="gramStart"/>
      <w:r>
        <w:rPr>
          <w:rFonts w:ascii="Times" w:eastAsia="Times" w:hAnsi="Times" w:cs="Times"/>
          <w:color w:val="000000"/>
          <w:sz w:val="24"/>
          <w:szCs w:val="24"/>
        </w:rPr>
        <w:t>were  wei</w:t>
      </w:r>
      <w:r>
        <w:rPr>
          <w:rFonts w:ascii="Times" w:eastAsia="Times" w:hAnsi="Times" w:cs="Times"/>
          <w:color w:val="000000"/>
          <w:sz w:val="24"/>
          <w:szCs w:val="24"/>
        </w:rPr>
        <w:t>ghted</w:t>
      </w:r>
      <w:proofErr w:type="gramEnd"/>
      <w:r>
        <w:rPr>
          <w:rFonts w:ascii="Times" w:eastAsia="Times" w:hAnsi="Times" w:cs="Times"/>
          <w:color w:val="000000"/>
          <w:sz w:val="24"/>
          <w:szCs w:val="24"/>
        </w:rPr>
        <w:t xml:space="preserve"> against each other within thematic clusters, and then the thematic clusters  were weighted against each other. This scoring and weighting procedure was </w:t>
      </w:r>
      <w:proofErr w:type="gramStart"/>
      <w:r>
        <w:rPr>
          <w:rFonts w:ascii="Times" w:eastAsia="Times" w:hAnsi="Times" w:cs="Times"/>
          <w:color w:val="000000"/>
          <w:sz w:val="24"/>
          <w:szCs w:val="24"/>
        </w:rPr>
        <w:t>done  separately</w:t>
      </w:r>
      <w:proofErr w:type="gramEnd"/>
      <w:r>
        <w:rPr>
          <w:rFonts w:ascii="Times" w:eastAsia="Times" w:hAnsi="Times" w:cs="Times"/>
          <w:color w:val="000000"/>
          <w:sz w:val="24"/>
          <w:szCs w:val="24"/>
        </w:rPr>
        <w:t xml:space="preserve"> for each of the drugs assessed. </w:t>
      </w:r>
    </w:p>
    <w:p w14:paraId="62343649" w14:textId="77777777" w:rsidR="00CA2320" w:rsidRDefault="00713283">
      <w:pPr>
        <w:widowControl w:val="0"/>
        <w:pBdr>
          <w:top w:val="nil"/>
          <w:left w:val="nil"/>
          <w:bottom w:val="nil"/>
          <w:right w:val="nil"/>
          <w:between w:val="nil"/>
        </w:pBdr>
        <w:spacing w:before="281" w:line="229" w:lineRule="auto"/>
        <w:ind w:left="1698" w:right="996"/>
        <w:rPr>
          <w:rFonts w:ascii="Times" w:eastAsia="Times" w:hAnsi="Times" w:cs="Times"/>
          <w:color w:val="000000"/>
          <w:sz w:val="24"/>
          <w:szCs w:val="24"/>
        </w:rPr>
      </w:pPr>
      <w:r>
        <w:rPr>
          <w:rFonts w:ascii="Times" w:eastAsia="Times" w:hAnsi="Times" w:cs="Times"/>
          <w:color w:val="000000"/>
          <w:sz w:val="24"/>
          <w:szCs w:val="24"/>
        </w:rPr>
        <w:t xml:space="preserve">A sensitivity analysis was undertaken to see how much variation in any one </w:t>
      </w:r>
      <w:proofErr w:type="gramStart"/>
      <w:r>
        <w:rPr>
          <w:rFonts w:ascii="Times" w:eastAsia="Times" w:hAnsi="Times" w:cs="Times"/>
          <w:color w:val="000000"/>
          <w:sz w:val="24"/>
          <w:szCs w:val="24"/>
        </w:rPr>
        <w:t>criteria  would</w:t>
      </w:r>
      <w:proofErr w:type="gramEnd"/>
      <w:r>
        <w:rPr>
          <w:rFonts w:ascii="Times" w:eastAsia="Times" w:hAnsi="Times" w:cs="Times"/>
          <w:color w:val="000000"/>
          <w:sz w:val="24"/>
          <w:szCs w:val="24"/>
        </w:rPr>
        <w:t xml:space="preserve"> be needed to swing the balance in favour of one policy option from another – this also allowed for differences of opinion on rankings or weightings within the  decis</w:t>
      </w:r>
      <w:r>
        <w:rPr>
          <w:rFonts w:ascii="Times" w:eastAsia="Times" w:hAnsi="Times" w:cs="Times"/>
          <w:color w:val="000000"/>
          <w:sz w:val="24"/>
          <w:szCs w:val="24"/>
        </w:rPr>
        <w:t xml:space="preserve">ion conference to be noted and then tested to see what impact they would have  on the final scores.  </w:t>
      </w:r>
    </w:p>
    <w:p w14:paraId="08138A3B" w14:textId="77777777" w:rsidR="00CA2320" w:rsidRDefault="00713283">
      <w:pPr>
        <w:widowControl w:val="0"/>
        <w:pBdr>
          <w:top w:val="nil"/>
          <w:left w:val="nil"/>
          <w:bottom w:val="nil"/>
          <w:right w:val="nil"/>
          <w:between w:val="nil"/>
        </w:pBdr>
        <w:spacing w:before="273" w:line="240" w:lineRule="auto"/>
        <w:ind w:left="1707"/>
        <w:rPr>
          <w:rFonts w:ascii="Times" w:eastAsia="Times" w:hAnsi="Times" w:cs="Times"/>
          <w:b/>
          <w:color w:val="000000"/>
          <w:sz w:val="36"/>
          <w:szCs w:val="36"/>
        </w:rPr>
      </w:pPr>
      <w:r>
        <w:rPr>
          <w:rFonts w:ascii="Times" w:eastAsia="Times" w:hAnsi="Times" w:cs="Times"/>
          <w:b/>
          <w:color w:val="000000"/>
          <w:sz w:val="36"/>
          <w:szCs w:val="36"/>
        </w:rPr>
        <w:t xml:space="preserve">Results  </w:t>
      </w:r>
    </w:p>
    <w:p w14:paraId="70AAA8A3" w14:textId="77777777" w:rsidR="00CA2320" w:rsidRDefault="00713283">
      <w:pPr>
        <w:widowControl w:val="0"/>
        <w:pBdr>
          <w:top w:val="nil"/>
          <w:left w:val="nil"/>
          <w:bottom w:val="nil"/>
          <w:right w:val="nil"/>
          <w:between w:val="nil"/>
        </w:pBdr>
        <w:spacing w:before="277" w:line="229" w:lineRule="auto"/>
        <w:ind w:left="1697" w:right="785"/>
        <w:rPr>
          <w:rFonts w:ascii="Times" w:eastAsia="Times" w:hAnsi="Times" w:cs="Times"/>
          <w:color w:val="000000"/>
          <w:sz w:val="24"/>
          <w:szCs w:val="24"/>
        </w:rPr>
      </w:pPr>
      <w:r>
        <w:rPr>
          <w:rFonts w:ascii="Times" w:eastAsia="Times" w:hAnsi="Times" w:cs="Times"/>
          <w:color w:val="000000"/>
          <w:sz w:val="24"/>
          <w:szCs w:val="24"/>
        </w:rPr>
        <w:t xml:space="preserve">An overview of the main results is provided in Figure 1, which shows the </w:t>
      </w:r>
      <w:proofErr w:type="gramStart"/>
      <w:r>
        <w:rPr>
          <w:rFonts w:ascii="Times" w:eastAsia="Times" w:hAnsi="Times" w:cs="Times"/>
          <w:color w:val="000000"/>
          <w:sz w:val="24"/>
          <w:szCs w:val="24"/>
        </w:rPr>
        <w:t>cumulative  weighted</w:t>
      </w:r>
      <w:proofErr w:type="gramEnd"/>
      <w:r>
        <w:rPr>
          <w:rFonts w:ascii="Times" w:eastAsia="Times" w:hAnsi="Times" w:cs="Times"/>
          <w:color w:val="000000"/>
          <w:sz w:val="24"/>
          <w:szCs w:val="24"/>
        </w:rPr>
        <w:t xml:space="preserve"> sums for each of the four policy options, broken down into scores on the 7  criteria clusters. State Control was identified as the preferred policy regime </w:t>
      </w:r>
      <w:proofErr w:type="gramStart"/>
      <w:r>
        <w:rPr>
          <w:rFonts w:ascii="Times" w:eastAsia="Times" w:hAnsi="Times" w:cs="Times"/>
          <w:color w:val="000000"/>
          <w:sz w:val="24"/>
          <w:szCs w:val="24"/>
        </w:rPr>
        <w:t>overall</w:t>
      </w:r>
      <w:r>
        <w:rPr>
          <w:rFonts w:ascii="Times" w:eastAsia="Times" w:hAnsi="Times" w:cs="Times"/>
          <w:color w:val="000000"/>
          <w:sz w:val="24"/>
          <w:szCs w:val="24"/>
        </w:rPr>
        <w:t>,  though</w:t>
      </w:r>
      <w:proofErr w:type="gramEnd"/>
      <w:r>
        <w:rPr>
          <w:rFonts w:ascii="Times" w:eastAsia="Times" w:hAnsi="Times" w:cs="Times"/>
          <w:color w:val="000000"/>
          <w:sz w:val="24"/>
          <w:szCs w:val="24"/>
        </w:rPr>
        <w:t xml:space="preserve"> other policy regimes scored better on specific outcome areas. For instance, </w:t>
      </w:r>
      <w:proofErr w:type="gramStart"/>
      <w:r>
        <w:rPr>
          <w:rFonts w:ascii="Times" w:eastAsia="Times" w:hAnsi="Times" w:cs="Times"/>
          <w:color w:val="000000"/>
          <w:sz w:val="24"/>
          <w:szCs w:val="24"/>
        </w:rPr>
        <w:t>the  Free</w:t>
      </w:r>
      <w:proofErr w:type="gramEnd"/>
      <w:r>
        <w:rPr>
          <w:rFonts w:ascii="Times" w:eastAsia="Times" w:hAnsi="Times" w:cs="Times"/>
          <w:color w:val="000000"/>
          <w:sz w:val="24"/>
          <w:szCs w:val="24"/>
        </w:rPr>
        <w:t xml:space="preserve"> Market model, ranked second of the regimes, scored better than State Regulation  on political impacts and impact on crime. This reflected the negative impacts o</w:t>
      </w:r>
      <w:r>
        <w:rPr>
          <w:rFonts w:ascii="Times" w:eastAsia="Times" w:hAnsi="Times" w:cs="Times"/>
          <w:color w:val="000000"/>
          <w:sz w:val="24"/>
          <w:szCs w:val="24"/>
        </w:rPr>
        <w:t xml:space="preserve">f the remaining illegal trade expected under a State Control model. This benefit of the </w:t>
      </w:r>
      <w:proofErr w:type="gramStart"/>
      <w:r>
        <w:rPr>
          <w:rFonts w:ascii="Times" w:eastAsia="Times" w:hAnsi="Times" w:cs="Times"/>
          <w:color w:val="000000"/>
          <w:sz w:val="24"/>
          <w:szCs w:val="24"/>
        </w:rPr>
        <w:t>Free  Market</w:t>
      </w:r>
      <w:proofErr w:type="gramEnd"/>
      <w:r>
        <w:rPr>
          <w:rFonts w:ascii="Times" w:eastAsia="Times" w:hAnsi="Times" w:cs="Times"/>
          <w:color w:val="000000"/>
          <w:sz w:val="24"/>
          <w:szCs w:val="24"/>
        </w:rPr>
        <w:t xml:space="preserve"> model, however, was outweighed by its poorer expected performance on  health, social and public outcomes. The Free Market model scored better </w:t>
      </w:r>
      <w:proofErr w:type="gramStart"/>
      <w:r>
        <w:rPr>
          <w:rFonts w:ascii="Times" w:eastAsia="Times" w:hAnsi="Times" w:cs="Times"/>
          <w:color w:val="000000"/>
          <w:sz w:val="24"/>
          <w:szCs w:val="24"/>
        </w:rPr>
        <w:t>than  Decrimi</w:t>
      </w:r>
      <w:r>
        <w:rPr>
          <w:rFonts w:ascii="Times" w:eastAsia="Times" w:hAnsi="Times" w:cs="Times"/>
          <w:color w:val="000000"/>
          <w:sz w:val="24"/>
          <w:szCs w:val="24"/>
        </w:rPr>
        <w:t>nalisation</w:t>
      </w:r>
      <w:proofErr w:type="gramEnd"/>
      <w:r>
        <w:rPr>
          <w:rFonts w:ascii="Times" w:eastAsia="Times" w:hAnsi="Times" w:cs="Times"/>
          <w:color w:val="000000"/>
          <w:sz w:val="24"/>
          <w:szCs w:val="24"/>
        </w:rPr>
        <w:t xml:space="preserve">, with absolute Prohibition scoring worst on every criteria.  </w:t>
      </w:r>
    </w:p>
    <w:p w14:paraId="5E145FB0" w14:textId="77777777" w:rsidR="00CA2320" w:rsidRDefault="00CA2320">
      <w:pPr>
        <w:widowControl w:val="0"/>
        <w:pBdr>
          <w:top w:val="nil"/>
          <w:left w:val="nil"/>
          <w:bottom w:val="nil"/>
          <w:right w:val="nil"/>
          <w:between w:val="nil"/>
        </w:pBdr>
        <w:spacing w:before="305" w:line="207" w:lineRule="auto"/>
        <w:ind w:left="1697" w:right="1531" w:hanging="2"/>
        <w:rPr>
          <w:rFonts w:ascii="Times" w:eastAsia="Times" w:hAnsi="Times" w:cs="Times"/>
          <w:sz w:val="24"/>
          <w:szCs w:val="24"/>
        </w:rPr>
      </w:pPr>
    </w:p>
    <w:p w14:paraId="4EA7C11F" w14:textId="77777777" w:rsidR="00CA2320" w:rsidRDefault="00713283">
      <w:pPr>
        <w:widowControl w:val="0"/>
        <w:spacing w:before="15" w:line="203" w:lineRule="auto"/>
        <w:ind w:left="1698" w:right="858" w:hanging="3"/>
        <w:rPr>
          <w:rFonts w:ascii="Times" w:eastAsia="Times" w:hAnsi="Times" w:cs="Times"/>
          <w:sz w:val="24"/>
          <w:szCs w:val="24"/>
        </w:rPr>
      </w:pPr>
      <w:r>
        <w:rPr>
          <w:rFonts w:ascii="Calibri" w:eastAsia="Calibri" w:hAnsi="Calibri" w:cs="Calibri"/>
          <w:noProof/>
        </w:rPr>
        <w:drawing>
          <wp:inline distT="0" distB="0" distL="0" distR="0" wp14:anchorId="792225FB" wp14:editId="2E180FF6">
            <wp:extent cx="3447619" cy="387619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3447619" cy="3876190"/>
                    </a:xfrm>
                    <a:prstGeom prst="rect">
                      <a:avLst/>
                    </a:prstGeom>
                    <a:ln/>
                  </pic:spPr>
                </pic:pic>
              </a:graphicData>
            </a:graphic>
          </wp:inline>
        </w:drawing>
      </w:r>
    </w:p>
    <w:p w14:paraId="14A8A878" w14:textId="77777777" w:rsidR="00CA2320" w:rsidRDefault="00CA2320">
      <w:pPr>
        <w:widowControl w:val="0"/>
        <w:pBdr>
          <w:top w:val="nil"/>
          <w:left w:val="nil"/>
          <w:bottom w:val="nil"/>
          <w:right w:val="nil"/>
          <w:between w:val="nil"/>
        </w:pBdr>
        <w:spacing w:before="305" w:line="207" w:lineRule="auto"/>
        <w:ind w:left="1697" w:right="1531" w:hanging="2"/>
        <w:rPr>
          <w:rFonts w:ascii="Times" w:eastAsia="Times" w:hAnsi="Times" w:cs="Times"/>
          <w:sz w:val="24"/>
          <w:szCs w:val="24"/>
        </w:rPr>
      </w:pPr>
    </w:p>
    <w:p w14:paraId="2553ADC8" w14:textId="77777777" w:rsidR="00CA2320" w:rsidRDefault="00713283">
      <w:pPr>
        <w:widowControl w:val="0"/>
        <w:pBdr>
          <w:top w:val="nil"/>
          <w:left w:val="nil"/>
          <w:bottom w:val="nil"/>
          <w:right w:val="nil"/>
          <w:between w:val="nil"/>
        </w:pBdr>
        <w:spacing w:before="305" w:line="207" w:lineRule="auto"/>
        <w:ind w:left="1697" w:right="1531" w:hanging="2"/>
        <w:rPr>
          <w:rFonts w:ascii="Georgia" w:eastAsia="Georgia" w:hAnsi="Georgia" w:cs="Georgia"/>
          <w:color w:val="323232"/>
          <w:sz w:val="19"/>
          <w:szCs w:val="19"/>
        </w:rPr>
      </w:pPr>
      <w:r>
        <w:rPr>
          <w:rFonts w:ascii="Times" w:eastAsia="Times" w:hAnsi="Times" w:cs="Times"/>
          <w:color w:val="000000"/>
          <w:sz w:val="19"/>
          <w:szCs w:val="19"/>
        </w:rPr>
        <w:t xml:space="preserve">Fig 1. Heroin- </w:t>
      </w:r>
      <w:r>
        <w:rPr>
          <w:rFonts w:ascii="Georgia" w:eastAsia="Georgia" w:hAnsi="Georgia" w:cs="Georgia"/>
          <w:color w:val="323232"/>
          <w:sz w:val="19"/>
          <w:szCs w:val="19"/>
        </w:rPr>
        <w:t xml:space="preserve">Overall preference values across regimes. Displays weighted advantages. </w:t>
      </w:r>
    </w:p>
    <w:p w14:paraId="163E8F40" w14:textId="77777777" w:rsidR="00CA2320" w:rsidRDefault="00713283">
      <w:pPr>
        <w:widowControl w:val="0"/>
        <w:pBdr>
          <w:top w:val="nil"/>
          <w:left w:val="nil"/>
          <w:bottom w:val="nil"/>
          <w:right w:val="nil"/>
          <w:between w:val="nil"/>
        </w:pBdr>
        <w:spacing w:before="81" w:line="229" w:lineRule="auto"/>
        <w:ind w:left="1698" w:right="797"/>
        <w:rPr>
          <w:rFonts w:ascii="Times" w:eastAsia="Times" w:hAnsi="Times" w:cs="Times"/>
          <w:color w:val="2E2E2E"/>
          <w:sz w:val="24"/>
          <w:szCs w:val="24"/>
        </w:rPr>
      </w:pPr>
      <w:r>
        <w:rPr>
          <w:rFonts w:ascii="Times" w:eastAsia="Times" w:hAnsi="Times" w:cs="Times"/>
          <w:color w:val="2E2E2E"/>
          <w:sz w:val="24"/>
          <w:szCs w:val="24"/>
        </w:rPr>
        <w:br/>
      </w:r>
      <w:r>
        <w:rPr>
          <w:rFonts w:ascii="Times" w:eastAsia="Times" w:hAnsi="Times" w:cs="Times"/>
          <w:color w:val="2E2E2E"/>
          <w:sz w:val="24"/>
          <w:szCs w:val="24"/>
        </w:rPr>
        <w:t xml:space="preserve">To better understand these overall judgments, we compared two policy regimes </w:t>
      </w:r>
      <w:proofErr w:type="gramStart"/>
      <w:r>
        <w:rPr>
          <w:rFonts w:ascii="Times" w:eastAsia="Times" w:hAnsi="Times" w:cs="Times"/>
          <w:color w:val="2E2E2E"/>
          <w:sz w:val="24"/>
          <w:szCs w:val="24"/>
        </w:rPr>
        <w:t>and  identified</w:t>
      </w:r>
      <w:proofErr w:type="gramEnd"/>
      <w:r>
        <w:rPr>
          <w:rFonts w:ascii="Times" w:eastAsia="Times" w:hAnsi="Times" w:cs="Times"/>
          <w:color w:val="2E2E2E"/>
          <w:sz w:val="24"/>
          <w:szCs w:val="24"/>
        </w:rPr>
        <w:t xml:space="preserve"> the specific criteria that made a difference. As shown in Fig 1, there was </w:t>
      </w:r>
      <w:proofErr w:type="gramStart"/>
      <w:r>
        <w:rPr>
          <w:rFonts w:ascii="Times" w:eastAsia="Times" w:hAnsi="Times" w:cs="Times"/>
          <w:color w:val="2E2E2E"/>
          <w:sz w:val="24"/>
          <w:szCs w:val="24"/>
        </w:rPr>
        <w:t>a  93</w:t>
      </w:r>
      <w:proofErr w:type="gramEnd"/>
      <w:r>
        <w:rPr>
          <w:rFonts w:ascii="Times" w:eastAsia="Times" w:hAnsi="Times" w:cs="Times"/>
          <w:color w:val="2E2E2E"/>
          <w:sz w:val="24"/>
          <w:szCs w:val="24"/>
        </w:rPr>
        <w:t>-point difference between the total scores for absolute prohibition and state contr</w:t>
      </w:r>
      <w:r>
        <w:rPr>
          <w:rFonts w:ascii="Times" w:eastAsia="Times" w:hAnsi="Times" w:cs="Times"/>
          <w:color w:val="2E2E2E"/>
          <w:sz w:val="24"/>
          <w:szCs w:val="24"/>
        </w:rPr>
        <w:t xml:space="preserve">ol.  This overall difference in scores can be broken down into the differences on each </w:t>
      </w:r>
      <w:proofErr w:type="gramStart"/>
      <w:r>
        <w:rPr>
          <w:rFonts w:ascii="Times" w:eastAsia="Times" w:hAnsi="Times" w:cs="Times"/>
          <w:color w:val="2E2E2E"/>
          <w:sz w:val="24"/>
          <w:szCs w:val="24"/>
        </w:rPr>
        <w:t>of  the</w:t>
      </w:r>
      <w:proofErr w:type="gramEnd"/>
      <w:r>
        <w:rPr>
          <w:rFonts w:ascii="Times" w:eastAsia="Times" w:hAnsi="Times" w:cs="Times"/>
          <w:color w:val="2E2E2E"/>
          <w:sz w:val="24"/>
          <w:szCs w:val="24"/>
        </w:rPr>
        <w:t xml:space="preserve"> criteria – expressed in terms of the weighted preference units.  </w:t>
      </w:r>
    </w:p>
    <w:p w14:paraId="790A4990" w14:textId="77777777" w:rsidR="00CA2320" w:rsidRDefault="00713283">
      <w:pPr>
        <w:widowControl w:val="0"/>
        <w:pBdr>
          <w:top w:val="nil"/>
          <w:left w:val="nil"/>
          <w:bottom w:val="nil"/>
          <w:right w:val="nil"/>
          <w:between w:val="nil"/>
        </w:pBdr>
        <w:spacing w:before="282" w:line="229" w:lineRule="auto"/>
        <w:ind w:left="1696" w:right="736" w:firstLine="2"/>
        <w:rPr>
          <w:rFonts w:ascii="Times" w:eastAsia="Times" w:hAnsi="Times" w:cs="Times"/>
          <w:color w:val="2E2E2E"/>
          <w:sz w:val="24"/>
          <w:szCs w:val="24"/>
        </w:rPr>
      </w:pPr>
      <w:r>
        <w:rPr>
          <w:rFonts w:ascii="Times" w:eastAsia="Times" w:hAnsi="Times" w:cs="Times"/>
          <w:color w:val="2E2E2E"/>
          <w:sz w:val="24"/>
          <w:szCs w:val="24"/>
        </w:rPr>
        <w:t xml:space="preserve">These scores are shown in Fig 2, which orders the 27 criteria by the extent to </w:t>
      </w:r>
      <w:proofErr w:type="gramStart"/>
      <w:r>
        <w:rPr>
          <w:rFonts w:ascii="Times" w:eastAsia="Times" w:hAnsi="Times" w:cs="Times"/>
          <w:color w:val="2E2E2E"/>
          <w:sz w:val="24"/>
          <w:szCs w:val="24"/>
        </w:rPr>
        <w:t>which  they</w:t>
      </w:r>
      <w:proofErr w:type="gramEnd"/>
      <w:r>
        <w:rPr>
          <w:rFonts w:ascii="Times" w:eastAsia="Times" w:hAnsi="Times" w:cs="Times"/>
          <w:color w:val="2E2E2E"/>
          <w:sz w:val="24"/>
          <w:szCs w:val="24"/>
        </w:rPr>
        <w:t xml:space="preserve"> tilt the overall judgment for heroin policy towards state control relative to  absolute prohibition: the four strongest factors are the support for international  de</w:t>
      </w:r>
      <w:r>
        <w:rPr>
          <w:rFonts w:ascii="Times" w:eastAsia="Times" w:hAnsi="Times" w:cs="Times"/>
          <w:color w:val="2E2E2E"/>
          <w:sz w:val="24"/>
          <w:szCs w:val="24"/>
        </w:rPr>
        <w:t xml:space="preserve">velopment/security, the reduction of user harms, the shift in use to lower-harm  products and the improvement of product quality. These four contribute over one </w:t>
      </w:r>
      <w:proofErr w:type="gramStart"/>
      <w:r>
        <w:rPr>
          <w:rFonts w:ascii="Times" w:eastAsia="Times" w:hAnsi="Times" w:cs="Times"/>
          <w:color w:val="2E2E2E"/>
          <w:sz w:val="24"/>
          <w:szCs w:val="24"/>
        </w:rPr>
        <w:t>third  (</w:t>
      </w:r>
      <w:proofErr w:type="gramEnd"/>
      <w:r>
        <w:rPr>
          <w:rFonts w:ascii="Times" w:eastAsia="Times" w:hAnsi="Times" w:cs="Times"/>
          <w:color w:val="2E2E2E"/>
          <w:sz w:val="24"/>
          <w:szCs w:val="24"/>
        </w:rPr>
        <w:t xml:space="preserve">35 points) to the difference favouring state control over prohibition. In terms of </w:t>
      </w:r>
      <w:proofErr w:type="gramStart"/>
      <w:r>
        <w:rPr>
          <w:rFonts w:ascii="Times" w:eastAsia="Times" w:hAnsi="Times" w:cs="Times"/>
          <w:color w:val="2E2E2E"/>
          <w:sz w:val="24"/>
          <w:szCs w:val="24"/>
        </w:rPr>
        <w:t xml:space="preserve">the </w:t>
      </w:r>
      <w:r>
        <w:rPr>
          <w:rFonts w:ascii="Times" w:eastAsia="Times" w:hAnsi="Times" w:cs="Times"/>
          <w:color w:val="2E2E2E"/>
          <w:sz w:val="24"/>
          <w:szCs w:val="24"/>
        </w:rPr>
        <w:t xml:space="preserve"> public</w:t>
      </w:r>
      <w:proofErr w:type="gramEnd"/>
      <w:r>
        <w:rPr>
          <w:rFonts w:ascii="Times" w:eastAsia="Times" w:hAnsi="Times" w:cs="Times"/>
          <w:color w:val="2E2E2E"/>
          <w:sz w:val="24"/>
          <w:szCs w:val="24"/>
        </w:rPr>
        <w:t xml:space="preserve"> policy impact (including the promotion of family and community cohesion,  and the protection of the young and vulnerable), state control was also valued as  particularly preferred in comparison to absolute prohibition. In almost all other </w:t>
      </w:r>
    </w:p>
    <w:p w14:paraId="1AB505D0" w14:textId="77777777" w:rsidR="00CA2320" w:rsidRDefault="00713283">
      <w:pPr>
        <w:widowControl w:val="0"/>
        <w:pBdr>
          <w:top w:val="nil"/>
          <w:left w:val="nil"/>
          <w:bottom w:val="nil"/>
          <w:right w:val="nil"/>
          <w:between w:val="nil"/>
        </w:pBdr>
        <w:spacing w:line="230" w:lineRule="auto"/>
        <w:ind w:left="1703" w:right="867" w:hanging="2"/>
        <w:rPr>
          <w:rFonts w:ascii="Times" w:eastAsia="Times" w:hAnsi="Times" w:cs="Times"/>
          <w:color w:val="2E2E2E"/>
          <w:sz w:val="24"/>
          <w:szCs w:val="24"/>
        </w:rPr>
      </w:pPr>
      <w:r>
        <w:rPr>
          <w:rFonts w:ascii="Times" w:eastAsia="Times" w:hAnsi="Times" w:cs="Times"/>
          <w:color w:val="2E2E2E"/>
          <w:sz w:val="24"/>
          <w:szCs w:val="24"/>
        </w:rPr>
        <w:t>categori</w:t>
      </w:r>
      <w:r>
        <w:rPr>
          <w:rFonts w:ascii="Times" w:eastAsia="Times" w:hAnsi="Times" w:cs="Times"/>
          <w:color w:val="2E2E2E"/>
          <w:sz w:val="24"/>
          <w:szCs w:val="24"/>
        </w:rPr>
        <w:t xml:space="preserve">es, apart from a reduction in industry influence, state control was regarded </w:t>
      </w:r>
      <w:proofErr w:type="gramStart"/>
      <w:r>
        <w:rPr>
          <w:rFonts w:ascii="Times" w:eastAsia="Times" w:hAnsi="Times" w:cs="Times"/>
          <w:color w:val="2E2E2E"/>
          <w:sz w:val="24"/>
          <w:szCs w:val="24"/>
        </w:rPr>
        <w:t>as  advantageous</w:t>
      </w:r>
      <w:proofErr w:type="gramEnd"/>
      <w:r>
        <w:rPr>
          <w:rFonts w:ascii="Times" w:eastAsia="Times" w:hAnsi="Times" w:cs="Times"/>
          <w:color w:val="2E2E2E"/>
          <w:sz w:val="24"/>
          <w:szCs w:val="24"/>
        </w:rPr>
        <w:t xml:space="preserve"> over absolute prohibition. </w:t>
      </w:r>
    </w:p>
    <w:p w14:paraId="2DACB0A4" w14:textId="77777777" w:rsidR="00CA2320" w:rsidRDefault="00713283">
      <w:pPr>
        <w:widowControl w:val="0"/>
        <w:pBdr>
          <w:top w:val="nil"/>
          <w:left w:val="nil"/>
          <w:bottom w:val="nil"/>
          <w:right w:val="nil"/>
          <w:between w:val="nil"/>
        </w:pBdr>
        <w:spacing w:before="310" w:line="240" w:lineRule="auto"/>
        <w:ind w:left="1705"/>
        <w:rPr>
          <w:rFonts w:ascii="Georgia" w:eastAsia="Georgia" w:hAnsi="Georgia" w:cs="Georgia"/>
          <w:color w:val="2E2E2E"/>
          <w:sz w:val="27"/>
          <w:szCs w:val="27"/>
        </w:rPr>
      </w:pPr>
      <w:r>
        <w:rPr>
          <w:rFonts w:ascii="Georgia" w:eastAsia="Georgia" w:hAnsi="Georgia" w:cs="Georgia"/>
          <w:color w:val="2E2E2E"/>
          <w:sz w:val="27"/>
          <w:szCs w:val="27"/>
        </w:rPr>
        <w:br/>
      </w:r>
      <w:r>
        <w:rPr>
          <w:rFonts w:ascii="Georgia" w:eastAsia="Georgia" w:hAnsi="Georgia" w:cs="Georgia"/>
          <w:color w:val="2E2E2E"/>
          <w:sz w:val="27"/>
          <w:szCs w:val="27"/>
        </w:rPr>
        <w:br/>
      </w:r>
      <w:r>
        <w:rPr>
          <w:rFonts w:ascii="Georgia" w:eastAsia="Georgia" w:hAnsi="Georgia" w:cs="Georgia"/>
          <w:noProof/>
          <w:color w:val="2E2E2E"/>
          <w:sz w:val="27"/>
          <w:szCs w:val="27"/>
        </w:rPr>
        <w:drawing>
          <wp:inline distT="19050" distB="19050" distL="19050" distR="19050" wp14:anchorId="6C291AEB" wp14:editId="7FFA9F4E">
            <wp:extent cx="4157599" cy="411632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4157599" cy="4116324"/>
                    </a:xfrm>
                    <a:prstGeom prst="rect">
                      <a:avLst/>
                    </a:prstGeom>
                    <a:ln/>
                  </pic:spPr>
                </pic:pic>
              </a:graphicData>
            </a:graphic>
          </wp:inline>
        </w:drawing>
      </w:r>
      <w:r>
        <w:rPr>
          <w:rFonts w:ascii="Georgia" w:eastAsia="Georgia" w:hAnsi="Georgia" w:cs="Georgia"/>
          <w:color w:val="2E2E2E"/>
          <w:sz w:val="27"/>
          <w:szCs w:val="27"/>
        </w:rPr>
        <w:br/>
      </w:r>
    </w:p>
    <w:p w14:paraId="55014045" w14:textId="77777777" w:rsidR="00CA2320" w:rsidRDefault="00713283">
      <w:pPr>
        <w:widowControl w:val="0"/>
        <w:pBdr>
          <w:top w:val="nil"/>
          <w:left w:val="nil"/>
          <w:bottom w:val="nil"/>
          <w:right w:val="nil"/>
          <w:between w:val="nil"/>
        </w:pBdr>
        <w:spacing w:before="15" w:line="203" w:lineRule="auto"/>
        <w:ind w:left="1698" w:right="858" w:hanging="3"/>
        <w:rPr>
          <w:rFonts w:ascii="Georgia" w:eastAsia="Georgia" w:hAnsi="Georgia" w:cs="Georgia"/>
          <w:color w:val="323232"/>
          <w:sz w:val="19"/>
          <w:szCs w:val="19"/>
        </w:rPr>
      </w:pPr>
      <w:r>
        <w:rPr>
          <w:rFonts w:ascii="Georgia" w:eastAsia="Georgia" w:hAnsi="Georgia" w:cs="Georgia"/>
          <w:color w:val="323232"/>
          <w:sz w:val="19"/>
          <w:szCs w:val="19"/>
        </w:rPr>
        <w:t xml:space="preserve">Fig 2. </w:t>
      </w:r>
    </w:p>
    <w:p w14:paraId="2C0B75DA" w14:textId="77777777" w:rsidR="00CA2320" w:rsidRDefault="00713283">
      <w:pPr>
        <w:widowControl w:val="0"/>
        <w:pBdr>
          <w:top w:val="nil"/>
          <w:left w:val="nil"/>
          <w:bottom w:val="nil"/>
          <w:right w:val="nil"/>
          <w:between w:val="nil"/>
        </w:pBdr>
        <w:spacing w:before="15" w:line="203" w:lineRule="auto"/>
        <w:ind w:left="1698" w:right="858" w:hanging="3"/>
        <w:rPr>
          <w:rFonts w:ascii="Times" w:eastAsia="Times" w:hAnsi="Times" w:cs="Times"/>
          <w:b/>
          <w:color w:val="000000"/>
          <w:sz w:val="36"/>
          <w:szCs w:val="36"/>
        </w:rPr>
      </w:pPr>
      <w:r>
        <w:rPr>
          <w:rFonts w:ascii="Georgia" w:eastAsia="Georgia" w:hAnsi="Georgia" w:cs="Georgia"/>
          <w:color w:val="323232"/>
          <w:sz w:val="19"/>
          <w:szCs w:val="19"/>
        </w:rPr>
        <w:t xml:space="preserve">Heroin–Comparison of state control to absolute prohibition. The criteria (as defined </w:t>
      </w:r>
      <w:proofErr w:type="gramStart"/>
      <w:r>
        <w:rPr>
          <w:rFonts w:ascii="Georgia" w:eastAsia="Georgia" w:hAnsi="Georgia" w:cs="Georgia"/>
          <w:color w:val="323232"/>
          <w:sz w:val="19"/>
          <w:szCs w:val="19"/>
        </w:rPr>
        <w:t>in  Panel</w:t>
      </w:r>
      <w:proofErr w:type="gramEnd"/>
      <w:r>
        <w:rPr>
          <w:rFonts w:ascii="Georgia" w:eastAsia="Georgia" w:hAnsi="Georgia" w:cs="Georgia"/>
          <w:color w:val="323232"/>
          <w:sz w:val="19"/>
          <w:szCs w:val="19"/>
        </w:rPr>
        <w:t xml:space="preserve"> 3) sorted for heroin in order of the advantages of State control over absolute  prohibition, as given by the weighted difference between their input scores. The </w:t>
      </w:r>
      <w:r>
        <w:rPr>
          <w:rFonts w:ascii="Georgia" w:eastAsia="Georgia" w:hAnsi="Georgia" w:cs="Georgia"/>
          <w:color w:val="323232"/>
          <w:sz w:val="19"/>
          <w:szCs w:val="19"/>
        </w:rPr>
        <w:t xml:space="preserve">green bars show the magnitude of the impacts favouring State control, while the red bars favour prohibition.  </w:t>
      </w:r>
      <w:r>
        <w:rPr>
          <w:rFonts w:ascii="Georgia" w:eastAsia="Georgia" w:hAnsi="Georgia" w:cs="Georgia"/>
          <w:color w:val="323232"/>
          <w:sz w:val="19"/>
          <w:szCs w:val="19"/>
        </w:rPr>
        <w:br/>
      </w:r>
      <w:r>
        <w:rPr>
          <w:rFonts w:ascii="Georgia" w:eastAsia="Georgia" w:hAnsi="Georgia" w:cs="Georgia"/>
          <w:color w:val="323232"/>
          <w:sz w:val="19"/>
          <w:szCs w:val="19"/>
        </w:rPr>
        <w:br/>
      </w:r>
      <w:r>
        <w:rPr>
          <w:rFonts w:ascii="Times" w:eastAsia="Times" w:hAnsi="Times" w:cs="Times"/>
          <w:b/>
          <w:color w:val="000000"/>
          <w:sz w:val="36"/>
          <w:szCs w:val="36"/>
        </w:rPr>
        <w:t xml:space="preserve">Discussion </w:t>
      </w:r>
    </w:p>
    <w:p w14:paraId="4EB4FD6B" w14:textId="77777777" w:rsidR="00CA2320" w:rsidRDefault="00713283">
      <w:pPr>
        <w:widowControl w:val="0"/>
        <w:pBdr>
          <w:top w:val="nil"/>
          <w:left w:val="nil"/>
          <w:bottom w:val="nil"/>
          <w:right w:val="nil"/>
          <w:between w:val="nil"/>
        </w:pBdr>
        <w:spacing w:before="1" w:line="229" w:lineRule="auto"/>
        <w:ind w:left="1696" w:right="761" w:firstLine="2"/>
        <w:rPr>
          <w:rFonts w:ascii="Times" w:eastAsia="Times" w:hAnsi="Times" w:cs="Times"/>
          <w:color w:val="000000"/>
          <w:sz w:val="24"/>
          <w:szCs w:val="24"/>
        </w:rPr>
      </w:pPr>
      <w:r>
        <w:rPr>
          <w:rFonts w:ascii="Times" w:eastAsia="Times" w:hAnsi="Times" w:cs="Times"/>
          <w:sz w:val="24"/>
          <w:szCs w:val="24"/>
        </w:rPr>
        <w:br/>
      </w:r>
      <w:r>
        <w:rPr>
          <w:rFonts w:ascii="Times" w:eastAsia="Times" w:hAnsi="Times" w:cs="Times"/>
          <w:color w:val="000000"/>
          <w:sz w:val="24"/>
          <w:szCs w:val="24"/>
        </w:rPr>
        <w:t xml:space="preserve">This policy MCDA exercise extends the earlier work of Nutt et al (2007; 2010) </w:t>
      </w:r>
      <w:proofErr w:type="gramStart"/>
      <w:r>
        <w:rPr>
          <w:rFonts w:ascii="Times" w:eastAsia="Times" w:hAnsi="Times" w:cs="Times"/>
          <w:color w:val="000000"/>
          <w:sz w:val="24"/>
          <w:szCs w:val="24"/>
        </w:rPr>
        <w:t>which  used</w:t>
      </w:r>
      <w:proofErr w:type="gramEnd"/>
      <w:r>
        <w:rPr>
          <w:rFonts w:ascii="Times" w:eastAsia="Times" w:hAnsi="Times" w:cs="Times"/>
          <w:color w:val="000000"/>
          <w:sz w:val="24"/>
          <w:szCs w:val="24"/>
        </w:rPr>
        <w:t xml:space="preserve"> the MCDA approach to rank the harms of a </w:t>
      </w:r>
      <w:r>
        <w:rPr>
          <w:rFonts w:ascii="Times" w:eastAsia="Times" w:hAnsi="Times" w:cs="Times"/>
          <w:color w:val="000000"/>
          <w:sz w:val="24"/>
          <w:szCs w:val="24"/>
        </w:rPr>
        <w:t xml:space="preserve">broad range of drugs. In a </w:t>
      </w:r>
      <w:proofErr w:type="gramStart"/>
      <w:r>
        <w:rPr>
          <w:rFonts w:ascii="Times" w:eastAsia="Times" w:hAnsi="Times" w:cs="Times"/>
          <w:color w:val="000000"/>
          <w:sz w:val="24"/>
          <w:szCs w:val="24"/>
        </w:rPr>
        <w:t>2011  critique</w:t>
      </w:r>
      <w:proofErr w:type="gramEnd"/>
      <w:r>
        <w:rPr>
          <w:rFonts w:ascii="Times" w:eastAsia="Times" w:hAnsi="Times" w:cs="Times"/>
          <w:color w:val="000000"/>
          <w:sz w:val="24"/>
          <w:szCs w:val="24"/>
        </w:rPr>
        <w:t xml:space="preserve">, Rolles and Measham noted how the comparative harm ranking model in Nutt  et al (2010) was unable to fully capture and express how drug related social and  health harms are significantly shaped by the legal/policy </w:t>
      </w:r>
      <w:r>
        <w:rPr>
          <w:rFonts w:ascii="Times" w:eastAsia="Times" w:hAnsi="Times" w:cs="Times"/>
          <w:color w:val="000000"/>
          <w:sz w:val="24"/>
          <w:szCs w:val="24"/>
        </w:rPr>
        <w:t xml:space="preserve">environment (for example, it  somewhat inconsistently ranked illegal street heroin against pharmaceutical  prescribed methadone). Rolles et al further noted that heroin provided perhaps </w:t>
      </w:r>
      <w:proofErr w:type="gramStart"/>
      <w:r>
        <w:rPr>
          <w:rFonts w:ascii="Times" w:eastAsia="Times" w:hAnsi="Times" w:cs="Times"/>
          <w:color w:val="000000"/>
          <w:sz w:val="24"/>
          <w:szCs w:val="24"/>
        </w:rPr>
        <w:t>the  starkest</w:t>
      </w:r>
      <w:proofErr w:type="gramEnd"/>
      <w:r>
        <w:rPr>
          <w:rFonts w:ascii="Times" w:eastAsia="Times" w:hAnsi="Times" w:cs="Times"/>
          <w:color w:val="000000"/>
          <w:sz w:val="24"/>
          <w:szCs w:val="24"/>
        </w:rPr>
        <w:t xml:space="preserve"> example of the need to disaggregate harms related to pha</w:t>
      </w:r>
      <w:r>
        <w:rPr>
          <w:rFonts w:ascii="Times" w:eastAsia="Times" w:hAnsi="Times" w:cs="Times"/>
          <w:color w:val="000000"/>
          <w:sz w:val="24"/>
          <w:szCs w:val="24"/>
        </w:rPr>
        <w:t xml:space="preserve">rmacology, and  wider harms related to the legal/policy environment: </w:t>
      </w:r>
    </w:p>
    <w:p w14:paraId="106AC7D1" w14:textId="77777777" w:rsidR="00CA2320" w:rsidRDefault="00713283">
      <w:pPr>
        <w:widowControl w:val="0"/>
        <w:pBdr>
          <w:top w:val="nil"/>
          <w:left w:val="nil"/>
          <w:bottom w:val="nil"/>
          <w:right w:val="nil"/>
          <w:between w:val="nil"/>
        </w:pBdr>
        <w:spacing w:before="281" w:line="229" w:lineRule="auto"/>
        <w:ind w:left="1699" w:right="845" w:firstLine="41"/>
        <w:rPr>
          <w:rFonts w:ascii="Times" w:eastAsia="Times" w:hAnsi="Times" w:cs="Times"/>
          <w:color w:val="000000"/>
          <w:sz w:val="24"/>
          <w:szCs w:val="24"/>
        </w:rPr>
      </w:pPr>
      <w:r>
        <w:rPr>
          <w:rFonts w:ascii="Times" w:eastAsia="Times" w:hAnsi="Times" w:cs="Times"/>
          <w:i/>
          <w:color w:val="000000"/>
          <w:sz w:val="24"/>
          <w:szCs w:val="24"/>
        </w:rPr>
        <w:t xml:space="preserve">“Consider, for example, two injecting heroin users; the first is committing </w:t>
      </w:r>
      <w:proofErr w:type="gramStart"/>
      <w:r>
        <w:rPr>
          <w:rFonts w:ascii="Times" w:eastAsia="Times" w:hAnsi="Times" w:cs="Times"/>
          <w:i/>
          <w:color w:val="000000"/>
          <w:sz w:val="24"/>
          <w:szCs w:val="24"/>
        </w:rPr>
        <w:t>high  volumes</w:t>
      </w:r>
      <w:proofErr w:type="gramEnd"/>
      <w:r>
        <w:rPr>
          <w:rFonts w:ascii="Times" w:eastAsia="Times" w:hAnsi="Times" w:cs="Times"/>
          <w:i/>
          <w:color w:val="000000"/>
          <w:sz w:val="24"/>
          <w:szCs w:val="24"/>
        </w:rPr>
        <w:t xml:space="preserve"> of crime to fund their illicit habit, using ‘street’ heroin (of unknown strength  and purity) wi</w:t>
      </w:r>
      <w:r>
        <w:rPr>
          <w:rFonts w:ascii="Times" w:eastAsia="Times" w:hAnsi="Times" w:cs="Times"/>
          <w:i/>
          <w:color w:val="000000"/>
          <w:sz w:val="24"/>
          <w:szCs w:val="24"/>
        </w:rPr>
        <w:t xml:space="preserve">th dirty, possibly shared needles in unsupervised and unsanitary  environments. Their supplies are purchased from a criminal dealing/trafficking </w:t>
      </w:r>
    </w:p>
    <w:p w14:paraId="6B805D83" w14:textId="77777777" w:rsidR="00CA2320" w:rsidRDefault="00713283">
      <w:pPr>
        <w:widowControl w:val="0"/>
        <w:pBdr>
          <w:top w:val="nil"/>
          <w:left w:val="nil"/>
          <w:bottom w:val="nil"/>
          <w:right w:val="nil"/>
          <w:between w:val="nil"/>
        </w:pBdr>
        <w:spacing w:line="229" w:lineRule="auto"/>
        <w:ind w:left="1677" w:right="749" w:firstLine="29"/>
        <w:rPr>
          <w:rFonts w:ascii="Times" w:eastAsia="Times" w:hAnsi="Times" w:cs="Times"/>
          <w:i/>
          <w:color w:val="000000"/>
          <w:sz w:val="24"/>
          <w:szCs w:val="24"/>
        </w:rPr>
      </w:pPr>
      <w:r>
        <w:rPr>
          <w:rFonts w:ascii="Times" w:eastAsia="Times" w:hAnsi="Times" w:cs="Times"/>
          <w:i/>
          <w:color w:val="000000"/>
          <w:sz w:val="24"/>
          <w:szCs w:val="24"/>
        </w:rPr>
        <w:t xml:space="preserve">infrastructure that can be traced back to illicit production in Afghanistan. They </w:t>
      </w:r>
      <w:proofErr w:type="gramStart"/>
      <w:r>
        <w:rPr>
          <w:rFonts w:ascii="Times" w:eastAsia="Times" w:hAnsi="Times" w:cs="Times"/>
          <w:i/>
          <w:color w:val="000000"/>
          <w:sz w:val="24"/>
          <w:szCs w:val="24"/>
        </w:rPr>
        <w:t>have  HIV</w:t>
      </w:r>
      <w:proofErr w:type="gramEnd"/>
      <w:r>
        <w:rPr>
          <w:rFonts w:ascii="Times" w:eastAsia="Times" w:hAnsi="Times" w:cs="Times"/>
          <w:i/>
          <w:color w:val="000000"/>
          <w:sz w:val="24"/>
          <w:szCs w:val="24"/>
        </w:rPr>
        <w:t xml:space="preserve">, Hepatitis C and a long, and growing, criminal record. The second uses </w:t>
      </w:r>
      <w:proofErr w:type="gramStart"/>
      <w:r>
        <w:rPr>
          <w:rFonts w:ascii="Times" w:eastAsia="Times" w:hAnsi="Times" w:cs="Times"/>
          <w:i/>
          <w:color w:val="000000"/>
          <w:sz w:val="24"/>
          <w:szCs w:val="24"/>
        </w:rPr>
        <w:t>legally  manufactured</w:t>
      </w:r>
      <w:proofErr w:type="gramEnd"/>
      <w:r>
        <w:rPr>
          <w:rFonts w:ascii="Times" w:eastAsia="Times" w:hAnsi="Times" w:cs="Times"/>
          <w:i/>
          <w:color w:val="000000"/>
          <w:sz w:val="24"/>
          <w:szCs w:val="24"/>
        </w:rPr>
        <w:t xml:space="preserve"> and prescribed pharmaceutical diamorphine of known strength and  purity</w:t>
      </w:r>
      <w:r>
        <w:rPr>
          <w:rFonts w:ascii="Times" w:eastAsia="Times" w:hAnsi="Times" w:cs="Times"/>
          <w:i/>
          <w:color w:val="000000"/>
          <w:sz w:val="24"/>
          <w:szCs w:val="24"/>
        </w:rPr>
        <w:t xml:space="preserve"> in a supervised, clinical setting, with clean injecting paraphernalia. There is </w:t>
      </w:r>
      <w:proofErr w:type="gramStart"/>
      <w:r>
        <w:rPr>
          <w:rFonts w:ascii="Times" w:eastAsia="Times" w:hAnsi="Times" w:cs="Times"/>
          <w:i/>
          <w:color w:val="000000"/>
          <w:sz w:val="24"/>
          <w:szCs w:val="24"/>
        </w:rPr>
        <w:t>no  link</w:t>
      </w:r>
      <w:proofErr w:type="gramEnd"/>
      <w:r>
        <w:rPr>
          <w:rFonts w:ascii="Times" w:eastAsia="Times" w:hAnsi="Times" w:cs="Times"/>
          <w:i/>
          <w:color w:val="000000"/>
          <w:sz w:val="24"/>
          <w:szCs w:val="24"/>
        </w:rPr>
        <w:t xml:space="preserve"> to failing drug producer states; no criminality, profiteering or violence involved  at any stage of the drug’s production, supply or use; no blood borne disease  tran</w:t>
      </w:r>
      <w:r>
        <w:rPr>
          <w:rFonts w:ascii="Times" w:eastAsia="Times" w:hAnsi="Times" w:cs="Times"/>
          <w:i/>
          <w:color w:val="000000"/>
          <w:sz w:val="24"/>
          <w:szCs w:val="24"/>
        </w:rPr>
        <w:t xml:space="preserve">smission risk; a near zero risk of overdose death; and no offending to fund use.”  </w:t>
      </w:r>
    </w:p>
    <w:p w14:paraId="36905A75" w14:textId="77777777" w:rsidR="00CA2320" w:rsidRDefault="00713283">
      <w:pPr>
        <w:widowControl w:val="0"/>
        <w:pBdr>
          <w:top w:val="nil"/>
          <w:left w:val="nil"/>
          <w:bottom w:val="nil"/>
          <w:right w:val="nil"/>
          <w:between w:val="nil"/>
        </w:pBdr>
        <w:spacing w:before="281" w:line="229" w:lineRule="auto"/>
        <w:ind w:left="1695" w:right="890" w:firstLine="3"/>
        <w:rPr>
          <w:rFonts w:ascii="Times" w:eastAsia="Times" w:hAnsi="Times" w:cs="Times"/>
          <w:color w:val="000000"/>
          <w:sz w:val="24"/>
          <w:szCs w:val="24"/>
        </w:rPr>
      </w:pPr>
      <w:r>
        <w:rPr>
          <w:rFonts w:ascii="Times" w:eastAsia="Times" w:hAnsi="Times" w:cs="Times"/>
          <w:color w:val="000000"/>
          <w:sz w:val="24"/>
          <w:szCs w:val="24"/>
        </w:rPr>
        <w:t xml:space="preserve">This MCDA of alternative policy regimes reflects an evolution with regards to </w:t>
      </w:r>
      <w:proofErr w:type="gramStart"/>
      <w:r>
        <w:rPr>
          <w:rFonts w:ascii="Times" w:eastAsia="Times" w:hAnsi="Times" w:cs="Times"/>
          <w:color w:val="000000"/>
          <w:sz w:val="24"/>
          <w:szCs w:val="24"/>
        </w:rPr>
        <w:t>the  detail</w:t>
      </w:r>
      <w:proofErr w:type="gramEnd"/>
      <w:r>
        <w:rPr>
          <w:rFonts w:ascii="Times" w:eastAsia="Times" w:hAnsi="Times" w:cs="Times"/>
          <w:color w:val="000000"/>
          <w:sz w:val="24"/>
          <w:szCs w:val="24"/>
        </w:rPr>
        <w:t xml:space="preserve"> and sophistication of the outcome criteria assessed. Whereas the Nutt et </w:t>
      </w:r>
      <w:proofErr w:type="gramStart"/>
      <w:r>
        <w:rPr>
          <w:rFonts w:ascii="Times" w:eastAsia="Times" w:hAnsi="Times" w:cs="Times"/>
          <w:color w:val="000000"/>
          <w:sz w:val="24"/>
          <w:szCs w:val="24"/>
        </w:rPr>
        <w:t>al  (</w:t>
      </w:r>
      <w:proofErr w:type="gramEnd"/>
      <w:r>
        <w:rPr>
          <w:rFonts w:ascii="Times" w:eastAsia="Times" w:hAnsi="Times" w:cs="Times"/>
          <w:color w:val="000000"/>
          <w:sz w:val="24"/>
          <w:szCs w:val="24"/>
        </w:rPr>
        <w:t>2007</w:t>
      </w:r>
      <w:r>
        <w:rPr>
          <w:rFonts w:ascii="Times" w:eastAsia="Times" w:hAnsi="Times" w:cs="Times"/>
          <w:color w:val="000000"/>
          <w:sz w:val="24"/>
          <w:szCs w:val="24"/>
        </w:rPr>
        <w:t xml:space="preserve">) paper considered 9 broadly medical outcomes, the Nutt et al (2010) paper  identified 16 outcomes relating to the harmful consequences of drug use. This </w:t>
      </w:r>
      <w:proofErr w:type="gramStart"/>
      <w:r>
        <w:rPr>
          <w:rFonts w:ascii="Times" w:eastAsia="Times" w:hAnsi="Times" w:cs="Times"/>
          <w:color w:val="000000"/>
          <w:sz w:val="24"/>
          <w:szCs w:val="24"/>
        </w:rPr>
        <w:t>more  recent</w:t>
      </w:r>
      <w:proofErr w:type="gramEnd"/>
      <w:r>
        <w:rPr>
          <w:rFonts w:ascii="Times" w:eastAsia="Times" w:hAnsi="Times" w:cs="Times"/>
          <w:color w:val="000000"/>
          <w:sz w:val="24"/>
          <w:szCs w:val="24"/>
        </w:rPr>
        <w:t xml:space="preserve"> workshop identified 27 outcome criteria covering both positive and negative  outcomes of </w:t>
      </w:r>
      <w:r>
        <w:rPr>
          <w:rFonts w:ascii="Times" w:eastAsia="Times" w:hAnsi="Times" w:cs="Times"/>
          <w:color w:val="000000"/>
          <w:sz w:val="24"/>
          <w:szCs w:val="24"/>
        </w:rPr>
        <w:t xml:space="preserve">drug use as well as the costs and consequences of policies on broader  outcomes (political processes, illegal markets, community well-being, and the  economic and tax revenue benefits of drug markets). The analysis </w:t>
      </w:r>
      <w:proofErr w:type="gramStart"/>
      <w:r>
        <w:rPr>
          <w:rFonts w:ascii="Times" w:eastAsia="Times" w:hAnsi="Times" w:cs="Times"/>
          <w:color w:val="000000"/>
          <w:sz w:val="24"/>
          <w:szCs w:val="24"/>
        </w:rPr>
        <w:t>of  benefits</w:t>
      </w:r>
      <w:proofErr w:type="gramEnd"/>
      <w:r>
        <w:rPr>
          <w:rFonts w:ascii="Times" w:eastAsia="Times" w:hAnsi="Times" w:cs="Times"/>
          <w:color w:val="000000"/>
          <w:sz w:val="24"/>
          <w:szCs w:val="24"/>
        </w:rPr>
        <w:t>/pleasures alongside costs/ha</w:t>
      </w:r>
      <w:r>
        <w:rPr>
          <w:rFonts w:ascii="Times" w:eastAsia="Times" w:hAnsi="Times" w:cs="Times"/>
          <w:color w:val="000000"/>
          <w:sz w:val="24"/>
          <w:szCs w:val="24"/>
        </w:rPr>
        <w:t>rms is a vital element of any comprehensive  policy analysis but has often been considered taboo in the debate on currently illegal  drugs (even if less so for alcohol and tobacco) and has only</w:t>
      </w:r>
      <w:r>
        <w:rPr>
          <w:rFonts w:ascii="Times" w:eastAsia="Times" w:hAnsi="Times" w:cs="Times"/>
          <w:sz w:val="24"/>
          <w:szCs w:val="24"/>
        </w:rPr>
        <w:t xml:space="preserve"> recently been considered  by academics</w:t>
      </w:r>
      <w:r>
        <w:rPr>
          <w:rFonts w:ascii="Times" w:eastAsia="Times" w:hAnsi="Times" w:cs="Times"/>
          <w:color w:val="000000"/>
          <w:sz w:val="24"/>
          <w:szCs w:val="24"/>
        </w:rPr>
        <w:t xml:space="preserve"> </w:t>
      </w:r>
      <w:r>
        <w:rPr>
          <w:rFonts w:ascii="Times" w:eastAsia="Times" w:hAnsi="Times" w:cs="Times"/>
          <w:color w:val="000000"/>
          <w:sz w:val="24"/>
          <w:szCs w:val="24"/>
        </w:rPr>
        <w:t xml:space="preserve">(Duff, 2008). This has </w:t>
      </w:r>
      <w:r>
        <w:rPr>
          <w:rFonts w:ascii="Times" w:eastAsia="Times" w:hAnsi="Times" w:cs="Times"/>
          <w:color w:val="000000"/>
          <w:sz w:val="24"/>
          <w:szCs w:val="24"/>
        </w:rPr>
        <w:t xml:space="preserve">arguably led to historically skewed </w:t>
      </w:r>
      <w:proofErr w:type="gramStart"/>
      <w:r>
        <w:rPr>
          <w:rFonts w:ascii="Times" w:eastAsia="Times" w:hAnsi="Times" w:cs="Times"/>
          <w:color w:val="000000"/>
          <w:sz w:val="24"/>
          <w:szCs w:val="24"/>
        </w:rPr>
        <w:t>policy  making</w:t>
      </w:r>
      <w:proofErr w:type="gramEnd"/>
      <w:r>
        <w:rPr>
          <w:rFonts w:ascii="Times" w:eastAsia="Times" w:hAnsi="Times" w:cs="Times"/>
          <w:color w:val="000000"/>
          <w:sz w:val="24"/>
          <w:szCs w:val="24"/>
        </w:rPr>
        <w:t xml:space="preserve"> towards a narrow focus on prevalence of use and drug-related deaths as the  dominant metrics, and reductions in these as the dominant policy goals. </w:t>
      </w:r>
    </w:p>
    <w:p w14:paraId="5AEB1BAF" w14:textId="77777777" w:rsidR="00CA2320" w:rsidRDefault="00713283">
      <w:pPr>
        <w:widowControl w:val="0"/>
        <w:pBdr>
          <w:top w:val="nil"/>
          <w:left w:val="nil"/>
          <w:bottom w:val="nil"/>
          <w:right w:val="nil"/>
          <w:between w:val="nil"/>
        </w:pBdr>
        <w:spacing w:before="281" w:line="229" w:lineRule="auto"/>
        <w:ind w:left="1696" w:right="892" w:firstLine="2"/>
        <w:rPr>
          <w:rFonts w:ascii="Times" w:eastAsia="Times" w:hAnsi="Times" w:cs="Times"/>
          <w:color w:val="000000"/>
          <w:sz w:val="24"/>
          <w:szCs w:val="24"/>
        </w:rPr>
      </w:pPr>
      <w:r>
        <w:rPr>
          <w:rFonts w:ascii="Times" w:eastAsia="Times" w:hAnsi="Times" w:cs="Times"/>
          <w:color w:val="000000"/>
          <w:sz w:val="24"/>
          <w:szCs w:val="24"/>
        </w:rPr>
        <w:t>The MCDA is a useful tool but its limitations (as well a</w:t>
      </w:r>
      <w:r>
        <w:rPr>
          <w:rFonts w:ascii="Times" w:eastAsia="Times" w:hAnsi="Times" w:cs="Times"/>
          <w:color w:val="000000"/>
          <w:sz w:val="24"/>
          <w:szCs w:val="24"/>
        </w:rPr>
        <w:t xml:space="preserve">s the limits of the </w:t>
      </w:r>
      <w:proofErr w:type="gramStart"/>
      <w:r>
        <w:rPr>
          <w:rFonts w:ascii="Times" w:eastAsia="Times" w:hAnsi="Times" w:cs="Times"/>
          <w:color w:val="000000"/>
          <w:sz w:val="24"/>
          <w:szCs w:val="24"/>
        </w:rPr>
        <w:t>decision  conference</w:t>
      </w:r>
      <w:proofErr w:type="gramEnd"/>
      <w:r>
        <w:rPr>
          <w:rFonts w:ascii="Times" w:eastAsia="Times" w:hAnsi="Times" w:cs="Times"/>
          <w:color w:val="000000"/>
          <w:sz w:val="24"/>
          <w:szCs w:val="24"/>
        </w:rPr>
        <w:t xml:space="preserve"> expertise) need to be acknowledged when considering the results. </w:t>
      </w:r>
      <w:proofErr w:type="gramStart"/>
      <w:r>
        <w:rPr>
          <w:rFonts w:ascii="Times" w:eastAsia="Times" w:hAnsi="Times" w:cs="Times"/>
          <w:color w:val="2E2E2E"/>
          <w:sz w:val="24"/>
          <w:szCs w:val="24"/>
        </w:rPr>
        <w:t>The  process</w:t>
      </w:r>
      <w:proofErr w:type="gramEnd"/>
      <w:r>
        <w:rPr>
          <w:rFonts w:ascii="Times" w:eastAsia="Times" w:hAnsi="Times" w:cs="Times"/>
          <w:color w:val="2E2E2E"/>
          <w:sz w:val="24"/>
          <w:szCs w:val="24"/>
        </w:rPr>
        <w:t xml:space="preserve"> allowed the participants to deconstruct complex drug policy issues into a set  of simpler judgements that led to consensus about the resu</w:t>
      </w:r>
      <w:r>
        <w:rPr>
          <w:rFonts w:ascii="Times" w:eastAsia="Times" w:hAnsi="Times" w:cs="Times"/>
          <w:color w:val="2E2E2E"/>
          <w:sz w:val="24"/>
          <w:szCs w:val="24"/>
        </w:rPr>
        <w:t xml:space="preserve">lts but </w:t>
      </w:r>
      <w:r>
        <w:rPr>
          <w:rFonts w:ascii="Times" w:eastAsia="Times" w:hAnsi="Times" w:cs="Times"/>
          <w:color w:val="000000"/>
          <w:sz w:val="24"/>
          <w:szCs w:val="24"/>
        </w:rPr>
        <w:t xml:space="preserve">there is inevitably  more complexity and nuance to policy and decision making than the MCDA model can incorporate. It is important to be clear about the generalisations implicit in </w:t>
      </w:r>
      <w:proofErr w:type="gramStart"/>
      <w:r>
        <w:rPr>
          <w:rFonts w:ascii="Times" w:eastAsia="Times" w:hAnsi="Times" w:cs="Times"/>
          <w:color w:val="000000"/>
          <w:sz w:val="24"/>
          <w:szCs w:val="24"/>
        </w:rPr>
        <w:t>both  the</w:t>
      </w:r>
      <w:proofErr w:type="gramEnd"/>
      <w:r>
        <w:rPr>
          <w:rFonts w:ascii="Times" w:eastAsia="Times" w:hAnsi="Times" w:cs="Times"/>
          <w:color w:val="000000"/>
          <w:sz w:val="24"/>
          <w:szCs w:val="24"/>
        </w:rPr>
        <w:t xml:space="preserve"> chosen policy models and outcome criteria and note how th</w:t>
      </w:r>
      <w:r>
        <w:rPr>
          <w:rFonts w:ascii="Times" w:eastAsia="Times" w:hAnsi="Times" w:cs="Times"/>
          <w:color w:val="000000"/>
          <w:sz w:val="24"/>
          <w:szCs w:val="24"/>
        </w:rPr>
        <w:t>ese generalizations may overlook some important questions (many of these points were noted during the four day conference itself). Different drug policies operate within wider health and social policy environments that have profound impacts on drug using b</w:t>
      </w:r>
      <w:r>
        <w:rPr>
          <w:rFonts w:ascii="Times" w:eastAsia="Times" w:hAnsi="Times" w:cs="Times"/>
          <w:color w:val="000000"/>
          <w:sz w:val="24"/>
          <w:szCs w:val="24"/>
        </w:rPr>
        <w:t xml:space="preserve">ehaviours, drug markets, society’s responses to them, and their impacts.  Variables relating to social deprivation, unemployment, inequality, as well as </w:t>
      </w:r>
      <w:proofErr w:type="gramStart"/>
      <w:r>
        <w:rPr>
          <w:rFonts w:ascii="Times" w:eastAsia="Times" w:hAnsi="Times" w:cs="Times"/>
          <w:color w:val="000000"/>
          <w:sz w:val="24"/>
          <w:szCs w:val="24"/>
        </w:rPr>
        <w:t>the  quality</w:t>
      </w:r>
      <w:proofErr w:type="gramEnd"/>
      <w:r>
        <w:rPr>
          <w:rFonts w:ascii="Times" w:eastAsia="Times" w:hAnsi="Times" w:cs="Times"/>
          <w:color w:val="000000"/>
          <w:sz w:val="24"/>
          <w:szCs w:val="24"/>
        </w:rPr>
        <w:t xml:space="preserve"> of mental health and social care systems for vulnerable and marginalized  populations all </w:t>
      </w:r>
      <w:r>
        <w:rPr>
          <w:rFonts w:ascii="Times" w:eastAsia="Times" w:hAnsi="Times" w:cs="Times"/>
          <w:color w:val="000000"/>
          <w:sz w:val="24"/>
          <w:szCs w:val="24"/>
        </w:rPr>
        <w:t xml:space="preserve">significantly impact on patterns of drug use and related harms.  Effective responses to these wider challenges are crucial to addressing drug </w:t>
      </w:r>
      <w:proofErr w:type="gramStart"/>
      <w:r>
        <w:rPr>
          <w:rFonts w:ascii="Times" w:eastAsia="Times" w:hAnsi="Times" w:cs="Times"/>
          <w:color w:val="000000"/>
          <w:sz w:val="24"/>
          <w:szCs w:val="24"/>
        </w:rPr>
        <w:t>related  harms</w:t>
      </w:r>
      <w:proofErr w:type="gramEnd"/>
      <w:r>
        <w:rPr>
          <w:rFonts w:ascii="Times" w:eastAsia="Times" w:hAnsi="Times" w:cs="Times"/>
          <w:color w:val="000000"/>
          <w:sz w:val="24"/>
          <w:szCs w:val="24"/>
        </w:rPr>
        <w:t xml:space="preserve"> in the longer term. More directly, the extent of investment in </w:t>
      </w:r>
      <w:proofErr w:type="gramStart"/>
      <w:r>
        <w:rPr>
          <w:rFonts w:ascii="Times" w:eastAsia="Times" w:hAnsi="Times" w:cs="Times"/>
          <w:color w:val="000000"/>
          <w:sz w:val="24"/>
          <w:szCs w:val="24"/>
        </w:rPr>
        <w:t>targeted,  evidence</w:t>
      </w:r>
      <w:proofErr w:type="gramEnd"/>
      <w:r>
        <w:rPr>
          <w:rFonts w:ascii="Times" w:eastAsia="Times" w:hAnsi="Times" w:cs="Times"/>
          <w:color w:val="000000"/>
          <w:sz w:val="24"/>
          <w:szCs w:val="24"/>
        </w:rPr>
        <w:t>-based drug preve</w:t>
      </w:r>
      <w:r>
        <w:rPr>
          <w:rFonts w:ascii="Times" w:eastAsia="Times" w:hAnsi="Times" w:cs="Times"/>
          <w:color w:val="000000"/>
          <w:sz w:val="24"/>
          <w:szCs w:val="24"/>
        </w:rPr>
        <w:t xml:space="preserve">ntion, treatment, and harm reduction will also be an  important variable under any legal regime, as will be the nature of enforcement and  sentencing responses to illegal markets and use. Whilst these more granular </w:t>
      </w:r>
      <w:proofErr w:type="gramStart"/>
      <w:r>
        <w:rPr>
          <w:rFonts w:ascii="Times" w:eastAsia="Times" w:hAnsi="Times" w:cs="Times"/>
          <w:color w:val="000000"/>
          <w:sz w:val="24"/>
          <w:szCs w:val="24"/>
        </w:rPr>
        <w:t>questions  are</w:t>
      </w:r>
      <w:proofErr w:type="gramEnd"/>
      <w:r>
        <w:rPr>
          <w:rFonts w:ascii="Times" w:eastAsia="Times" w:hAnsi="Times" w:cs="Times"/>
          <w:color w:val="000000"/>
          <w:sz w:val="24"/>
          <w:szCs w:val="24"/>
        </w:rPr>
        <w:t xml:space="preserve"> not tackled directly, and </w:t>
      </w:r>
      <w:r>
        <w:rPr>
          <w:rFonts w:ascii="Times" w:eastAsia="Times" w:hAnsi="Times" w:cs="Times"/>
          <w:color w:val="000000"/>
          <w:sz w:val="24"/>
          <w:szCs w:val="24"/>
        </w:rPr>
        <w:t>they could lead to considerable variation within any one  of the four proposed policy models, they are at least implicit in the MCDA model’s  outcome criteria, in so far as the criteria broadly ask which policy models are likely to facilitate better or wor</w:t>
      </w:r>
      <w:r>
        <w:rPr>
          <w:rFonts w:ascii="Times" w:eastAsia="Times" w:hAnsi="Times" w:cs="Times"/>
          <w:color w:val="000000"/>
          <w:sz w:val="24"/>
          <w:szCs w:val="24"/>
        </w:rPr>
        <w:t xml:space="preserve">se outcomes in areas such as treatment access, social and family cohesion, and international security and development. </w:t>
      </w:r>
    </w:p>
    <w:p w14:paraId="0891F8F8" w14:textId="77777777" w:rsidR="00CA2320" w:rsidRDefault="00713283">
      <w:pPr>
        <w:widowControl w:val="0"/>
        <w:pBdr>
          <w:top w:val="nil"/>
          <w:left w:val="nil"/>
          <w:bottom w:val="nil"/>
          <w:right w:val="nil"/>
          <w:between w:val="nil"/>
        </w:pBdr>
        <w:spacing w:line="229" w:lineRule="auto"/>
        <w:ind w:left="1694" w:right="777" w:firstLine="4"/>
        <w:rPr>
          <w:rFonts w:ascii="Times" w:eastAsia="Times" w:hAnsi="Times" w:cs="Times"/>
          <w:color w:val="000000"/>
          <w:sz w:val="24"/>
          <w:szCs w:val="24"/>
        </w:rPr>
      </w:pPr>
      <w:r>
        <w:rPr>
          <w:rFonts w:ascii="Times" w:eastAsia="Times" w:hAnsi="Times" w:cs="Times"/>
          <w:sz w:val="24"/>
          <w:szCs w:val="24"/>
        </w:rPr>
        <w:br/>
      </w:r>
      <w:r>
        <w:rPr>
          <w:rFonts w:ascii="Times" w:eastAsia="Times" w:hAnsi="Times" w:cs="Times"/>
          <w:color w:val="000000"/>
          <w:sz w:val="24"/>
          <w:szCs w:val="24"/>
        </w:rPr>
        <w:t xml:space="preserve">Illustrating this, the decision conference participants vigorously discussed what </w:t>
      </w:r>
      <w:proofErr w:type="gramStart"/>
      <w:r>
        <w:rPr>
          <w:rFonts w:ascii="Times" w:eastAsia="Times" w:hAnsi="Times" w:cs="Times"/>
          <w:color w:val="000000"/>
          <w:sz w:val="24"/>
          <w:szCs w:val="24"/>
        </w:rPr>
        <w:t>a  “</w:t>
      </w:r>
      <w:proofErr w:type="gramEnd"/>
      <w:r>
        <w:rPr>
          <w:rFonts w:ascii="Times" w:eastAsia="Times" w:hAnsi="Times" w:cs="Times"/>
          <w:color w:val="000000"/>
          <w:sz w:val="24"/>
          <w:szCs w:val="24"/>
        </w:rPr>
        <w:t xml:space="preserve">State Control” policy for heroin would entail. The policy regimes were defined </w:t>
      </w:r>
      <w:proofErr w:type="gramStart"/>
      <w:r>
        <w:rPr>
          <w:rFonts w:ascii="Times" w:eastAsia="Times" w:hAnsi="Times" w:cs="Times"/>
          <w:color w:val="000000"/>
          <w:sz w:val="24"/>
          <w:szCs w:val="24"/>
        </w:rPr>
        <w:t>in  generic</w:t>
      </w:r>
      <w:proofErr w:type="gramEnd"/>
      <w:r>
        <w:rPr>
          <w:rFonts w:ascii="Times" w:eastAsia="Times" w:hAnsi="Times" w:cs="Times"/>
          <w:color w:val="000000"/>
          <w:sz w:val="24"/>
          <w:szCs w:val="24"/>
        </w:rPr>
        <w:t xml:space="preserve"> terms, and largely defined in terms of the type of regulatory tools available, </w:t>
      </w:r>
      <w:r>
        <w:rPr>
          <w:rFonts w:ascii="Times" w:eastAsia="Times" w:hAnsi="Times" w:cs="Times"/>
          <w:color w:val="000000"/>
          <w:sz w:val="24"/>
          <w:szCs w:val="24"/>
        </w:rPr>
        <w:t xml:space="preserve"> while the specific choice of which of these tools to employ and how they would differ  by the type of drug considered and the challenges it raised. For example, </w:t>
      </w:r>
      <w:proofErr w:type="gramStart"/>
      <w:r>
        <w:rPr>
          <w:rFonts w:ascii="Times" w:eastAsia="Times" w:hAnsi="Times" w:cs="Times"/>
          <w:color w:val="000000"/>
          <w:sz w:val="24"/>
          <w:szCs w:val="24"/>
        </w:rPr>
        <w:t>Heroin  Assisted</w:t>
      </w:r>
      <w:proofErr w:type="gramEnd"/>
      <w:r>
        <w:rPr>
          <w:rFonts w:ascii="Times" w:eastAsia="Times" w:hAnsi="Times" w:cs="Times"/>
          <w:color w:val="000000"/>
          <w:sz w:val="24"/>
          <w:szCs w:val="24"/>
        </w:rPr>
        <w:t xml:space="preserve"> Therapy (HAT) has been successfully used in multiple jurisdictions, notably  </w:t>
      </w:r>
      <w:r>
        <w:rPr>
          <w:rFonts w:ascii="Times" w:eastAsia="Times" w:hAnsi="Times" w:cs="Times"/>
          <w:color w:val="000000"/>
          <w:sz w:val="24"/>
          <w:szCs w:val="24"/>
        </w:rPr>
        <w:t>Switzerland (</w:t>
      </w:r>
      <w:proofErr w:type="spellStart"/>
      <w:r>
        <w:rPr>
          <w:rFonts w:ascii="Times" w:eastAsia="Times" w:hAnsi="Times" w:cs="Times"/>
          <w:color w:val="000000"/>
          <w:sz w:val="24"/>
          <w:szCs w:val="24"/>
        </w:rPr>
        <w:t>Csete</w:t>
      </w:r>
      <w:proofErr w:type="spellEnd"/>
      <w:r>
        <w:rPr>
          <w:rFonts w:ascii="Times" w:eastAsia="Times" w:hAnsi="Times" w:cs="Times"/>
          <w:color w:val="000000"/>
          <w:sz w:val="24"/>
          <w:szCs w:val="24"/>
        </w:rPr>
        <w:t xml:space="preserve">, 2013), and is supported by a growing evidence base of controlled  studies (Strang et al., 2015). While it was acknowledged that HAT represents a </w:t>
      </w:r>
      <w:proofErr w:type="gramStart"/>
      <w:r>
        <w:rPr>
          <w:rFonts w:ascii="Times" w:eastAsia="Times" w:hAnsi="Times" w:cs="Times"/>
          <w:color w:val="000000"/>
          <w:sz w:val="24"/>
          <w:szCs w:val="24"/>
        </w:rPr>
        <w:t>form  of</w:t>
      </w:r>
      <w:proofErr w:type="gramEnd"/>
      <w:r>
        <w:rPr>
          <w:rFonts w:ascii="Times" w:eastAsia="Times" w:hAnsi="Times" w:cs="Times"/>
          <w:color w:val="000000"/>
          <w:sz w:val="24"/>
          <w:szCs w:val="24"/>
        </w:rPr>
        <w:t xml:space="preserve"> state-regulated supply of heroin, the fact that it takes place within a medical  t</w:t>
      </w:r>
      <w:r>
        <w:rPr>
          <w:rFonts w:ascii="Times" w:eastAsia="Times" w:hAnsi="Times" w:cs="Times"/>
          <w:color w:val="000000"/>
          <w:sz w:val="24"/>
          <w:szCs w:val="24"/>
        </w:rPr>
        <w:t xml:space="preserve">reatment model with strict access criteria (long term users who have failed in other  forms of treatment) marks it out as distinct from the forms of existing state controlled  supply considered for the parallel exercises regarding alcohol and cannabis. </w:t>
      </w:r>
      <w:proofErr w:type="gramStart"/>
      <w:r>
        <w:rPr>
          <w:rFonts w:ascii="Times" w:eastAsia="Times" w:hAnsi="Times" w:cs="Times"/>
          <w:color w:val="000000"/>
          <w:sz w:val="24"/>
          <w:szCs w:val="24"/>
        </w:rPr>
        <w:t>Bec</w:t>
      </w:r>
      <w:r>
        <w:rPr>
          <w:rFonts w:ascii="Times" w:eastAsia="Times" w:hAnsi="Times" w:cs="Times"/>
          <w:color w:val="000000"/>
          <w:sz w:val="24"/>
          <w:szCs w:val="24"/>
        </w:rPr>
        <w:t>ause  HAT</w:t>
      </w:r>
      <w:proofErr w:type="gramEnd"/>
      <w:r>
        <w:rPr>
          <w:rFonts w:ascii="Times" w:eastAsia="Times" w:hAnsi="Times" w:cs="Times"/>
          <w:color w:val="000000"/>
          <w:sz w:val="24"/>
          <w:szCs w:val="24"/>
        </w:rPr>
        <w:t xml:space="preserve"> is categorized as a medical intervention (permitted under domestic and  international laws that only prohibit non-medical drug possession/use and supply),  this supply model is often viewed as outside of and distinct from the wider  legalisation/</w:t>
      </w:r>
      <w:r>
        <w:rPr>
          <w:rFonts w:ascii="Times" w:eastAsia="Times" w:hAnsi="Times" w:cs="Times"/>
          <w:color w:val="000000"/>
          <w:sz w:val="24"/>
          <w:szCs w:val="24"/>
        </w:rPr>
        <w:t xml:space="preserve">regulation debate. For a person using heroin, however, moving from </w:t>
      </w:r>
      <w:proofErr w:type="gramStart"/>
      <w:r>
        <w:rPr>
          <w:rFonts w:ascii="Times" w:eastAsia="Times" w:hAnsi="Times" w:cs="Times"/>
          <w:color w:val="000000"/>
          <w:sz w:val="24"/>
          <w:szCs w:val="24"/>
        </w:rPr>
        <w:t>an  illegal</w:t>
      </w:r>
      <w:proofErr w:type="gramEnd"/>
      <w:r>
        <w:rPr>
          <w:rFonts w:ascii="Times" w:eastAsia="Times" w:hAnsi="Times" w:cs="Times"/>
          <w:color w:val="000000"/>
          <w:sz w:val="24"/>
          <w:szCs w:val="24"/>
        </w:rPr>
        <w:t xml:space="preserve"> supply to a prescribed supply means that their access and use has effectively  been ‘legalised’. It has been estimated that if 10% of the heaviest problematic </w:t>
      </w:r>
      <w:proofErr w:type="gramStart"/>
      <w:r>
        <w:rPr>
          <w:rFonts w:ascii="Times" w:eastAsia="Times" w:hAnsi="Times" w:cs="Times"/>
          <w:color w:val="000000"/>
          <w:sz w:val="24"/>
          <w:szCs w:val="24"/>
        </w:rPr>
        <w:t>users  could</w:t>
      </w:r>
      <w:proofErr w:type="gramEnd"/>
      <w:r>
        <w:rPr>
          <w:rFonts w:ascii="Times" w:eastAsia="Times" w:hAnsi="Times" w:cs="Times"/>
          <w:color w:val="000000"/>
          <w:sz w:val="24"/>
          <w:szCs w:val="24"/>
        </w:rPr>
        <w:t xml:space="preserve"> be su</w:t>
      </w:r>
      <w:r>
        <w:rPr>
          <w:rFonts w:ascii="Times" w:eastAsia="Times" w:hAnsi="Times" w:cs="Times"/>
          <w:color w:val="000000"/>
          <w:sz w:val="24"/>
          <w:szCs w:val="24"/>
        </w:rPr>
        <w:t>pplied via HAT this could account for 50% of total heroin consumption  (</w:t>
      </w:r>
      <w:proofErr w:type="spellStart"/>
      <w:r>
        <w:rPr>
          <w:rFonts w:ascii="Times" w:eastAsia="Times" w:hAnsi="Times" w:cs="Times"/>
          <w:color w:val="000000"/>
          <w:sz w:val="24"/>
          <w:szCs w:val="24"/>
        </w:rPr>
        <w:t>Killias</w:t>
      </w:r>
      <w:proofErr w:type="spellEnd"/>
      <w:r>
        <w:rPr>
          <w:rFonts w:ascii="Times" w:eastAsia="Times" w:hAnsi="Times" w:cs="Times"/>
          <w:color w:val="000000"/>
          <w:sz w:val="24"/>
          <w:szCs w:val="24"/>
        </w:rPr>
        <w:t xml:space="preserve"> and Aebi, 2000), so it is not difficult to envisage a scenario in which a  majority of the formerly illegal non-medical market would be “legally regulated”  under such a model.</w:t>
      </w:r>
      <w:r>
        <w:rPr>
          <w:rFonts w:ascii="Times" w:eastAsia="Times" w:hAnsi="Times" w:cs="Times"/>
          <w:color w:val="000000"/>
          <w:sz w:val="24"/>
          <w:szCs w:val="24"/>
        </w:rPr>
        <w:t xml:space="preserve">  </w:t>
      </w:r>
    </w:p>
    <w:p w14:paraId="63090740" w14:textId="77777777" w:rsidR="00CA2320" w:rsidRDefault="00713283">
      <w:pPr>
        <w:widowControl w:val="0"/>
        <w:pBdr>
          <w:top w:val="nil"/>
          <w:left w:val="nil"/>
          <w:bottom w:val="nil"/>
          <w:right w:val="nil"/>
          <w:between w:val="nil"/>
        </w:pBdr>
        <w:spacing w:before="281" w:line="229" w:lineRule="auto"/>
        <w:ind w:left="1695" w:right="789" w:firstLine="3"/>
        <w:rPr>
          <w:rFonts w:ascii="Times" w:eastAsia="Times" w:hAnsi="Times" w:cs="Times"/>
          <w:color w:val="000000"/>
          <w:sz w:val="24"/>
          <w:szCs w:val="24"/>
        </w:rPr>
      </w:pPr>
      <w:r>
        <w:rPr>
          <w:rFonts w:ascii="Times" w:eastAsia="Times" w:hAnsi="Times" w:cs="Times"/>
          <w:color w:val="000000"/>
          <w:sz w:val="24"/>
          <w:szCs w:val="24"/>
        </w:rPr>
        <w:t xml:space="preserve">There has only been one limited experiment with lower threshold access to </w:t>
      </w:r>
      <w:proofErr w:type="gramStart"/>
      <w:r>
        <w:rPr>
          <w:rFonts w:ascii="Times" w:eastAsia="Times" w:hAnsi="Times" w:cs="Times"/>
          <w:color w:val="000000"/>
          <w:sz w:val="24"/>
          <w:szCs w:val="24"/>
        </w:rPr>
        <w:t>medically  prescribed</w:t>
      </w:r>
      <w:proofErr w:type="gramEnd"/>
      <w:r>
        <w:rPr>
          <w:rFonts w:ascii="Times" w:eastAsia="Times" w:hAnsi="Times" w:cs="Times"/>
          <w:color w:val="000000"/>
          <w:sz w:val="24"/>
          <w:szCs w:val="24"/>
        </w:rPr>
        <w:t xml:space="preserve"> heroin (</w:t>
      </w:r>
      <w:proofErr w:type="spellStart"/>
      <w:r>
        <w:rPr>
          <w:rFonts w:ascii="Times" w:eastAsia="Times" w:hAnsi="Times" w:cs="Times"/>
          <w:color w:val="000000"/>
          <w:sz w:val="24"/>
          <w:szCs w:val="24"/>
        </w:rPr>
        <w:t>Haasen</w:t>
      </w:r>
      <w:proofErr w:type="spellEnd"/>
      <w:r>
        <w:rPr>
          <w:rFonts w:ascii="Times" w:eastAsia="Times" w:hAnsi="Times" w:cs="Times"/>
          <w:color w:val="000000"/>
          <w:sz w:val="24"/>
          <w:szCs w:val="24"/>
        </w:rPr>
        <w:t xml:space="preserve"> et al., 2010). Other models of prescribing heroin in </w:t>
      </w:r>
      <w:proofErr w:type="gramStart"/>
      <w:r>
        <w:rPr>
          <w:rFonts w:ascii="Times" w:eastAsia="Times" w:hAnsi="Times" w:cs="Times"/>
          <w:color w:val="000000"/>
          <w:sz w:val="24"/>
          <w:szCs w:val="24"/>
        </w:rPr>
        <w:t>safer  non</w:t>
      </w:r>
      <w:proofErr w:type="gramEnd"/>
      <w:r>
        <w:rPr>
          <w:rFonts w:ascii="Times" w:eastAsia="Times" w:hAnsi="Times" w:cs="Times"/>
          <w:color w:val="000000"/>
          <w:sz w:val="24"/>
          <w:szCs w:val="24"/>
        </w:rPr>
        <w:t>-injectable forms to facilitate so-called ‘route transitions’, moving from inje</w:t>
      </w:r>
      <w:r>
        <w:rPr>
          <w:rFonts w:ascii="Times" w:eastAsia="Times" w:hAnsi="Times" w:cs="Times"/>
          <w:color w:val="000000"/>
          <w:sz w:val="24"/>
          <w:szCs w:val="24"/>
        </w:rPr>
        <w:t>cting  to safer methods of use such as powder for smoking or snorting, oral pill forms, or  smokable heroin ‘reefers’ , have received little attention from researchers, but would  be expected to reduce the risks facing individual users and may warrant furt</w:t>
      </w:r>
      <w:r>
        <w:rPr>
          <w:rFonts w:ascii="Times" w:eastAsia="Times" w:hAnsi="Times" w:cs="Times"/>
          <w:color w:val="000000"/>
          <w:sz w:val="24"/>
          <w:szCs w:val="24"/>
        </w:rPr>
        <w:t xml:space="preserve">her  exploration. Similarly, a legal market could potentially shift demand towards lower risk opioids by providing licensed retailing of slow release oral pill form opioids </w:t>
      </w:r>
      <w:proofErr w:type="gramStart"/>
      <w:r>
        <w:rPr>
          <w:rFonts w:ascii="Times" w:eastAsia="Times" w:hAnsi="Times" w:cs="Times"/>
          <w:color w:val="000000"/>
          <w:sz w:val="24"/>
          <w:szCs w:val="24"/>
        </w:rPr>
        <w:t>or  licensing</w:t>
      </w:r>
      <w:proofErr w:type="gramEnd"/>
      <w:r>
        <w:rPr>
          <w:rFonts w:ascii="Times" w:eastAsia="Times" w:hAnsi="Times" w:cs="Times"/>
          <w:color w:val="000000"/>
          <w:sz w:val="24"/>
          <w:szCs w:val="24"/>
        </w:rPr>
        <w:t xml:space="preserve"> a modern form of the ‘opium den’ where members could consume in  supe</w:t>
      </w:r>
      <w:r>
        <w:rPr>
          <w:rFonts w:ascii="Times" w:eastAsia="Times" w:hAnsi="Times" w:cs="Times"/>
          <w:color w:val="000000"/>
          <w:sz w:val="24"/>
          <w:szCs w:val="24"/>
        </w:rPr>
        <w:t xml:space="preserve">rvised, non-commercial premises (Rolles, 2009). The goal of such </w:t>
      </w:r>
      <w:proofErr w:type="gramStart"/>
      <w:r>
        <w:rPr>
          <w:rFonts w:ascii="Times" w:eastAsia="Times" w:hAnsi="Times" w:cs="Times"/>
          <w:color w:val="000000"/>
          <w:sz w:val="24"/>
          <w:szCs w:val="24"/>
        </w:rPr>
        <w:t>regulation  would</w:t>
      </w:r>
      <w:proofErr w:type="gramEnd"/>
      <w:r>
        <w:rPr>
          <w:rFonts w:ascii="Times" w:eastAsia="Times" w:hAnsi="Times" w:cs="Times"/>
          <w:color w:val="000000"/>
          <w:sz w:val="24"/>
          <w:szCs w:val="24"/>
        </w:rPr>
        <w:t xml:space="preserve"> be to shift opioid use away from higher risk products and use formats (e.g.  injection of heroin), reducing overall social harms and negative health impacts. </w:t>
      </w:r>
      <w:proofErr w:type="gramStart"/>
      <w:r>
        <w:rPr>
          <w:rFonts w:ascii="Times" w:eastAsia="Times" w:hAnsi="Times" w:cs="Times"/>
          <w:color w:val="000000"/>
          <w:sz w:val="24"/>
          <w:szCs w:val="24"/>
        </w:rPr>
        <w:t>The  potential</w:t>
      </w:r>
      <w:proofErr w:type="gramEnd"/>
      <w:r>
        <w:rPr>
          <w:rFonts w:ascii="Times" w:eastAsia="Times" w:hAnsi="Times" w:cs="Times"/>
          <w:color w:val="000000"/>
          <w:sz w:val="24"/>
          <w:szCs w:val="24"/>
        </w:rPr>
        <w:t xml:space="preserve"> </w:t>
      </w:r>
      <w:r>
        <w:rPr>
          <w:rFonts w:ascii="Times" w:eastAsia="Times" w:hAnsi="Times" w:cs="Times"/>
          <w:color w:val="000000"/>
          <w:sz w:val="24"/>
          <w:szCs w:val="24"/>
        </w:rPr>
        <w:t>for policy models to more substantially re-shape risk behaviours over time,  and the possibilities of a tiered market of opioids with different levels of risk and  corresponding regulatory models, currently remain speculative given the lack of  policy expe</w:t>
      </w:r>
      <w:r>
        <w:rPr>
          <w:rFonts w:ascii="Times" w:eastAsia="Times" w:hAnsi="Times" w:cs="Times"/>
          <w:color w:val="000000"/>
          <w:sz w:val="24"/>
          <w:szCs w:val="24"/>
        </w:rPr>
        <w:t xml:space="preserve">rimentation in this area, but the MCDA process indicates that there may  be scope for policy innovation with beneficial consequences in the short, medium and  long term, if there is the political will.  </w:t>
      </w:r>
    </w:p>
    <w:p w14:paraId="6C681530" w14:textId="77777777" w:rsidR="00CA2320" w:rsidRDefault="00713283">
      <w:pPr>
        <w:widowControl w:val="0"/>
        <w:pBdr>
          <w:top w:val="nil"/>
          <w:left w:val="nil"/>
          <w:bottom w:val="nil"/>
          <w:right w:val="nil"/>
          <w:between w:val="nil"/>
        </w:pBdr>
        <w:spacing w:before="282" w:line="229" w:lineRule="auto"/>
        <w:ind w:left="1696" w:right="766" w:firstLine="2"/>
        <w:rPr>
          <w:rFonts w:ascii="Times" w:eastAsia="Times" w:hAnsi="Times" w:cs="Times"/>
          <w:color w:val="000000"/>
          <w:sz w:val="24"/>
          <w:szCs w:val="24"/>
        </w:rPr>
      </w:pPr>
      <w:r>
        <w:rPr>
          <w:rFonts w:ascii="Times" w:eastAsia="Times" w:hAnsi="Times" w:cs="Times"/>
          <w:color w:val="000000"/>
          <w:sz w:val="24"/>
          <w:szCs w:val="24"/>
        </w:rPr>
        <w:t xml:space="preserve">The overall results for heroin are similar to those </w:t>
      </w:r>
      <w:r>
        <w:rPr>
          <w:rFonts w:ascii="Times" w:eastAsia="Times" w:hAnsi="Times" w:cs="Times"/>
          <w:color w:val="000000"/>
          <w:sz w:val="24"/>
          <w:szCs w:val="24"/>
        </w:rPr>
        <w:t xml:space="preserve">for the parallel processes </w:t>
      </w:r>
      <w:proofErr w:type="gramStart"/>
      <w:r>
        <w:rPr>
          <w:rFonts w:ascii="Times" w:eastAsia="Times" w:hAnsi="Times" w:cs="Times"/>
          <w:color w:val="000000"/>
          <w:sz w:val="24"/>
          <w:szCs w:val="24"/>
        </w:rPr>
        <w:t>undertaken  for</w:t>
      </w:r>
      <w:proofErr w:type="gramEnd"/>
      <w:r>
        <w:rPr>
          <w:rFonts w:ascii="Times" w:eastAsia="Times" w:hAnsi="Times" w:cs="Times"/>
          <w:color w:val="000000"/>
          <w:sz w:val="24"/>
          <w:szCs w:val="24"/>
        </w:rPr>
        <w:t xml:space="preserve"> cannabis and alcohol (</w:t>
      </w:r>
      <w:proofErr w:type="spellStart"/>
      <w:r>
        <w:rPr>
          <w:rFonts w:ascii="Times" w:eastAsia="Times" w:hAnsi="Times" w:cs="Times"/>
          <w:color w:val="000000"/>
          <w:sz w:val="24"/>
          <w:szCs w:val="24"/>
        </w:rPr>
        <w:t>Rogeberg</w:t>
      </w:r>
      <w:proofErr w:type="spellEnd"/>
      <w:r>
        <w:rPr>
          <w:rFonts w:ascii="Times" w:eastAsia="Times" w:hAnsi="Times" w:cs="Times"/>
          <w:color w:val="000000"/>
          <w:sz w:val="24"/>
          <w:szCs w:val="24"/>
        </w:rPr>
        <w:t xml:space="preserve"> et al., 2018) in that all three favoured state  regulation, though the type of regulation involved would differ substantially by  substance. Heroin prohibition scored particularly ba</w:t>
      </w:r>
      <w:r>
        <w:rPr>
          <w:rFonts w:ascii="Times" w:eastAsia="Times" w:hAnsi="Times" w:cs="Times"/>
          <w:color w:val="000000"/>
          <w:sz w:val="24"/>
          <w:szCs w:val="24"/>
        </w:rPr>
        <w:t xml:space="preserve">dly, due to the </w:t>
      </w:r>
      <w:proofErr w:type="gramStart"/>
      <w:r>
        <w:rPr>
          <w:rFonts w:ascii="Times" w:eastAsia="Times" w:hAnsi="Times" w:cs="Times"/>
          <w:color w:val="000000"/>
          <w:sz w:val="24"/>
          <w:szCs w:val="24"/>
        </w:rPr>
        <w:t>profoundly  increased</w:t>
      </w:r>
      <w:proofErr w:type="gramEnd"/>
      <w:r>
        <w:rPr>
          <w:rFonts w:ascii="Times" w:eastAsia="Times" w:hAnsi="Times" w:cs="Times"/>
          <w:color w:val="000000"/>
          <w:sz w:val="24"/>
          <w:szCs w:val="24"/>
        </w:rPr>
        <w:t xml:space="preserve"> risks of illegal heroin injection (relative to supervised legal use), and the  acute harms associated with the international illegal opium/heroin market (relative to  the legal one). These particularly acute harms asso</w:t>
      </w:r>
      <w:r>
        <w:rPr>
          <w:rFonts w:ascii="Times" w:eastAsia="Times" w:hAnsi="Times" w:cs="Times"/>
          <w:color w:val="000000"/>
          <w:sz w:val="24"/>
          <w:szCs w:val="24"/>
        </w:rPr>
        <w:t xml:space="preserve">ciated with heroin use and </w:t>
      </w:r>
      <w:proofErr w:type="gramStart"/>
      <w:r>
        <w:rPr>
          <w:rFonts w:ascii="Times" w:eastAsia="Times" w:hAnsi="Times" w:cs="Times"/>
          <w:color w:val="000000"/>
          <w:sz w:val="24"/>
          <w:szCs w:val="24"/>
        </w:rPr>
        <w:t>heroin  markets</w:t>
      </w:r>
      <w:proofErr w:type="gramEnd"/>
      <w:r>
        <w:rPr>
          <w:rFonts w:ascii="Times" w:eastAsia="Times" w:hAnsi="Times" w:cs="Times"/>
          <w:color w:val="000000"/>
          <w:sz w:val="24"/>
          <w:szCs w:val="24"/>
        </w:rPr>
        <w:t xml:space="preserve"> under prohibition explain why the free market option may appear somewhat </w:t>
      </w:r>
    </w:p>
    <w:p w14:paraId="7001C4B3" w14:textId="77777777" w:rsidR="00CA2320" w:rsidRDefault="00713283">
      <w:pPr>
        <w:widowControl w:val="0"/>
        <w:pBdr>
          <w:top w:val="nil"/>
          <w:left w:val="nil"/>
          <w:bottom w:val="nil"/>
          <w:right w:val="nil"/>
          <w:between w:val="nil"/>
        </w:pBdr>
        <w:spacing w:line="230" w:lineRule="auto"/>
        <w:ind w:left="1700" w:right="1239" w:firstLine="1"/>
        <w:rPr>
          <w:rFonts w:ascii="Times" w:eastAsia="Times" w:hAnsi="Times" w:cs="Times"/>
          <w:i/>
          <w:color w:val="000000"/>
          <w:sz w:val="24"/>
          <w:szCs w:val="24"/>
        </w:rPr>
      </w:pPr>
      <w:r>
        <w:rPr>
          <w:rFonts w:ascii="Times" w:eastAsia="Times" w:hAnsi="Times" w:cs="Times"/>
          <w:color w:val="000000"/>
          <w:sz w:val="24"/>
          <w:szCs w:val="24"/>
        </w:rPr>
        <w:t xml:space="preserve">disproportionately favoured (something that raised some initial unease </w:t>
      </w:r>
      <w:proofErr w:type="gramStart"/>
      <w:r>
        <w:rPr>
          <w:rFonts w:ascii="Times" w:eastAsia="Times" w:hAnsi="Times" w:cs="Times"/>
          <w:color w:val="000000"/>
          <w:sz w:val="24"/>
          <w:szCs w:val="24"/>
        </w:rPr>
        <w:t>amongst  conference</w:t>
      </w:r>
      <w:proofErr w:type="gramEnd"/>
      <w:r>
        <w:rPr>
          <w:rFonts w:ascii="Times" w:eastAsia="Times" w:hAnsi="Times" w:cs="Times"/>
          <w:color w:val="000000"/>
          <w:sz w:val="24"/>
          <w:szCs w:val="24"/>
        </w:rPr>
        <w:t xml:space="preserve"> participants); its score significantly reflects relative weighting against  worse prohibition options, rather than </w:t>
      </w:r>
      <w:proofErr w:type="spellStart"/>
      <w:r>
        <w:rPr>
          <w:rFonts w:ascii="Times" w:eastAsia="Times" w:hAnsi="Times" w:cs="Times"/>
          <w:color w:val="000000"/>
          <w:sz w:val="24"/>
          <w:szCs w:val="24"/>
        </w:rPr>
        <w:t>favorability</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 xml:space="preserve">per se. </w:t>
      </w:r>
    </w:p>
    <w:p w14:paraId="0EE40762" w14:textId="77777777" w:rsidR="00CA2320" w:rsidRDefault="00CA2320">
      <w:pPr>
        <w:widowControl w:val="0"/>
        <w:pBdr>
          <w:top w:val="nil"/>
          <w:left w:val="nil"/>
          <w:bottom w:val="nil"/>
          <w:right w:val="nil"/>
          <w:between w:val="nil"/>
        </w:pBdr>
        <w:spacing w:before="305" w:line="240" w:lineRule="auto"/>
        <w:ind w:right="792"/>
        <w:rPr>
          <w:rFonts w:ascii="Times" w:eastAsia="Times" w:hAnsi="Times" w:cs="Times"/>
          <w:i/>
          <w:sz w:val="24"/>
          <w:szCs w:val="24"/>
        </w:rPr>
      </w:pPr>
    </w:p>
    <w:p w14:paraId="5CFBF3EC" w14:textId="77777777" w:rsidR="00CA2320" w:rsidRDefault="00CA2320">
      <w:pPr>
        <w:widowControl w:val="0"/>
        <w:pBdr>
          <w:top w:val="nil"/>
          <w:left w:val="nil"/>
          <w:bottom w:val="nil"/>
          <w:right w:val="nil"/>
          <w:between w:val="nil"/>
        </w:pBdr>
        <w:spacing w:before="305" w:line="240" w:lineRule="auto"/>
        <w:ind w:right="792"/>
        <w:jc w:val="right"/>
        <w:rPr>
          <w:rFonts w:ascii="Times" w:eastAsia="Times" w:hAnsi="Times" w:cs="Times"/>
          <w:i/>
          <w:sz w:val="24"/>
          <w:szCs w:val="24"/>
        </w:rPr>
      </w:pPr>
    </w:p>
    <w:p w14:paraId="48C97CDA" w14:textId="77777777" w:rsidR="00CA2320" w:rsidRDefault="00713283">
      <w:pPr>
        <w:widowControl w:val="0"/>
        <w:pBdr>
          <w:top w:val="nil"/>
          <w:left w:val="nil"/>
          <w:bottom w:val="nil"/>
          <w:right w:val="nil"/>
          <w:between w:val="nil"/>
        </w:pBdr>
        <w:spacing w:before="305" w:line="240" w:lineRule="auto"/>
        <w:ind w:left="1440" w:right="792"/>
        <w:jc w:val="center"/>
        <w:rPr>
          <w:rFonts w:ascii="Times" w:eastAsia="Times" w:hAnsi="Times" w:cs="Times"/>
          <w:i/>
          <w:color w:val="000000"/>
          <w:sz w:val="24"/>
          <w:szCs w:val="24"/>
        </w:rPr>
      </w:pPr>
      <w:r>
        <w:rPr>
          <w:rFonts w:ascii="Times" w:eastAsia="Times" w:hAnsi="Times" w:cs="Times"/>
          <w:i/>
          <w:noProof/>
          <w:sz w:val="24"/>
          <w:szCs w:val="24"/>
        </w:rPr>
        <w:drawing>
          <wp:inline distT="114300" distB="114300" distL="114300" distR="114300" wp14:anchorId="4CBE6FF1" wp14:editId="40D94D16">
            <wp:extent cx="6046896" cy="436114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a:srcRect/>
                    <a:stretch>
                      <a:fillRect/>
                    </a:stretch>
                  </pic:blipFill>
                  <pic:spPr>
                    <a:xfrm>
                      <a:off x="0" y="0"/>
                      <a:ext cx="6046896" cy="4361145"/>
                    </a:xfrm>
                    <a:prstGeom prst="rect">
                      <a:avLst/>
                    </a:prstGeom>
                    <a:ln/>
                  </pic:spPr>
                </pic:pic>
              </a:graphicData>
            </a:graphic>
          </wp:inline>
        </w:drawing>
      </w:r>
    </w:p>
    <w:p w14:paraId="74C7820C" w14:textId="77777777" w:rsidR="00CA2320" w:rsidRDefault="00CA2320">
      <w:pPr>
        <w:widowControl w:val="0"/>
        <w:pBdr>
          <w:top w:val="nil"/>
          <w:left w:val="nil"/>
          <w:bottom w:val="nil"/>
          <w:right w:val="nil"/>
          <w:between w:val="nil"/>
        </w:pBdr>
        <w:spacing w:line="229" w:lineRule="auto"/>
        <w:ind w:left="1697" w:right="746" w:firstLine="6"/>
        <w:rPr>
          <w:rFonts w:ascii="Times" w:eastAsia="Times" w:hAnsi="Times" w:cs="Times"/>
          <w:sz w:val="24"/>
          <w:szCs w:val="24"/>
        </w:rPr>
      </w:pPr>
    </w:p>
    <w:p w14:paraId="24D4F1CF" w14:textId="77777777" w:rsidR="00CA2320" w:rsidRDefault="00713283">
      <w:pPr>
        <w:widowControl w:val="0"/>
        <w:spacing w:before="305" w:line="240" w:lineRule="auto"/>
        <w:ind w:right="792"/>
        <w:jc w:val="right"/>
        <w:rPr>
          <w:rFonts w:ascii="Times" w:eastAsia="Times" w:hAnsi="Times" w:cs="Times"/>
          <w:sz w:val="24"/>
          <w:szCs w:val="24"/>
        </w:rPr>
      </w:pPr>
      <w:r>
        <w:rPr>
          <w:rFonts w:ascii="Times" w:eastAsia="Times" w:hAnsi="Times" w:cs="Times"/>
          <w:i/>
          <w:sz w:val="24"/>
          <w:szCs w:val="24"/>
        </w:rPr>
        <w:t xml:space="preserve">Fig 3 caption: </w:t>
      </w:r>
      <w:r>
        <w:rPr>
          <w:rFonts w:ascii="Times" w:eastAsia="Times" w:hAnsi="Times" w:cs="Times"/>
          <w:sz w:val="24"/>
          <w:szCs w:val="24"/>
        </w:rPr>
        <w:t>The paradox of prohibition (GCDP 2016)</w:t>
      </w:r>
      <w:r>
        <w:rPr>
          <w:rFonts w:ascii="Times" w:eastAsia="Times" w:hAnsi="Times" w:cs="Times"/>
          <w:sz w:val="24"/>
          <w:szCs w:val="24"/>
        </w:rPr>
        <w:br/>
      </w:r>
    </w:p>
    <w:p w14:paraId="184D57F6" w14:textId="77777777" w:rsidR="00CA2320" w:rsidRDefault="00713283">
      <w:pPr>
        <w:widowControl w:val="0"/>
        <w:pBdr>
          <w:top w:val="nil"/>
          <w:left w:val="nil"/>
          <w:bottom w:val="nil"/>
          <w:right w:val="nil"/>
          <w:between w:val="nil"/>
        </w:pBdr>
        <w:spacing w:line="229" w:lineRule="auto"/>
        <w:ind w:left="1697" w:right="746" w:firstLine="6"/>
        <w:rPr>
          <w:rFonts w:ascii="Times" w:eastAsia="Times" w:hAnsi="Times" w:cs="Times"/>
          <w:color w:val="000000"/>
          <w:sz w:val="24"/>
          <w:szCs w:val="24"/>
        </w:rPr>
      </w:pPr>
      <w:r>
        <w:rPr>
          <w:rFonts w:ascii="Times" w:eastAsia="Times" w:hAnsi="Times" w:cs="Times"/>
          <w:color w:val="000000"/>
          <w:sz w:val="24"/>
          <w:szCs w:val="24"/>
        </w:rPr>
        <w:t xml:space="preserve">Our results echo the ‘paradox of prohibition’ graphic, albeit inverted, </w:t>
      </w:r>
      <w:proofErr w:type="gramStart"/>
      <w:r>
        <w:rPr>
          <w:rFonts w:ascii="Times" w:eastAsia="Times" w:hAnsi="Times" w:cs="Times"/>
          <w:color w:val="000000"/>
          <w:sz w:val="24"/>
          <w:szCs w:val="24"/>
        </w:rPr>
        <w:t>originally  devised</w:t>
      </w:r>
      <w:proofErr w:type="gramEnd"/>
      <w:r>
        <w:rPr>
          <w:rFonts w:ascii="Times" w:eastAsia="Times" w:hAnsi="Times" w:cs="Times"/>
          <w:color w:val="000000"/>
          <w:sz w:val="24"/>
          <w:szCs w:val="24"/>
        </w:rPr>
        <w:t xml:space="preserve"> by Dr John Marks (a pioneer of HAT in the UK in the 1980s), adapted by  Transform Drug Policy Foundation (Rol</w:t>
      </w:r>
      <w:r>
        <w:rPr>
          <w:rFonts w:ascii="Times" w:eastAsia="Times" w:hAnsi="Times" w:cs="Times"/>
          <w:color w:val="000000"/>
          <w:sz w:val="24"/>
          <w:szCs w:val="24"/>
        </w:rPr>
        <w:t xml:space="preserve">les and </w:t>
      </w:r>
      <w:proofErr w:type="spellStart"/>
      <w:r>
        <w:rPr>
          <w:rFonts w:ascii="Times" w:eastAsia="Times" w:hAnsi="Times" w:cs="Times"/>
          <w:color w:val="000000"/>
          <w:sz w:val="24"/>
          <w:szCs w:val="24"/>
        </w:rPr>
        <w:t>Murkin</w:t>
      </w:r>
      <w:proofErr w:type="spellEnd"/>
      <w:r>
        <w:rPr>
          <w:rFonts w:ascii="Times" w:eastAsia="Times" w:hAnsi="Times" w:cs="Times"/>
          <w:color w:val="000000"/>
          <w:sz w:val="24"/>
          <w:szCs w:val="24"/>
        </w:rPr>
        <w:t>, 2013), then subsequently  utilised by, amongst others, the European Union ALICERAP project (</w:t>
      </w:r>
      <w:proofErr w:type="spellStart"/>
      <w:r>
        <w:rPr>
          <w:rFonts w:ascii="Times" w:eastAsia="Times" w:hAnsi="Times" w:cs="Times"/>
          <w:color w:val="000000"/>
          <w:sz w:val="24"/>
          <w:szCs w:val="24"/>
        </w:rPr>
        <w:t>Apfel</w:t>
      </w:r>
      <w:proofErr w:type="spellEnd"/>
      <w:r>
        <w:rPr>
          <w:rFonts w:ascii="Times" w:eastAsia="Times" w:hAnsi="Times" w:cs="Times"/>
          <w:color w:val="000000"/>
          <w:sz w:val="24"/>
          <w:szCs w:val="24"/>
        </w:rPr>
        <w:t xml:space="preserve">, 2014),  The Global Commission on Drug Policy (2014) </w:t>
      </w:r>
      <w:r>
        <w:rPr>
          <w:rFonts w:ascii="Times" w:eastAsia="Times" w:hAnsi="Times" w:cs="Times"/>
          <w:i/>
          <w:color w:val="000000"/>
          <w:sz w:val="24"/>
          <w:szCs w:val="24"/>
        </w:rPr>
        <w:t>(</w:t>
      </w:r>
      <w:r>
        <w:rPr>
          <w:rFonts w:ascii="Times" w:eastAsia="Times" w:hAnsi="Times" w:cs="Times"/>
          <w:i/>
          <w:sz w:val="24"/>
          <w:szCs w:val="24"/>
        </w:rPr>
        <w:t>see fig 3</w:t>
      </w:r>
      <w:r>
        <w:rPr>
          <w:rFonts w:ascii="Times" w:eastAsia="Times" w:hAnsi="Times" w:cs="Times"/>
          <w:i/>
          <w:color w:val="000000"/>
          <w:sz w:val="24"/>
          <w:szCs w:val="24"/>
        </w:rPr>
        <w:t>)</w:t>
      </w:r>
      <w:r>
        <w:rPr>
          <w:rFonts w:ascii="Times" w:eastAsia="Times" w:hAnsi="Times" w:cs="Times"/>
          <w:color w:val="000000"/>
          <w:sz w:val="24"/>
          <w:szCs w:val="24"/>
        </w:rPr>
        <w:t>, and the Canadian  Government Task Force on Cannabis Regulation (2016). The g</w:t>
      </w:r>
      <w:r>
        <w:rPr>
          <w:rFonts w:ascii="Times" w:eastAsia="Times" w:hAnsi="Times" w:cs="Times"/>
          <w:color w:val="000000"/>
          <w:sz w:val="24"/>
          <w:szCs w:val="24"/>
        </w:rPr>
        <w:t xml:space="preserve">raphic aims </w:t>
      </w:r>
      <w:proofErr w:type="gramStart"/>
      <w:r>
        <w:rPr>
          <w:rFonts w:ascii="Times" w:eastAsia="Times" w:hAnsi="Times" w:cs="Times"/>
          <w:color w:val="000000"/>
          <w:sz w:val="24"/>
          <w:szCs w:val="24"/>
        </w:rPr>
        <w:t>to  conceptually</w:t>
      </w:r>
      <w:proofErr w:type="gramEnd"/>
      <w:r>
        <w:rPr>
          <w:rFonts w:ascii="Times" w:eastAsia="Times" w:hAnsi="Times" w:cs="Times"/>
          <w:color w:val="000000"/>
          <w:sz w:val="24"/>
          <w:szCs w:val="24"/>
        </w:rPr>
        <w:t xml:space="preserve"> illustrate the broad narrative underlying reform efforts, that unregulated  markets – whether illegal under prohibition or corporate under a free market model – are associated with avoidable health and social harms; and that op</w:t>
      </w:r>
      <w:r>
        <w:rPr>
          <w:rFonts w:ascii="Times" w:eastAsia="Times" w:hAnsi="Times" w:cs="Times"/>
          <w:color w:val="000000"/>
          <w:sz w:val="24"/>
          <w:szCs w:val="24"/>
        </w:rPr>
        <w:t xml:space="preserve">timum outcomes are  achieved at some point between these two extremes where responsible government  agencies can intervene in and regulate drug use and drug markets in the public  interest.  </w:t>
      </w:r>
    </w:p>
    <w:p w14:paraId="6A342FF6" w14:textId="77777777" w:rsidR="00CA2320" w:rsidRDefault="00713283">
      <w:pPr>
        <w:widowControl w:val="0"/>
        <w:pBdr>
          <w:top w:val="nil"/>
          <w:left w:val="nil"/>
          <w:bottom w:val="nil"/>
          <w:right w:val="nil"/>
          <w:between w:val="nil"/>
        </w:pBdr>
        <w:spacing w:before="282" w:line="229" w:lineRule="auto"/>
        <w:ind w:left="1696" w:right="746" w:firstLine="2"/>
        <w:rPr>
          <w:rFonts w:ascii="Times" w:eastAsia="Times" w:hAnsi="Times" w:cs="Times"/>
          <w:color w:val="000000"/>
          <w:sz w:val="24"/>
          <w:szCs w:val="24"/>
        </w:rPr>
      </w:pPr>
      <w:r>
        <w:rPr>
          <w:rFonts w:ascii="Times" w:eastAsia="Times" w:hAnsi="Times" w:cs="Times"/>
          <w:color w:val="000000"/>
          <w:sz w:val="24"/>
          <w:szCs w:val="24"/>
        </w:rPr>
        <w:t>The MCDA process provides some empirical support for this core i</w:t>
      </w:r>
      <w:r>
        <w:rPr>
          <w:rFonts w:ascii="Times" w:eastAsia="Times" w:hAnsi="Times" w:cs="Times"/>
          <w:color w:val="000000"/>
          <w:sz w:val="24"/>
          <w:szCs w:val="24"/>
        </w:rPr>
        <w:t xml:space="preserve">dea – albeit </w:t>
      </w:r>
      <w:proofErr w:type="gramStart"/>
      <w:r>
        <w:rPr>
          <w:rFonts w:ascii="Times" w:eastAsia="Times" w:hAnsi="Times" w:cs="Times"/>
          <w:color w:val="000000"/>
          <w:sz w:val="24"/>
          <w:szCs w:val="24"/>
        </w:rPr>
        <w:t>from  an</w:t>
      </w:r>
      <w:proofErr w:type="gramEnd"/>
      <w:r>
        <w:rPr>
          <w:rFonts w:ascii="Times" w:eastAsia="Times" w:hAnsi="Times" w:cs="Times"/>
          <w:color w:val="000000"/>
          <w:sz w:val="24"/>
          <w:szCs w:val="24"/>
        </w:rPr>
        <w:t xml:space="preserve"> expert-led </w:t>
      </w:r>
      <w:proofErr w:type="spellStart"/>
      <w:r>
        <w:rPr>
          <w:rFonts w:ascii="Times" w:eastAsia="Times" w:hAnsi="Times" w:cs="Times"/>
          <w:color w:val="000000"/>
          <w:sz w:val="24"/>
          <w:szCs w:val="24"/>
        </w:rPr>
        <w:t>delphic</w:t>
      </w:r>
      <w:proofErr w:type="spellEnd"/>
      <w:r>
        <w:rPr>
          <w:rFonts w:ascii="Times" w:eastAsia="Times" w:hAnsi="Times" w:cs="Times"/>
          <w:color w:val="000000"/>
          <w:sz w:val="24"/>
          <w:szCs w:val="24"/>
        </w:rPr>
        <w:t xml:space="preserve"> process, rather than specific data. This approach can be </w:t>
      </w:r>
      <w:proofErr w:type="gramStart"/>
      <w:r>
        <w:rPr>
          <w:rFonts w:ascii="Times" w:eastAsia="Times" w:hAnsi="Times" w:cs="Times"/>
          <w:color w:val="000000"/>
          <w:sz w:val="24"/>
          <w:szCs w:val="24"/>
        </w:rPr>
        <w:t>applied  equally</w:t>
      </w:r>
      <w:proofErr w:type="gramEnd"/>
      <w:r>
        <w:rPr>
          <w:rFonts w:ascii="Times" w:eastAsia="Times" w:hAnsi="Times" w:cs="Times"/>
          <w:color w:val="000000"/>
          <w:sz w:val="24"/>
          <w:szCs w:val="24"/>
        </w:rPr>
        <w:t xml:space="preserve"> to un-regulated illegal drug markets, or over-commercialized and under regulated legal markets such as for alcohol and tobacco in some countr</w:t>
      </w:r>
      <w:r>
        <w:rPr>
          <w:rFonts w:ascii="Times" w:eastAsia="Times" w:hAnsi="Times" w:cs="Times"/>
          <w:color w:val="000000"/>
          <w:sz w:val="24"/>
          <w:szCs w:val="24"/>
        </w:rPr>
        <w:t xml:space="preserve">ies. The </w:t>
      </w:r>
      <w:proofErr w:type="gramStart"/>
      <w:r>
        <w:rPr>
          <w:rFonts w:ascii="Times" w:eastAsia="Times" w:hAnsi="Times" w:cs="Times"/>
          <w:color w:val="000000"/>
          <w:sz w:val="24"/>
          <w:szCs w:val="24"/>
        </w:rPr>
        <w:t>results  stress</w:t>
      </w:r>
      <w:proofErr w:type="gramEnd"/>
      <w:r>
        <w:rPr>
          <w:rFonts w:ascii="Times" w:eastAsia="Times" w:hAnsi="Times" w:cs="Times"/>
          <w:color w:val="000000"/>
          <w:sz w:val="24"/>
          <w:szCs w:val="24"/>
        </w:rPr>
        <w:t xml:space="preserve"> the need to move beyond polarized and binary ‘prohibition versus legalisation’  debates, and to refocus on the different harms imposed by both excessively liberal and  excessively restrictive policy approaches to identify a balance</w:t>
      </w:r>
      <w:r>
        <w:rPr>
          <w:rFonts w:ascii="Times" w:eastAsia="Times" w:hAnsi="Times" w:cs="Times"/>
          <w:color w:val="000000"/>
          <w:sz w:val="24"/>
          <w:szCs w:val="24"/>
        </w:rPr>
        <w:t>d overall outcome in  line with wider interests of individual and social health and wellbeing.</w:t>
      </w:r>
    </w:p>
    <w:p w14:paraId="6F20E806" w14:textId="77777777" w:rsidR="00CA2320" w:rsidRDefault="00713283">
      <w:pPr>
        <w:widowControl w:val="0"/>
        <w:pBdr>
          <w:top w:val="nil"/>
          <w:left w:val="nil"/>
          <w:bottom w:val="nil"/>
          <w:right w:val="nil"/>
          <w:between w:val="nil"/>
        </w:pBdr>
        <w:spacing w:line="229" w:lineRule="auto"/>
        <w:ind w:left="1696" w:right="811" w:firstLine="2"/>
        <w:rPr>
          <w:rFonts w:ascii="Times" w:eastAsia="Times" w:hAnsi="Times" w:cs="Times"/>
          <w:color w:val="000000"/>
          <w:sz w:val="24"/>
          <w:szCs w:val="24"/>
        </w:rPr>
      </w:pPr>
      <w:r>
        <w:rPr>
          <w:rFonts w:ascii="Times" w:eastAsia="Times" w:hAnsi="Times" w:cs="Times"/>
          <w:sz w:val="24"/>
          <w:szCs w:val="24"/>
        </w:rPr>
        <w:br/>
      </w:r>
      <w:r>
        <w:rPr>
          <w:rFonts w:ascii="Times" w:eastAsia="Times" w:hAnsi="Times" w:cs="Times"/>
          <w:color w:val="000000"/>
          <w:sz w:val="24"/>
          <w:szCs w:val="24"/>
        </w:rPr>
        <w:t xml:space="preserve">The unfolding opioid crisis in the US can be seen to reflect the dynamics </w:t>
      </w:r>
      <w:proofErr w:type="gramStart"/>
      <w:r>
        <w:rPr>
          <w:rFonts w:ascii="Times" w:eastAsia="Times" w:hAnsi="Times" w:cs="Times"/>
          <w:color w:val="000000"/>
          <w:sz w:val="24"/>
          <w:szCs w:val="24"/>
        </w:rPr>
        <w:t>of  inadequate</w:t>
      </w:r>
      <w:proofErr w:type="gramEnd"/>
      <w:r>
        <w:rPr>
          <w:rFonts w:ascii="Times" w:eastAsia="Times" w:hAnsi="Times" w:cs="Times"/>
          <w:color w:val="000000"/>
          <w:sz w:val="24"/>
          <w:szCs w:val="24"/>
        </w:rPr>
        <w:t xml:space="preserve"> regulation at both ends of this curve. A key factor in the emergence of </w:t>
      </w:r>
      <w:proofErr w:type="gramStart"/>
      <w:r>
        <w:rPr>
          <w:rFonts w:ascii="Times" w:eastAsia="Times" w:hAnsi="Times" w:cs="Times"/>
          <w:color w:val="000000"/>
          <w:sz w:val="24"/>
          <w:szCs w:val="24"/>
        </w:rPr>
        <w:t>the  crisis</w:t>
      </w:r>
      <w:proofErr w:type="gramEnd"/>
      <w:r>
        <w:rPr>
          <w:rFonts w:ascii="Times" w:eastAsia="Times" w:hAnsi="Times" w:cs="Times"/>
          <w:color w:val="000000"/>
          <w:sz w:val="24"/>
          <w:szCs w:val="24"/>
        </w:rPr>
        <w:t xml:space="preserve"> was the growing misuse and diversion of prescribed opioid analgesics that were  act</w:t>
      </w:r>
      <w:r>
        <w:rPr>
          <w:rFonts w:ascii="Times" w:eastAsia="Times" w:hAnsi="Times" w:cs="Times"/>
          <w:color w:val="000000"/>
          <w:sz w:val="24"/>
          <w:szCs w:val="24"/>
        </w:rPr>
        <w:t xml:space="preserve">ively and aggressively promoted, in the pursuit of profit, by an underregulated  pharmaceutical industry  </w:t>
      </w:r>
    </w:p>
    <w:p w14:paraId="5C723174" w14:textId="77777777" w:rsidR="00CA2320" w:rsidRDefault="00713283">
      <w:pPr>
        <w:widowControl w:val="0"/>
        <w:pBdr>
          <w:top w:val="nil"/>
          <w:left w:val="nil"/>
          <w:bottom w:val="nil"/>
          <w:right w:val="nil"/>
          <w:between w:val="nil"/>
        </w:pBdr>
        <w:spacing w:before="282" w:line="229" w:lineRule="auto"/>
        <w:ind w:left="1696" w:right="1028"/>
        <w:rPr>
          <w:rFonts w:ascii="Times" w:eastAsia="Times" w:hAnsi="Times" w:cs="Times"/>
          <w:color w:val="000000"/>
          <w:sz w:val="24"/>
          <w:szCs w:val="24"/>
        </w:rPr>
      </w:pPr>
      <w:r>
        <w:rPr>
          <w:rFonts w:ascii="Times" w:eastAsia="Times" w:hAnsi="Times" w:cs="Times"/>
          <w:color w:val="000000"/>
          <w:sz w:val="24"/>
          <w:szCs w:val="24"/>
        </w:rPr>
        <w:t xml:space="preserve">With heightened costs of prescription opioids and restrictions in their </w:t>
      </w:r>
      <w:proofErr w:type="gramStart"/>
      <w:r>
        <w:rPr>
          <w:rFonts w:ascii="Times" w:eastAsia="Times" w:hAnsi="Times" w:cs="Times"/>
          <w:color w:val="000000"/>
          <w:sz w:val="24"/>
          <w:szCs w:val="24"/>
        </w:rPr>
        <w:t>prescriptions,  people</w:t>
      </w:r>
      <w:proofErr w:type="gramEnd"/>
      <w:r>
        <w:rPr>
          <w:rFonts w:ascii="Times" w:eastAsia="Times" w:hAnsi="Times" w:cs="Times"/>
          <w:color w:val="000000"/>
          <w:sz w:val="24"/>
          <w:szCs w:val="24"/>
        </w:rPr>
        <w:t xml:space="preserve"> with opioid dependencies increasingly turned to heroin</w:t>
      </w:r>
      <w:r>
        <w:rPr>
          <w:rFonts w:ascii="Times" w:eastAsia="Times" w:hAnsi="Times" w:cs="Times"/>
          <w:color w:val="000000"/>
          <w:sz w:val="24"/>
          <w:szCs w:val="24"/>
        </w:rPr>
        <w:t xml:space="preserve"> as a cheaper  alternative. When prescribing was curtailed, some of the residual demand for </w:t>
      </w:r>
      <w:proofErr w:type="spellStart"/>
      <w:r>
        <w:rPr>
          <w:rFonts w:ascii="Times" w:eastAsia="Times" w:hAnsi="Times" w:cs="Times"/>
          <w:color w:val="000000"/>
          <w:sz w:val="24"/>
          <w:szCs w:val="24"/>
        </w:rPr>
        <w:t>non medical</w:t>
      </w:r>
      <w:proofErr w:type="spellEnd"/>
      <w:r>
        <w:rPr>
          <w:rFonts w:ascii="Times" w:eastAsia="Times" w:hAnsi="Times" w:cs="Times"/>
          <w:color w:val="000000"/>
          <w:sz w:val="24"/>
          <w:szCs w:val="24"/>
        </w:rPr>
        <w:t xml:space="preserve"> use was displaced to the illegal heroin market, with injected illegal </w:t>
      </w:r>
      <w:proofErr w:type="gramStart"/>
      <w:r>
        <w:rPr>
          <w:rFonts w:ascii="Times" w:eastAsia="Times" w:hAnsi="Times" w:cs="Times"/>
          <w:color w:val="000000"/>
          <w:sz w:val="24"/>
          <w:szCs w:val="24"/>
        </w:rPr>
        <w:t>heroin  use</w:t>
      </w:r>
      <w:proofErr w:type="gramEnd"/>
      <w:r>
        <w:rPr>
          <w:rFonts w:ascii="Times" w:eastAsia="Times" w:hAnsi="Times" w:cs="Times"/>
          <w:color w:val="000000"/>
          <w:sz w:val="24"/>
          <w:szCs w:val="24"/>
        </w:rPr>
        <w:t>, and its attendant risks, both rising sharply, a situation worsened fu</w:t>
      </w:r>
      <w:r>
        <w:rPr>
          <w:rFonts w:ascii="Times" w:eastAsia="Times" w:hAnsi="Times" w:cs="Times"/>
          <w:color w:val="000000"/>
          <w:sz w:val="24"/>
          <w:szCs w:val="24"/>
        </w:rPr>
        <w:t xml:space="preserve">rther by the  encroachment of fentanyl as an adulterant in the illegal heroin supply chain.  </w:t>
      </w:r>
    </w:p>
    <w:p w14:paraId="23E011F9" w14:textId="77777777" w:rsidR="00CA2320" w:rsidRDefault="00713283">
      <w:pPr>
        <w:widowControl w:val="0"/>
        <w:pBdr>
          <w:top w:val="nil"/>
          <w:left w:val="nil"/>
          <w:bottom w:val="nil"/>
          <w:right w:val="nil"/>
          <w:between w:val="nil"/>
        </w:pBdr>
        <w:spacing w:before="282" w:line="229" w:lineRule="auto"/>
        <w:ind w:left="1694" w:right="771" w:firstLine="4"/>
        <w:rPr>
          <w:rFonts w:ascii="Times" w:eastAsia="Times" w:hAnsi="Times" w:cs="Times"/>
          <w:color w:val="000000"/>
          <w:sz w:val="24"/>
          <w:szCs w:val="24"/>
        </w:rPr>
      </w:pPr>
      <w:r>
        <w:rPr>
          <w:rFonts w:ascii="Times" w:eastAsia="Times" w:hAnsi="Times" w:cs="Times"/>
          <w:color w:val="000000"/>
          <w:sz w:val="24"/>
          <w:szCs w:val="24"/>
        </w:rPr>
        <w:t xml:space="preserve">This analysis potentially leaves the </w:t>
      </w:r>
      <w:proofErr w:type="spellStart"/>
      <w:r>
        <w:rPr>
          <w:rFonts w:ascii="Times" w:eastAsia="Times" w:hAnsi="Times" w:cs="Times"/>
          <w:color w:val="000000"/>
          <w:sz w:val="24"/>
          <w:szCs w:val="24"/>
        </w:rPr>
        <w:t>workopen</w:t>
      </w:r>
      <w:proofErr w:type="spellEnd"/>
      <w:r>
        <w:rPr>
          <w:rFonts w:ascii="Times" w:eastAsia="Times" w:hAnsi="Times" w:cs="Times"/>
          <w:color w:val="000000"/>
          <w:sz w:val="24"/>
          <w:szCs w:val="24"/>
        </w:rPr>
        <w:t xml:space="preserve"> to the criticism that it is a reflection </w:t>
      </w:r>
      <w:proofErr w:type="gramStart"/>
      <w:r>
        <w:rPr>
          <w:rFonts w:ascii="Times" w:eastAsia="Times" w:hAnsi="Times" w:cs="Times"/>
          <w:color w:val="000000"/>
          <w:sz w:val="24"/>
          <w:szCs w:val="24"/>
        </w:rPr>
        <w:t>of  the</w:t>
      </w:r>
      <w:proofErr w:type="gramEnd"/>
      <w:r>
        <w:rPr>
          <w:rFonts w:ascii="Times" w:eastAsia="Times" w:hAnsi="Times" w:cs="Times"/>
          <w:color w:val="000000"/>
          <w:sz w:val="24"/>
          <w:szCs w:val="24"/>
        </w:rPr>
        <w:t xml:space="preserve"> experiences, political persuasions, and policy perspectives of the </w:t>
      </w:r>
      <w:r>
        <w:rPr>
          <w:rFonts w:ascii="Times" w:eastAsia="Times" w:hAnsi="Times" w:cs="Times"/>
          <w:color w:val="000000"/>
          <w:sz w:val="24"/>
          <w:szCs w:val="24"/>
        </w:rPr>
        <w:t xml:space="preserve">group –which  may have been nearer the centrist position than either the free market or prohibitionist  ends of the policy spectrum. While the MCDA process encourages participants </w:t>
      </w:r>
      <w:proofErr w:type="gramStart"/>
      <w:r>
        <w:rPr>
          <w:rFonts w:ascii="Times" w:eastAsia="Times" w:hAnsi="Times" w:cs="Times"/>
          <w:color w:val="000000"/>
          <w:sz w:val="24"/>
          <w:szCs w:val="24"/>
        </w:rPr>
        <w:t>to  consider</w:t>
      </w:r>
      <w:proofErr w:type="gramEnd"/>
      <w:r>
        <w:rPr>
          <w:rFonts w:ascii="Times" w:eastAsia="Times" w:hAnsi="Times" w:cs="Times"/>
          <w:color w:val="000000"/>
          <w:sz w:val="24"/>
          <w:szCs w:val="24"/>
        </w:rPr>
        <w:t xml:space="preserve"> and promote different viewpoints, and while participants strive</w:t>
      </w:r>
      <w:r>
        <w:rPr>
          <w:rFonts w:ascii="Times" w:eastAsia="Times" w:hAnsi="Times" w:cs="Times"/>
          <w:color w:val="000000"/>
          <w:sz w:val="24"/>
          <w:szCs w:val="24"/>
        </w:rPr>
        <w:t>d to balance  the discussion in line with this and promote a fair hearing of evidence favouring  different policy models, participants also stressed that the exercise should be repeated  with groups including an even wider spectrum of views, political lean</w:t>
      </w:r>
      <w:r>
        <w:rPr>
          <w:rFonts w:ascii="Times" w:eastAsia="Times" w:hAnsi="Times" w:cs="Times"/>
          <w:color w:val="000000"/>
          <w:sz w:val="24"/>
          <w:szCs w:val="24"/>
        </w:rPr>
        <w:t xml:space="preserve">ings, and  particular concerns. Participants did, however, frequently note how the exercise </w:t>
      </w:r>
      <w:proofErr w:type="gramStart"/>
      <w:r>
        <w:rPr>
          <w:rFonts w:ascii="Times" w:eastAsia="Times" w:hAnsi="Times" w:cs="Times"/>
          <w:color w:val="000000"/>
          <w:sz w:val="24"/>
          <w:szCs w:val="24"/>
        </w:rPr>
        <w:t>was  forcing</w:t>
      </w:r>
      <w:proofErr w:type="gramEnd"/>
      <w:r>
        <w:rPr>
          <w:rFonts w:ascii="Times" w:eastAsia="Times" w:hAnsi="Times" w:cs="Times"/>
          <w:color w:val="000000"/>
          <w:sz w:val="24"/>
          <w:szCs w:val="24"/>
        </w:rPr>
        <w:t xml:space="preserve"> them to challenge many of their own views, often expressing a disconnect  between the more rationally derived conclusions and their ‘gut’ or ‘instinctu</w:t>
      </w:r>
      <w:r>
        <w:rPr>
          <w:rFonts w:ascii="Times" w:eastAsia="Times" w:hAnsi="Times" w:cs="Times"/>
          <w:color w:val="000000"/>
          <w:sz w:val="24"/>
          <w:szCs w:val="24"/>
        </w:rPr>
        <w:t xml:space="preserve">al’  leanings. Indeed, the way in which the structured MCDA process can challenge </w:t>
      </w:r>
      <w:proofErr w:type="gramStart"/>
      <w:r>
        <w:rPr>
          <w:rFonts w:ascii="Times" w:eastAsia="Times" w:hAnsi="Times" w:cs="Times"/>
          <w:color w:val="000000"/>
          <w:sz w:val="24"/>
          <w:szCs w:val="24"/>
        </w:rPr>
        <w:t>such  instinctive</w:t>
      </w:r>
      <w:proofErr w:type="gramEnd"/>
      <w:r>
        <w:rPr>
          <w:rFonts w:ascii="Times" w:eastAsia="Times" w:hAnsi="Times" w:cs="Times"/>
          <w:color w:val="000000"/>
          <w:sz w:val="24"/>
          <w:szCs w:val="24"/>
        </w:rPr>
        <w:t xml:space="preserve"> biases is arguably one of its great strengths. It suggests this or </w:t>
      </w:r>
      <w:proofErr w:type="gramStart"/>
      <w:r>
        <w:rPr>
          <w:rFonts w:ascii="Times" w:eastAsia="Times" w:hAnsi="Times" w:cs="Times"/>
          <w:color w:val="000000"/>
          <w:sz w:val="24"/>
          <w:szCs w:val="24"/>
        </w:rPr>
        <w:t>similar  MCDA</w:t>
      </w:r>
      <w:proofErr w:type="gramEnd"/>
      <w:r>
        <w:rPr>
          <w:rFonts w:ascii="Times" w:eastAsia="Times" w:hAnsi="Times" w:cs="Times"/>
          <w:color w:val="000000"/>
          <w:sz w:val="24"/>
          <w:szCs w:val="24"/>
        </w:rPr>
        <w:t xml:space="preserve"> processes could usefully be deployed to inform, moderate or shift more  ent</w:t>
      </w:r>
      <w:r>
        <w:rPr>
          <w:rFonts w:ascii="Times" w:eastAsia="Times" w:hAnsi="Times" w:cs="Times"/>
          <w:color w:val="000000"/>
          <w:sz w:val="24"/>
          <w:szCs w:val="24"/>
        </w:rPr>
        <w:t xml:space="preserve">renched or polarized positions amongst policy makers and opinion formers.  </w:t>
      </w:r>
    </w:p>
    <w:p w14:paraId="661E4756" w14:textId="77777777" w:rsidR="00CA2320" w:rsidRDefault="00713283">
      <w:pPr>
        <w:widowControl w:val="0"/>
        <w:pBdr>
          <w:top w:val="nil"/>
          <w:left w:val="nil"/>
          <w:bottom w:val="nil"/>
          <w:right w:val="nil"/>
          <w:between w:val="nil"/>
        </w:pBdr>
        <w:spacing w:before="565" w:line="240" w:lineRule="auto"/>
        <w:ind w:left="1705"/>
        <w:rPr>
          <w:rFonts w:ascii="Times" w:eastAsia="Times" w:hAnsi="Times" w:cs="Times"/>
          <w:b/>
          <w:color w:val="000000"/>
        </w:rPr>
      </w:pPr>
      <w:r>
        <w:rPr>
          <w:rFonts w:ascii="Times" w:eastAsia="Times" w:hAnsi="Times" w:cs="Times"/>
          <w:b/>
          <w:color w:val="000000"/>
        </w:rPr>
        <w:t xml:space="preserve">Contributors </w:t>
      </w:r>
    </w:p>
    <w:p w14:paraId="32A38BD4" w14:textId="77777777" w:rsidR="00CA2320" w:rsidRDefault="00713283">
      <w:pPr>
        <w:widowControl w:val="0"/>
        <w:pBdr>
          <w:top w:val="nil"/>
          <w:left w:val="nil"/>
          <w:bottom w:val="nil"/>
          <w:right w:val="nil"/>
          <w:between w:val="nil"/>
        </w:pBdr>
        <w:spacing w:line="229" w:lineRule="auto"/>
        <w:ind w:left="1697" w:right="857" w:firstLine="4"/>
        <w:rPr>
          <w:rFonts w:ascii="Times" w:eastAsia="Times" w:hAnsi="Times" w:cs="Times"/>
          <w:color w:val="000000"/>
        </w:rPr>
      </w:pPr>
      <w:r>
        <w:rPr>
          <w:rFonts w:ascii="Times" w:eastAsia="Times" w:hAnsi="Times" w:cs="Times"/>
          <w:color w:val="000000"/>
        </w:rPr>
        <w:t xml:space="preserve">OR and DB acquired the funding from the Norwegian Research Council. OR, DB, DN, </w:t>
      </w:r>
      <w:proofErr w:type="gramStart"/>
      <w:r>
        <w:rPr>
          <w:rFonts w:ascii="Times" w:eastAsia="Times" w:hAnsi="Times" w:cs="Times"/>
          <w:color w:val="000000"/>
        </w:rPr>
        <w:t>SR  and</w:t>
      </w:r>
      <w:proofErr w:type="gramEnd"/>
      <w:r>
        <w:rPr>
          <w:rFonts w:ascii="Times" w:eastAsia="Times" w:hAnsi="Times" w:cs="Times"/>
          <w:color w:val="000000"/>
        </w:rPr>
        <w:t xml:space="preserve"> LP jointly designed the study, OR, DN, SR, FM and AKS drafted the first and subsequent  versions of the manuscript. DN and LP facilitated the decision conference. AKS </w:t>
      </w:r>
      <w:proofErr w:type="gramStart"/>
      <w:r>
        <w:rPr>
          <w:rFonts w:ascii="Times" w:eastAsia="Times" w:hAnsi="Times" w:cs="Times"/>
          <w:color w:val="000000"/>
        </w:rPr>
        <w:t>h</w:t>
      </w:r>
      <w:r>
        <w:rPr>
          <w:rFonts w:ascii="Times" w:eastAsia="Times" w:hAnsi="Times" w:cs="Times"/>
          <w:color w:val="000000"/>
        </w:rPr>
        <w:t>elped  organise</w:t>
      </w:r>
      <w:proofErr w:type="gramEnd"/>
      <w:r>
        <w:rPr>
          <w:rFonts w:ascii="Times" w:eastAsia="Times" w:hAnsi="Times" w:cs="Times"/>
          <w:color w:val="000000"/>
        </w:rPr>
        <w:t xml:space="preserve"> the decision conference and contributed along with the remaining authors in  critically revising drafts of the manuscript. All authors have participated in the </w:t>
      </w:r>
      <w:proofErr w:type="gramStart"/>
      <w:r>
        <w:rPr>
          <w:rFonts w:ascii="Times" w:eastAsia="Times" w:hAnsi="Times" w:cs="Times"/>
          <w:color w:val="000000"/>
        </w:rPr>
        <w:t>decision  conference</w:t>
      </w:r>
      <w:proofErr w:type="gramEnd"/>
      <w:r>
        <w:rPr>
          <w:rFonts w:ascii="Times" w:eastAsia="Times" w:hAnsi="Times" w:cs="Times"/>
          <w:color w:val="000000"/>
        </w:rPr>
        <w:t>, data analysis and interpretation of results, and have appr</w:t>
      </w:r>
      <w:r>
        <w:rPr>
          <w:rFonts w:ascii="Times" w:eastAsia="Times" w:hAnsi="Times" w:cs="Times"/>
          <w:color w:val="000000"/>
        </w:rPr>
        <w:t xml:space="preserve">oved the final version of  the manuscript for publication. </w:t>
      </w:r>
    </w:p>
    <w:p w14:paraId="473818D6" w14:textId="77777777" w:rsidR="00CA2320" w:rsidRDefault="00713283">
      <w:pPr>
        <w:widowControl w:val="0"/>
        <w:pBdr>
          <w:top w:val="nil"/>
          <w:left w:val="nil"/>
          <w:bottom w:val="nil"/>
          <w:right w:val="nil"/>
          <w:between w:val="nil"/>
        </w:pBdr>
        <w:spacing w:before="261" w:line="240" w:lineRule="auto"/>
        <w:ind w:left="1698"/>
        <w:rPr>
          <w:rFonts w:ascii="Times" w:eastAsia="Times" w:hAnsi="Times" w:cs="Times"/>
          <w:b/>
          <w:color w:val="000000"/>
        </w:rPr>
      </w:pPr>
      <w:r>
        <w:rPr>
          <w:rFonts w:ascii="Times" w:eastAsia="Times" w:hAnsi="Times" w:cs="Times"/>
          <w:b/>
          <w:color w:val="000000"/>
        </w:rPr>
        <w:t xml:space="preserve">Declaration of interest </w:t>
      </w:r>
    </w:p>
    <w:p w14:paraId="4E1D94E5" w14:textId="77777777" w:rsidR="00CA2320" w:rsidRDefault="00713283">
      <w:pPr>
        <w:widowControl w:val="0"/>
        <w:pBdr>
          <w:top w:val="nil"/>
          <w:left w:val="nil"/>
          <w:bottom w:val="nil"/>
          <w:right w:val="nil"/>
          <w:between w:val="nil"/>
        </w:pBdr>
        <w:spacing w:line="228" w:lineRule="auto"/>
        <w:ind w:left="1679" w:right="794" w:firstLine="24"/>
        <w:rPr>
          <w:rFonts w:ascii="Times" w:eastAsia="Times" w:hAnsi="Times" w:cs="Times"/>
          <w:color w:val="000000"/>
        </w:rPr>
      </w:pPr>
      <w:r>
        <w:rPr>
          <w:rFonts w:ascii="Times" w:eastAsia="Times" w:hAnsi="Times" w:cs="Times"/>
          <w:color w:val="000000"/>
        </w:rPr>
        <w:t xml:space="preserve">SR is employed by Transform Drug Policy Foundation, a UK-registered charity engaged </w:t>
      </w:r>
      <w:proofErr w:type="gramStart"/>
      <w:r>
        <w:rPr>
          <w:rFonts w:ascii="Times" w:eastAsia="Times" w:hAnsi="Times" w:cs="Times"/>
          <w:color w:val="000000"/>
        </w:rPr>
        <w:t>in  advocacy</w:t>
      </w:r>
      <w:proofErr w:type="gramEnd"/>
      <w:r>
        <w:rPr>
          <w:rFonts w:ascii="Times" w:eastAsia="Times" w:hAnsi="Times" w:cs="Times"/>
          <w:color w:val="000000"/>
        </w:rPr>
        <w:t xml:space="preserve"> and campaigns for drug policy and law reform, specifically including establishing a  just and effective system of regulation for currently illegal or unregulat</w:t>
      </w:r>
      <w:r>
        <w:rPr>
          <w:rFonts w:ascii="Times" w:eastAsia="Times" w:hAnsi="Times" w:cs="Times"/>
          <w:color w:val="000000"/>
        </w:rPr>
        <w:t xml:space="preserve">ed drugs. AKS is </w:t>
      </w:r>
      <w:proofErr w:type="gramStart"/>
      <w:r>
        <w:rPr>
          <w:rFonts w:ascii="Times" w:eastAsia="Times" w:hAnsi="Times" w:cs="Times"/>
          <w:color w:val="000000"/>
        </w:rPr>
        <w:t>Head  of</w:t>
      </w:r>
      <w:proofErr w:type="gramEnd"/>
      <w:r>
        <w:rPr>
          <w:rFonts w:ascii="Times" w:eastAsia="Times" w:hAnsi="Times" w:cs="Times"/>
          <w:color w:val="000000"/>
        </w:rPr>
        <w:t xml:space="preserve"> Research at Drug Science, an independent, not-for-profit organisation addressing drug  policy. DN is Chair of Drug Science. FM is co-Director of The Loop UK and the Loop </w:t>
      </w:r>
      <w:proofErr w:type="gramStart"/>
      <w:r>
        <w:rPr>
          <w:rFonts w:ascii="Times" w:eastAsia="Times" w:hAnsi="Times" w:cs="Times"/>
          <w:color w:val="000000"/>
        </w:rPr>
        <w:t>AU,  harm</w:t>
      </w:r>
      <w:proofErr w:type="gramEnd"/>
      <w:r>
        <w:rPr>
          <w:rFonts w:ascii="Times" w:eastAsia="Times" w:hAnsi="Times" w:cs="Times"/>
          <w:color w:val="000000"/>
        </w:rPr>
        <w:t xml:space="preserve"> reduction </w:t>
      </w:r>
      <w:proofErr w:type="spellStart"/>
      <w:r>
        <w:rPr>
          <w:rFonts w:ascii="Times" w:eastAsia="Times" w:hAnsi="Times" w:cs="Times"/>
          <w:color w:val="000000"/>
        </w:rPr>
        <w:t>non profit</w:t>
      </w:r>
      <w:proofErr w:type="spellEnd"/>
      <w:r>
        <w:rPr>
          <w:rFonts w:ascii="Times" w:eastAsia="Times" w:hAnsi="Times" w:cs="Times"/>
          <w:color w:val="000000"/>
        </w:rPr>
        <w:t xml:space="preserve"> NGOs, and a founding member o</w:t>
      </w:r>
      <w:r>
        <w:rPr>
          <w:rFonts w:ascii="Times" w:eastAsia="Times" w:hAnsi="Times" w:cs="Times"/>
          <w:color w:val="000000"/>
        </w:rPr>
        <w:t xml:space="preserve">f Drug Science. SR and LP </w:t>
      </w:r>
      <w:proofErr w:type="gramStart"/>
      <w:r>
        <w:rPr>
          <w:rFonts w:ascii="Times" w:eastAsia="Times" w:hAnsi="Times" w:cs="Times"/>
          <w:color w:val="000000"/>
        </w:rPr>
        <w:t>are  members</w:t>
      </w:r>
      <w:proofErr w:type="gramEnd"/>
      <w:r>
        <w:rPr>
          <w:rFonts w:ascii="Times" w:eastAsia="Times" w:hAnsi="Times" w:cs="Times"/>
          <w:color w:val="000000"/>
        </w:rPr>
        <w:t xml:space="preserve"> of Drug Science. The remaining authors have nothing to disclose. </w:t>
      </w:r>
    </w:p>
    <w:p w14:paraId="5FE5F626" w14:textId="77777777" w:rsidR="00CA2320" w:rsidRDefault="00713283">
      <w:pPr>
        <w:widowControl w:val="0"/>
        <w:pBdr>
          <w:top w:val="nil"/>
          <w:left w:val="nil"/>
          <w:bottom w:val="nil"/>
          <w:right w:val="nil"/>
          <w:between w:val="nil"/>
        </w:pBdr>
        <w:spacing w:before="263" w:line="240" w:lineRule="auto"/>
        <w:ind w:left="1697"/>
        <w:rPr>
          <w:rFonts w:ascii="Times" w:eastAsia="Times" w:hAnsi="Times" w:cs="Times"/>
          <w:b/>
          <w:color w:val="000000"/>
        </w:rPr>
      </w:pPr>
      <w:r>
        <w:rPr>
          <w:rFonts w:ascii="Times" w:eastAsia="Times" w:hAnsi="Times" w:cs="Times"/>
          <w:b/>
          <w:color w:val="000000"/>
        </w:rPr>
        <w:t xml:space="preserve">Acknowledgements </w:t>
      </w:r>
    </w:p>
    <w:p w14:paraId="1420EB4C" w14:textId="77777777" w:rsidR="00CA2320" w:rsidRDefault="00713283">
      <w:pPr>
        <w:widowControl w:val="0"/>
        <w:pBdr>
          <w:top w:val="nil"/>
          <w:left w:val="nil"/>
          <w:bottom w:val="nil"/>
          <w:right w:val="nil"/>
          <w:between w:val="nil"/>
        </w:pBdr>
        <w:spacing w:line="230" w:lineRule="auto"/>
        <w:ind w:left="1705" w:right="978" w:hanging="6"/>
        <w:rPr>
          <w:rFonts w:ascii="Times" w:eastAsia="Times" w:hAnsi="Times" w:cs="Times"/>
          <w:color w:val="000000"/>
        </w:rPr>
      </w:pPr>
      <w:r>
        <w:rPr>
          <w:rFonts w:ascii="Times" w:eastAsia="Times" w:hAnsi="Times" w:cs="Times"/>
          <w:color w:val="000000"/>
        </w:rPr>
        <w:t xml:space="preserve">This study was supported by a research grant from the Norwegian Research </w:t>
      </w:r>
      <w:proofErr w:type="gramStart"/>
      <w:r>
        <w:rPr>
          <w:rFonts w:ascii="Times" w:eastAsia="Times" w:hAnsi="Times" w:cs="Times"/>
          <w:color w:val="000000"/>
        </w:rPr>
        <w:t>Council  (</w:t>
      </w:r>
      <w:proofErr w:type="gramEnd"/>
      <w:r>
        <w:rPr>
          <w:rFonts w:ascii="Times" w:eastAsia="Times" w:hAnsi="Times" w:cs="Times"/>
          <w:color w:val="000000"/>
        </w:rPr>
        <w:t>240235). The funding institution had no role in th</w:t>
      </w:r>
      <w:r>
        <w:rPr>
          <w:rFonts w:ascii="Times" w:eastAsia="Times" w:hAnsi="Times" w:cs="Times"/>
          <w:color w:val="000000"/>
        </w:rPr>
        <w:t xml:space="preserve">e study design, the collection, analysis or </w:t>
      </w:r>
    </w:p>
    <w:p w14:paraId="4DEF6DC4" w14:textId="77777777" w:rsidR="00CA2320" w:rsidRDefault="00713283">
      <w:pPr>
        <w:widowControl w:val="0"/>
        <w:pBdr>
          <w:top w:val="nil"/>
          <w:left w:val="nil"/>
          <w:bottom w:val="nil"/>
          <w:right w:val="nil"/>
          <w:between w:val="nil"/>
        </w:pBdr>
        <w:spacing w:line="228" w:lineRule="auto"/>
        <w:ind w:left="1696" w:right="1121" w:firstLine="2"/>
        <w:rPr>
          <w:rFonts w:ascii="Times" w:eastAsia="Times" w:hAnsi="Times" w:cs="Times"/>
          <w:color w:val="000000"/>
        </w:rPr>
      </w:pPr>
      <w:r>
        <w:rPr>
          <w:rFonts w:ascii="Times" w:eastAsia="Times" w:hAnsi="Times" w:cs="Times"/>
          <w:color w:val="000000"/>
        </w:rPr>
        <w:t xml:space="preserve">interpretation of the data, writing of the manuscript or the decision to submit the paper </w:t>
      </w:r>
      <w:proofErr w:type="gramStart"/>
      <w:r>
        <w:rPr>
          <w:rFonts w:ascii="Times" w:eastAsia="Times" w:hAnsi="Times" w:cs="Times"/>
          <w:color w:val="000000"/>
        </w:rPr>
        <w:t>for  publication</w:t>
      </w:r>
      <w:proofErr w:type="gramEnd"/>
      <w:r>
        <w:rPr>
          <w:rFonts w:ascii="Times" w:eastAsia="Times" w:hAnsi="Times" w:cs="Times"/>
          <w:color w:val="000000"/>
        </w:rPr>
        <w:t xml:space="preserve">. </w:t>
      </w:r>
    </w:p>
    <w:p w14:paraId="7552EA04" w14:textId="77777777" w:rsidR="00CA2320" w:rsidRDefault="00CA2320">
      <w:pPr>
        <w:widowControl w:val="0"/>
        <w:pBdr>
          <w:top w:val="nil"/>
          <w:left w:val="nil"/>
          <w:bottom w:val="nil"/>
          <w:right w:val="nil"/>
          <w:between w:val="nil"/>
        </w:pBdr>
        <w:spacing w:before="31" w:line="264" w:lineRule="auto"/>
        <w:ind w:left="1698" w:right="655"/>
        <w:rPr>
          <w:rFonts w:ascii="Times" w:eastAsia="Times" w:hAnsi="Times" w:cs="Times"/>
          <w:color w:val="030303"/>
          <w:sz w:val="19"/>
          <w:szCs w:val="19"/>
        </w:rPr>
      </w:pPr>
    </w:p>
    <w:p w14:paraId="08E8984A" w14:textId="77777777" w:rsidR="00CA2320" w:rsidRDefault="00CA2320">
      <w:pPr>
        <w:widowControl w:val="0"/>
        <w:pBdr>
          <w:top w:val="nil"/>
          <w:left w:val="nil"/>
          <w:bottom w:val="nil"/>
          <w:right w:val="nil"/>
          <w:between w:val="nil"/>
        </w:pBdr>
        <w:spacing w:before="258" w:line="229" w:lineRule="auto"/>
        <w:ind w:left="1696" w:right="815" w:firstLine="2"/>
        <w:rPr>
          <w:rFonts w:ascii="Times" w:eastAsia="Times" w:hAnsi="Times" w:cs="Times"/>
          <w:color w:val="000000"/>
        </w:rPr>
      </w:pPr>
    </w:p>
    <w:p w14:paraId="5E26F3AC" w14:textId="77777777" w:rsidR="00CA2320" w:rsidRDefault="00CA2320">
      <w:pPr>
        <w:widowControl w:val="0"/>
        <w:pBdr>
          <w:top w:val="nil"/>
          <w:left w:val="nil"/>
          <w:bottom w:val="nil"/>
          <w:right w:val="nil"/>
          <w:between w:val="nil"/>
        </w:pBdr>
        <w:rPr>
          <w:color w:val="000000"/>
        </w:rPr>
      </w:pPr>
    </w:p>
    <w:p w14:paraId="175EEE72" w14:textId="77777777" w:rsidR="00CA2320" w:rsidRDefault="00713283">
      <w:pPr>
        <w:widowControl w:val="0"/>
        <w:pBdr>
          <w:top w:val="nil"/>
          <w:left w:val="nil"/>
          <w:bottom w:val="nil"/>
          <w:right w:val="nil"/>
          <w:between w:val="nil"/>
        </w:pBdr>
        <w:spacing w:line="240" w:lineRule="auto"/>
        <w:ind w:left="1701"/>
        <w:rPr>
          <w:rFonts w:ascii="Times" w:eastAsia="Times" w:hAnsi="Times" w:cs="Times"/>
          <w:b/>
          <w:color w:val="000000"/>
          <w:sz w:val="24"/>
          <w:szCs w:val="24"/>
        </w:rPr>
      </w:pPr>
      <w:r>
        <w:rPr>
          <w:rFonts w:ascii="Times" w:eastAsia="Times" w:hAnsi="Times" w:cs="Times"/>
          <w:b/>
          <w:color w:val="000000"/>
          <w:sz w:val="24"/>
          <w:szCs w:val="24"/>
        </w:rPr>
        <w:t xml:space="preserve">References  </w:t>
      </w:r>
    </w:p>
    <w:p w14:paraId="2FEE408A" w14:textId="77777777" w:rsidR="00CA2320" w:rsidRDefault="00713283">
      <w:pPr>
        <w:widowControl w:val="0"/>
        <w:pBdr>
          <w:top w:val="nil"/>
          <w:left w:val="nil"/>
          <w:bottom w:val="nil"/>
          <w:right w:val="nil"/>
          <w:between w:val="nil"/>
        </w:pBdr>
        <w:spacing w:line="229" w:lineRule="auto"/>
        <w:ind w:left="1696" w:right="924" w:firstLine="2"/>
        <w:rPr>
          <w:rFonts w:ascii="Times" w:eastAsia="Times" w:hAnsi="Times" w:cs="Times"/>
          <w:color w:val="000000"/>
        </w:rPr>
      </w:pPr>
      <w:r>
        <w:rPr>
          <w:rFonts w:ascii="Times" w:eastAsia="Times" w:hAnsi="Times" w:cs="Times"/>
        </w:rPr>
        <w:br/>
      </w:r>
      <w:proofErr w:type="spellStart"/>
      <w:r>
        <w:rPr>
          <w:rFonts w:ascii="Times" w:eastAsia="Times" w:hAnsi="Times" w:cs="Times"/>
          <w:color w:val="000000"/>
        </w:rPr>
        <w:t>Apfel</w:t>
      </w:r>
      <w:proofErr w:type="spellEnd"/>
      <w:r>
        <w:rPr>
          <w:rFonts w:ascii="Times" w:eastAsia="Times" w:hAnsi="Times" w:cs="Times"/>
          <w:color w:val="000000"/>
        </w:rPr>
        <w:t xml:space="preserve">, F. (2014). Cannabis – From Prohibition to Regulation. </w:t>
      </w:r>
      <w:r>
        <w:rPr>
          <w:rFonts w:ascii="Times" w:eastAsia="Times" w:hAnsi="Times" w:cs="Times"/>
          <w:i/>
          <w:color w:val="000000"/>
        </w:rPr>
        <w:t xml:space="preserve">European Union ALICE RAP.  </w:t>
      </w:r>
      <w:r>
        <w:rPr>
          <w:rFonts w:ascii="Times" w:eastAsia="Times" w:hAnsi="Times" w:cs="Times"/>
          <w:color w:val="000000"/>
        </w:rPr>
        <w:t xml:space="preserve">www.alicerap.eu/resources/documents/cat_view/1-alice-rap-project-documents/19-policy paper-series.html </w:t>
      </w:r>
    </w:p>
    <w:p w14:paraId="622EBFA7" w14:textId="77777777" w:rsidR="00CA2320" w:rsidRDefault="00713283">
      <w:pPr>
        <w:widowControl w:val="0"/>
        <w:pBdr>
          <w:top w:val="nil"/>
          <w:left w:val="nil"/>
          <w:bottom w:val="nil"/>
          <w:right w:val="nil"/>
          <w:between w:val="nil"/>
        </w:pBdr>
        <w:spacing w:before="259" w:line="228" w:lineRule="auto"/>
        <w:ind w:left="1709" w:right="1393" w:hanging="10"/>
        <w:rPr>
          <w:rFonts w:ascii="Times" w:eastAsia="Times" w:hAnsi="Times" w:cs="Times"/>
          <w:color w:val="3C4043"/>
        </w:rPr>
      </w:pPr>
      <w:proofErr w:type="spellStart"/>
      <w:r>
        <w:rPr>
          <w:rFonts w:ascii="Times" w:eastAsia="Times" w:hAnsi="Times" w:cs="Times"/>
          <w:color w:val="3C4043"/>
          <w:highlight w:val="white"/>
        </w:rPr>
        <w:t>Berridge</w:t>
      </w:r>
      <w:proofErr w:type="spellEnd"/>
      <w:r>
        <w:rPr>
          <w:rFonts w:ascii="Times" w:eastAsia="Times" w:hAnsi="Times" w:cs="Times"/>
          <w:color w:val="3C4043"/>
          <w:highlight w:val="white"/>
        </w:rPr>
        <w:t xml:space="preserve">, V. and G. Edwards (1981). </w:t>
      </w:r>
      <w:r>
        <w:rPr>
          <w:rFonts w:ascii="Times" w:eastAsia="Times" w:hAnsi="Times" w:cs="Times"/>
          <w:i/>
          <w:color w:val="3C4043"/>
          <w:highlight w:val="white"/>
        </w:rPr>
        <w:t xml:space="preserve">Opium and the People: Opiate Use in </w:t>
      </w:r>
      <w:proofErr w:type="gramStart"/>
      <w:r>
        <w:rPr>
          <w:rFonts w:ascii="Times" w:eastAsia="Times" w:hAnsi="Times" w:cs="Times"/>
          <w:i/>
          <w:color w:val="3C4043"/>
          <w:highlight w:val="white"/>
        </w:rPr>
        <w:t xml:space="preserve">Nineteenth </w:t>
      </w:r>
      <w:r>
        <w:rPr>
          <w:rFonts w:ascii="Times" w:eastAsia="Times" w:hAnsi="Times" w:cs="Times"/>
          <w:i/>
          <w:color w:val="3C4043"/>
        </w:rPr>
        <w:t xml:space="preserve"> </w:t>
      </w:r>
      <w:r>
        <w:rPr>
          <w:rFonts w:ascii="Times" w:eastAsia="Times" w:hAnsi="Times" w:cs="Times"/>
          <w:i/>
          <w:color w:val="3C4043"/>
          <w:highlight w:val="white"/>
        </w:rPr>
        <w:t>Century</w:t>
      </w:r>
      <w:proofErr w:type="gramEnd"/>
      <w:r>
        <w:rPr>
          <w:rFonts w:ascii="Times" w:eastAsia="Times" w:hAnsi="Times" w:cs="Times"/>
          <w:i/>
          <w:color w:val="3C4043"/>
          <w:highlight w:val="white"/>
        </w:rPr>
        <w:t xml:space="preserve"> England. </w:t>
      </w:r>
      <w:r>
        <w:rPr>
          <w:rFonts w:ascii="Times" w:eastAsia="Times" w:hAnsi="Times" w:cs="Times"/>
          <w:color w:val="3C4043"/>
          <w:highlight w:val="white"/>
        </w:rPr>
        <w:t>New York: St. Martin's</w:t>
      </w:r>
      <w:r>
        <w:rPr>
          <w:rFonts w:ascii="Times" w:eastAsia="Times" w:hAnsi="Times" w:cs="Times"/>
          <w:color w:val="3C4043"/>
        </w:rPr>
        <w:t xml:space="preserve"> </w:t>
      </w:r>
    </w:p>
    <w:p w14:paraId="367B5B7C" w14:textId="77777777" w:rsidR="00CA2320" w:rsidRDefault="00713283">
      <w:pPr>
        <w:widowControl w:val="0"/>
        <w:pBdr>
          <w:top w:val="nil"/>
          <w:left w:val="nil"/>
          <w:bottom w:val="nil"/>
          <w:right w:val="nil"/>
          <w:between w:val="nil"/>
        </w:pBdr>
        <w:spacing w:before="259" w:line="228" w:lineRule="auto"/>
        <w:ind w:left="1709" w:right="1325" w:hanging="8"/>
        <w:rPr>
          <w:rFonts w:ascii="Times" w:eastAsia="Times" w:hAnsi="Times" w:cs="Times"/>
          <w:color w:val="000000"/>
        </w:rPr>
      </w:pPr>
      <w:proofErr w:type="spellStart"/>
      <w:r>
        <w:rPr>
          <w:rFonts w:ascii="Times" w:eastAsia="Times" w:hAnsi="Times" w:cs="Times"/>
          <w:color w:val="000000"/>
        </w:rPr>
        <w:t>Csete</w:t>
      </w:r>
      <w:proofErr w:type="spellEnd"/>
      <w:r>
        <w:rPr>
          <w:rFonts w:ascii="Times" w:eastAsia="Times" w:hAnsi="Times" w:cs="Times"/>
          <w:color w:val="000000"/>
        </w:rPr>
        <w:t xml:space="preserve">, J. (2013). </w:t>
      </w:r>
      <w:r>
        <w:rPr>
          <w:rFonts w:ascii="Times" w:eastAsia="Times" w:hAnsi="Times" w:cs="Times"/>
          <w:i/>
          <w:color w:val="000000"/>
        </w:rPr>
        <w:t xml:space="preserve">From the Mountaintops: What the World Can Learn from Drug </w:t>
      </w:r>
      <w:proofErr w:type="gramStart"/>
      <w:r>
        <w:rPr>
          <w:rFonts w:ascii="Times" w:eastAsia="Times" w:hAnsi="Times" w:cs="Times"/>
          <w:i/>
          <w:color w:val="000000"/>
        </w:rPr>
        <w:t>Policy  Change</w:t>
      </w:r>
      <w:proofErr w:type="gramEnd"/>
      <w:r>
        <w:rPr>
          <w:rFonts w:ascii="Times" w:eastAsia="Times" w:hAnsi="Times" w:cs="Times"/>
          <w:i/>
          <w:color w:val="000000"/>
        </w:rPr>
        <w:t xml:space="preserve"> in Switzerland. </w:t>
      </w:r>
      <w:r>
        <w:rPr>
          <w:rFonts w:ascii="Times" w:eastAsia="Times" w:hAnsi="Times" w:cs="Times"/>
          <w:color w:val="000000"/>
        </w:rPr>
        <w:t xml:space="preserve">Open Society Foundations.  </w:t>
      </w:r>
    </w:p>
    <w:p w14:paraId="35717A84" w14:textId="77777777" w:rsidR="00CA2320" w:rsidRDefault="00713283">
      <w:pPr>
        <w:widowControl w:val="0"/>
        <w:pBdr>
          <w:top w:val="nil"/>
          <w:left w:val="nil"/>
          <w:bottom w:val="nil"/>
          <w:right w:val="nil"/>
          <w:between w:val="nil"/>
        </w:pBdr>
        <w:spacing w:before="7" w:line="240" w:lineRule="auto"/>
        <w:ind w:right="954"/>
        <w:jc w:val="right"/>
        <w:rPr>
          <w:rFonts w:ascii="Times" w:eastAsia="Times" w:hAnsi="Times" w:cs="Times"/>
          <w:color w:val="1155CC"/>
        </w:rPr>
      </w:pPr>
      <w:r>
        <w:rPr>
          <w:rFonts w:ascii="Times" w:eastAsia="Times" w:hAnsi="Times" w:cs="Times"/>
          <w:color w:val="1155CC"/>
          <w:u w:val="single"/>
        </w:rPr>
        <w:t>https://www.opensocietyfoundations.org/publications/mountaintops#publications_download</w:t>
      </w:r>
      <w:r>
        <w:rPr>
          <w:rFonts w:ascii="Times" w:eastAsia="Times" w:hAnsi="Times" w:cs="Times"/>
          <w:color w:val="1155CC"/>
        </w:rPr>
        <w:t xml:space="preserve"> </w:t>
      </w:r>
    </w:p>
    <w:p w14:paraId="5D75E4F4" w14:textId="77777777" w:rsidR="00CA2320" w:rsidRDefault="00713283">
      <w:pPr>
        <w:widowControl w:val="0"/>
        <w:pBdr>
          <w:top w:val="nil"/>
          <w:left w:val="nil"/>
          <w:bottom w:val="nil"/>
          <w:right w:val="nil"/>
          <w:between w:val="nil"/>
        </w:pBdr>
        <w:spacing w:before="246" w:line="229" w:lineRule="auto"/>
        <w:ind w:left="1697" w:right="960" w:firstLine="4"/>
        <w:rPr>
          <w:rFonts w:ascii="Times" w:eastAsia="Times" w:hAnsi="Times" w:cs="Times"/>
          <w:color w:val="000000"/>
        </w:rPr>
      </w:pPr>
      <w:r>
        <w:rPr>
          <w:rFonts w:ascii="Times" w:eastAsia="Times" w:hAnsi="Times" w:cs="Times"/>
          <w:color w:val="000000"/>
        </w:rPr>
        <w:t xml:space="preserve">Centre for Disease Control (2018). </w:t>
      </w:r>
      <w:r>
        <w:rPr>
          <w:rFonts w:ascii="Times" w:eastAsia="Times" w:hAnsi="Times" w:cs="Times"/>
          <w:i/>
          <w:color w:val="000000"/>
        </w:rPr>
        <w:t xml:space="preserve">CDC/NCHS, National Vital Statistics System, Mortality. </w:t>
      </w:r>
      <w:r>
        <w:rPr>
          <w:rFonts w:ascii="Times" w:eastAsia="Times" w:hAnsi="Times" w:cs="Times"/>
          <w:color w:val="000000"/>
        </w:rPr>
        <w:t xml:space="preserve">CDC WONDER, Atlanta, GA: US Department of Health and Human Services, CDC; 2018.  https://wonder.cdc.gov.  </w:t>
      </w:r>
    </w:p>
    <w:p w14:paraId="0EDD5E07" w14:textId="77777777" w:rsidR="00CA2320" w:rsidRDefault="00713283">
      <w:pPr>
        <w:widowControl w:val="0"/>
        <w:pBdr>
          <w:top w:val="nil"/>
          <w:left w:val="nil"/>
          <w:bottom w:val="nil"/>
          <w:right w:val="nil"/>
          <w:between w:val="nil"/>
        </w:pBdr>
        <w:spacing w:before="258" w:line="228" w:lineRule="auto"/>
        <w:ind w:left="1699" w:right="1015" w:firstLine="1"/>
        <w:rPr>
          <w:rFonts w:ascii="Times" w:eastAsia="Times" w:hAnsi="Times" w:cs="Times"/>
          <w:color w:val="000000"/>
        </w:rPr>
      </w:pPr>
      <w:proofErr w:type="spellStart"/>
      <w:r>
        <w:rPr>
          <w:rFonts w:ascii="Times" w:eastAsia="Times" w:hAnsi="Times" w:cs="Times"/>
          <w:color w:val="000000"/>
        </w:rPr>
        <w:t>Caulkins</w:t>
      </w:r>
      <w:proofErr w:type="spellEnd"/>
      <w:r>
        <w:rPr>
          <w:rFonts w:ascii="Times" w:eastAsia="Times" w:hAnsi="Times" w:cs="Times"/>
          <w:color w:val="000000"/>
        </w:rPr>
        <w:t>, J. P., &amp; Kilmer, B. (2016). Considering marijuana</w:t>
      </w:r>
      <w:r>
        <w:rPr>
          <w:rFonts w:ascii="Times" w:eastAsia="Times" w:hAnsi="Times" w:cs="Times"/>
          <w:color w:val="000000"/>
        </w:rPr>
        <w:t xml:space="preserve"> legalization carefully: </w:t>
      </w:r>
      <w:proofErr w:type="gramStart"/>
      <w:r>
        <w:rPr>
          <w:rFonts w:ascii="Times" w:eastAsia="Times" w:hAnsi="Times" w:cs="Times"/>
          <w:color w:val="000000"/>
        </w:rPr>
        <w:t>insights  for</w:t>
      </w:r>
      <w:proofErr w:type="gramEnd"/>
      <w:r>
        <w:rPr>
          <w:rFonts w:ascii="Times" w:eastAsia="Times" w:hAnsi="Times" w:cs="Times"/>
          <w:color w:val="000000"/>
        </w:rPr>
        <w:t xml:space="preserve"> other jurisdictions from analysis for Vermont. </w:t>
      </w:r>
      <w:r>
        <w:rPr>
          <w:rFonts w:ascii="Times" w:eastAsia="Times" w:hAnsi="Times" w:cs="Times"/>
          <w:i/>
          <w:color w:val="000000"/>
        </w:rPr>
        <w:t>Addiction</w:t>
      </w:r>
      <w:r>
        <w:rPr>
          <w:rFonts w:ascii="Times" w:eastAsia="Times" w:hAnsi="Times" w:cs="Times"/>
          <w:color w:val="000000"/>
        </w:rPr>
        <w:t xml:space="preserve">, 111(12), pp. 2082-2089. </w:t>
      </w:r>
    </w:p>
    <w:p w14:paraId="5D6CEFE8" w14:textId="77777777" w:rsidR="00CA2320" w:rsidRDefault="00713283">
      <w:pPr>
        <w:widowControl w:val="0"/>
        <w:pBdr>
          <w:top w:val="nil"/>
          <w:left w:val="nil"/>
          <w:bottom w:val="nil"/>
          <w:right w:val="nil"/>
          <w:between w:val="nil"/>
        </w:pBdr>
        <w:spacing w:before="260" w:line="240" w:lineRule="auto"/>
        <w:ind w:right="944"/>
        <w:jc w:val="right"/>
        <w:rPr>
          <w:rFonts w:ascii="Times" w:eastAsia="Times" w:hAnsi="Times" w:cs="Times"/>
          <w:color w:val="3C4043"/>
        </w:rPr>
      </w:pPr>
      <w:r>
        <w:rPr>
          <w:rFonts w:ascii="Times" w:eastAsia="Times" w:hAnsi="Times" w:cs="Times"/>
          <w:color w:val="3C4043"/>
          <w:highlight w:val="white"/>
        </w:rPr>
        <w:t xml:space="preserve">Duff, C. (2008). The pleasure in context. </w:t>
      </w:r>
      <w:r>
        <w:rPr>
          <w:rFonts w:ascii="Times" w:eastAsia="Times" w:hAnsi="Times" w:cs="Times"/>
          <w:i/>
          <w:color w:val="3C4043"/>
          <w:highlight w:val="white"/>
        </w:rPr>
        <w:t>International Journal of Drug Policy</w:t>
      </w:r>
      <w:r>
        <w:rPr>
          <w:rFonts w:ascii="Times" w:eastAsia="Times" w:hAnsi="Times" w:cs="Times"/>
          <w:color w:val="3C4043"/>
          <w:highlight w:val="white"/>
        </w:rPr>
        <w:t>, 19: 384-392.</w:t>
      </w:r>
      <w:r>
        <w:rPr>
          <w:rFonts w:ascii="Times" w:eastAsia="Times" w:hAnsi="Times" w:cs="Times"/>
          <w:color w:val="3C4043"/>
        </w:rPr>
        <w:t xml:space="preserve"> </w:t>
      </w:r>
    </w:p>
    <w:p w14:paraId="373C8E6B" w14:textId="77777777" w:rsidR="00CA2320" w:rsidRDefault="00713283">
      <w:pPr>
        <w:widowControl w:val="0"/>
        <w:pBdr>
          <w:top w:val="nil"/>
          <w:left w:val="nil"/>
          <w:bottom w:val="nil"/>
          <w:right w:val="nil"/>
          <w:between w:val="nil"/>
        </w:pBdr>
        <w:spacing w:before="248" w:line="228" w:lineRule="auto"/>
        <w:ind w:left="1706" w:right="1006" w:hanging="4"/>
        <w:rPr>
          <w:rFonts w:ascii="Times" w:eastAsia="Times" w:hAnsi="Times" w:cs="Times"/>
          <w:color w:val="000000"/>
        </w:rPr>
      </w:pPr>
      <w:r>
        <w:rPr>
          <w:rFonts w:ascii="Times" w:eastAsia="Times" w:hAnsi="Times" w:cs="Times"/>
          <w:color w:val="000000"/>
          <w:highlight w:val="white"/>
        </w:rPr>
        <w:t xml:space="preserve">Gable, R. S. (2004). </w:t>
      </w:r>
      <w:r>
        <w:rPr>
          <w:rFonts w:ascii="Times" w:eastAsia="Times" w:hAnsi="Times" w:cs="Times"/>
          <w:color w:val="000000"/>
        </w:rPr>
        <w:t xml:space="preserve">Comparison of acute lethal toxicity of commonly abused </w:t>
      </w:r>
      <w:proofErr w:type="gramStart"/>
      <w:r>
        <w:rPr>
          <w:rFonts w:ascii="Times" w:eastAsia="Times" w:hAnsi="Times" w:cs="Times"/>
          <w:color w:val="000000"/>
        </w:rPr>
        <w:t>psychoactive  substances</w:t>
      </w:r>
      <w:proofErr w:type="gramEnd"/>
      <w:r>
        <w:rPr>
          <w:rFonts w:ascii="Times" w:eastAsia="Times" w:hAnsi="Times" w:cs="Times"/>
          <w:color w:val="000000"/>
          <w:highlight w:val="white"/>
        </w:rPr>
        <w:t xml:space="preserve">. </w:t>
      </w:r>
      <w:r>
        <w:rPr>
          <w:rFonts w:ascii="Times" w:eastAsia="Times" w:hAnsi="Times" w:cs="Times"/>
          <w:i/>
          <w:color w:val="000000"/>
          <w:highlight w:val="white"/>
        </w:rPr>
        <w:t>A</w:t>
      </w:r>
      <w:r>
        <w:rPr>
          <w:rFonts w:ascii="Times" w:eastAsia="Times" w:hAnsi="Times" w:cs="Times"/>
          <w:i/>
          <w:color w:val="000000"/>
        </w:rPr>
        <w:t>ddiction</w:t>
      </w:r>
      <w:r>
        <w:rPr>
          <w:rFonts w:ascii="Times" w:eastAsia="Times" w:hAnsi="Times" w:cs="Times"/>
          <w:color w:val="000000"/>
        </w:rPr>
        <w:t>,99</w:t>
      </w:r>
      <w:r>
        <w:rPr>
          <w:rFonts w:ascii="Times" w:eastAsia="Times" w:hAnsi="Times" w:cs="Times"/>
          <w:color w:val="000000"/>
          <w:highlight w:val="white"/>
        </w:rPr>
        <w:t>, pp. 686–696.</w:t>
      </w:r>
      <w:r>
        <w:rPr>
          <w:rFonts w:ascii="Times" w:eastAsia="Times" w:hAnsi="Times" w:cs="Times"/>
          <w:color w:val="000000"/>
        </w:rPr>
        <w:t xml:space="preserve"> </w:t>
      </w:r>
    </w:p>
    <w:p w14:paraId="2930715E" w14:textId="77777777" w:rsidR="00CA2320" w:rsidRDefault="00713283">
      <w:pPr>
        <w:widowControl w:val="0"/>
        <w:pBdr>
          <w:top w:val="nil"/>
          <w:left w:val="nil"/>
          <w:bottom w:val="nil"/>
          <w:right w:val="nil"/>
          <w:between w:val="nil"/>
        </w:pBdr>
        <w:spacing w:before="259" w:line="229" w:lineRule="auto"/>
        <w:ind w:left="1699" w:right="932" w:firstLine="2"/>
        <w:rPr>
          <w:rFonts w:ascii="Times" w:eastAsia="Times" w:hAnsi="Times" w:cs="Times"/>
          <w:color w:val="000000"/>
        </w:rPr>
      </w:pPr>
      <w:r>
        <w:rPr>
          <w:rFonts w:ascii="Times" w:eastAsia="Times" w:hAnsi="Times" w:cs="Times"/>
          <w:color w:val="000000"/>
        </w:rPr>
        <w:t xml:space="preserve">Global Commission on Drugs (2014). </w:t>
      </w:r>
      <w:r>
        <w:rPr>
          <w:rFonts w:ascii="Times" w:eastAsia="Times" w:hAnsi="Times" w:cs="Times"/>
          <w:i/>
          <w:color w:val="000000"/>
        </w:rPr>
        <w:t xml:space="preserve">Taking Control; Pathways to drug policies that work.  </w:t>
      </w:r>
      <w:r>
        <w:rPr>
          <w:rFonts w:ascii="Times" w:eastAsia="Times" w:hAnsi="Times" w:cs="Times"/>
          <w:color w:val="000000"/>
        </w:rPr>
        <w:t xml:space="preserve">www.globalcommissionondrugs.org/reports/taking-control-pathways-to-drug-policies-that work/ </w:t>
      </w:r>
    </w:p>
    <w:p w14:paraId="4279FC77" w14:textId="77777777" w:rsidR="00CA2320" w:rsidRDefault="00713283">
      <w:pPr>
        <w:widowControl w:val="0"/>
        <w:pBdr>
          <w:top w:val="nil"/>
          <w:left w:val="nil"/>
          <w:bottom w:val="nil"/>
          <w:right w:val="nil"/>
          <w:between w:val="nil"/>
        </w:pBdr>
        <w:spacing w:before="258" w:line="229" w:lineRule="auto"/>
        <w:ind w:left="1699" w:right="990"/>
        <w:rPr>
          <w:rFonts w:ascii="Times" w:eastAsia="Times" w:hAnsi="Times" w:cs="Times"/>
          <w:color w:val="000000"/>
        </w:rPr>
      </w:pPr>
      <w:proofErr w:type="spellStart"/>
      <w:r>
        <w:rPr>
          <w:rFonts w:ascii="Times" w:eastAsia="Times" w:hAnsi="Times" w:cs="Times"/>
          <w:color w:val="000000"/>
        </w:rPr>
        <w:t>Haasen</w:t>
      </w:r>
      <w:proofErr w:type="spellEnd"/>
      <w:r>
        <w:rPr>
          <w:rFonts w:ascii="Times" w:eastAsia="Times" w:hAnsi="Times" w:cs="Times"/>
          <w:color w:val="000000"/>
        </w:rPr>
        <w:t xml:space="preserve">, C., </w:t>
      </w:r>
      <w:proofErr w:type="spellStart"/>
      <w:r>
        <w:rPr>
          <w:rFonts w:ascii="Times" w:eastAsia="Times" w:hAnsi="Times" w:cs="Times"/>
          <w:color w:val="000000"/>
        </w:rPr>
        <w:t>Verthein</w:t>
      </w:r>
      <w:proofErr w:type="spellEnd"/>
      <w:r>
        <w:rPr>
          <w:rFonts w:ascii="Times" w:eastAsia="Times" w:hAnsi="Times" w:cs="Times"/>
          <w:color w:val="000000"/>
        </w:rPr>
        <w:t xml:space="preserve">, U., </w:t>
      </w:r>
      <w:proofErr w:type="spellStart"/>
      <w:r>
        <w:rPr>
          <w:rFonts w:ascii="Times" w:eastAsia="Times" w:hAnsi="Times" w:cs="Times"/>
          <w:color w:val="000000"/>
        </w:rPr>
        <w:t>Eiroa-Orosa</w:t>
      </w:r>
      <w:proofErr w:type="spellEnd"/>
      <w:r>
        <w:rPr>
          <w:rFonts w:ascii="Times" w:eastAsia="Times" w:hAnsi="Times" w:cs="Times"/>
          <w:color w:val="000000"/>
        </w:rPr>
        <w:t>, F.J., Schaefer, I., &amp; Reimer, J. (2010) Is heroin assisted treatment e</w:t>
      </w:r>
      <w:r>
        <w:rPr>
          <w:rFonts w:ascii="Times" w:eastAsia="Times" w:hAnsi="Times" w:cs="Times"/>
          <w:color w:val="000000"/>
        </w:rPr>
        <w:t xml:space="preserve">ffective for patients with no previous maintenance treatment? </w:t>
      </w:r>
      <w:proofErr w:type="gramStart"/>
      <w:r>
        <w:rPr>
          <w:rFonts w:ascii="Times" w:eastAsia="Times" w:hAnsi="Times" w:cs="Times"/>
          <w:color w:val="000000"/>
        </w:rPr>
        <w:t>Results  from</w:t>
      </w:r>
      <w:proofErr w:type="gramEnd"/>
      <w:r>
        <w:rPr>
          <w:rFonts w:ascii="Times" w:eastAsia="Times" w:hAnsi="Times" w:cs="Times"/>
          <w:color w:val="000000"/>
        </w:rPr>
        <w:t xml:space="preserve"> a German randomised controlled trial. </w:t>
      </w:r>
      <w:r>
        <w:rPr>
          <w:rFonts w:ascii="Times" w:eastAsia="Times" w:hAnsi="Times" w:cs="Times"/>
          <w:i/>
          <w:color w:val="000000"/>
        </w:rPr>
        <w:t>European Addiction Research</w:t>
      </w:r>
      <w:r>
        <w:rPr>
          <w:rFonts w:ascii="Times" w:eastAsia="Times" w:hAnsi="Times" w:cs="Times"/>
          <w:color w:val="000000"/>
        </w:rPr>
        <w:t xml:space="preserve">, 16, pp. 124-130. </w:t>
      </w:r>
      <w:r>
        <w:rPr>
          <w:rFonts w:ascii="Times" w:eastAsia="Times" w:hAnsi="Times" w:cs="Times"/>
        </w:rPr>
        <w:br/>
      </w:r>
      <w:r>
        <w:rPr>
          <w:rFonts w:ascii="Times" w:eastAsia="Times" w:hAnsi="Times" w:cs="Times"/>
        </w:rPr>
        <w:br/>
      </w:r>
      <w:proofErr w:type="spellStart"/>
      <w:r>
        <w:rPr>
          <w:rFonts w:ascii="Times" w:eastAsia="Times" w:hAnsi="Times" w:cs="Times"/>
          <w:color w:val="000000"/>
        </w:rPr>
        <w:t>Killias</w:t>
      </w:r>
      <w:proofErr w:type="spellEnd"/>
      <w:r>
        <w:rPr>
          <w:rFonts w:ascii="Times" w:eastAsia="Times" w:hAnsi="Times" w:cs="Times"/>
          <w:color w:val="000000"/>
        </w:rPr>
        <w:t xml:space="preserve">, M., &amp;Aebi, M. (2000) The impact of heroin prescription on heroin markets </w:t>
      </w:r>
      <w:proofErr w:type="gramStart"/>
      <w:r>
        <w:rPr>
          <w:rFonts w:ascii="Times" w:eastAsia="Times" w:hAnsi="Times" w:cs="Times"/>
          <w:color w:val="000000"/>
        </w:rPr>
        <w:t>in  Switzerl</w:t>
      </w:r>
      <w:r>
        <w:rPr>
          <w:rFonts w:ascii="Times" w:eastAsia="Times" w:hAnsi="Times" w:cs="Times"/>
          <w:color w:val="000000"/>
        </w:rPr>
        <w:t>and</w:t>
      </w:r>
      <w:proofErr w:type="gramEnd"/>
      <w:r>
        <w:rPr>
          <w:rFonts w:ascii="Times" w:eastAsia="Times" w:hAnsi="Times" w:cs="Times"/>
          <w:color w:val="000000"/>
        </w:rPr>
        <w:t xml:space="preserve">. </w:t>
      </w:r>
      <w:r>
        <w:rPr>
          <w:rFonts w:ascii="Times" w:eastAsia="Times" w:hAnsi="Times" w:cs="Times"/>
          <w:i/>
          <w:color w:val="000000"/>
        </w:rPr>
        <w:t>Crime Prevention Studies</w:t>
      </w:r>
      <w:r>
        <w:rPr>
          <w:rFonts w:ascii="Times" w:eastAsia="Times" w:hAnsi="Times" w:cs="Times"/>
          <w:color w:val="000000"/>
        </w:rPr>
        <w:t xml:space="preserve">, 11, pp. 83-99. </w:t>
      </w:r>
    </w:p>
    <w:p w14:paraId="5CD7287C" w14:textId="77777777" w:rsidR="00CA2320" w:rsidRDefault="00713283">
      <w:pPr>
        <w:widowControl w:val="0"/>
        <w:pBdr>
          <w:top w:val="nil"/>
          <w:left w:val="nil"/>
          <w:bottom w:val="nil"/>
          <w:right w:val="nil"/>
          <w:between w:val="nil"/>
        </w:pBdr>
        <w:spacing w:before="260" w:line="240" w:lineRule="auto"/>
        <w:ind w:left="1702"/>
        <w:rPr>
          <w:rFonts w:ascii="Times" w:eastAsia="Times" w:hAnsi="Times" w:cs="Times"/>
          <w:color w:val="3C4043"/>
        </w:rPr>
      </w:pPr>
      <w:r>
        <w:rPr>
          <w:rFonts w:ascii="Times" w:eastAsia="Times" w:hAnsi="Times" w:cs="Times"/>
          <w:color w:val="3C4043"/>
          <w:highlight w:val="white"/>
        </w:rPr>
        <w:t xml:space="preserve">Kohn, M. (1987). </w:t>
      </w:r>
      <w:r>
        <w:rPr>
          <w:rFonts w:ascii="Times" w:eastAsia="Times" w:hAnsi="Times" w:cs="Times"/>
          <w:i/>
          <w:color w:val="3C4043"/>
          <w:highlight w:val="white"/>
        </w:rPr>
        <w:t xml:space="preserve">Narcomania: On Heroin. </w:t>
      </w:r>
      <w:r>
        <w:rPr>
          <w:rFonts w:ascii="Times" w:eastAsia="Times" w:hAnsi="Times" w:cs="Times"/>
          <w:color w:val="3C4043"/>
          <w:highlight w:val="white"/>
        </w:rPr>
        <w:t>London: Faber and Faber.</w:t>
      </w:r>
      <w:r>
        <w:rPr>
          <w:rFonts w:ascii="Times" w:eastAsia="Times" w:hAnsi="Times" w:cs="Times"/>
          <w:color w:val="3C4043"/>
        </w:rPr>
        <w:t xml:space="preserve"> </w:t>
      </w:r>
    </w:p>
    <w:p w14:paraId="45391349" w14:textId="77777777" w:rsidR="00CA2320" w:rsidRDefault="00713283">
      <w:pPr>
        <w:widowControl w:val="0"/>
        <w:pBdr>
          <w:top w:val="nil"/>
          <w:left w:val="nil"/>
          <w:bottom w:val="nil"/>
          <w:right w:val="nil"/>
          <w:between w:val="nil"/>
        </w:pBdr>
        <w:spacing w:before="248" w:line="228" w:lineRule="auto"/>
        <w:ind w:left="1706" w:right="879" w:hanging="8"/>
        <w:rPr>
          <w:rFonts w:ascii="Times" w:eastAsia="Times" w:hAnsi="Times" w:cs="Times"/>
          <w:color w:val="000000"/>
        </w:rPr>
      </w:pPr>
      <w:r>
        <w:rPr>
          <w:rFonts w:ascii="Times" w:eastAsia="Times" w:hAnsi="Times" w:cs="Times"/>
          <w:color w:val="000000"/>
        </w:rPr>
        <w:t xml:space="preserve">Nutt, D., King, L. A., </w:t>
      </w:r>
      <w:proofErr w:type="spellStart"/>
      <w:r>
        <w:rPr>
          <w:rFonts w:ascii="Times" w:eastAsia="Times" w:hAnsi="Times" w:cs="Times"/>
          <w:color w:val="000000"/>
        </w:rPr>
        <w:t>Salusbury</w:t>
      </w:r>
      <w:proofErr w:type="spellEnd"/>
      <w:r>
        <w:rPr>
          <w:rFonts w:ascii="Times" w:eastAsia="Times" w:hAnsi="Times" w:cs="Times"/>
          <w:color w:val="000000"/>
        </w:rPr>
        <w:t xml:space="preserve">, W., &amp; Blakemore, C. (2007). Development of a </w:t>
      </w:r>
      <w:proofErr w:type="gramStart"/>
      <w:r>
        <w:rPr>
          <w:rFonts w:ascii="Times" w:eastAsia="Times" w:hAnsi="Times" w:cs="Times"/>
          <w:color w:val="000000"/>
        </w:rPr>
        <w:t>rational  scale</w:t>
      </w:r>
      <w:proofErr w:type="gramEnd"/>
      <w:r>
        <w:rPr>
          <w:rFonts w:ascii="Times" w:eastAsia="Times" w:hAnsi="Times" w:cs="Times"/>
          <w:color w:val="000000"/>
        </w:rPr>
        <w:t xml:space="preserve"> to assess the harm of drugs of potential misuse. </w:t>
      </w:r>
      <w:r>
        <w:rPr>
          <w:rFonts w:ascii="Times" w:eastAsia="Times" w:hAnsi="Times" w:cs="Times"/>
          <w:i/>
          <w:color w:val="000000"/>
        </w:rPr>
        <w:t xml:space="preserve">The Lancet, </w:t>
      </w:r>
      <w:r>
        <w:rPr>
          <w:rFonts w:ascii="Times" w:eastAsia="Times" w:hAnsi="Times" w:cs="Times"/>
          <w:color w:val="000000"/>
        </w:rPr>
        <w:t xml:space="preserve">369(9566), pp. 1047–1053. </w:t>
      </w:r>
    </w:p>
    <w:p w14:paraId="39A5A31F" w14:textId="77777777" w:rsidR="00CA2320" w:rsidRDefault="00713283">
      <w:pPr>
        <w:widowControl w:val="0"/>
        <w:pBdr>
          <w:top w:val="nil"/>
          <w:left w:val="nil"/>
          <w:bottom w:val="nil"/>
          <w:right w:val="nil"/>
          <w:between w:val="nil"/>
        </w:pBdr>
        <w:spacing w:before="259" w:line="228" w:lineRule="auto"/>
        <w:ind w:left="1703" w:right="1238" w:hanging="5"/>
        <w:rPr>
          <w:rFonts w:ascii="Times" w:eastAsia="Times" w:hAnsi="Times" w:cs="Times"/>
          <w:color w:val="000000"/>
        </w:rPr>
      </w:pPr>
      <w:r>
        <w:rPr>
          <w:rFonts w:ascii="Times" w:eastAsia="Times" w:hAnsi="Times" w:cs="Times"/>
          <w:color w:val="000000"/>
        </w:rPr>
        <w:t>Nutt, D., King, L., &amp; Phillips, L. (2010). Drug harms in the UK: A multic</w:t>
      </w:r>
      <w:r>
        <w:rPr>
          <w:rFonts w:ascii="Times" w:eastAsia="Times" w:hAnsi="Times" w:cs="Times"/>
          <w:color w:val="000000"/>
        </w:rPr>
        <w:t xml:space="preserve">riteria </w:t>
      </w:r>
      <w:proofErr w:type="gramStart"/>
      <w:r>
        <w:rPr>
          <w:rFonts w:ascii="Times" w:eastAsia="Times" w:hAnsi="Times" w:cs="Times"/>
          <w:color w:val="000000"/>
        </w:rPr>
        <w:t>decision  analysis</w:t>
      </w:r>
      <w:proofErr w:type="gramEnd"/>
      <w:r>
        <w:rPr>
          <w:rFonts w:ascii="Times" w:eastAsia="Times" w:hAnsi="Times" w:cs="Times"/>
          <w:color w:val="000000"/>
        </w:rPr>
        <w:t xml:space="preserve">. </w:t>
      </w:r>
      <w:r>
        <w:rPr>
          <w:rFonts w:ascii="Times" w:eastAsia="Times" w:hAnsi="Times" w:cs="Times"/>
          <w:i/>
          <w:color w:val="000000"/>
        </w:rPr>
        <w:t xml:space="preserve">The Lancet, </w:t>
      </w:r>
      <w:r>
        <w:rPr>
          <w:rFonts w:ascii="Times" w:eastAsia="Times" w:hAnsi="Times" w:cs="Times"/>
          <w:color w:val="000000"/>
        </w:rPr>
        <w:t>376(9752), pp. 1558–1565.</w:t>
      </w:r>
    </w:p>
    <w:p w14:paraId="226FC0AB" w14:textId="77777777" w:rsidR="00CA2320" w:rsidRDefault="00713283">
      <w:pPr>
        <w:widowControl w:val="0"/>
        <w:pBdr>
          <w:top w:val="nil"/>
          <w:left w:val="nil"/>
          <w:bottom w:val="nil"/>
          <w:right w:val="nil"/>
          <w:between w:val="nil"/>
        </w:pBdr>
        <w:spacing w:line="232" w:lineRule="auto"/>
        <w:ind w:left="1666" w:right="786" w:firstLine="35"/>
        <w:rPr>
          <w:rFonts w:ascii="Cambria" w:eastAsia="Cambria" w:hAnsi="Cambria" w:cs="Cambria"/>
          <w:color w:val="000000"/>
        </w:rPr>
      </w:pPr>
      <w:r>
        <w:rPr>
          <w:rFonts w:ascii="Times" w:eastAsia="Times" w:hAnsi="Times" w:cs="Times"/>
          <w:sz w:val="24"/>
          <w:szCs w:val="24"/>
        </w:rPr>
        <w:br/>
      </w:r>
      <w:r>
        <w:rPr>
          <w:rFonts w:ascii="Cambria" w:eastAsia="Cambria" w:hAnsi="Cambria" w:cs="Cambria"/>
          <w:color w:val="000000"/>
        </w:rPr>
        <w:t xml:space="preserve">The Canadian Task Force on Cannabis Legalization and Regulation (2016). </w:t>
      </w:r>
      <w:r>
        <w:rPr>
          <w:rFonts w:ascii="Cambria" w:eastAsia="Cambria" w:hAnsi="Cambria" w:cs="Cambria"/>
          <w:i/>
          <w:color w:val="000000"/>
        </w:rPr>
        <w:t xml:space="preserve">A </w:t>
      </w:r>
      <w:proofErr w:type="gramStart"/>
      <w:r>
        <w:rPr>
          <w:rFonts w:ascii="Cambria" w:eastAsia="Cambria" w:hAnsi="Cambria" w:cs="Cambria"/>
          <w:i/>
          <w:color w:val="000000"/>
        </w:rPr>
        <w:t>Framework  for</w:t>
      </w:r>
      <w:proofErr w:type="gramEnd"/>
      <w:r>
        <w:rPr>
          <w:rFonts w:ascii="Cambria" w:eastAsia="Cambria" w:hAnsi="Cambria" w:cs="Cambria"/>
          <w:i/>
          <w:color w:val="000000"/>
        </w:rPr>
        <w:t xml:space="preserve"> the Legalization and Regulation of Cannabis in Canada</w:t>
      </w:r>
      <w:r>
        <w:rPr>
          <w:rFonts w:ascii="Cambria" w:eastAsia="Cambria" w:hAnsi="Cambria" w:cs="Cambria"/>
          <w:color w:val="000000"/>
        </w:rPr>
        <w:t xml:space="preserve">.  </w:t>
      </w:r>
    </w:p>
    <w:p w14:paraId="343F22E2" w14:textId="77777777" w:rsidR="00CA2320" w:rsidRDefault="00713283">
      <w:pPr>
        <w:widowControl w:val="0"/>
        <w:pBdr>
          <w:top w:val="nil"/>
          <w:left w:val="nil"/>
          <w:bottom w:val="nil"/>
          <w:right w:val="nil"/>
          <w:between w:val="nil"/>
        </w:pBdr>
        <w:spacing w:before="8" w:line="232" w:lineRule="auto"/>
        <w:ind w:left="1706" w:right="1626" w:hanging="4"/>
        <w:rPr>
          <w:rFonts w:ascii="Cambria" w:eastAsia="Cambria" w:hAnsi="Cambria" w:cs="Cambria"/>
          <w:color w:val="000000"/>
        </w:rPr>
      </w:pPr>
      <w:r>
        <w:rPr>
          <w:rFonts w:ascii="Cambria" w:eastAsia="Cambria" w:hAnsi="Cambria" w:cs="Cambria"/>
          <w:color w:val="000000"/>
        </w:rPr>
        <w:t>http://healthycanadians.gc.ca/task-force-marijuana-groupe-etude/framework cadre/index-</w:t>
      </w:r>
      <w:proofErr w:type="spellStart"/>
      <w:r>
        <w:rPr>
          <w:rFonts w:ascii="Cambria" w:eastAsia="Cambria" w:hAnsi="Cambria" w:cs="Cambria"/>
          <w:color w:val="000000"/>
        </w:rPr>
        <w:t>eng.php</w:t>
      </w:r>
      <w:proofErr w:type="spellEnd"/>
      <w:r>
        <w:rPr>
          <w:rFonts w:ascii="Cambria" w:eastAsia="Cambria" w:hAnsi="Cambria" w:cs="Cambria"/>
          <w:color w:val="000000"/>
        </w:rPr>
        <w:t xml:space="preserve"> </w:t>
      </w:r>
    </w:p>
    <w:p w14:paraId="752A0BDE" w14:textId="77777777" w:rsidR="00CA2320" w:rsidRDefault="00713283">
      <w:pPr>
        <w:widowControl w:val="0"/>
        <w:pBdr>
          <w:top w:val="nil"/>
          <w:left w:val="nil"/>
          <w:bottom w:val="nil"/>
          <w:right w:val="nil"/>
          <w:between w:val="nil"/>
        </w:pBdr>
        <w:spacing w:before="250" w:line="230" w:lineRule="auto"/>
        <w:ind w:left="1696" w:right="887" w:firstLine="1"/>
        <w:rPr>
          <w:rFonts w:ascii="Times" w:eastAsia="Times" w:hAnsi="Times" w:cs="Times"/>
          <w:i/>
          <w:color w:val="000000"/>
        </w:rPr>
      </w:pPr>
      <w:r>
        <w:rPr>
          <w:rFonts w:ascii="Times" w:eastAsia="Times" w:hAnsi="Times" w:cs="Times"/>
          <w:color w:val="000000"/>
        </w:rPr>
        <w:t xml:space="preserve">Rolles, S. (2009). After the War on Drugs; Blueprint for Regulation. </w:t>
      </w:r>
      <w:r>
        <w:rPr>
          <w:rFonts w:ascii="Times" w:eastAsia="Times" w:hAnsi="Times" w:cs="Times"/>
          <w:i/>
          <w:color w:val="000000"/>
        </w:rPr>
        <w:t xml:space="preserve">Transform Drug </w:t>
      </w:r>
      <w:proofErr w:type="gramStart"/>
      <w:r>
        <w:rPr>
          <w:rFonts w:ascii="Times" w:eastAsia="Times" w:hAnsi="Times" w:cs="Times"/>
          <w:i/>
          <w:color w:val="000000"/>
        </w:rPr>
        <w:t>Policy  Foundation</w:t>
      </w:r>
      <w:proofErr w:type="gramEnd"/>
      <w:r>
        <w:rPr>
          <w:rFonts w:ascii="Times" w:eastAsia="Times" w:hAnsi="Times" w:cs="Times"/>
          <w:i/>
          <w:color w:val="000000"/>
        </w:rPr>
        <w:t xml:space="preserve">.  </w:t>
      </w:r>
    </w:p>
    <w:p w14:paraId="691646B2" w14:textId="77777777" w:rsidR="00CA2320" w:rsidRDefault="00713283">
      <w:pPr>
        <w:widowControl w:val="0"/>
        <w:pBdr>
          <w:top w:val="nil"/>
          <w:left w:val="nil"/>
          <w:bottom w:val="nil"/>
          <w:right w:val="nil"/>
          <w:between w:val="nil"/>
        </w:pBdr>
        <w:spacing w:before="3" w:line="240" w:lineRule="auto"/>
        <w:ind w:left="1699"/>
        <w:rPr>
          <w:rFonts w:ascii="Times" w:eastAsia="Times" w:hAnsi="Times" w:cs="Times"/>
          <w:color w:val="000000"/>
        </w:rPr>
      </w:pPr>
      <w:r>
        <w:rPr>
          <w:rFonts w:ascii="Times" w:eastAsia="Times" w:hAnsi="Times" w:cs="Times"/>
          <w:color w:val="000000"/>
        </w:rPr>
        <w:t xml:space="preserve">www.transformdrugs.org/product/after-the-war-on-drugs-blueprint-for-regulation/ </w:t>
      </w:r>
    </w:p>
    <w:p w14:paraId="16A30F08" w14:textId="77777777" w:rsidR="00CA2320" w:rsidRDefault="00713283">
      <w:pPr>
        <w:widowControl w:val="0"/>
        <w:pBdr>
          <w:top w:val="nil"/>
          <w:left w:val="nil"/>
          <w:bottom w:val="nil"/>
          <w:right w:val="nil"/>
          <w:between w:val="nil"/>
        </w:pBdr>
        <w:spacing w:before="248" w:line="228" w:lineRule="auto"/>
        <w:ind w:left="1698" w:right="930"/>
        <w:rPr>
          <w:rFonts w:ascii="Times" w:eastAsia="Times" w:hAnsi="Times" w:cs="Times"/>
          <w:color w:val="000000"/>
        </w:rPr>
      </w:pPr>
      <w:r>
        <w:rPr>
          <w:rFonts w:ascii="Times" w:eastAsia="Times" w:hAnsi="Times" w:cs="Times"/>
          <w:color w:val="000000"/>
        </w:rPr>
        <w:t xml:space="preserve">Rolles, S., &amp; Measham, F. (2011). Questioning the method and utility of ranking drug </w:t>
      </w:r>
      <w:proofErr w:type="gramStart"/>
      <w:r>
        <w:rPr>
          <w:rFonts w:ascii="Times" w:eastAsia="Times" w:hAnsi="Times" w:cs="Times"/>
          <w:color w:val="000000"/>
        </w:rPr>
        <w:t>harms  in</w:t>
      </w:r>
      <w:proofErr w:type="gramEnd"/>
      <w:r>
        <w:rPr>
          <w:rFonts w:ascii="Times" w:eastAsia="Times" w:hAnsi="Times" w:cs="Times"/>
          <w:color w:val="000000"/>
        </w:rPr>
        <w:t xml:space="preserve"> drug policy. </w:t>
      </w:r>
      <w:r>
        <w:rPr>
          <w:rFonts w:ascii="Times" w:eastAsia="Times" w:hAnsi="Times" w:cs="Times"/>
          <w:i/>
          <w:color w:val="000000"/>
        </w:rPr>
        <w:t xml:space="preserve">International Journal of Drug Policy </w:t>
      </w:r>
      <w:r>
        <w:rPr>
          <w:rFonts w:ascii="Times" w:eastAsia="Times" w:hAnsi="Times" w:cs="Times"/>
          <w:color w:val="000000"/>
        </w:rPr>
        <w:t xml:space="preserve">(2011), </w:t>
      </w:r>
      <w:proofErr w:type="spellStart"/>
      <w:r>
        <w:rPr>
          <w:rFonts w:ascii="Times" w:eastAsia="Times" w:hAnsi="Times" w:cs="Times"/>
          <w:color w:val="000000"/>
        </w:rPr>
        <w:t>doi</w:t>
      </w:r>
      <w:proofErr w:type="spellEnd"/>
      <w:r>
        <w:rPr>
          <w:rFonts w:ascii="Times" w:eastAsia="Times" w:hAnsi="Times" w:cs="Times"/>
          <w:color w:val="000000"/>
        </w:rPr>
        <w:t xml:space="preserve">:  </w:t>
      </w:r>
    </w:p>
    <w:p w14:paraId="08845CC2" w14:textId="77777777" w:rsidR="00CA2320" w:rsidRDefault="00713283">
      <w:pPr>
        <w:widowControl w:val="0"/>
        <w:pBdr>
          <w:top w:val="nil"/>
          <w:left w:val="nil"/>
          <w:bottom w:val="nil"/>
          <w:right w:val="nil"/>
          <w:between w:val="nil"/>
        </w:pBdr>
        <w:spacing w:before="7" w:line="240" w:lineRule="auto"/>
        <w:ind w:left="1719"/>
        <w:rPr>
          <w:rFonts w:ascii="Times" w:eastAsia="Times" w:hAnsi="Times" w:cs="Times"/>
          <w:color w:val="000000"/>
        </w:rPr>
      </w:pPr>
      <w:r>
        <w:rPr>
          <w:rFonts w:ascii="Times" w:eastAsia="Times" w:hAnsi="Times" w:cs="Times"/>
          <w:color w:val="000000"/>
        </w:rPr>
        <w:t>10.1016/j.drugp</w:t>
      </w:r>
      <w:r>
        <w:rPr>
          <w:rFonts w:ascii="Times" w:eastAsia="Times" w:hAnsi="Times" w:cs="Times"/>
          <w:color w:val="000000"/>
        </w:rPr>
        <w:t xml:space="preserve">o.2011.04.004  </w:t>
      </w:r>
    </w:p>
    <w:p w14:paraId="58E73074" w14:textId="77777777" w:rsidR="00CA2320" w:rsidRDefault="00713283">
      <w:pPr>
        <w:widowControl w:val="0"/>
        <w:pBdr>
          <w:top w:val="nil"/>
          <w:left w:val="nil"/>
          <w:bottom w:val="nil"/>
          <w:right w:val="nil"/>
          <w:between w:val="nil"/>
        </w:pBdr>
        <w:spacing w:before="248" w:line="228" w:lineRule="auto"/>
        <w:ind w:left="1693" w:right="1076" w:firstLine="5"/>
        <w:rPr>
          <w:rFonts w:ascii="Times" w:eastAsia="Times" w:hAnsi="Times" w:cs="Times"/>
          <w:i/>
          <w:color w:val="000000"/>
        </w:rPr>
      </w:pPr>
      <w:r>
        <w:rPr>
          <w:rFonts w:ascii="Times" w:eastAsia="Times" w:hAnsi="Times" w:cs="Times"/>
          <w:color w:val="000000"/>
        </w:rPr>
        <w:t xml:space="preserve">Rolles, S., &amp; </w:t>
      </w:r>
      <w:proofErr w:type="spellStart"/>
      <w:r>
        <w:rPr>
          <w:rFonts w:ascii="Times" w:eastAsia="Times" w:hAnsi="Times" w:cs="Times"/>
          <w:color w:val="000000"/>
        </w:rPr>
        <w:t>Murkin</w:t>
      </w:r>
      <w:proofErr w:type="spellEnd"/>
      <w:r>
        <w:rPr>
          <w:rFonts w:ascii="Times" w:eastAsia="Times" w:hAnsi="Times" w:cs="Times"/>
          <w:color w:val="000000"/>
        </w:rPr>
        <w:t xml:space="preserve">, G. (2013) </w:t>
      </w:r>
      <w:r>
        <w:rPr>
          <w:rFonts w:ascii="Times" w:eastAsia="Times" w:hAnsi="Times" w:cs="Times"/>
          <w:i/>
          <w:color w:val="000000"/>
        </w:rPr>
        <w:t xml:space="preserve">How to Regulate Cannabis: A Practical </w:t>
      </w:r>
      <w:proofErr w:type="gramStart"/>
      <w:r>
        <w:rPr>
          <w:rFonts w:ascii="Times" w:eastAsia="Times" w:hAnsi="Times" w:cs="Times"/>
          <w:i/>
          <w:color w:val="000000"/>
        </w:rPr>
        <w:t xml:space="preserve">Guide </w:t>
      </w:r>
      <w:r>
        <w:rPr>
          <w:rFonts w:ascii="Times" w:eastAsia="Times" w:hAnsi="Times" w:cs="Times"/>
          <w:color w:val="000000"/>
        </w:rPr>
        <w:t>.</w:t>
      </w:r>
      <w:r>
        <w:rPr>
          <w:rFonts w:ascii="Times" w:eastAsia="Times" w:hAnsi="Times" w:cs="Times"/>
          <w:i/>
          <w:color w:val="000000"/>
        </w:rPr>
        <w:t>Transform</w:t>
      </w:r>
      <w:proofErr w:type="gramEnd"/>
      <w:r>
        <w:rPr>
          <w:rFonts w:ascii="Times" w:eastAsia="Times" w:hAnsi="Times" w:cs="Times"/>
          <w:i/>
          <w:color w:val="000000"/>
        </w:rPr>
        <w:t xml:space="preserve">  Drug Policy Foundation.  </w:t>
      </w:r>
    </w:p>
    <w:p w14:paraId="383AB1E6" w14:textId="77777777" w:rsidR="00CA2320" w:rsidRDefault="00713283">
      <w:pPr>
        <w:widowControl w:val="0"/>
        <w:pBdr>
          <w:top w:val="nil"/>
          <w:left w:val="nil"/>
          <w:bottom w:val="nil"/>
          <w:right w:val="nil"/>
          <w:between w:val="nil"/>
        </w:pBdr>
        <w:spacing w:before="5" w:line="240" w:lineRule="auto"/>
        <w:ind w:left="1697"/>
        <w:rPr>
          <w:rFonts w:ascii="Times" w:eastAsia="Times" w:hAnsi="Times" w:cs="Times"/>
          <w:color w:val="000000"/>
        </w:rPr>
      </w:pPr>
      <w:r>
        <w:rPr>
          <w:rFonts w:ascii="Times" w:eastAsia="Times" w:hAnsi="Times" w:cs="Times"/>
          <w:color w:val="000000"/>
        </w:rPr>
        <w:t xml:space="preserve">https://transformdrugs.org/product/how-to-regulate-cannabis-a-practical-guide/ </w:t>
      </w:r>
    </w:p>
    <w:p w14:paraId="3EC7A3A4" w14:textId="77777777" w:rsidR="00CA2320" w:rsidRDefault="00713283">
      <w:pPr>
        <w:widowControl w:val="0"/>
        <w:pBdr>
          <w:top w:val="nil"/>
          <w:left w:val="nil"/>
          <w:bottom w:val="nil"/>
          <w:right w:val="nil"/>
          <w:between w:val="nil"/>
        </w:pBdr>
        <w:spacing w:before="249" w:line="228" w:lineRule="auto"/>
        <w:ind w:left="1695" w:right="778" w:firstLine="3"/>
        <w:rPr>
          <w:rFonts w:ascii="Times" w:eastAsia="Times" w:hAnsi="Times" w:cs="Times"/>
          <w:color w:val="000000"/>
        </w:rPr>
      </w:pPr>
      <w:proofErr w:type="spellStart"/>
      <w:r>
        <w:rPr>
          <w:rFonts w:ascii="Times" w:eastAsia="Times" w:hAnsi="Times" w:cs="Times"/>
          <w:color w:val="000000"/>
        </w:rPr>
        <w:t>Rogeberg</w:t>
      </w:r>
      <w:proofErr w:type="spellEnd"/>
      <w:r>
        <w:rPr>
          <w:rFonts w:ascii="Times" w:eastAsia="Times" w:hAnsi="Times" w:cs="Times"/>
          <w:color w:val="000000"/>
        </w:rPr>
        <w:t xml:space="preserve">, O., </w:t>
      </w:r>
      <w:proofErr w:type="spellStart"/>
      <w:r>
        <w:rPr>
          <w:rFonts w:ascii="Times" w:eastAsia="Times" w:hAnsi="Times" w:cs="Times"/>
          <w:color w:val="000000"/>
        </w:rPr>
        <w:t>Bergsvik</w:t>
      </w:r>
      <w:proofErr w:type="spellEnd"/>
      <w:r>
        <w:rPr>
          <w:rFonts w:ascii="Times" w:eastAsia="Times" w:hAnsi="Times" w:cs="Times"/>
          <w:color w:val="000000"/>
        </w:rPr>
        <w:t xml:space="preserve">, D., Phillips, L., van Amsterdam, J., Eastwood, N., Henderson, G., </w:t>
      </w:r>
      <w:proofErr w:type="gramStart"/>
      <w:r>
        <w:rPr>
          <w:rFonts w:ascii="Times" w:eastAsia="Times" w:hAnsi="Times" w:cs="Times"/>
          <w:color w:val="000000"/>
        </w:rPr>
        <w:t>et  al</w:t>
      </w:r>
      <w:proofErr w:type="gramEnd"/>
      <w:r>
        <w:rPr>
          <w:rFonts w:ascii="Times" w:eastAsia="Times" w:hAnsi="Times" w:cs="Times"/>
          <w:color w:val="000000"/>
        </w:rPr>
        <w:t xml:space="preserve"> (2018). A new approach to formulating and appraising drug policy: A multi-</w:t>
      </w:r>
      <w:proofErr w:type="gramStart"/>
      <w:r>
        <w:rPr>
          <w:rFonts w:ascii="Times" w:eastAsia="Times" w:hAnsi="Times" w:cs="Times"/>
          <w:color w:val="000000"/>
        </w:rPr>
        <w:t>crite</w:t>
      </w:r>
      <w:r>
        <w:rPr>
          <w:rFonts w:ascii="Times" w:eastAsia="Times" w:hAnsi="Times" w:cs="Times"/>
          <w:color w:val="000000"/>
        </w:rPr>
        <w:t>rion  decision</w:t>
      </w:r>
      <w:proofErr w:type="gramEnd"/>
      <w:r>
        <w:rPr>
          <w:rFonts w:ascii="Times" w:eastAsia="Times" w:hAnsi="Times" w:cs="Times"/>
          <w:color w:val="000000"/>
        </w:rPr>
        <w:t xml:space="preserve"> analysis applied to alcohol and cannabis </w:t>
      </w:r>
      <w:proofErr w:type="spellStart"/>
      <w:r>
        <w:rPr>
          <w:rFonts w:ascii="Times" w:eastAsia="Times" w:hAnsi="Times" w:cs="Times"/>
          <w:color w:val="000000"/>
        </w:rPr>
        <w:t>regulation.</w:t>
      </w:r>
      <w:r>
        <w:rPr>
          <w:rFonts w:ascii="Times" w:eastAsia="Times" w:hAnsi="Times" w:cs="Times"/>
          <w:i/>
          <w:color w:val="000000"/>
        </w:rPr>
        <w:t>International</w:t>
      </w:r>
      <w:proofErr w:type="spellEnd"/>
      <w:r>
        <w:rPr>
          <w:rFonts w:ascii="Times" w:eastAsia="Times" w:hAnsi="Times" w:cs="Times"/>
          <w:i/>
          <w:color w:val="000000"/>
        </w:rPr>
        <w:t xml:space="preserve"> Journal of Drug  Policy</w:t>
      </w:r>
      <w:r>
        <w:rPr>
          <w:rFonts w:ascii="Times" w:eastAsia="Times" w:hAnsi="Times" w:cs="Times"/>
          <w:color w:val="000000"/>
          <w:sz w:val="24"/>
          <w:szCs w:val="24"/>
        </w:rPr>
        <w:t xml:space="preserve">, </w:t>
      </w:r>
      <w:r>
        <w:rPr>
          <w:rFonts w:ascii="Times" w:eastAsia="Times" w:hAnsi="Times" w:cs="Times"/>
          <w:color w:val="000000"/>
        </w:rPr>
        <w:t xml:space="preserve">56, pp. 144-152.  </w:t>
      </w:r>
    </w:p>
    <w:p w14:paraId="0BDD9150" w14:textId="77777777" w:rsidR="00CA2320" w:rsidRDefault="00713283">
      <w:pPr>
        <w:widowControl w:val="0"/>
        <w:pBdr>
          <w:top w:val="nil"/>
          <w:left w:val="nil"/>
          <w:bottom w:val="nil"/>
          <w:right w:val="nil"/>
          <w:between w:val="nil"/>
        </w:pBdr>
        <w:spacing w:before="266" w:line="228" w:lineRule="auto"/>
        <w:ind w:left="1695" w:right="836" w:firstLine="9"/>
        <w:rPr>
          <w:rFonts w:ascii="Times" w:eastAsia="Times" w:hAnsi="Times" w:cs="Times"/>
          <w:color w:val="000000"/>
        </w:rPr>
      </w:pPr>
      <w:r>
        <w:rPr>
          <w:rFonts w:ascii="Times" w:eastAsia="Times" w:hAnsi="Times" w:cs="Times"/>
          <w:color w:val="000000"/>
        </w:rPr>
        <w:t xml:space="preserve">Strang, J., </w:t>
      </w:r>
      <w:proofErr w:type="spellStart"/>
      <w:r>
        <w:rPr>
          <w:rFonts w:ascii="Times" w:eastAsia="Times" w:hAnsi="Times" w:cs="Times"/>
          <w:color w:val="000000"/>
        </w:rPr>
        <w:t>Groshkova</w:t>
      </w:r>
      <w:proofErr w:type="spellEnd"/>
      <w:r>
        <w:rPr>
          <w:rFonts w:ascii="Times" w:eastAsia="Times" w:hAnsi="Times" w:cs="Times"/>
          <w:color w:val="000000"/>
        </w:rPr>
        <w:t xml:space="preserve">, T., </w:t>
      </w:r>
      <w:proofErr w:type="spellStart"/>
      <w:r>
        <w:rPr>
          <w:rFonts w:ascii="Times" w:eastAsia="Times" w:hAnsi="Times" w:cs="Times"/>
          <w:color w:val="000000"/>
        </w:rPr>
        <w:t>Uchtenhagen</w:t>
      </w:r>
      <w:proofErr w:type="spellEnd"/>
      <w:r>
        <w:rPr>
          <w:rFonts w:ascii="Times" w:eastAsia="Times" w:hAnsi="Times" w:cs="Times"/>
          <w:color w:val="000000"/>
        </w:rPr>
        <w:t xml:space="preserve">, A., van den Brink, W., </w:t>
      </w:r>
      <w:proofErr w:type="spellStart"/>
      <w:r>
        <w:rPr>
          <w:rFonts w:ascii="Times" w:eastAsia="Times" w:hAnsi="Times" w:cs="Times"/>
          <w:color w:val="000000"/>
        </w:rPr>
        <w:t>Haasen</w:t>
      </w:r>
      <w:proofErr w:type="spellEnd"/>
      <w:r>
        <w:rPr>
          <w:rFonts w:ascii="Times" w:eastAsia="Times" w:hAnsi="Times" w:cs="Times"/>
          <w:color w:val="000000"/>
        </w:rPr>
        <w:t xml:space="preserve">, C., Schechter, M., </w:t>
      </w:r>
      <w:proofErr w:type="gramStart"/>
      <w:r>
        <w:rPr>
          <w:rFonts w:ascii="Times" w:eastAsia="Times" w:hAnsi="Times" w:cs="Times"/>
          <w:color w:val="000000"/>
        </w:rPr>
        <w:t>et  al</w:t>
      </w:r>
      <w:proofErr w:type="gramEnd"/>
      <w:r>
        <w:rPr>
          <w:rFonts w:ascii="Times" w:eastAsia="Times" w:hAnsi="Times" w:cs="Times"/>
          <w:color w:val="000000"/>
        </w:rPr>
        <w:t xml:space="preserve"> (2015) Heroin on trial: Systematic review and meta-analysis of randomised trials of  diamorphine-prescribing as treatment for refractory heroin addiction. </w:t>
      </w:r>
      <w:r>
        <w:rPr>
          <w:rFonts w:ascii="Times" w:eastAsia="Times" w:hAnsi="Times" w:cs="Times"/>
          <w:i/>
          <w:color w:val="000000"/>
        </w:rPr>
        <w:t xml:space="preserve">The British Journal </w:t>
      </w:r>
      <w:proofErr w:type="gramStart"/>
      <w:r>
        <w:rPr>
          <w:rFonts w:ascii="Times" w:eastAsia="Times" w:hAnsi="Times" w:cs="Times"/>
          <w:i/>
          <w:color w:val="000000"/>
        </w:rPr>
        <w:t>of  Psychiatry</w:t>
      </w:r>
      <w:proofErr w:type="gramEnd"/>
      <w:r>
        <w:rPr>
          <w:rFonts w:ascii="Times" w:eastAsia="Times" w:hAnsi="Times" w:cs="Times"/>
          <w:i/>
          <w:color w:val="000000"/>
        </w:rPr>
        <w:t xml:space="preserve">, </w:t>
      </w:r>
      <w:r>
        <w:rPr>
          <w:rFonts w:ascii="Times" w:eastAsia="Times" w:hAnsi="Times" w:cs="Times"/>
          <w:color w:val="000000"/>
        </w:rPr>
        <w:t>207</w:t>
      </w:r>
      <w:r>
        <w:rPr>
          <w:rFonts w:ascii="Times" w:eastAsia="Times" w:hAnsi="Times" w:cs="Times"/>
          <w:color w:val="000000"/>
          <w:sz w:val="24"/>
          <w:szCs w:val="24"/>
        </w:rPr>
        <w:t>(</w:t>
      </w:r>
      <w:r>
        <w:rPr>
          <w:rFonts w:ascii="Times" w:eastAsia="Times" w:hAnsi="Times" w:cs="Times"/>
          <w:color w:val="000000"/>
        </w:rPr>
        <w:t xml:space="preserve">1), pp. 5-14. </w:t>
      </w:r>
    </w:p>
    <w:p w14:paraId="4E1C6F85" w14:textId="77777777" w:rsidR="00CA2320" w:rsidRDefault="00713283">
      <w:pPr>
        <w:widowControl w:val="0"/>
        <w:pBdr>
          <w:top w:val="nil"/>
          <w:left w:val="nil"/>
          <w:bottom w:val="nil"/>
          <w:right w:val="nil"/>
          <w:between w:val="nil"/>
        </w:pBdr>
        <w:spacing w:before="264" w:line="240" w:lineRule="auto"/>
        <w:ind w:left="1698"/>
        <w:rPr>
          <w:rFonts w:ascii="Times" w:eastAsia="Times" w:hAnsi="Times" w:cs="Times"/>
          <w:i/>
          <w:color w:val="000000"/>
        </w:rPr>
      </w:pPr>
      <w:r>
        <w:rPr>
          <w:rFonts w:ascii="Times" w:eastAsia="Times" w:hAnsi="Times" w:cs="Times"/>
          <w:color w:val="000000"/>
          <w:highlight w:val="white"/>
        </w:rPr>
        <w:t xml:space="preserve">United Nations (1972). </w:t>
      </w:r>
      <w:r>
        <w:rPr>
          <w:rFonts w:ascii="Times" w:eastAsia="Times" w:hAnsi="Times" w:cs="Times"/>
          <w:i/>
          <w:color w:val="000000"/>
          <w:highlight w:val="white"/>
        </w:rPr>
        <w:t xml:space="preserve">Single Convention on Narcotic Drugs, </w:t>
      </w:r>
      <w:r>
        <w:rPr>
          <w:rFonts w:ascii="Times" w:eastAsia="Times" w:hAnsi="Times" w:cs="Times"/>
          <w:i/>
          <w:color w:val="000000"/>
        </w:rPr>
        <w:t xml:space="preserve"> </w:t>
      </w:r>
    </w:p>
    <w:p w14:paraId="33EF29C4" w14:textId="77777777" w:rsidR="00CA2320" w:rsidRDefault="00713283">
      <w:pPr>
        <w:widowControl w:val="0"/>
        <w:pBdr>
          <w:top w:val="nil"/>
          <w:left w:val="nil"/>
          <w:bottom w:val="nil"/>
          <w:right w:val="nil"/>
          <w:between w:val="nil"/>
        </w:pBdr>
        <w:spacing w:line="240" w:lineRule="auto"/>
        <w:ind w:left="1705"/>
        <w:rPr>
          <w:rFonts w:ascii="Times" w:eastAsia="Times" w:hAnsi="Times" w:cs="Times"/>
          <w:color w:val="000000"/>
        </w:rPr>
      </w:pPr>
      <w:r>
        <w:rPr>
          <w:rFonts w:ascii="Times" w:eastAsia="Times" w:hAnsi="Times" w:cs="Times"/>
          <w:i/>
          <w:color w:val="000000"/>
          <w:highlight w:val="white"/>
        </w:rPr>
        <w:t>1961.</w:t>
      </w:r>
      <w:hyperlink r:id="rId17">
        <w:r>
          <w:rPr>
            <w:rFonts w:ascii="Times" w:eastAsia="Times" w:hAnsi="Times" w:cs="Times"/>
            <w:color w:val="1155CC"/>
            <w:highlight w:val="white"/>
            <w:u w:val="single"/>
          </w:rPr>
          <w:t>https://www.unodc.org/pdf/convention_1961_en.pdf</w:t>
        </w:r>
      </w:hyperlink>
      <w:r>
        <w:rPr>
          <w:rFonts w:ascii="Times" w:eastAsia="Times" w:hAnsi="Times" w:cs="Times"/>
          <w:color w:val="1155CC"/>
          <w:highlight w:val="white"/>
          <w:u w:val="single"/>
        </w:rPr>
        <w:br/>
      </w:r>
      <w:r>
        <w:rPr>
          <w:rFonts w:ascii="Times" w:eastAsia="Times" w:hAnsi="Times" w:cs="Times"/>
          <w:color w:val="1155CC"/>
          <w:highlight w:val="white"/>
          <w:u w:val="single"/>
        </w:rPr>
        <w:br/>
      </w:r>
      <w:r>
        <w:rPr>
          <w:rFonts w:ascii="Times" w:eastAsia="Times" w:hAnsi="Times" w:cs="Times"/>
          <w:color w:val="1155CC"/>
          <w:highlight w:val="white"/>
          <w:u w:val="single"/>
        </w:rPr>
        <w:br/>
      </w:r>
    </w:p>
    <w:sectPr w:rsidR="00CA2320">
      <w:headerReference w:type="default" r:id="rId18"/>
      <w:pgSz w:w="11880" w:h="16840"/>
      <w:pgMar w:top="40" w:right="987" w:bottom="766" w:left="105"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25F4A" w14:textId="77777777" w:rsidR="00713283" w:rsidRDefault="00713283">
      <w:pPr>
        <w:spacing w:line="240" w:lineRule="auto"/>
      </w:pPr>
      <w:r>
        <w:separator/>
      </w:r>
    </w:p>
  </w:endnote>
  <w:endnote w:type="continuationSeparator" w:id="0">
    <w:p w14:paraId="7DB4D273" w14:textId="77777777" w:rsidR="00713283" w:rsidRDefault="007132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auto"/>
    <w:pitch w:val="default"/>
  </w:font>
  <w:font w:name="Cambria">
    <w:panose1 w:val="0204050305040603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098E4" w14:textId="77777777" w:rsidR="00713283" w:rsidRDefault="00713283">
      <w:pPr>
        <w:spacing w:line="240" w:lineRule="auto"/>
      </w:pPr>
      <w:r>
        <w:separator/>
      </w:r>
    </w:p>
  </w:footnote>
  <w:footnote w:type="continuationSeparator" w:id="0">
    <w:p w14:paraId="798228FC" w14:textId="77777777" w:rsidR="00713283" w:rsidRDefault="007132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C88C6" w14:textId="77777777" w:rsidR="00CA2320" w:rsidRDefault="00CA232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320"/>
    <w:rsid w:val="00713283"/>
    <w:rsid w:val="00941BA8"/>
    <w:rsid w:val="00CA2320"/>
    <w:rsid w:val="00EE0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30F3"/>
  <w15:docId w15:val="{3EC95856-14B6-4B47-ACAA-58642D6D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41BA8"/>
    <w:rPr>
      <w:color w:val="0000FF" w:themeColor="hyperlink"/>
      <w:u w:val="single"/>
    </w:rPr>
  </w:style>
  <w:style w:type="character" w:styleId="UnresolvedMention">
    <w:name w:val="Unresolved Mention"/>
    <w:basedOn w:val="DefaultParagraphFont"/>
    <w:uiPriority w:val="99"/>
    <w:semiHidden/>
    <w:unhideWhenUsed/>
    <w:rsid w:val="00941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teve@transformdrugs.org" TargetMode="External"/><Relationship Id="rId13" Type="http://schemas.openxmlformats.org/officeDocument/2006/relationships/hyperlink" Target="mailto:ole.rogeberg@gmail.com"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ciencedirect.com/science/article/pii/S0955395921000785" TargetMode="External"/><Relationship Id="rId12" Type="http://schemas.openxmlformats.org/officeDocument/2006/relationships/hyperlink" Target="mailto:danielbergsvik@gmail.com" TargetMode="External"/><Relationship Id="rId17" Type="http://schemas.openxmlformats.org/officeDocument/2006/relationships/hyperlink" Target="https://www.unodc.org/pdf/convention_1961_en.pdf" TargetMode="External"/><Relationship Id="rId2" Type="http://schemas.openxmlformats.org/officeDocument/2006/relationships/settings" Target="settings.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reativecommons.org/licenses/by-nc-sa/4.0/" TargetMode="External"/><Relationship Id="rId11" Type="http://schemas.openxmlformats.org/officeDocument/2006/relationships/hyperlink" Target="mailto:d.nutt@imperial.ac.uk" TargetMode="External"/><Relationship Id="rId5" Type="http://schemas.openxmlformats.org/officeDocument/2006/relationships/endnotes" Target="endnotes.xml"/><Relationship Id="rId15" Type="http://schemas.openxmlformats.org/officeDocument/2006/relationships/image" Target="media/image2.png"/><Relationship Id="rId10" Type="http://schemas.openxmlformats.org/officeDocument/2006/relationships/hyperlink" Target="mailto:F.Measham@liverpool.ac.uk"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nne.schlag@drugscience.org.uk"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5735</Words>
  <Characters>32694</Characters>
  <Application>Microsoft Office Word</Application>
  <DocSecurity>0</DocSecurity>
  <Lines>272</Lines>
  <Paragraphs>76</Paragraphs>
  <ScaleCrop>false</ScaleCrop>
  <Company/>
  <LinksUpToDate>false</LinksUpToDate>
  <CharactersWithSpaces>38353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Measham</dc:creator>
  <cp:lastModifiedBy>Measham, Fiona</cp:lastModifiedBy>
  <cp:revision>3</cp:revision>
  <dcterms:created xsi:type="dcterms:W3CDTF">2021-02-26T12:33:00Z</dcterms:created>
  <dcterms:modified xsi:type="dcterms:W3CDTF">2021-02-26T12:33:00Z</dcterms:modified>
</cp:coreProperties>
</file>