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7DF71" w14:textId="50339AA4" w:rsidR="00F037EC" w:rsidRPr="00455EF2" w:rsidRDefault="00D651F9" w:rsidP="00455EF2">
      <w:pPr>
        <w:pStyle w:val="Title"/>
      </w:pPr>
      <w:r w:rsidRPr="00455EF2">
        <w:t xml:space="preserve">Title: </w:t>
      </w:r>
      <w:r w:rsidR="00F27E27" w:rsidRPr="00455EF2">
        <w:t>Complete genome sequence</w:t>
      </w:r>
      <w:r w:rsidR="00355466">
        <w:t>s</w:t>
      </w:r>
      <w:r w:rsidR="00F27E27" w:rsidRPr="00455EF2">
        <w:t xml:space="preserve"> of </w:t>
      </w:r>
      <w:r w:rsidR="00305B5D">
        <w:t xml:space="preserve">African </w:t>
      </w:r>
      <w:r w:rsidR="00F27E27" w:rsidRPr="000B0F72">
        <w:rPr>
          <w:i/>
        </w:rPr>
        <w:t>Salmonella</w:t>
      </w:r>
      <w:r w:rsidR="00F27E27" w:rsidRPr="00455EF2">
        <w:t xml:space="preserve"> Enteritidis </w:t>
      </w:r>
      <w:r w:rsidR="009922AC">
        <w:t>clinical isolates</w:t>
      </w:r>
      <w:r w:rsidR="001E6572">
        <w:t xml:space="preserve"> associated with bloodstream infection</w:t>
      </w:r>
    </w:p>
    <w:p w14:paraId="42067CF4" w14:textId="77777777" w:rsidR="00891A97" w:rsidRDefault="00891A97" w:rsidP="00455EF2"/>
    <w:p w14:paraId="7683BC87" w14:textId="000022CB" w:rsidR="00F27E27" w:rsidRDefault="00F27E27" w:rsidP="00455EF2">
      <w:pPr>
        <w:rPr>
          <w:vertAlign w:val="superscript"/>
        </w:rPr>
      </w:pPr>
      <w:r w:rsidRPr="00455EF2">
        <w:t xml:space="preserve">Blanca </w:t>
      </w:r>
      <w:r w:rsidR="00932E9D" w:rsidRPr="00455EF2">
        <w:t>M.</w:t>
      </w:r>
      <w:r w:rsidR="00932E9D">
        <w:t xml:space="preserve"> </w:t>
      </w:r>
      <w:r w:rsidRPr="007F3FFD">
        <w:t>Perez-</w:t>
      </w:r>
      <w:proofErr w:type="spellStart"/>
      <w:r w:rsidRPr="007F3FFD">
        <w:t>Sepulveda</w:t>
      </w:r>
      <w:r w:rsidR="00AB53F0">
        <w:rPr>
          <w:vertAlign w:val="superscript"/>
        </w:rPr>
        <w:t>a</w:t>
      </w:r>
      <w:proofErr w:type="spellEnd"/>
      <w:r w:rsidR="006052D9" w:rsidRPr="007F3FFD">
        <w:t>, Alex</w:t>
      </w:r>
      <w:r w:rsidR="009C4E50">
        <w:t>ander</w:t>
      </w:r>
      <w:r w:rsidR="006052D9" w:rsidRPr="007F3FFD">
        <w:t xml:space="preserve"> V. </w:t>
      </w:r>
      <w:proofErr w:type="spellStart"/>
      <w:r w:rsidR="006052D9" w:rsidRPr="007F3FFD">
        <w:t>Predeus</w:t>
      </w:r>
      <w:r w:rsidR="00AB53F0">
        <w:rPr>
          <w:vertAlign w:val="superscript"/>
        </w:rPr>
        <w:t>a</w:t>
      </w:r>
      <w:proofErr w:type="spellEnd"/>
      <w:r w:rsidR="006052D9" w:rsidRPr="007F3FFD">
        <w:t>,</w:t>
      </w:r>
      <w:r w:rsidR="00D651F9">
        <w:t xml:space="preserve"> </w:t>
      </w:r>
      <w:r w:rsidR="003C3444">
        <w:t xml:space="preserve">Wai Yee </w:t>
      </w:r>
      <w:proofErr w:type="spellStart"/>
      <w:r w:rsidR="003C3444">
        <w:t>Fong</w:t>
      </w:r>
      <w:r w:rsidR="00AB53F0">
        <w:rPr>
          <w:vertAlign w:val="superscript"/>
        </w:rPr>
        <w:t>a</w:t>
      </w:r>
      <w:proofErr w:type="spellEnd"/>
      <w:r w:rsidR="003C3444">
        <w:t xml:space="preserve">, </w:t>
      </w:r>
      <w:r w:rsidR="004A1A47">
        <w:t xml:space="preserve">Christopher M. </w:t>
      </w:r>
      <w:proofErr w:type="spellStart"/>
      <w:r w:rsidR="004A1A47">
        <w:t>Parry</w:t>
      </w:r>
      <w:r w:rsidR="00AB53F0">
        <w:rPr>
          <w:vertAlign w:val="superscript"/>
        </w:rPr>
        <w:t>a</w:t>
      </w:r>
      <w:proofErr w:type="spellEnd"/>
      <w:r w:rsidR="004A1A47">
        <w:t xml:space="preserve">, </w:t>
      </w:r>
      <w:r w:rsidR="00E500B4">
        <w:t xml:space="preserve">John </w:t>
      </w:r>
      <w:proofErr w:type="spellStart"/>
      <w:r w:rsidR="00E500B4">
        <w:t>Cheesbrough</w:t>
      </w:r>
      <w:r w:rsidR="00AB53F0">
        <w:rPr>
          <w:vertAlign w:val="superscript"/>
        </w:rPr>
        <w:t>b</w:t>
      </w:r>
      <w:proofErr w:type="spellEnd"/>
      <w:r w:rsidR="00A03B5C">
        <w:rPr>
          <w:vertAlign w:val="superscript"/>
        </w:rPr>
        <w:t>*</w:t>
      </w:r>
      <w:r w:rsidR="00E500B4">
        <w:t xml:space="preserve">, </w:t>
      </w:r>
      <w:r w:rsidR="00961402">
        <w:t xml:space="preserve">Paul </w:t>
      </w:r>
      <w:proofErr w:type="spellStart"/>
      <w:r w:rsidR="00961402">
        <w:t>Wigley</w:t>
      </w:r>
      <w:r w:rsidR="00961402" w:rsidRPr="00961402">
        <w:rPr>
          <w:vertAlign w:val="superscript"/>
        </w:rPr>
        <w:t>a</w:t>
      </w:r>
      <w:proofErr w:type="spellEnd"/>
      <w:r w:rsidR="00961402">
        <w:t xml:space="preserve">, </w:t>
      </w:r>
      <w:r w:rsidR="004A1A47">
        <w:t xml:space="preserve">Nicholas A. </w:t>
      </w:r>
      <w:proofErr w:type="spellStart"/>
      <w:proofErr w:type="gramStart"/>
      <w:r w:rsidR="004A1A47">
        <w:t>Feasey</w:t>
      </w:r>
      <w:r w:rsidR="00AB53F0">
        <w:rPr>
          <w:vertAlign w:val="superscript"/>
        </w:rPr>
        <w:t>c,d</w:t>
      </w:r>
      <w:proofErr w:type="spellEnd"/>
      <w:proofErr w:type="gramEnd"/>
      <w:r w:rsidR="00D651F9">
        <w:t>,</w:t>
      </w:r>
      <w:r w:rsidR="006052D9" w:rsidRPr="007F3FFD">
        <w:t xml:space="preserve"> </w:t>
      </w:r>
      <w:r w:rsidR="007F3FFD" w:rsidRPr="007F3FFD">
        <w:t xml:space="preserve">Jay C. D. </w:t>
      </w:r>
      <w:proofErr w:type="spellStart"/>
      <w:r w:rsidR="007F3FFD" w:rsidRPr="007F3FFD">
        <w:t>Hinton</w:t>
      </w:r>
      <w:r w:rsidR="00AB53F0">
        <w:rPr>
          <w:vertAlign w:val="superscript"/>
        </w:rPr>
        <w:t>a</w:t>
      </w:r>
      <w:proofErr w:type="spellEnd"/>
      <w:r w:rsidR="00755A9C">
        <w:rPr>
          <w:vertAlign w:val="superscript"/>
        </w:rPr>
        <w:t>#</w:t>
      </w:r>
    </w:p>
    <w:p w14:paraId="77A01324" w14:textId="4A6DAE6A" w:rsidR="00133CF4" w:rsidRDefault="00AB53F0" w:rsidP="00455EF2">
      <w:proofErr w:type="spellStart"/>
      <w:r>
        <w:rPr>
          <w:vertAlign w:val="superscript"/>
        </w:rPr>
        <w:t>a</w:t>
      </w:r>
      <w:r w:rsidR="00133CF4">
        <w:t>Institute</w:t>
      </w:r>
      <w:proofErr w:type="spellEnd"/>
      <w:r w:rsidR="00133CF4">
        <w:t xml:space="preserve"> of Infection, Veterinary &amp; Ecological Sciences, University of Liverpool, Liverpool, UK </w:t>
      </w:r>
    </w:p>
    <w:p w14:paraId="4BFE761F" w14:textId="50F9C635" w:rsidR="00BA76F3" w:rsidRDefault="00AB53F0" w:rsidP="00455EF2">
      <w:r>
        <w:rPr>
          <w:vertAlign w:val="superscript"/>
        </w:rPr>
        <w:t>b</w:t>
      </w:r>
      <w:r w:rsidR="00445940" w:rsidRPr="00445940">
        <w:t xml:space="preserve"> Institute of Infection and Global Health</w:t>
      </w:r>
      <w:r w:rsidR="00BA76F3" w:rsidRPr="005F0B6A">
        <w:t>, University of Liverpool, Liverpool, UK</w:t>
      </w:r>
    </w:p>
    <w:p w14:paraId="2AEBDBC1" w14:textId="251E25E5" w:rsidR="008B6105" w:rsidRPr="006435F0" w:rsidRDefault="00AB53F0" w:rsidP="008B6105">
      <w:pPr>
        <w:spacing w:after="0"/>
      </w:pPr>
      <w:proofErr w:type="spellStart"/>
      <w:r>
        <w:rPr>
          <w:vertAlign w:val="superscript"/>
        </w:rPr>
        <w:t>c</w:t>
      </w:r>
      <w:r w:rsidR="008B6105" w:rsidRPr="006435F0">
        <w:t>Liverpool</w:t>
      </w:r>
      <w:proofErr w:type="spellEnd"/>
      <w:r w:rsidR="008B6105" w:rsidRPr="006435F0">
        <w:t xml:space="preserve"> School of Tropical Medicine, Pembroke Place, Liverpool, UK</w:t>
      </w:r>
    </w:p>
    <w:p w14:paraId="355A4631" w14:textId="62EBBF52" w:rsidR="008B6105" w:rsidRPr="006435F0" w:rsidRDefault="00AB53F0" w:rsidP="008B6105">
      <w:pPr>
        <w:spacing w:after="0"/>
        <w:rPr>
          <w:lang w:eastAsia="en-GB"/>
        </w:rPr>
      </w:pPr>
      <w:proofErr w:type="spellStart"/>
      <w:r>
        <w:rPr>
          <w:vertAlign w:val="superscript"/>
          <w:lang w:eastAsia="en-GB"/>
        </w:rPr>
        <w:t>d</w:t>
      </w:r>
      <w:r w:rsidR="008B6105" w:rsidRPr="006435F0">
        <w:rPr>
          <w:lang w:eastAsia="en-GB"/>
        </w:rPr>
        <w:t>Malawi</w:t>
      </w:r>
      <w:proofErr w:type="spellEnd"/>
      <w:r w:rsidR="008B6105" w:rsidRPr="006435F0">
        <w:rPr>
          <w:lang w:eastAsia="en-GB"/>
        </w:rPr>
        <w:t>-Liverpool-Wellcome Programme, Blantyre, Malawi</w:t>
      </w:r>
    </w:p>
    <w:p w14:paraId="78F03333" w14:textId="41C766B6" w:rsidR="00133CF4" w:rsidRDefault="00133CF4" w:rsidP="00455EF2"/>
    <w:p w14:paraId="3EB93D63" w14:textId="22765354" w:rsidR="001C0C0A" w:rsidRPr="003F2734" w:rsidRDefault="001C0C0A" w:rsidP="001C0C0A">
      <w:pPr>
        <w:pStyle w:val="Heading1"/>
      </w:pPr>
      <w:r w:rsidRPr="001C0C0A">
        <w:t>Running title:</w:t>
      </w:r>
      <w:r w:rsidR="003F2734">
        <w:t xml:space="preserve"> </w:t>
      </w:r>
      <w:r w:rsidR="003F2734" w:rsidRPr="003F2734">
        <w:rPr>
          <w:b w:val="0"/>
        </w:rPr>
        <w:t xml:space="preserve">African </w:t>
      </w:r>
      <w:r w:rsidR="003F2734" w:rsidRPr="003F2734">
        <w:rPr>
          <w:b w:val="0"/>
          <w:i/>
        </w:rPr>
        <w:t xml:space="preserve">S. </w:t>
      </w:r>
      <w:r w:rsidR="003F2734" w:rsidRPr="003F2734">
        <w:rPr>
          <w:b w:val="0"/>
        </w:rPr>
        <w:t>Enteritidis</w:t>
      </w:r>
      <w:r w:rsidR="00751925" w:rsidRPr="00751925">
        <w:rPr>
          <w:b w:val="0"/>
        </w:rPr>
        <w:t xml:space="preserve"> </w:t>
      </w:r>
      <w:r w:rsidR="00751925" w:rsidRPr="003F2734">
        <w:rPr>
          <w:b w:val="0"/>
        </w:rPr>
        <w:t>Genome announcement</w:t>
      </w:r>
    </w:p>
    <w:p w14:paraId="0C34C89B" w14:textId="0DD0A85D" w:rsidR="00F97267" w:rsidRDefault="00F97267" w:rsidP="00F97267"/>
    <w:p w14:paraId="39C2F2A5" w14:textId="77777777" w:rsidR="00891A97" w:rsidRDefault="00891A97" w:rsidP="00891A97">
      <w:r w:rsidRPr="00755A9C">
        <w:rPr>
          <w:vertAlign w:val="superscript"/>
        </w:rPr>
        <w:t>#</w:t>
      </w:r>
      <w:r>
        <w:t>Corresponding author</w:t>
      </w:r>
    </w:p>
    <w:p w14:paraId="06E373F8" w14:textId="77777777" w:rsidR="00891A97" w:rsidRPr="00770736" w:rsidRDefault="00891A97" w:rsidP="00891A97">
      <w:r w:rsidRPr="001C1625">
        <w:t xml:space="preserve">E-mail: </w:t>
      </w:r>
      <w:hyperlink r:id="rId10" w:history="1">
        <w:r w:rsidRPr="0093786A">
          <w:rPr>
            <w:rStyle w:val="Hyperlink"/>
          </w:rPr>
          <w:t>jay.hinton@liverpool.ac.uk</w:t>
        </w:r>
      </w:hyperlink>
      <w:r>
        <w:t xml:space="preserve"> Tel. (</w:t>
      </w:r>
      <w:r w:rsidRPr="00E278EB">
        <w:t>+44</w:t>
      </w:r>
      <w:r>
        <w:t>)</w:t>
      </w:r>
      <w:r w:rsidRPr="00E278EB">
        <w:t xml:space="preserve"> 1517</w:t>
      </w:r>
      <w:r>
        <w:t xml:space="preserve"> 95</w:t>
      </w:r>
      <w:r w:rsidRPr="00E278EB">
        <w:t>4573</w:t>
      </w:r>
    </w:p>
    <w:p w14:paraId="06909A63" w14:textId="5120C1C9" w:rsidR="00104FF7" w:rsidRDefault="00104FF7" w:rsidP="00F97267">
      <w:r>
        <w:t>*Retired</w:t>
      </w:r>
    </w:p>
    <w:p w14:paraId="149D8F49" w14:textId="782CB6D6" w:rsidR="00F066E6" w:rsidRDefault="00F066E6">
      <w:pPr>
        <w:spacing w:line="259" w:lineRule="auto"/>
        <w:rPr>
          <w:b/>
        </w:rPr>
      </w:pPr>
      <w:r>
        <w:br w:type="page"/>
      </w:r>
    </w:p>
    <w:p w14:paraId="6366DC7F" w14:textId="64AE7A7A" w:rsidR="0096295D" w:rsidRDefault="0096295D" w:rsidP="001C0C0A">
      <w:pPr>
        <w:pStyle w:val="Heading1"/>
      </w:pPr>
      <w:r>
        <w:lastRenderedPageBreak/>
        <w:t>Abstract</w:t>
      </w:r>
    </w:p>
    <w:p w14:paraId="04731DCA" w14:textId="2F64BEC6" w:rsidR="00E90D6D" w:rsidRPr="00023842" w:rsidRDefault="00023842" w:rsidP="00E90D6D">
      <w:bookmarkStart w:id="0" w:name="_Hlk59005626"/>
      <w:r>
        <w:t xml:space="preserve">We report the complete </w:t>
      </w:r>
      <w:r w:rsidR="003A6943">
        <w:t xml:space="preserve">genome </w:t>
      </w:r>
      <w:r>
        <w:t xml:space="preserve">sequencing and annotation of </w:t>
      </w:r>
      <w:r w:rsidR="00596CE6">
        <w:t>four</w:t>
      </w:r>
      <w:r w:rsidR="00271BC4" w:rsidRPr="00AB426C">
        <w:t xml:space="preserve"> </w:t>
      </w:r>
      <w:r w:rsidR="00271BC4">
        <w:rPr>
          <w:i/>
        </w:rPr>
        <w:t xml:space="preserve">Salmonella </w:t>
      </w:r>
      <w:r w:rsidR="00271BC4">
        <w:t xml:space="preserve">Enteritidis </w:t>
      </w:r>
      <w:r w:rsidR="00596CE6">
        <w:t xml:space="preserve">isolates; two that are representative </w:t>
      </w:r>
      <w:r w:rsidR="00271BC4" w:rsidRPr="00AB426C">
        <w:t xml:space="preserve">of the Central/Eastern African clade </w:t>
      </w:r>
      <w:r w:rsidR="00271BC4">
        <w:t xml:space="preserve">(CP255 and D7795) </w:t>
      </w:r>
      <w:r w:rsidR="00271BC4" w:rsidRPr="00AB426C">
        <w:t xml:space="preserve">and two of the Global Epidemic </w:t>
      </w:r>
      <w:proofErr w:type="gramStart"/>
      <w:r w:rsidR="00271BC4" w:rsidRPr="00AB426C">
        <w:t>clade</w:t>
      </w:r>
      <w:proofErr w:type="gramEnd"/>
      <w:r w:rsidR="00271BC4" w:rsidRPr="00AB426C">
        <w:t xml:space="preserve"> </w:t>
      </w:r>
      <w:r w:rsidR="00271BC4">
        <w:t>(A1636 and P125109).</w:t>
      </w:r>
      <w:bookmarkEnd w:id="0"/>
    </w:p>
    <w:p w14:paraId="700BC137" w14:textId="77777777" w:rsidR="007B71C3" w:rsidRDefault="007B71C3" w:rsidP="00E90D6D">
      <w:pPr>
        <w:spacing w:line="360" w:lineRule="auto"/>
        <w:jc w:val="both"/>
        <w:rPr>
          <w:i/>
        </w:rPr>
      </w:pPr>
    </w:p>
    <w:p w14:paraId="14D8AC66" w14:textId="399B5873" w:rsidR="00E90D6D" w:rsidRPr="00AB426C" w:rsidRDefault="00E90D6D" w:rsidP="00E90D6D">
      <w:pPr>
        <w:spacing w:line="360" w:lineRule="auto"/>
        <w:jc w:val="both"/>
        <w:rPr>
          <w:rFonts w:eastAsia="Times New Roman"/>
          <w:lang w:eastAsia="en-GB"/>
        </w:rPr>
      </w:pPr>
      <w:r w:rsidRPr="00AB426C">
        <w:rPr>
          <w:i/>
        </w:rPr>
        <w:t>Salmonella enterica</w:t>
      </w:r>
      <w:r w:rsidRPr="00AB426C">
        <w:t xml:space="preserve"> serovar Enteritidis (</w:t>
      </w:r>
      <w:r w:rsidRPr="00AB426C">
        <w:rPr>
          <w:i/>
        </w:rPr>
        <w:t>S.</w:t>
      </w:r>
      <w:r w:rsidRPr="00AB426C">
        <w:t xml:space="preserve"> Enteritidis) </w:t>
      </w:r>
      <w:r w:rsidR="00596CE6">
        <w:t xml:space="preserve">typically </w:t>
      </w:r>
      <w:r w:rsidRPr="00AB426C">
        <w:t>causes gastroenteritis</w:t>
      </w:r>
      <w:r>
        <w:t xml:space="preserve"> </w:t>
      </w:r>
      <w:r w:rsidR="00596CE6">
        <w:t xml:space="preserve">and is responsible for </w:t>
      </w:r>
      <w:r w:rsidR="000C240F">
        <w:t>a global</w:t>
      </w:r>
      <w:r w:rsidR="000C240F" w:rsidRPr="00AB426C">
        <w:t xml:space="preserve"> </w:t>
      </w:r>
      <w:r w:rsidRPr="00AB426C">
        <w:t xml:space="preserve">epidemic </w:t>
      </w:r>
      <w:r>
        <w:t>linked</w:t>
      </w:r>
      <w:r w:rsidRPr="00AB426C">
        <w:t xml:space="preserve"> to poultry and egg production. </w:t>
      </w:r>
      <w:r w:rsidR="00596CE6">
        <w:t>O</w:t>
      </w:r>
      <w:r>
        <w:t xml:space="preserve">ver recent </w:t>
      </w:r>
      <w:r w:rsidRPr="00AB426C">
        <w:t>decades</w:t>
      </w:r>
      <w:r w:rsidR="00596CE6">
        <w:t xml:space="preserve">, </w:t>
      </w:r>
      <w:r w:rsidRPr="00AB426C">
        <w:rPr>
          <w:i/>
        </w:rPr>
        <w:t xml:space="preserve">S. </w:t>
      </w:r>
      <w:r w:rsidRPr="00AB426C">
        <w:t xml:space="preserve">Enteritidis has </w:t>
      </w:r>
      <w:r>
        <w:t xml:space="preserve">become </w:t>
      </w:r>
      <w:r w:rsidR="000C240F">
        <w:t>a</w:t>
      </w:r>
      <w:r w:rsidRPr="00AB426C">
        <w:t xml:space="preserve"> leading cause of invasive non-typhoidal </w:t>
      </w:r>
      <w:r w:rsidRPr="00AB426C">
        <w:rPr>
          <w:i/>
        </w:rPr>
        <w:t>Salmonella</w:t>
      </w:r>
      <w:r w:rsidRPr="00AB426C">
        <w:t xml:space="preserve"> (iNTS) disease in sub-Saharan Africa</w:t>
      </w:r>
      <w:r w:rsidR="00AF5B4C">
        <w:t xml:space="preserve"> </w:t>
      </w:r>
      <w:r w:rsidR="00AF5B4C">
        <w:fldChar w:fldCharType="begin" w:fldLock="1"/>
      </w:r>
      <w:r w:rsidR="00FC21D7">
        <w:instrText>ADDIN CSL_CITATION {"citationItems":[{"id":"ITEM-1","itemData":{"DOI":"10.1016/S1473-3099(10)70072-4","ISBN":"1474-4457 (Electronic)\\r1473-3099 (Linking)","ISSN":"14733099","PMID":"20510282","abstract":"Data on the prevalence and causes of community-acquired bloodstream infections in Africa are scarce. We searched three databases for studies that prospectively studied patients admitted to hospital with at least a blood culture, and found 22 eligible studies describing 58 296 patients, of whom 2051 (13·5%) of 15 166 adults and 3527 (8·2%) of 43 130 children had bloodstream infections. 1643 (29·1%) non-malaria bloodstream infections were due to Salmonella enterica (58·4% of these non-typhoidal Salmonella), the most prevalent isolate overall and in adults, and 1031 (18·3% overall) were due to Streptococcus pneumoniae, the most common isolate in children. Other common isolates included Staphylococcus aureus (531 infections; 9·5%) and Escherichia coli (412; 7·3%). Mycobacterium tuberculosis complex accounted for 166 (30·7%) of 539 isolates in seven studies that used mycobacterial culture techniques. HIV infection was associated with any bloodstream infection, particularly with S enterica and M tuberculosis complex bacteraemia. Where recorded, patients with bloodstream infections had an in-hospital case fatality of 18·1%. Our results show that bloodstream infections are common and associated with high mortality. Improved clinical microbiology services and reassessment of empirical treatment guidelines that account for the epidemiology of bloodstream infections might contribute to better outcomes. © 2010 Elsevier Ltd. All rights reserved.","author":[{"dropping-particle":"","family":"Reddy","given":"Elizabeth A.","non-dropping-particle":"","parse-names":false,"suffix":""},{"dropping-particle":"V.","family":"Shaw","given":"Andrea","non-dropping-particle":"","parse-names":false,"suffix":""},{"dropping-particle":"","family":"Crump","given":"John A.","non-dropping-particle":"","parse-names":false,"suffix":""}],"container-title":"The Lancet Infectious Diseases","id":"ITEM-1","issue":"6","issued":{"date-parts":[["2010"]]},"page":"417-432","publisher":"Elsevier Ltd","title":"Community-acquired bloodstream infections in Africa: a systematic review and meta-analysis","type":"article-journal","volume":"10"},"uris":["http://www.mendeley.com/documents/?uuid=f54688b6-bd7a-4ed1-9906-0e2ad1cdf88d"]},{"id":"ITEM-2","itemData":{"DOI":"10.1093/cid/civ691","ISBN":"1058-4838","ISSN":"15376591","PMID":"26449953","abstract":"BACKGROUND: The Malawi Liverpool Wellcome Trust Clinical Research Programme (MLW) has routinely collected specimens for blood culture from febrile patients, and cerebrospinal fluid from patients with suspected meningitis, presenting to Queen Elizabeth Central Hospital (QECH), Blantyre, Malawi, since 1998.\\n\\nMETHODS: We present bloodstream infection (BSI) and meningitis surveillance data from 1998 to 2014. Automated blood culture, manual speciation, serotyping, and antimicrobial susceptibility testing were performed at MLW. Population data for minimum-incidence estimates in urban Blantyre were drawn from published estimates.\\n\\nRESULTS: Between 1998 and 2014, 167 028 blood cultures were taken from adult and pediatric medical patients presenting to QECH; Salmonella Typhi was isolated on 2054 occasions (1.2%) and nontyphoidal Salmonella (NTS) serovars were isolated 10 139 times (6.1%), of which 8017 (79.1%) were Salmonella Typhimurium and 1608 (15.8%) were Salmonella Enteritidis. There were 392 cases of NTS meningitis and 9 cases of Salmonella Typhi meningitis. There have been 3 epidemics of Salmonella BSI in Blantyre; Salmonella Enteritidis from 1999 to 2002, Salmonella Typhimurium from 2002 to 2008, and Salmonella Typhi, which began in 2011 and was ongoing in 2014. Multidrug resistance has emerged in all 3 serovars and is seen in the overwhelming majority of isolates, while resistance to third-generation cephalosporins and fluoroquinolones is currently uncommon but has been identified.\\n\\nCONCLUSIONS: Invasive Salmonella disease in Malawi is dynamic and not clearly attributable to a single risk factor, although all 3 epidemics were associated with multidrug resistance. To inform nonvaccine and vaccine interventions, reservoirs of disease and modes of transmission require further investigation.","author":[{"dropping-particle":"","family":"Feasey","given":"Nicholas A.","non-dropping-particle":"","parse-names":false,"suffix":""},{"dropping-particle":"","family":"Masesa","given":"Clemens","non-dropping-particle":"","parse-names":false,"suffix":""},{"dropping-particle":"","family":"Jassi","given":"Chikondi","non-dropping-particle":"","parse-names":false,"suffix":""},{"dropping-particle":"","family":"Faragher","given":"E. Brian","non-dropping-particle":"","parse-names":false,"suffix":""},{"dropping-particle":"","family":"Mallewa","given":"Jane","non-dropping-particle":"","parse-names":false,"suffix":""},{"dropping-particle":"","family":"Mallewa","given":"Macpherson","non-dropping-particle":"","parse-names":false,"suffix":""},{"dropping-particle":"","family":"Maclennan","given":"Calman A.","non-dropping-particle":"","parse-names":false,"suffix":""},{"dropping-particle":"","family":"Msefula","given":"Chisomo","non-dropping-particle":"","parse-names":false,"suffix":""},{"dropping-particle":"","family":"Heyderman","given":"Robert S.","non-dropping-particle":"","parse-names":false,"suffix":""},{"dropping-particle":"","family":"Gordon","given":"Melita A.","non-dropping-particle":"","parse-names":false,"suffix":""}],"container-title":"Clinical Infectious Diseases","id":"ITEM-2","issue":"Suppl 4","issued":{"date-parts":[["2015"]]},"page":"S363-S371","title":"Three epidemics of invasive multidrug-resistant &lt;i&gt;Salmonella&lt;/i&gt; bloodstream infection in Blantyre, Malawi, 1998-2014","type":"article-journal","volume":"61"},"uris":["http://www.mendeley.com/documents/?uuid=cad28d3f-05c1-4e86-8f23-d6536204c00f"]}],"mendeley":{"formattedCitation":"(1, 2)","plainTextFormattedCitation":"(1, 2)","previouslyFormattedCitation":"(1, 2)"},"properties":{"noteIndex":0},"schema":"https://github.com/citation-style-language/schema/raw/master/csl-citation.json"}</w:instrText>
      </w:r>
      <w:r w:rsidR="00AF5B4C">
        <w:fldChar w:fldCharType="separate"/>
      </w:r>
      <w:r w:rsidR="00AF5B4C" w:rsidRPr="00AF5B4C">
        <w:rPr>
          <w:noProof/>
        </w:rPr>
        <w:t>(1, 2)</w:t>
      </w:r>
      <w:r w:rsidR="00AF5B4C">
        <w:fldChar w:fldCharType="end"/>
      </w:r>
      <w:r w:rsidR="00CB0576">
        <w:t>, and n</w:t>
      </w:r>
      <w:r w:rsidRPr="00385696">
        <w:t xml:space="preserve">ovel clades of this serovar </w:t>
      </w:r>
      <w:r w:rsidR="00596CE6" w:rsidRPr="00385696">
        <w:t>have been isolated from individuals with</w:t>
      </w:r>
      <w:r w:rsidRPr="00385696">
        <w:t xml:space="preserve"> bloodstream infection </w:t>
      </w:r>
      <w:r w:rsidR="00401095" w:rsidRPr="00385696">
        <w:fldChar w:fldCharType="begin" w:fldLock="1"/>
      </w:r>
      <w:r w:rsidR="00FC21D7">
        <w:instrText>ADDIN CSL_CITATION {"citationItems":[{"id":"ITEM-1","itemData":{"DOI":"10.1038/ng.3644","ISSN":"1061-4036","PMID":"27548315","abstract":"An epidemiological paradox surrounds Salmonella enterica serovar Enteritidis. In high-income settings, it has been responsible for an epidemic of poultry-associated, self-limiting enterocolitis, whereas in sub-Saharan Africa it is a major cause of invasive nontyphoidal Salmonella disease, associated with high case fatality. By whole-genome sequence analysis of 675 isolates of S. Enteritidis from 45 countries, we show the existence of a global epidemic clade and two new clades of S. Enteritidis that are geographically restricted to distinct regions of Africa. The African isolates display genomic degradation, a novel prophage repertoire, and an expanded multidrug resistance plasmid. S. Enteritidis is a further example of a Salmonella serotype that displays niche plasticity, with distinct clades that enable it to become a prominent cause of gastroenteritis in association with the industrial production of eggs and of multidrug-resistant, bloodstream-invasive infection in Africa.","author":[{"dropping-particle":"","family":"Feasey","given":"Nicholas A.","non-dropping-particle":"","parse-names":false,"suffix":""},{"dropping-particle":"","family":"Hadfield","given":"James","non-dropping-particle":"","parse-names":false,"suffix":""},{"dropping-particle":"","family":"Keddy","given":"Karen H","non-dropping-particle":"","parse-names":false,"suffix":""},{"dropping-particle":"","family":"Dallman","given":"Timothy J","non-dropping-particle":"","parse-names":false,"suffix":""},{"dropping-particle":"","family":"Jacobs","given":"Jan","non-dropping-particle":"","parse-names":false,"suffix":""},{"dropping-particle":"","family":"Deng","given":"Xiangyu","non-dropping-particle":"","parse-names":false,"suffix":""},{"dropping-particle":"","family":"Wigley","given":"Paul","non-dropping-particle":"","parse-names":false,"suffix":""},{"dropping-particle":"","family":"Barquist Barquist","given":"Lars","non-dropping-particle":"","parse-names":false,"suffix":""},{"dropping-particle":"","family":"Langridge","given":"Gemma C.","non-dropping-particle":"","parse-names":false,"suffix":""},{"dropping-particle":"","family":"Feltwell","given":"Theresa","non-dropping-particle":"","parse-names":false,"suffix":""},{"dropping-particle":"","family":"Harris","given":"Simon R","non-dropping-particle":"","parse-names":false,"suffix":""},{"dropping-particle":"","family":"Mather","given":"Alison E","non-dropping-particle":"","parse-names":false,"suffix":""},{"dropping-particle":"","family":"Fookes","given":"Maria","non-dropping-particle":"","parse-names":false,"suffix":""},{"dropping-particle":"","family":"Aslett","given":"Martin","non-dropping-particle":"","parse-names":false,"suffix":""},{"dropping-particle":"","family":"Msefula","given":"Chisomo","non-dropping-particle":"","parse-names":false,"suffix":""},{"dropping-particle":"","family":"Kariuki","given":"Samuel","non-dropping-particle":"","parse-names":false,"suffix":""},{"dropping-particle":"","family":"Maclennan","given":"Calman A.","non-dropping-particle":"","parse-names":false,"suffix":""},{"dropping-particle":"","family":"Onsare","given":"Robert S","non-dropping-particle":"","parse-names":false,"suffix":""},{"dropping-particle":"","family":"Weill","given":"François-Xavier","non-dropping-particle":"","parse-names":false,"suffix":""},{"dropping-particle":"","family":"Hello","given":"Simon","non-dropping-particle":"Le","parse-names":false,"suffix":""},{"dropping-particle":"","family":"Smith","given":"Anthony M","non-dropping-particle":"","parse-names":false,"suffix":""},{"dropping-particle":"","family":"Mcclelland","given":"Michael","non-dropping-particle":"","parse-names":false,"suffix":""},{"dropping-particle":"","family":"Desai","given":"Prerak","non-dropping-particle":"","parse-names":false,"suffix":""},{"dropping-particle":"","family":"Parry","given":"Christopher M","non-dropping-particle":"","parse-names":false,"suffix":""},{"dropping-particle":"","family":"Cheesbrough","given":"John S.","non-dropping-particle":"","parse-names":false,"suffix":""},{"dropping-particle":"","family":"French","given":"Neil","non-dropping-particle":"","parse-names":false,"suffix":""},{"dropping-particle":"","family":"Campos","given":"Josefina","non-dropping-particle":"","parse-names":false,"suffix":""},{"dropping-particle":"","family":"Chabalgoity","given":"Jose A","non-dropping-particle":"","parse-names":false,"suffix":""},{"dropping-particle":"","family":"Betancor","given":"Laura","non-dropping-particle":"","parse-names":false,"suffix":""},{"dropping-particle":"","family":"Hopkins","given":"Katie L","non-dropping-particle":"","parse-names":false,"suffix":""},{"dropping-particle":"","family":"Nair","given":"Satheesh","non-dropping-particle":"","parse-names":false,"suffix":""},{"dropping-particle":"","family":"Humphrey","given":"Tom J","non-dropping-particle":"","parse-names":false,"suffix":""},{"dropping-particle":"","family":"Lunguya","given":"Octavie","non-dropping-particle":"","parse-names":false,"suffix":""},{"dropping-particle":"","family":"Cogan","given":"Tristan A","non-dropping-particle":"","parse-names":false,"suffix":""},{"dropping-particle":"","family":"Tapia","given":"Milagritos D","non-dropping-particle":"","parse-names":false,"suffix":""},{"dropping-particle":"","family":"Sow","given":"Samba O","non-dropping-particle":"","parse-names":false,"suffix":""},{"dropping-particle":"","family":"Tennant","given":"Sharon M","non-dropping-particle":"","parse-names":false,"suffix":""},{"dropping-particle":"","family":"Bornstein","given":"Kristin","non-dropping-particle":"","parse-names":false,"suffix":""},{"dropping-particle":"","family":"Levine","given":"Myron M","non-dropping-particle":"","parse-names":false,"suffix":""},{"dropping-particle":"","family":"Lacharme-Lora","given":"Lizeth","non-dropping-particle":"","parse-names":false,"suffix":""},{"dropping-particle":"","family":"Everett","given":"Dean B","non-dropping-particle":"","parse-names":false,"suffix":""},{"dropping-particle":"","family":"Kingsley","given":"Robert A.","non-dropping-particle":"","parse-names":false,"suffix":""},{"dropping-particle":"","family":"Parkhill","given":"Julian","non-dropping-particle":"","parse-names":false,"suffix":""},{"dropping-particle":"","family":"Heyderman","given":"Robert S","non-dropping-particle":"","parse-names":false,"suffix":""},{"dropping-particle":"","family":"Dougan","given":"Gordon","non-dropping-particle":"","parse-names":false,"suffix":""},{"dropping-particle":"","family":"Gordon","given":"Melita A.","non-dropping-particle":"","parse-names":false,"suffix":""},{"dropping-particle":"","family":"Thomson","given":"Nicholas R.","non-dropping-particle":"","parse-names":false,"suffix":""},{"dropping-particle":"","family":"Barquist","given":"Lars","non-dropping-particle":"","parse-names":false,"suffix":""},{"dropping-particle":"","family":"Gemma","given":"C","non-dropping-particle":"","parse-names":false,"suffix":""},{"dropping-particle":"Le","family":"Hello","given":"Simon","non-dropping-particle":"","parse-names":false,"suffix":""},{"dropping-particle":"","family":"Melita","given":"A","non-dropping-particle":"","parse-names":false,"suffix":""}],"container-title":"Nature Genetics","id":"ITEM-1","issue":"October 2015","issued":{"date-parts":[["2016"]]},"page":"1211-7","title":"Distinct &lt;i&gt;Salmonella&lt;/i&gt; Enteritidis lineages associated with enterocolitis in high-income settings and invasive disease in low-income settings","type":"article-journal","volume":"48"},"uris":["http://www.mendeley.com/documents/?uuid=0b337582-08a1-4754-a1c5-35df0ce1d920"]}],"mendeley":{"formattedCitation":"(3)","plainTextFormattedCitation":"(3)","previouslyFormattedCitation":"(3)"},"properties":{"noteIndex":0},"schema":"https://github.com/citation-style-language/schema/raw/master/csl-citation.json"}</w:instrText>
      </w:r>
      <w:r w:rsidR="00401095" w:rsidRPr="00385696">
        <w:fldChar w:fldCharType="separate"/>
      </w:r>
      <w:r w:rsidR="00AF5B4C" w:rsidRPr="00385696">
        <w:rPr>
          <w:noProof/>
        </w:rPr>
        <w:t>(3)</w:t>
      </w:r>
      <w:r w:rsidR="00401095" w:rsidRPr="00385696">
        <w:fldChar w:fldCharType="end"/>
      </w:r>
      <w:r w:rsidRPr="00385696">
        <w:t xml:space="preserve">. In contrast to the Global Epidemic clade, these novel African clades </w:t>
      </w:r>
      <w:r w:rsidR="00596CE6" w:rsidRPr="00385696">
        <w:t xml:space="preserve">are </w:t>
      </w:r>
      <w:r w:rsidR="00385696">
        <w:t xml:space="preserve">associated </w:t>
      </w:r>
      <w:r w:rsidR="004D6349" w:rsidRPr="00385696">
        <w:t>with</w:t>
      </w:r>
      <w:r w:rsidR="00596CE6" w:rsidRPr="00385696">
        <w:t xml:space="preserve"> high mortality in </w:t>
      </w:r>
      <w:r w:rsidRPr="00385696">
        <w:t>immuno</w:t>
      </w:r>
      <w:r w:rsidR="00751925" w:rsidRPr="00385696">
        <w:t>compromis</w:t>
      </w:r>
      <w:r w:rsidRPr="00385696">
        <w:t>ed individuals and</w:t>
      </w:r>
      <w:r w:rsidRPr="00385696" w:rsidDel="00A77908">
        <w:t xml:space="preserve"> </w:t>
      </w:r>
      <w:r w:rsidRPr="00385696">
        <w:t xml:space="preserve">are </w:t>
      </w:r>
      <w:r w:rsidR="00596CE6" w:rsidRPr="00385696">
        <w:t xml:space="preserve">typically </w:t>
      </w:r>
      <w:r w:rsidRPr="00385696">
        <w:t>multidrug-resistant</w:t>
      </w:r>
      <w:r w:rsidR="00596CE6" w:rsidRPr="00385696">
        <w:t xml:space="preserve"> (MDR)</w:t>
      </w:r>
      <w:r w:rsidRPr="00385696">
        <w:t>,</w:t>
      </w:r>
      <w:r w:rsidRPr="00AB426C">
        <w:t xml:space="preserve"> </w:t>
      </w:r>
      <w:r>
        <w:t>representing</w:t>
      </w:r>
      <w:r w:rsidRPr="00AB426C">
        <w:t xml:space="preserve"> an </w:t>
      </w:r>
      <w:r w:rsidR="00596CE6">
        <w:t xml:space="preserve">important </w:t>
      </w:r>
      <w:r w:rsidRPr="00AB426C">
        <w:t xml:space="preserve">public health </w:t>
      </w:r>
      <w:r w:rsidR="00596CE6">
        <w:t>challenge</w:t>
      </w:r>
      <w:r w:rsidR="00CB0576">
        <w:t xml:space="preserve"> </w:t>
      </w:r>
      <w:r w:rsidR="0025427A">
        <w:fldChar w:fldCharType="begin" w:fldLock="1"/>
      </w:r>
      <w:r w:rsidR="00FC21D7">
        <w:instrText>ADDIN CSL_CITATION {"citationItems":[{"id":"ITEM-1","itemData":{"DOI":"10.1371/journal.pntd.0005118","ISBN":"1111111111","ISSN":"1935-2735","PMID":"28056035","abstract":"This study systematically reviews the literature on the occurrence, incidence and case fatality rate (CFR) of invasive nontyphoidal Salmonella (iNTS) disease in Africa from 1966 to 2014. Data on the burden of iNTS disease in Africa are sparse and generally have not been aggregated, making it difficult to describe the epidemiology that is needed to inform the development and implementation of effective prevention and control policies. This study involved a comprehensive search of PubMed and Embase databases. It documents the geographical spread of iNTS disease over time in Africa, and describes its reported incidence, risk factors and CFR. We found that Nontyphoidal Salmonella (NTS) have been reported as a cause of bacteraemia in 33 out of 54 African countries, spanning the five geographical regions of Africa, and especially in sub-Saharan Africa since 1966. Our review indicates that NTS have been responsible for up to 39% of community acquired blood stream infections in sub-Saharan Africa with an average CFR of 19%. Salmonella Typhimurium and Enteritidis are the major serovars implicated and together have been responsible for 91%% of the cases of iNTS disease, (where serotype was determined), reported in Africa. The study confirms that iNTS disease is more prevalent amongst Human Immunodeficiency Virus (HIV)-infected individuals, infants, and young children with malaria, anaemia and malnutrition. In conclusion, iNTS disease is a substantial cause of community-acquired bacteraemia in Africa. Given the high morbidity and mortality of iNTS disease in Africa, it is important to develop effective prevention and control strategies including vaccination.","author":[{"dropping-particle":"","family":"Uche","given":"Ifeanyi Valentine","non-dropping-particle":"","parse-names":false,"suffix":""},{"dropping-particle":"","family":"MacLennan","given":"Calman A.","non-dropping-particle":"","parse-names":false,"suffix":""},{"dropping-particle":"","family":"Saul","given":"Allan","non-dropping-particle":"","parse-names":false,"suffix":""}],"container-title":"PLOS Neglected Tropical Diseases","editor":[{"dropping-particle":"","family":"Baker","given":"Stephen","non-dropping-particle":"","parse-names":false,"suffix":""}],"id":"ITEM-1","issue":"1","issued":{"date-parts":[["2017","1","5"]]},"page":"e0005118","title":"A Systematic Review of the Incidence, Risk Factors and Case Fatality Rates of Invasive Nontyphoidal &lt;i&gt;Salmonella&lt;/i&gt; (iNTS) Disease in Africa (1966 to 2014)","type":"article-journal","volume":"11"},"uris":["http://www.mendeley.com/documents/?uuid=0a2c641c-1a04-4861-888e-ed1868e2910d"]}],"mendeley":{"formattedCitation":"(4)","plainTextFormattedCitation":"(4)","previouslyFormattedCitation":"(4)"},"properties":{"noteIndex":0},"schema":"https://github.com/citation-style-language/schema/raw/master/csl-citation.json"}</w:instrText>
      </w:r>
      <w:r w:rsidR="0025427A">
        <w:fldChar w:fldCharType="separate"/>
      </w:r>
      <w:r w:rsidR="00AF5B4C" w:rsidRPr="00AF5B4C">
        <w:rPr>
          <w:noProof/>
        </w:rPr>
        <w:t>(4)</w:t>
      </w:r>
      <w:r w:rsidR="0025427A">
        <w:fldChar w:fldCharType="end"/>
      </w:r>
      <w:r w:rsidRPr="00AB426C">
        <w:t xml:space="preserve">. </w:t>
      </w:r>
    </w:p>
    <w:p w14:paraId="3496BAB8" w14:textId="4165DE4F" w:rsidR="00B5172D" w:rsidRDefault="006F4F88" w:rsidP="00E90D6D">
      <w:pPr>
        <w:spacing w:line="360" w:lineRule="auto"/>
        <w:jc w:val="both"/>
        <w:rPr>
          <w:rFonts w:eastAsia="Times New Roman"/>
          <w:lang w:eastAsia="en-GB"/>
        </w:rPr>
      </w:pPr>
      <w:r>
        <w:rPr>
          <w:rFonts w:eastAsia="Times New Roman"/>
          <w:lang w:eastAsia="en-GB"/>
        </w:rPr>
        <w:t>W</w:t>
      </w:r>
      <w:r w:rsidR="00E90D6D" w:rsidRPr="00AB426C">
        <w:t>e</w:t>
      </w:r>
      <w:r w:rsidR="000C240F">
        <w:t xml:space="preserve"> used long-read sequencing to investigate the </w:t>
      </w:r>
      <w:r w:rsidR="00E90D6D" w:rsidRPr="00AB426C">
        <w:t xml:space="preserve">genome of two </w:t>
      </w:r>
      <w:r w:rsidR="000C240F" w:rsidRPr="00AB426C">
        <w:t xml:space="preserve">representative </w:t>
      </w:r>
      <w:r w:rsidR="00DF52D7">
        <w:rPr>
          <w:i/>
        </w:rPr>
        <w:t xml:space="preserve">S. </w:t>
      </w:r>
      <w:r w:rsidR="00DF52D7">
        <w:t xml:space="preserve">Enteritidis </w:t>
      </w:r>
      <w:r w:rsidR="00E90D6D" w:rsidRPr="00AB426C">
        <w:t xml:space="preserve">strains of the Central/Eastern African clade </w:t>
      </w:r>
      <w:r w:rsidR="00012A74">
        <w:t>(CP255 and D</w:t>
      </w:r>
      <w:r w:rsidR="008A2298">
        <w:t xml:space="preserve">7795) </w:t>
      </w:r>
      <w:r w:rsidR="00E90D6D" w:rsidRPr="00AB426C">
        <w:t xml:space="preserve">and two of the Global Epidemic </w:t>
      </w:r>
      <w:proofErr w:type="gramStart"/>
      <w:r w:rsidR="00E90D6D" w:rsidRPr="00AB426C">
        <w:t>clade</w:t>
      </w:r>
      <w:proofErr w:type="gramEnd"/>
      <w:r w:rsidR="00E90D6D" w:rsidRPr="00AB426C">
        <w:t xml:space="preserve"> </w:t>
      </w:r>
      <w:r w:rsidR="008A2298">
        <w:t>(P125109</w:t>
      </w:r>
      <w:r w:rsidR="0074567F">
        <w:t xml:space="preserve"> </w:t>
      </w:r>
      <w:r w:rsidR="00A82ED3">
        <w:t>and A1636</w:t>
      </w:r>
      <w:r w:rsidR="004C002E">
        <w:t>)</w:t>
      </w:r>
      <w:r w:rsidR="00E90D6D" w:rsidRPr="00AB426C">
        <w:t>.</w:t>
      </w:r>
      <w:r w:rsidR="00E90D6D" w:rsidRPr="00AB426C">
        <w:rPr>
          <w:rFonts w:eastAsia="Times New Roman"/>
          <w:lang w:eastAsia="en-GB"/>
        </w:rPr>
        <w:t xml:space="preserve"> </w:t>
      </w:r>
      <w:r w:rsidR="0052735F">
        <w:rPr>
          <w:rFonts w:eastAsia="Times New Roman"/>
          <w:lang w:eastAsia="en-GB"/>
        </w:rPr>
        <w:t xml:space="preserve">CP255 was </w:t>
      </w:r>
      <w:r w:rsidR="00596CE6">
        <w:rPr>
          <w:rFonts w:eastAsia="Times New Roman"/>
          <w:lang w:eastAsia="en-GB"/>
        </w:rPr>
        <w:t>isolated in the Democratic Republic of Congo (the Zaire)</w:t>
      </w:r>
      <w:r w:rsidR="00157422">
        <w:rPr>
          <w:rFonts w:eastAsia="Times New Roman"/>
          <w:lang w:eastAsia="en-GB"/>
        </w:rPr>
        <w:t xml:space="preserve"> in 1991</w:t>
      </w:r>
      <w:r w:rsidR="00EF6B32">
        <w:rPr>
          <w:rFonts w:eastAsia="Times New Roman"/>
          <w:lang w:eastAsia="en-GB"/>
        </w:rPr>
        <w:t>,</w:t>
      </w:r>
      <w:r w:rsidR="00596CE6">
        <w:rPr>
          <w:rFonts w:eastAsia="Times New Roman"/>
          <w:lang w:eastAsia="en-GB"/>
        </w:rPr>
        <w:t xml:space="preserve"> from the blood of a child at the </w:t>
      </w:r>
      <w:proofErr w:type="spellStart"/>
      <w:r w:rsidR="00596CE6" w:rsidRPr="00277052">
        <w:rPr>
          <w:rFonts w:eastAsia="Times New Roman"/>
          <w:lang w:eastAsia="en-GB"/>
        </w:rPr>
        <w:t>Institut</w:t>
      </w:r>
      <w:r w:rsidR="003F468E">
        <w:rPr>
          <w:rFonts w:eastAsia="Times New Roman"/>
          <w:lang w:eastAsia="en-GB"/>
        </w:rPr>
        <w:t>-</w:t>
      </w:r>
      <w:r w:rsidR="00596CE6" w:rsidRPr="00277052">
        <w:rPr>
          <w:rFonts w:eastAsia="Times New Roman"/>
          <w:lang w:eastAsia="en-GB"/>
        </w:rPr>
        <w:t>Médical</w:t>
      </w:r>
      <w:r w:rsidR="003F468E">
        <w:rPr>
          <w:rFonts w:eastAsia="Times New Roman"/>
          <w:lang w:eastAsia="en-GB"/>
        </w:rPr>
        <w:t>-</w:t>
      </w:r>
      <w:r w:rsidR="00596CE6" w:rsidRPr="00277052">
        <w:rPr>
          <w:rFonts w:eastAsia="Times New Roman"/>
          <w:lang w:eastAsia="en-GB"/>
        </w:rPr>
        <w:t>Evangélique</w:t>
      </w:r>
      <w:proofErr w:type="spellEnd"/>
      <w:r w:rsidR="00596CE6">
        <w:rPr>
          <w:rFonts w:eastAsia="Times New Roman"/>
          <w:lang w:eastAsia="en-GB"/>
        </w:rPr>
        <w:t>, Kimpese, and is phenotypically MDR (amoxicillin, tetracycline, chloramphenicol and streptomycin</w:t>
      </w:r>
      <w:r w:rsidR="003F468E">
        <w:rPr>
          <w:rFonts w:eastAsia="Times New Roman"/>
          <w:lang w:eastAsia="en-GB"/>
        </w:rPr>
        <w:t>-</w:t>
      </w:r>
      <w:r w:rsidR="00596CE6">
        <w:rPr>
          <w:rFonts w:eastAsia="Times New Roman"/>
          <w:lang w:eastAsia="en-GB"/>
        </w:rPr>
        <w:t>resistant)</w:t>
      </w:r>
      <w:r w:rsidR="00E84481">
        <w:rPr>
          <w:rFonts w:eastAsia="Times New Roman"/>
          <w:lang w:eastAsia="en-GB"/>
        </w:rPr>
        <w:t xml:space="preserve"> </w:t>
      </w:r>
      <w:r w:rsidR="003A3108">
        <w:rPr>
          <w:rFonts w:eastAsia="Times New Roman"/>
          <w:lang w:eastAsia="en-GB"/>
        </w:rPr>
        <w:fldChar w:fldCharType="begin" w:fldLock="1"/>
      </w:r>
      <w:r w:rsidR="00FC21D7">
        <w:rPr>
          <w:rFonts w:eastAsia="Times New Roman"/>
          <w:lang w:eastAsia="en-GB"/>
        </w:rPr>
        <w:instrText>ADDIN CSL_CITATION {"citationItems":[{"id":"ITEM-1","itemData":{"DOI":"10.1080/02724936.1993.11747624","ISSN":"0272-4936","PMID":"7681645","abstract":"An analysis of 206 cases of extra-intestinal Salmonella infection among children up to 60 months of age admitted to a rural hospital in western Zaire was undertaken. Most children presented with fever but without any focus of infection which was difficult to distinguish clinically from falciparum malaria. The majority (83%) of the infections were due to serotypes other than S. typhi. Infection with these serotypes was clinically indistinguishable from S. Typhi infection and was associated with a comparably high case fatality rate of 23%. Death was significantly associated with age under 6 months (relative risk 1.7), meningitis (RR 4.7), jaundice (RR 2.5), severe anaemia (RR 1.8), contracting disease in the late wet season when malnutrition peaks (RR 2.6) and infection with a chloramphenicol-resistant isolate (RR 3.2.) The increasing prevalence of antibiotic resistance and HIV infection will complicate the management of this disease in the future.","author":[{"dropping-particle":"","family":"Green","given":"S. D. R.","non-dropping-particle":"","parse-names":false,"suffix":""},{"dropping-particle":"","family":"Cheesbrough","given":"John S.","non-dropping-particle":"","parse-names":false,"suffix":""}],"container-title":"Annals of Tropical Paediatrics","id":"ITEM-1","issue":"1","issued":{"date-parts":[["1993","1","13"]]},"page":"45-53","publisher":"Ann Trop Paediatr","title":"&lt;i&gt;Salmonella&lt;/i&gt; bacteraemia among young children at a rural hospital in western Zaire","type":"article-journal","volume":"13"},"uris":["http://www.mendeley.com/documents/?uuid=3238949a-36e8-39a9-993b-955788793ce3"]},{"id":"ITEM-2","itemData":{"DOI":"10.1097/00006454-199703000-00005","ISSN":"0891-3668","abstract":"Background. Invasive salmonellosis is common among children in tropical Africa, typically presenting as a nonspecific febrile illness that is difficult to distinguish clinically from malaria. This study examines the performance of a clinical definition devised to aid its recognition among children ages 1 to 15 years presenting to a mission hospital in rural Zaire. Methods. Invasive salmonellosis was defined by: (1) illness requiring admission to hospital in the opinion of an experience pediatrician; (2) history of fever for 5 or more days; (3) no focus of infection on clinical examination; and (4) negative or only scanty positive thick film for malarial parasites. Children fulfilling all these criteria were treated with ciprofloxacin after culture of blood and feces. The primary outcome measure was blood culture-confirmed salmonellosis. Secondary measures were final clinical diagnosis and serologic evidence of recent salmonellosis. Results. Of 120 children fulfilling the definition, 55 (46%) were bacteremia; in 46 (38%) Salmonella species were isolated. In the majority of the nonbacteremic children no definite cause for the fever could be found. Salmonella serology supported invasive salmonellosis as the diagnosis in 62% of the nonbacteremic children. Conclusion. Salmonella serology suggested that invasive salmonellosis without detectable bacteremia was common. The addition of blood culture-proved and serologically diagnosed cases indicates that the definition has a specificity of at least 60%.","author":[{"dropping-particle":"","family":"Cheesbrough","given":"John S.","non-dropping-particle":"","parse-names":false,"suffix":""},{"dropping-particle":"","family":"Taxman","given":"Betty C.","non-dropping-particle":"","parse-names":false,"suffix":""},{"dropping-particle":"","family":"Green","given":"Steven D. R.","non-dropping-particle":"","parse-names":false,"suffix":""},{"dropping-particle":"","family":"Mewa","given":"Franҫois Illunga","non-dropping-particle":"","parse-names":false,"suffix":""},{"dropping-particle":"","family":"Numbi","given":"Andy","non-dropping-particle":"","parse-names":false,"suffix":""}],"container-title":"The Pediatric Infectious Disease Journal","id":"ITEM-2","issue":"3","issued":{"date-parts":[["1997","3","1"]]},"page":"277-283","title":"Clinical definition for invasive &lt;i&gt;Salmonella&lt;/i&gt; infection in African children","type":"article-journal","volume":"16"},"uris":["http://www.mendeley.com/documents/?uuid=1aae0648-73f3-3181-b3a0-525fca473678"]}],"mendeley":{"formattedCitation":"(5, 6)","plainTextFormattedCitation":"(5, 6)","previouslyFormattedCitation":"(5, 6)"},"properties":{"noteIndex":0},"schema":"https://github.com/citation-style-language/schema/raw/master/csl-citation.json"}</w:instrText>
      </w:r>
      <w:r w:rsidR="003A3108">
        <w:rPr>
          <w:rFonts w:eastAsia="Times New Roman"/>
          <w:lang w:eastAsia="en-GB"/>
        </w:rPr>
        <w:fldChar w:fldCharType="separate"/>
      </w:r>
      <w:r w:rsidR="00AF5B4C" w:rsidRPr="00AF5B4C">
        <w:rPr>
          <w:rFonts w:eastAsia="Times New Roman"/>
          <w:noProof/>
          <w:lang w:eastAsia="en-GB"/>
        </w:rPr>
        <w:t>(5, 6)</w:t>
      </w:r>
      <w:r w:rsidR="003A3108">
        <w:rPr>
          <w:rFonts w:eastAsia="Times New Roman"/>
          <w:lang w:eastAsia="en-GB"/>
        </w:rPr>
        <w:fldChar w:fldCharType="end"/>
      </w:r>
      <w:r w:rsidR="0074567F">
        <w:rPr>
          <w:rFonts w:eastAsia="Times New Roman"/>
          <w:lang w:eastAsia="en-GB"/>
        </w:rPr>
        <w:t>.</w:t>
      </w:r>
      <w:r w:rsidR="000032CE">
        <w:rPr>
          <w:rFonts w:eastAsia="Times New Roman"/>
          <w:lang w:eastAsia="en-GB"/>
        </w:rPr>
        <w:t xml:space="preserve"> D7795 </w:t>
      </w:r>
      <w:r w:rsidR="00596CE6">
        <w:rPr>
          <w:rFonts w:eastAsia="Times New Roman"/>
          <w:lang w:eastAsia="en-GB"/>
        </w:rPr>
        <w:t xml:space="preserve">(paediatric patient/MDR) </w:t>
      </w:r>
      <w:r w:rsidR="000032CE">
        <w:rPr>
          <w:rFonts w:eastAsia="Times New Roman"/>
          <w:lang w:eastAsia="en-GB"/>
        </w:rPr>
        <w:t xml:space="preserve">and A1636 </w:t>
      </w:r>
      <w:r w:rsidR="00596CE6">
        <w:rPr>
          <w:rFonts w:eastAsia="Times New Roman"/>
          <w:lang w:eastAsia="en-GB"/>
        </w:rPr>
        <w:t xml:space="preserve">(adult patient/fully susceptible) </w:t>
      </w:r>
      <w:r w:rsidR="000032CE">
        <w:rPr>
          <w:rFonts w:eastAsia="Times New Roman"/>
          <w:lang w:eastAsia="en-GB"/>
        </w:rPr>
        <w:t xml:space="preserve">were </w:t>
      </w:r>
      <w:r w:rsidR="00B604D0">
        <w:rPr>
          <w:rFonts w:eastAsia="Times New Roman"/>
          <w:lang w:eastAsia="en-GB"/>
        </w:rPr>
        <w:t>isolated</w:t>
      </w:r>
      <w:r w:rsidR="00DF52D7">
        <w:rPr>
          <w:rFonts w:eastAsia="Times New Roman"/>
          <w:lang w:eastAsia="en-GB"/>
        </w:rPr>
        <w:t xml:space="preserve"> </w:t>
      </w:r>
      <w:r w:rsidR="00F21826">
        <w:rPr>
          <w:rFonts w:eastAsia="Times New Roman"/>
          <w:lang w:eastAsia="en-GB"/>
        </w:rPr>
        <w:t xml:space="preserve">in 1998 and 2000, respectively in </w:t>
      </w:r>
      <w:r w:rsidR="007A61DC">
        <w:rPr>
          <w:rFonts w:eastAsia="Times New Roman"/>
          <w:lang w:eastAsia="en-GB"/>
        </w:rPr>
        <w:t>Blantyre (</w:t>
      </w:r>
      <w:r w:rsidR="000032CE">
        <w:rPr>
          <w:rFonts w:eastAsia="Times New Roman"/>
          <w:lang w:eastAsia="en-GB"/>
        </w:rPr>
        <w:t>Malawi</w:t>
      </w:r>
      <w:r w:rsidR="007A61DC">
        <w:rPr>
          <w:rFonts w:eastAsia="Times New Roman"/>
          <w:lang w:eastAsia="en-GB"/>
        </w:rPr>
        <w:t>)</w:t>
      </w:r>
      <w:r w:rsidR="003F468E">
        <w:rPr>
          <w:rFonts w:eastAsia="Times New Roman"/>
          <w:lang w:eastAsia="en-GB"/>
        </w:rPr>
        <w:t xml:space="preserve"> </w:t>
      </w:r>
      <w:r w:rsidR="0074567F">
        <w:rPr>
          <w:rFonts w:eastAsia="Times New Roman"/>
          <w:lang w:eastAsia="en-GB"/>
        </w:rPr>
        <w:fldChar w:fldCharType="begin" w:fldLock="1"/>
      </w:r>
      <w:r w:rsidR="00FC21D7">
        <w:rPr>
          <w:rFonts w:eastAsia="Times New Roman"/>
          <w:lang w:eastAsia="en-GB"/>
        </w:rPr>
        <w:instrText>ADDIN CSL_CITATION {"citationItems":[{"id":"ITEM-1","itemData":{"DOI":"10.1038/ng.3644","ISSN":"1061-4036","PMID":"27548315","abstract":"An epidemiological paradox surrounds Salmonella enterica serovar Enteritidis. In high-income settings, it has been responsible for an epidemic of poultry-associated, self-limiting enterocolitis, whereas in sub-Saharan Africa it is a major cause of invasive nontyphoidal Salmonella disease, associated with high case fatality. By whole-genome sequence analysis of 675 isolates of S. Enteritidis from 45 countries, we show the existence of a global epidemic clade and two new clades of S. Enteritidis that are geographically restricted to distinct regions of Africa. The African isolates display genomic degradation, a novel prophage repertoire, and an expanded multidrug resistance plasmid. S. Enteritidis is a further example of a Salmonella serotype that displays niche plasticity, with distinct clades that enable it to become a prominent cause of gastroenteritis in association with the industrial production of eggs and of multidrug-resistant, bloodstream-invasive infection in Africa.","author":[{"dropping-particle":"","family":"Feasey","given":"Nicholas A.","non-dropping-particle":"","parse-names":false,"suffix":""},{"dropping-particle":"","family":"Hadfield","given":"James","non-dropping-particle":"","parse-names":false,"suffix":""},{"dropping-particle":"","family":"Keddy","given":"Karen H","non-dropping-particle":"","parse-names":false,"suffix":""},{"dropping-particle":"","family":"Dallman","given":"Timothy J","non-dropping-particle":"","parse-names":false,"suffix":""},{"dropping-particle":"","family":"Jacobs","given":"Jan","non-dropping-particle":"","parse-names":false,"suffix":""},{"dropping-particle":"","family":"Deng","given":"Xiangyu","non-dropping-particle":"","parse-names":false,"suffix":""},{"dropping-particle":"","family":"Wigley","given":"Paul","non-dropping-particle":"","parse-names":false,"suffix":""},{"dropping-particle":"","family":"Barquist Barquist","given":"Lars","non-dropping-particle":"","parse-names":false,"suffix":""},{"dropping-particle":"","family":"Langridge","given":"Gemma C.","non-dropping-particle":"","parse-names":false,"suffix":""},{"dropping-particle":"","family":"Feltwell","given":"Theresa","non-dropping-particle":"","parse-names":false,"suffix":""},{"dropping-particle":"","family":"Harris","given":"Simon R","non-dropping-particle":"","parse-names":false,"suffix":""},{"dropping-particle":"","family":"Mather","given":"Alison E","non-dropping-particle":"","parse-names":false,"suffix":""},{"dropping-particle":"","family":"Fookes","given":"Maria","non-dropping-particle":"","parse-names":false,"suffix":""},{"dropping-particle":"","family":"Aslett","given":"Martin","non-dropping-particle":"","parse-names":false,"suffix":""},{"dropping-particle":"","family":"Msefula","given":"Chisomo","non-dropping-particle":"","parse-names":false,"suffix":""},{"dropping-particle":"","family":"Kariuki","given":"Samuel","non-dropping-particle":"","parse-names":false,"suffix":""},{"dropping-particle":"","family":"Maclennan","given":"Calman A.","non-dropping-particle":"","parse-names":false,"suffix":""},{"dropping-particle":"","family":"Onsare","given":"Robert S","non-dropping-particle":"","parse-names":false,"suffix":""},{"dropping-particle":"","family":"Weill","given":"François-Xavier","non-dropping-particle":"","parse-names":false,"suffix":""},{"dropping-particle":"","family":"Hello","given":"Simon","non-dropping-particle":"Le","parse-names":false,"suffix":""},{"dropping-particle":"","family":"Smith","given":"Anthony M","non-dropping-particle":"","parse-names":false,"suffix":""},{"dropping-particle":"","family":"Mcclelland","given":"Michael","non-dropping-particle":"","parse-names":false,"suffix":""},{"dropping-particle":"","family":"Desai","given":"Prerak","non-dropping-particle":"","parse-names":false,"suffix":""},{"dropping-particle":"","family":"Parry","given":"Christopher M","non-dropping-particle":"","parse-names":false,"suffix":""},{"dropping-particle":"","family":"Cheesbrough","given":"John S.","non-dropping-particle":"","parse-names":false,"suffix":""},{"dropping-particle":"","family":"French","given":"Neil","non-dropping-particle":"","parse-names":false,"suffix":""},{"dropping-particle":"","family":"Campos","given":"Josefina","non-dropping-particle":"","parse-names":false,"suffix":""},{"dropping-particle":"","family":"Chabalgoity","given":"Jose A","non-dropping-particle":"","parse-names":false,"suffix":""},{"dropping-particle":"","family":"Betancor","given":"Laura","non-dropping-particle":"","parse-names":false,"suffix":""},{"dropping-particle":"","family":"Hopkins","given":"Katie L","non-dropping-particle":"","parse-names":false,"suffix":""},{"dropping-particle":"","family":"Nair","given":"Satheesh","non-dropping-particle":"","parse-names":false,"suffix":""},{"dropping-particle":"","family":"Humphrey","given":"Tom J","non-dropping-particle":"","parse-names":false,"suffix":""},{"dropping-particle":"","family":"Lunguya","given":"Octavie","non-dropping-particle":"","parse-names":false,"suffix":""},{"dropping-particle":"","family":"Cogan","given":"Tristan A","non-dropping-particle":"","parse-names":false,"suffix":""},{"dropping-particle":"","family":"Tapia","given":"Milagritos D","non-dropping-particle":"","parse-names":false,"suffix":""},{"dropping-particle":"","family":"Sow","given":"Samba O","non-dropping-particle":"","parse-names":false,"suffix":""},{"dropping-particle":"","family":"Tennant","given":"Sharon M","non-dropping-particle":"","parse-names":false,"suffix":""},{"dropping-particle":"","family":"Bornstein","given":"Kristin","non-dropping-particle":"","parse-names":false,"suffix":""},{"dropping-particle":"","family":"Levine","given":"Myron M","non-dropping-particle":"","parse-names":false,"suffix":""},{"dropping-particle":"","family":"Lacharme-Lora","given":"Lizeth","non-dropping-particle":"","parse-names":false,"suffix":""},{"dropping-particle":"","family":"Everett","given":"Dean B","non-dropping-particle":"","parse-names":false,"suffix":""},{"dropping-particle":"","family":"Kingsley","given":"Robert A.","non-dropping-particle":"","parse-names":false,"suffix":""},{"dropping-particle":"","family":"Parkhill","given":"Julian","non-dropping-particle":"","parse-names":false,"suffix":""},{"dropping-particle":"","family":"Heyderman","given":"Robert S","non-dropping-particle":"","parse-names":false,"suffix":""},{"dropping-particle":"","family":"Dougan","given":"Gordon","non-dropping-particle":"","parse-names":false,"suffix":""},{"dropping-particle":"","family":"Gordon","given":"Melita A.","non-dropping-particle":"","parse-names":false,"suffix":""},{"dropping-particle":"","family":"Thomson","given":"Nicholas R.","non-dropping-particle":"","parse-names":false,"suffix":""},{"dropping-particle":"","family":"Barquist","given":"Lars","non-dropping-particle":"","parse-names":false,"suffix":""},{"dropping-particle":"","family":"Gemma","given":"C","non-dropping-particle":"","parse-names":false,"suffix":""},{"dropping-particle":"Le","family":"Hello","given":"Simon","non-dropping-particle":"","parse-names":false,"suffix":""},{"dropping-particle":"","family":"Melita","given":"A","non-dropping-particle":"","parse-names":false,"suffix":""}],"container-title":"Nature Genetics","id":"ITEM-1","issue":"October 2015","issued":{"date-parts":[["2016"]]},"page":"1211-7","title":"Distinct &lt;i&gt;Salmonella&lt;/i&gt; Enteritidis lineages associated with enterocolitis in high-income settings and invasive disease in low-income settings","type":"article-journal","volume":"48"},"uris":["http://www.mendeley.com/documents/?uuid=0b337582-08a1-4754-a1c5-35df0ce1d920"]}],"mendeley":{"formattedCitation":"(3)","plainTextFormattedCitation":"(3)","previouslyFormattedCitation":"(3)"},"properties":{"noteIndex":0},"schema":"https://github.com/citation-style-language/schema/raw/master/csl-citation.json"}</w:instrText>
      </w:r>
      <w:r w:rsidR="0074567F">
        <w:rPr>
          <w:rFonts w:eastAsia="Times New Roman"/>
          <w:lang w:eastAsia="en-GB"/>
        </w:rPr>
        <w:fldChar w:fldCharType="separate"/>
      </w:r>
      <w:r w:rsidR="00AF5B4C" w:rsidRPr="00AF5B4C">
        <w:rPr>
          <w:rFonts w:eastAsia="Times New Roman"/>
          <w:noProof/>
          <w:lang w:eastAsia="en-GB"/>
        </w:rPr>
        <w:t>(3)</w:t>
      </w:r>
      <w:r w:rsidR="0074567F">
        <w:rPr>
          <w:rFonts w:eastAsia="Times New Roman"/>
          <w:lang w:eastAsia="en-GB"/>
        </w:rPr>
        <w:fldChar w:fldCharType="end"/>
      </w:r>
      <w:r w:rsidR="0074567F">
        <w:rPr>
          <w:rFonts w:eastAsia="Times New Roman"/>
          <w:lang w:eastAsia="en-GB"/>
        </w:rPr>
        <w:t>.</w:t>
      </w:r>
      <w:r w:rsidR="007A61DC">
        <w:rPr>
          <w:rFonts w:eastAsia="Times New Roman"/>
          <w:lang w:eastAsia="en-GB"/>
        </w:rPr>
        <w:t xml:space="preserve"> </w:t>
      </w:r>
      <w:r w:rsidR="004B22D6">
        <w:rPr>
          <w:rFonts w:eastAsia="Times New Roman"/>
          <w:i/>
          <w:lang w:eastAsia="en-GB"/>
        </w:rPr>
        <w:t xml:space="preserve">S. </w:t>
      </w:r>
      <w:r w:rsidR="004B22D6">
        <w:rPr>
          <w:rFonts w:eastAsia="Times New Roman"/>
          <w:lang w:eastAsia="en-GB"/>
        </w:rPr>
        <w:t>Enteritidis P125109</w:t>
      </w:r>
      <w:r w:rsidR="00F21826">
        <w:rPr>
          <w:rFonts w:eastAsia="Times New Roman"/>
          <w:lang w:eastAsia="en-GB"/>
        </w:rPr>
        <w:t xml:space="preserve">, </w:t>
      </w:r>
      <w:r w:rsidR="00745964">
        <w:rPr>
          <w:rFonts w:eastAsia="Times New Roman"/>
          <w:lang w:eastAsia="en-GB"/>
        </w:rPr>
        <w:t>a UK PT4 isolate from 1988,</w:t>
      </w:r>
      <w:r w:rsidR="004B22D6">
        <w:rPr>
          <w:rFonts w:eastAsia="Times New Roman"/>
          <w:lang w:eastAsia="en-GB"/>
        </w:rPr>
        <w:t xml:space="preserve"> </w:t>
      </w:r>
      <w:r w:rsidR="00596CE6">
        <w:rPr>
          <w:rFonts w:eastAsia="Times New Roman"/>
          <w:lang w:eastAsia="en-GB"/>
        </w:rPr>
        <w:t xml:space="preserve">was used as a reference </w:t>
      </w:r>
      <w:r w:rsidR="00FB5DE4">
        <w:rPr>
          <w:rFonts w:eastAsia="Times New Roman"/>
          <w:lang w:eastAsia="en-GB"/>
        </w:rPr>
        <w:fldChar w:fldCharType="begin" w:fldLock="1"/>
      </w:r>
      <w:r w:rsidR="00FC21D7">
        <w:rPr>
          <w:rFonts w:eastAsia="Times New Roman"/>
          <w:lang w:eastAsia="en-GB"/>
        </w:rPr>
        <w:instrText>ADDIN CSL_CITATION {"citationItems":[{"id":"ITEM-1","itemData":{"DOI":"10.1101/gr.077404.108","ISBN":"1088-9051 (Print)\\r1088-9051 (Linking)","ISSN":"1088-9051 (Print) 1088-9051 (Linking)","PMID":"18583645","abstract":"We have determined the complete genome sequences of a host-promiscuous Salmonella enterica serovar Enteritidis PT4 isolate P125109 and a chicken-restricted Salmonella enterica serovar Gallinarum isolate 287/91. Genome comparisons between these and other Salmonella isolates indicate that S. Gallinarum 287/91 is a recently evolved descendent of S. Enteritidis. Significantly, the genome of S. Gallinarum has undergone extensive degradation through deletion and pseudogene formation. Comparison of the pseudogenes in S. Gallinarum with those identified previously in other host-adapted bacteria reveals the loss of many common functional traits and provides insights into possible mechanisms of host and tissue adaptation. We propose that experimental analysis in chickens and mice of S. Enteritidis-harboring mutations in functional homologs of the pseudogenes present in S. Gallinarum could provide an experimentally tractable route toward unraveling the genetic basis of host adaptation in S. enterica.","author":[{"dropping-particle":"","family":"Thomson","given":"Nicholas R.","non-dropping-particle":"","parse-names":false,"suffix":""},{"dropping-particle":"","family":"Clayton","given":"Debra J.","non-dropping-particle":"","parse-names":false,"suffix":""},{"dropping-particle":"","family":"Windhorst","given":"Daniel","non-dropping-particle":"","parse-names":false,"suffix":""},{"dropping-particle":"","family":"Vernikos","given":"Georgios","non-dropping-particle":"","parse-names":false,"suffix":""},{"dropping-particle":"","family":"Davidson","given":"Susanne","non-dropping-particle":"","parse-names":false,"suffix":""},{"dropping-particle":"","family":"Churcher","given":"Carol","non-dropping-particle":"","parse-names":false,"suffix":""},{"dropping-particle":"","family":"Quail","given":"Michael A.","non-dropping-particle":"","parse-names":false,"suffix":""},{"dropping-particle":"","family":"Stevens","given":"Mark","non-dropping-particle":"","parse-names":false,"suffix":""},{"dropping-particle":"","family":"Jones","given":"Michael A.","non-dropping-particle":"","parse-names":false,"suffix":""},{"dropping-particle":"","family":"Watson","given":"Michael","non-dropping-particle":"","parse-names":false,"suffix":""},{"dropping-particle":"","family":"Barron","given":"Andy","non-dropping-particle":"","parse-names":false,"suffix":""},{"dropping-particle":"","family":"Layton","given":"Abigail","non-dropping-particle":"","parse-names":false,"suffix":""},{"dropping-particle":"","family":"Pickard","given":"Derek","non-dropping-particle":"","parse-names":false,"suffix":""},{"dropping-particle":"","family":"Kingsley","given":"Robert A.","non-dropping-particle":"","parse-names":false,"suffix":""},{"dropping-particle":"","family":"Bignell","given":"Alex","non-dropping-particle":"","parse-names":false,"suffix":""},{"dropping-particle":"","family":"Clark","given":"Louise","non-dropping-particle":"","parse-names":false,"suffix":""},{"dropping-particle":"","family":"Harris","given":"Barbara","non-dropping-particle":"","parse-names":false,"suffix":""},{"dropping-particle":"","family":"Ormond","given":"Doug","non-dropping-particle":"","parse-names":false,"suffix":""},{"dropping-particle":"","family":"Abdellah","given":"Zahra","non-dropping-particle":"","parse-names":false,"suffix":""},{"dropping-particle":"","family":"Brooks","given":"Karen","non-dropping-particle":"","parse-names":false,"suffix":""},{"dropping-particle":"","family":"Cherevach","given":"Inna","non-dropping-particle":"","parse-names":false,"suffix":""},{"dropping-particle":"","family":"Chillingworth","given":"Tracey","non-dropping-particle":"","parse-names":false,"suffix":""},{"dropping-particle":"","family":"Woodward","given":"John","non-dropping-particle":"","parse-names":false,"suffix":""},{"dropping-particle":"","family":"Norberczak","given":"Halina","non-dropping-particle":"","parse-names":false,"suffix":""},{"dropping-particle":"","family":"Lord","given":"Angela","non-dropping-particle":"","parse-names":false,"suffix":""},{"dropping-particle":"","family":"Arrowsmith","given":"Claire","non-dropping-particle":"","parse-names":false,"suffix":""},{"dropping-particle":"","family":"Jagels","given":"Kay","non-dropping-particle":"","parse-names":false,"suffix":""},{"dropping-particle":"","family":"Moule","given":"Sharon","non-dropping-particle":"","parse-names":false,"suffix":""},{"dropping-particle":"","family":"Mungall","given":"Karen","non-dropping-particle":"","parse-names":false,"suffix":""},{"dropping-particle":"","family":"Sanders","given":"Mandy","non-dropping-particle":"","parse-names":false,"suffix":""},{"dropping-particle":"","family":"Whitehead","given":"Sally","non-dropping-particle":"","parse-names":false,"suffix":""},{"dropping-particle":"","family":"Chabalgoity","given":"Jose A.","non-dropping-particle":"","parse-names":false,"suffix":""},{"dropping-particle":"","family":"Maskell","given":"Duncan","non-dropping-particle":"","parse-names":false,"suffix":""},{"dropping-particle":"","family":"Humphrey","given":"Tom","non-dropping-particle":"","parse-names":false,"suffix":""},{"dropping-particle":"","family":"Roberts","given":"Mark","non-dropping-particle":"","parse-names":false,"suffix":""},{"dropping-particle":"","family":"Barrow","given":"Paul A.","non-dropping-particle":"","parse-names":false,"suffix":""},{"dropping-particle":"","family":"Dougan","given":"Gordon","non-dropping-particle":"","parse-names":false,"suffix":""},{"dropping-particle":"","family":"Parkhill","given":"Julian","non-dropping-particle":"","parse-names":false,"suffix":""}],"container-title":"Genome Research","id":"ITEM-1","issue":"10","issued":{"date-parts":[["2008"]]},"page":"1624-1637","title":"Comparative genome analysis of &lt;i&gt;Salmonella&lt;/i&gt; Enteritidis PT4 and &lt;i&gt;Salmonella&lt;/i&gt; Gallinarum 287/91 provides insights into evolutionary and host adaptation pathways","type":"article-journal","volume":"18"},"uris":["http://www.mendeley.com/documents/?uuid=6693441f-20a0-42ec-ab10-6707bba373c8"]},{"id":"ITEM-2","itemData":{"DOI":"10.1128/IAI.05497-11","ISBN":"1098-5522 (Electronic)\\r0019-9567 (Linking)","ISSN":"00199567","PMID":"22083712","abstract":"Salmonella enterica serovar Enteritidis causes a systemic, typhoid-like infection in newly hatched poultry and mice. In the present study, a library of 54,000 transposon mutants of S. Enteritidis phage type 4 (PT4) strain P125109 was screened for mutants deficient in the in vivo colonization of the BALB/c mouse model using a microarray-based negative-selection screening. Mutants in genes known to contribute to systemic infection (e.g., Salmonella pathogenicity island 2 [SPI-2], aro, rfa, rfb, phoP, and phoQ) and enteric infection (e.g., SPI-1 and SPI-5) in this and other Salmonella serovars displayed colonization defects in our assay. In addition, a strong attenuation was observed for mutants in genes and genomic islands that are not present in S. Typhimurium or in most other Salmonella serovars. These genes include a type I restriction/modification system (SEN4290 to SEN4292), the peg fimbrial operon (SEN2144A to SEN2145B), a putative pathogenicity island (SEN1970 to SEN1999), and a type VI secretion system remnant SEN1001, encoding a hypothetical protein containing a lysin motif (LysM) domain associated with peptidoglycan binding. Proliferation defects for mutants in these individual genes and in exemplar genes for each of these clusters were confirmed in competitive infections with wild-type S. Enteritidis. A ΔSEN1001 mutant was defective for survival within RAW264.7 murine macrophages in vitro. Complementation assays directly linked the SEN1001 gene to phenotypes observed in vivo and in vitro. The genes identified here may perform novel virulence functions not characterized in previous Salmonella models.","author":[{"dropping-particle":"","family":"Silva","given":"Cecilia A.","non-dropping-particle":"","parse-names":false,"suffix":""},{"dropping-particle":"","family":"Blondel","given":"Carlos J.","non-dropping-particle":"","parse-names":false,"suffix":""},{"dropping-particle":"","family":"Quezada","given":"Carolina P.","non-dropping-particle":"","parse-names":false,"suffix":""},{"dropping-particle":"","family":"Porwollik","given":"Steffen","non-dropping-particle":"","parse-names":false,"suffix":""},{"dropping-particle":"","family":"Andrews-Polymenis","given":"Helene L.","non-dropping-particle":"","parse-names":false,"suffix":""},{"dropping-particle":"","family":"Toro","given":"Cecilia S.","non-dropping-particle":"","parse-names":false,"suffix":""},{"dropping-particle":"","family":"Zaldívar","given":"Mercedes","non-dropping-particle":"","parse-names":false,"suffix":""},{"dropping-particle":"","family":"Contreras","given":"Inés","non-dropping-particle":"","parse-names":false,"suffix":""},{"dropping-particle":"","family":"Mcclelland","given":"Michael","non-dropping-particle":"","parse-names":false,"suffix":""},{"dropping-particle":"","family":"Santiviago","given":"Carlos A.","non-dropping-particle":"","parse-names":false,"suffix":""}],"container-title":"Infection and Immunity","id":"ITEM-2","issue":"2","issued":{"date-parts":[["2012"]]},"page":"839-849","title":"Infection of mice by &lt;i&gt;Salmonella enterica&lt;/i&gt; serovar Enteritidis involves additional genes that are absent in the genome of serovar Typhimurium","type":"article-journal","volume":"80"},"uris":["http://www.mendeley.com/documents/?uuid=99095e92-5470-4269-98f7-72045378ba4d"]},{"id":"ITEM-3","itemData":{"DOI":"10.1080/03079459108418749","ISSN":"0307-9457","author":[{"dropping-particle":"","family":"Barrow","given":"Paul A.","non-dropping-particle":"","parse-names":false,"suffix":""}],"container-title":"Avian Pathology","id":"ITEM-3","issue":"1","issued":{"date-parts":[["1991","3"]]},"page":"145-153","title":"Experimental infection of chickens with &lt;i&gt;Salmonella&lt;/i&gt; enteritidis","type":"article-journal","volume":"20"},"uris":["http://www.mendeley.com/documents/?uuid=8df443bb-3844-43cb-8f61-64788031304d"]},{"id":"ITEM-4","itemData":{"DOI":"10.1080/03079459108418769","ISSN":"0307-9457","author":[{"dropping-particle":"","family":"Barrow","given":"Paul A.","non-dropping-particle":"","parse-names":false,"suffix":""},{"dropping-particle":"","family":"Lovell","given":"Margaret A","non-dropping-particle":"","parse-names":false,"suffix":""}],"container-title":"Avian Pathology","id":"ITEM-4","issue":"2","issued":{"date-parts":[["1991","6"]]},"page":"335-348","title":"Experimental infection of egg</w:instrText>
      </w:r>
      <w:r w:rsidR="00FC21D7">
        <w:rPr>
          <w:rFonts w:ascii="Cambria Math" w:eastAsia="Times New Roman" w:hAnsi="Cambria Math" w:cs="Cambria Math"/>
          <w:lang w:eastAsia="en-GB"/>
        </w:rPr>
        <w:instrText>‐</w:instrText>
      </w:r>
      <w:r w:rsidR="00FC21D7">
        <w:rPr>
          <w:rFonts w:eastAsia="Times New Roman"/>
          <w:lang w:eastAsia="en-GB"/>
        </w:rPr>
        <w:instrText>laying hens with &lt;i&gt;Salmonella&lt;/i&gt; enteritidis phage type 4","type":"article-journal","volume":"20"},"uris":["http://www.mendeley.com/documents/?uuid=c6cfca37-0225-4d67-aaad-46ad9940bf06"]}],"mendeley":{"formattedCitation":"(7–10)","plainTextFormattedCitation":"(7–10)","previouslyFormattedCitation":"(7–10)"},"properties":{"noteIndex":0},"schema":"https://github.com/citation-style-language/schema/raw/master/csl-citation.json"}</w:instrText>
      </w:r>
      <w:r w:rsidR="00FB5DE4">
        <w:rPr>
          <w:rFonts w:eastAsia="Times New Roman"/>
          <w:lang w:eastAsia="en-GB"/>
        </w:rPr>
        <w:fldChar w:fldCharType="separate"/>
      </w:r>
      <w:r w:rsidR="00AF5B4C" w:rsidRPr="00AF5B4C">
        <w:rPr>
          <w:rFonts w:eastAsia="Times New Roman"/>
          <w:noProof/>
          <w:lang w:eastAsia="en-GB"/>
        </w:rPr>
        <w:t>(7–10)</w:t>
      </w:r>
      <w:r w:rsidR="00FB5DE4">
        <w:rPr>
          <w:rFonts w:eastAsia="Times New Roman"/>
          <w:lang w:eastAsia="en-GB"/>
        </w:rPr>
        <w:fldChar w:fldCharType="end"/>
      </w:r>
      <w:r w:rsidR="00B0575C">
        <w:rPr>
          <w:rFonts w:eastAsia="Times New Roman"/>
          <w:lang w:eastAsia="en-GB"/>
        </w:rPr>
        <w:t>.</w:t>
      </w:r>
    </w:p>
    <w:p w14:paraId="59F3A338" w14:textId="3852A21E" w:rsidR="00587B0F" w:rsidRDefault="0024718E" w:rsidP="00E90D6D">
      <w:pPr>
        <w:spacing w:line="360" w:lineRule="auto"/>
        <w:jc w:val="both"/>
        <w:rPr>
          <w:rFonts w:eastAsia="Times New Roman"/>
          <w:lang w:eastAsia="en-GB"/>
        </w:rPr>
      </w:pPr>
      <w:r>
        <w:rPr>
          <w:rFonts w:eastAsia="Times New Roman"/>
          <w:lang w:eastAsia="en-GB"/>
        </w:rPr>
        <w:t>A single colony of each isolate was grown</w:t>
      </w:r>
      <w:r w:rsidR="00587B0F">
        <w:rPr>
          <w:rFonts w:eastAsia="Times New Roman"/>
          <w:lang w:eastAsia="en-GB"/>
        </w:rPr>
        <w:t xml:space="preserve"> for </w:t>
      </w:r>
      <w:r w:rsidR="009C4A54">
        <w:rPr>
          <w:rFonts w:eastAsia="Times New Roman"/>
          <w:lang w:eastAsia="en-GB"/>
        </w:rPr>
        <w:t>16 h</w:t>
      </w:r>
      <w:r>
        <w:rPr>
          <w:rFonts w:eastAsia="Times New Roman"/>
          <w:lang w:eastAsia="en-GB"/>
        </w:rPr>
        <w:t xml:space="preserve"> in 5 m</w:t>
      </w:r>
      <w:r w:rsidR="00B54F78">
        <w:rPr>
          <w:rFonts w:eastAsia="Times New Roman"/>
          <w:lang w:eastAsia="en-GB"/>
        </w:rPr>
        <w:t>L</w:t>
      </w:r>
      <w:r>
        <w:rPr>
          <w:rFonts w:eastAsia="Times New Roman"/>
          <w:lang w:eastAsia="en-GB"/>
        </w:rPr>
        <w:t xml:space="preserve"> of </w:t>
      </w:r>
      <w:r w:rsidR="00713F7C">
        <w:rPr>
          <w:rFonts w:eastAsia="Times New Roman"/>
          <w:lang w:eastAsia="en-GB"/>
        </w:rPr>
        <w:t>L</w:t>
      </w:r>
      <w:r w:rsidR="00DE2E91">
        <w:rPr>
          <w:rFonts w:eastAsia="Times New Roman"/>
          <w:lang w:eastAsia="en-GB"/>
        </w:rPr>
        <w:t>ennox medium</w:t>
      </w:r>
      <w:r w:rsidR="00D01CBB">
        <w:rPr>
          <w:rFonts w:eastAsia="Times New Roman"/>
          <w:lang w:eastAsia="en-GB"/>
        </w:rPr>
        <w:t xml:space="preserve"> </w:t>
      </w:r>
      <w:r w:rsidR="009C4A54">
        <w:t xml:space="preserve">at </w:t>
      </w:r>
      <w:r w:rsidR="009C4A54" w:rsidRPr="00587B0F">
        <w:rPr>
          <w:rFonts w:eastAsia="Times New Roman"/>
          <w:lang w:eastAsia="en-GB"/>
        </w:rPr>
        <w:t>37˚C</w:t>
      </w:r>
      <w:r w:rsidR="009C4A54">
        <w:t>. T</w:t>
      </w:r>
      <w:r w:rsidR="00A77366">
        <w:t xml:space="preserve">otal </w:t>
      </w:r>
      <w:r w:rsidR="00D01CBB">
        <w:t xml:space="preserve">DNA was extracted using </w:t>
      </w:r>
      <w:r w:rsidR="00587B0F">
        <w:t xml:space="preserve">the </w:t>
      </w:r>
      <w:r w:rsidR="00AD3F71" w:rsidRPr="00AD3F71">
        <w:t xml:space="preserve">Quick-DNA™ Universal Kit </w:t>
      </w:r>
      <w:r w:rsidR="00587B0F">
        <w:t>(</w:t>
      </w:r>
      <w:proofErr w:type="spellStart"/>
      <w:r w:rsidR="00AD3F71" w:rsidRPr="00AD3F71">
        <w:t>Zymo</w:t>
      </w:r>
      <w:proofErr w:type="spellEnd"/>
      <w:r w:rsidR="00587B0F">
        <w:t>,</w:t>
      </w:r>
      <w:r w:rsidR="00AD3F71">
        <w:t xml:space="preserve"> </w:t>
      </w:r>
      <w:r w:rsidR="00AD3F71" w:rsidRPr="00AD3F71">
        <w:t>D4069</w:t>
      </w:r>
      <w:r w:rsidR="00726627">
        <w:t xml:space="preserve">). DNA integrity </w:t>
      </w:r>
      <w:r w:rsidR="00726627" w:rsidRPr="00587B0F">
        <w:rPr>
          <w:rFonts w:eastAsia="Times New Roman"/>
          <w:lang w:eastAsia="en-GB"/>
        </w:rPr>
        <w:t>was</w:t>
      </w:r>
      <w:r w:rsidR="009D3BC7">
        <w:rPr>
          <w:rFonts w:eastAsia="Times New Roman"/>
          <w:lang w:eastAsia="en-GB"/>
        </w:rPr>
        <w:t xml:space="preserve"> verified </w:t>
      </w:r>
      <w:r w:rsidR="00726627" w:rsidRPr="00587B0F">
        <w:rPr>
          <w:rFonts w:eastAsia="Times New Roman"/>
          <w:lang w:eastAsia="en-GB"/>
        </w:rPr>
        <w:t xml:space="preserve">by </w:t>
      </w:r>
      <w:r w:rsidR="00762B35" w:rsidRPr="00587B0F">
        <w:rPr>
          <w:rFonts w:eastAsia="Times New Roman"/>
          <w:lang w:eastAsia="en-GB"/>
        </w:rPr>
        <w:t xml:space="preserve">0.5% agarose gel </w:t>
      </w:r>
      <w:r w:rsidR="00726627" w:rsidRPr="00587B0F">
        <w:rPr>
          <w:rFonts w:eastAsia="Times New Roman"/>
          <w:lang w:eastAsia="en-GB"/>
        </w:rPr>
        <w:t xml:space="preserve">electrophoresis at </w:t>
      </w:r>
      <w:r w:rsidR="00726627">
        <w:rPr>
          <w:rFonts w:eastAsia="Times New Roman"/>
          <w:lang w:eastAsia="en-GB"/>
        </w:rPr>
        <w:t>90 </w:t>
      </w:r>
      <w:r w:rsidR="00726627" w:rsidRPr="00587B0F">
        <w:rPr>
          <w:rFonts w:eastAsia="Times New Roman"/>
          <w:lang w:eastAsia="en-GB"/>
        </w:rPr>
        <w:t>V for 1</w:t>
      </w:r>
      <w:r w:rsidR="00726627">
        <w:rPr>
          <w:rFonts w:eastAsia="Times New Roman"/>
          <w:lang w:eastAsia="en-GB"/>
        </w:rPr>
        <w:t>.5 </w:t>
      </w:r>
      <w:r w:rsidR="00726627" w:rsidRPr="00587B0F">
        <w:rPr>
          <w:rFonts w:eastAsia="Times New Roman"/>
          <w:lang w:eastAsia="en-GB"/>
        </w:rPr>
        <w:t>h</w:t>
      </w:r>
      <w:r w:rsidR="00726627">
        <w:rPr>
          <w:rFonts w:eastAsia="Times New Roman"/>
          <w:lang w:eastAsia="en-GB"/>
        </w:rPr>
        <w:t>. DNA</w:t>
      </w:r>
      <w:r w:rsidR="00726627" w:rsidRPr="00726627">
        <w:rPr>
          <w:rFonts w:eastAsia="Times New Roman"/>
          <w:lang w:eastAsia="en-GB"/>
        </w:rPr>
        <w:t xml:space="preserve"> purity</w:t>
      </w:r>
      <w:r w:rsidR="003F468E">
        <w:rPr>
          <w:rFonts w:eastAsia="Times New Roman"/>
          <w:lang w:eastAsia="en-GB"/>
        </w:rPr>
        <w:t>/</w:t>
      </w:r>
      <w:r w:rsidR="00726627" w:rsidRPr="00726627">
        <w:rPr>
          <w:rFonts w:eastAsia="Times New Roman"/>
          <w:lang w:eastAsia="en-GB"/>
        </w:rPr>
        <w:t xml:space="preserve">concentration were measured with a </w:t>
      </w:r>
      <w:proofErr w:type="spellStart"/>
      <w:r w:rsidR="00726627" w:rsidRPr="00726627">
        <w:rPr>
          <w:rFonts w:eastAsia="Times New Roman"/>
          <w:lang w:eastAsia="en-GB"/>
        </w:rPr>
        <w:t>DeNovix</w:t>
      </w:r>
      <w:proofErr w:type="spellEnd"/>
      <w:r w:rsidR="00726627" w:rsidRPr="00726627">
        <w:rPr>
          <w:rFonts w:eastAsia="Times New Roman"/>
          <w:lang w:eastAsia="en-GB"/>
        </w:rPr>
        <w:t xml:space="preserve"> DS-11FX spectrophotometer/fluorometer and Qubit dsDNA HS assay Kit.</w:t>
      </w:r>
      <w:r w:rsidR="00217D9E">
        <w:rPr>
          <w:rFonts w:eastAsia="Times New Roman"/>
          <w:lang w:eastAsia="en-GB"/>
        </w:rPr>
        <w:t xml:space="preserve"> </w:t>
      </w:r>
      <w:bookmarkStart w:id="1" w:name="_Hlk63954271"/>
      <w:r w:rsidR="00217D9E">
        <w:rPr>
          <w:rFonts w:eastAsia="Times New Roman"/>
          <w:lang w:eastAsia="en-GB"/>
        </w:rPr>
        <w:t xml:space="preserve">Long-read sequencing was performed </w:t>
      </w:r>
      <w:r w:rsidR="0034188B">
        <w:rPr>
          <w:rFonts w:eastAsia="Times New Roman"/>
          <w:lang w:eastAsia="en-GB"/>
        </w:rPr>
        <w:t>by</w:t>
      </w:r>
      <w:r w:rsidR="00217D9E">
        <w:rPr>
          <w:rFonts w:eastAsia="Times New Roman"/>
          <w:lang w:eastAsia="en-GB"/>
        </w:rPr>
        <w:t xml:space="preserve"> the Centre for Genomic Research (University of Liverpool</w:t>
      </w:r>
      <w:r w:rsidR="00762B35">
        <w:rPr>
          <w:rFonts w:eastAsia="Times New Roman"/>
          <w:lang w:eastAsia="en-GB"/>
        </w:rPr>
        <w:t>, UK</w:t>
      </w:r>
      <w:r w:rsidR="00217D9E">
        <w:rPr>
          <w:rFonts w:eastAsia="Times New Roman"/>
          <w:lang w:eastAsia="en-GB"/>
        </w:rPr>
        <w:t xml:space="preserve">) </w:t>
      </w:r>
      <w:r w:rsidR="00DE0C60">
        <w:rPr>
          <w:rFonts w:eastAsia="Times New Roman"/>
          <w:lang w:eastAsia="en-GB"/>
        </w:rPr>
        <w:t xml:space="preserve">in </w:t>
      </w:r>
      <w:r w:rsidR="00DE0C60" w:rsidRPr="00587B0F">
        <w:rPr>
          <w:rFonts w:eastAsia="Times New Roman"/>
          <w:lang w:eastAsia="en-GB"/>
        </w:rPr>
        <w:t xml:space="preserve">a PacBio </w:t>
      </w:r>
      <w:r w:rsidR="00DE0C60">
        <w:rPr>
          <w:rFonts w:eastAsia="Times New Roman"/>
          <w:lang w:eastAsia="en-GB"/>
        </w:rPr>
        <w:t xml:space="preserve">SMRT (P6/C4 chemistry) </w:t>
      </w:r>
      <w:r w:rsidR="00217D9E">
        <w:rPr>
          <w:rFonts w:eastAsia="Times New Roman"/>
          <w:lang w:eastAsia="en-GB"/>
        </w:rPr>
        <w:t xml:space="preserve">using </w:t>
      </w:r>
      <w:bookmarkStart w:id="2" w:name="_Hlk63762662"/>
      <w:proofErr w:type="spellStart"/>
      <w:r w:rsidR="00EC74AD">
        <w:rPr>
          <w:rFonts w:eastAsia="Times New Roman"/>
          <w:lang w:eastAsia="en-GB"/>
        </w:rPr>
        <w:t>SMRTbell</w:t>
      </w:r>
      <w:proofErr w:type="spellEnd"/>
      <w:r w:rsidR="001C413C">
        <w:rPr>
          <w:rFonts w:eastAsia="Times New Roman"/>
          <w:lang w:eastAsia="en-GB"/>
        </w:rPr>
        <w:t xml:space="preserve"> </w:t>
      </w:r>
      <w:r w:rsidR="001C413C" w:rsidRPr="001C413C">
        <w:rPr>
          <w:rFonts w:eastAsia="Times New Roman"/>
          <w:lang w:eastAsia="en-GB"/>
        </w:rPr>
        <w:t>Template</w:t>
      </w:r>
      <w:r w:rsidR="001C413C">
        <w:rPr>
          <w:rFonts w:eastAsia="Times New Roman"/>
          <w:lang w:eastAsia="en-GB"/>
        </w:rPr>
        <w:t> </w:t>
      </w:r>
      <w:r w:rsidR="001C413C" w:rsidRPr="001C413C">
        <w:rPr>
          <w:rFonts w:eastAsia="Times New Roman"/>
          <w:lang w:eastAsia="en-GB"/>
        </w:rPr>
        <w:t>1.0</w:t>
      </w:r>
      <w:r w:rsidR="00EC74AD">
        <w:rPr>
          <w:rFonts w:eastAsia="Times New Roman"/>
          <w:lang w:eastAsia="en-GB"/>
        </w:rPr>
        <w:t xml:space="preserve"> </w:t>
      </w:r>
      <w:r w:rsidR="00036C76">
        <w:rPr>
          <w:rFonts w:eastAsia="Times New Roman"/>
          <w:lang w:eastAsia="en-GB"/>
        </w:rPr>
        <w:t>(Pacific Biosciences</w:t>
      </w:r>
      <w:r w:rsidR="001C413C">
        <w:rPr>
          <w:rFonts w:eastAsia="Times New Roman"/>
          <w:lang w:eastAsia="en-GB"/>
        </w:rPr>
        <w:t xml:space="preserve">, </w:t>
      </w:r>
      <w:r w:rsidR="001C413C" w:rsidRPr="001C413C">
        <w:rPr>
          <w:rFonts w:eastAsia="Times New Roman"/>
          <w:lang w:eastAsia="en-GB"/>
        </w:rPr>
        <w:t>100-259-100</w:t>
      </w:r>
      <w:r w:rsidR="00036C76">
        <w:rPr>
          <w:rFonts w:eastAsia="Times New Roman"/>
          <w:lang w:eastAsia="en-GB"/>
        </w:rPr>
        <w:t xml:space="preserve">) </w:t>
      </w:r>
      <w:r w:rsidR="00EC74AD">
        <w:rPr>
          <w:rFonts w:eastAsia="Times New Roman"/>
          <w:lang w:eastAsia="en-GB"/>
        </w:rPr>
        <w:t>library preparation</w:t>
      </w:r>
      <w:bookmarkEnd w:id="2"/>
      <w:r w:rsidR="001C413C">
        <w:rPr>
          <w:rFonts w:eastAsia="Times New Roman"/>
          <w:lang w:eastAsia="en-GB"/>
        </w:rPr>
        <w:t xml:space="preserve"> with g-Tube (</w:t>
      </w:r>
      <w:proofErr w:type="spellStart"/>
      <w:r w:rsidR="001C413C">
        <w:rPr>
          <w:rFonts w:eastAsia="Times New Roman"/>
          <w:lang w:eastAsia="en-GB"/>
        </w:rPr>
        <w:t>Covaris</w:t>
      </w:r>
      <w:proofErr w:type="spellEnd"/>
      <w:r w:rsidR="001C413C">
        <w:rPr>
          <w:rFonts w:eastAsia="Times New Roman"/>
          <w:lang w:eastAsia="en-GB"/>
        </w:rPr>
        <w:t>) fragmentation</w:t>
      </w:r>
      <w:r w:rsidR="00DE0C60">
        <w:rPr>
          <w:rFonts w:eastAsia="Times New Roman"/>
          <w:lang w:eastAsia="en-GB"/>
        </w:rPr>
        <w:t xml:space="preserve"> and size-selection of 15-50 kb with 0.75% agarose cassette (</w:t>
      </w:r>
      <w:proofErr w:type="spellStart"/>
      <w:r w:rsidR="00DE0C60">
        <w:rPr>
          <w:rFonts w:eastAsia="Times New Roman"/>
          <w:lang w:eastAsia="en-GB"/>
        </w:rPr>
        <w:t>BluePippin</w:t>
      </w:r>
      <w:proofErr w:type="spellEnd"/>
      <w:r w:rsidR="00DE0C60">
        <w:rPr>
          <w:rFonts w:eastAsia="Times New Roman"/>
          <w:lang w:eastAsia="en-GB"/>
        </w:rPr>
        <w:t>,</w:t>
      </w:r>
      <w:r w:rsidR="00DE0C60" w:rsidRPr="00DE0C60">
        <w:t xml:space="preserve"> </w:t>
      </w:r>
      <w:r w:rsidR="00DE0C60" w:rsidRPr="00DE0C60">
        <w:rPr>
          <w:rFonts w:eastAsia="Times New Roman"/>
          <w:lang w:eastAsia="en-GB"/>
        </w:rPr>
        <w:t>BMF7510</w:t>
      </w:r>
      <w:r w:rsidR="00DE0C60">
        <w:rPr>
          <w:rFonts w:eastAsia="Times New Roman"/>
          <w:lang w:eastAsia="en-GB"/>
        </w:rPr>
        <w:t xml:space="preserve">). </w:t>
      </w:r>
      <w:bookmarkEnd w:id="1"/>
      <w:r w:rsidR="00587B0F" w:rsidRPr="00587B0F">
        <w:rPr>
          <w:rFonts w:eastAsia="Times New Roman"/>
          <w:lang w:eastAsia="en-GB"/>
        </w:rPr>
        <w:t xml:space="preserve">Illumina </w:t>
      </w:r>
      <w:r w:rsidR="00F9418F">
        <w:rPr>
          <w:rFonts w:eastAsia="Times New Roman"/>
          <w:lang w:eastAsia="en-GB"/>
        </w:rPr>
        <w:t xml:space="preserve">HiSeq </w:t>
      </w:r>
      <w:r w:rsidR="00587B0F" w:rsidRPr="00587B0F">
        <w:rPr>
          <w:rFonts w:eastAsia="Times New Roman"/>
          <w:lang w:eastAsia="en-GB"/>
        </w:rPr>
        <w:t xml:space="preserve">sequencing was performed </w:t>
      </w:r>
      <w:r w:rsidR="003D7AF6">
        <w:rPr>
          <w:rFonts w:eastAsia="Times New Roman"/>
          <w:lang w:eastAsia="en-GB"/>
        </w:rPr>
        <w:t xml:space="preserve">as part of the 10KSG project </w:t>
      </w:r>
      <w:r w:rsidR="003D7AF6">
        <w:rPr>
          <w:rFonts w:eastAsia="Times New Roman"/>
          <w:lang w:eastAsia="en-GB"/>
        </w:rPr>
        <w:fldChar w:fldCharType="begin" w:fldLock="1"/>
      </w:r>
      <w:r w:rsidR="003D7AF6">
        <w:rPr>
          <w:rFonts w:eastAsia="Times New Roman"/>
          <w:lang w:eastAsia="en-GB"/>
        </w:rPr>
        <w:instrText>ADDIN CSL_CITATION {"citationItems":[{"id":"ITEM-1","itemData":{"DOI":"10.1101/2020.07.22.200840","abstract":"We have developed an efficient and inexpensive pipeline for streamlining large-scale collection and genome sequencing of bacterial isolates. Evaluation of this method involved a worldwide research collaboration focused on the model organism Salmonella enterica, the 10KSG consortium. By optimising a logistics pipeline that collected isolates as thermolysates, permitting shipment in ambient conditions, the project assembled a diverse collection of 10,419 clinical and environmental isolates from low- and middle-income countries in less than one year. The bacteria were obtained from 51 countries/territories dating from 1949 to 2017, with a focus on Africa and Latin-America. All isolates were collected in barcoded tubes and genome sequenced using an optimised DNA extraction method and the LITE pipeline for library construction. After Illumina sequencing, the total reagent cost was less than USD$10 per genome. Our method can be applied to genome-sequence other large bacterial collections at a relatively low cost, within a limited timeframe, to support global collaborations.\n\n### Competing Interest Statement\n\nThe authors have declared no competing interest.","author":[{"dropping-particle":"","family":"Perez-Sepulveda","given":"Blanca","non-dropping-particle":"","parse-names":false,"suffix":""},{"dropping-particle":"","family":"Heavens","given":"Darren","non-dropping-particle":"","parse-names":false,"suffix":""},{"dropping-particle":"","family":"Pulford","given":"Caisey","non-dropping-particle":"","parse-names":false,"suffix":""},{"dropping-particle":"","family":"Predeus","given":"Alexander","non-dropping-particle":"","parse-names":false,"suffix":""},{"dropping-particle":"","family":"Low","given":"Ross","non-dropping-particle":"","parse-names":false,"suffix":""},{"dropping-particle":"","family":"Webster","given":"Hermione","non-dropping-particle":"","parse-names":false,"suffix":""},{"dropping-particle":"","family":"Schudoma","given":"Christian","non-dropping-particle":"","parse-names":false,"suffix":""},{"dropping-particle":"","family":"Rowe","given":"Will","non-dropping-particle":"","parse-names":false,"suffix":""},{"dropping-particle":"","family":"Lipscombe","given":"James","non-dropping-particle":"","parse-names":false,"suffix":""},{"dropping-particle":"","family":"Watkins","given":"Chris","non-dropping-particle":"","parse-names":false,"suffix":""},{"dropping-particle":"","family":"Kumwenda","given":"Benjamin","non-dropping-particle":"","parse-names":false,"suffix":""},{"dropping-particle":"","family":"Shearer","given":"Neil","non-dropping-particle":"","parse-names":false,"suffix":""},{"dropping-particle":"","family":"Costigan","given":"Karl","non-dropping-particle":"","parse-names":false,"suffix":""},{"dropping-particle":"","family":"Baker","given":"Kate","non-dropping-particle":"","parse-names":false,"suffix":""},{"dropping-particle":"","family":"Feasey","given":"Nicholas A.","non-dropping-particle":"","parse-names":false,"suffix":""},{"dropping-particle":"","family":"Hinton","given":"Jay","non-dropping-particle":"","parse-names":false,"suffix":""},{"dropping-particle":"","family":"Hall","given":"Neil","non-dropping-particle":"","parse-names":false,"suffix":""}],"container-title":"bioRxiv","id":"ITEM-1","issued":{"date-parts":[["2020","7","22"]]},"page":"2020.07.22.200840","publisher":"Cold Spring Harbor Laboratory","title":"An accessible, efficient and global approach for the large-scale sequencing of bacterial genomes","type":"article-journal"},"uris":["http://www.mendeley.com/documents/?uuid=710d4841-6214-3564-902c-4ed23af5a4c3"]}],"mendeley":{"formattedCitation":"(11)","plainTextFormattedCitation":"(11)","previouslyFormattedCitation":"(11)"},"properties":{"noteIndex":0},"schema":"https://github.com/citation-style-language/schema/raw/master/csl-citation.json"}</w:instrText>
      </w:r>
      <w:r w:rsidR="003D7AF6">
        <w:rPr>
          <w:rFonts w:eastAsia="Times New Roman"/>
          <w:lang w:eastAsia="en-GB"/>
        </w:rPr>
        <w:fldChar w:fldCharType="separate"/>
      </w:r>
      <w:r w:rsidR="003D7AF6" w:rsidRPr="00AF5B4C">
        <w:rPr>
          <w:rFonts w:eastAsia="Times New Roman"/>
          <w:noProof/>
          <w:lang w:eastAsia="en-GB"/>
        </w:rPr>
        <w:t>(11)</w:t>
      </w:r>
      <w:r w:rsidR="003D7AF6">
        <w:rPr>
          <w:rFonts w:eastAsia="Times New Roman"/>
          <w:lang w:eastAsia="en-GB"/>
        </w:rPr>
        <w:fldChar w:fldCharType="end"/>
      </w:r>
      <w:r w:rsidR="003D7AF6">
        <w:rPr>
          <w:rFonts w:eastAsia="Times New Roman"/>
          <w:lang w:eastAsia="en-GB"/>
        </w:rPr>
        <w:t xml:space="preserve"> and </w:t>
      </w:r>
      <w:r w:rsidR="00587B0F" w:rsidRPr="00587B0F">
        <w:rPr>
          <w:rFonts w:eastAsia="Times New Roman"/>
          <w:lang w:eastAsia="en-GB"/>
        </w:rPr>
        <w:t xml:space="preserve">by </w:t>
      </w:r>
      <w:proofErr w:type="spellStart"/>
      <w:r w:rsidR="00587B0F" w:rsidRPr="00587B0F">
        <w:rPr>
          <w:rFonts w:eastAsia="Times New Roman"/>
          <w:lang w:eastAsia="en-GB"/>
        </w:rPr>
        <w:t>MicrobesNG</w:t>
      </w:r>
      <w:proofErr w:type="spellEnd"/>
      <w:r w:rsidR="00587B0F" w:rsidRPr="00587B0F">
        <w:rPr>
          <w:rFonts w:eastAsia="Times New Roman"/>
          <w:lang w:eastAsia="en-GB"/>
        </w:rPr>
        <w:t xml:space="preserve"> </w:t>
      </w:r>
      <w:r w:rsidR="00F9418F">
        <w:rPr>
          <w:rFonts w:eastAsia="Times New Roman"/>
          <w:lang w:eastAsia="en-GB"/>
        </w:rPr>
        <w:t>(</w:t>
      </w:r>
      <w:r w:rsidR="00587B0F" w:rsidRPr="00587B0F">
        <w:rPr>
          <w:rFonts w:eastAsia="Times New Roman"/>
          <w:lang w:eastAsia="en-GB"/>
        </w:rPr>
        <w:t>UK</w:t>
      </w:r>
      <w:r w:rsidR="00F9418F">
        <w:rPr>
          <w:rFonts w:eastAsia="Times New Roman"/>
          <w:lang w:eastAsia="en-GB"/>
        </w:rPr>
        <w:t>)</w:t>
      </w:r>
      <w:r w:rsidR="003D7AF6">
        <w:rPr>
          <w:rFonts w:eastAsia="Times New Roman"/>
          <w:lang w:eastAsia="en-GB"/>
        </w:rPr>
        <w:t xml:space="preserve"> </w:t>
      </w:r>
      <w:r w:rsidR="003D7AF6">
        <w:t xml:space="preserve">using Nextera XT Library Prep Kit (Illumina, USA) with </w:t>
      </w:r>
      <w:r w:rsidR="0045443B">
        <w:t xml:space="preserve">modifications </w:t>
      </w:r>
      <w:r w:rsidR="0045443B">
        <w:lastRenderedPageBreak/>
        <w:t>(2 ng DNA and 1 min PCR elongation</w:t>
      </w:r>
      <w:r w:rsidR="00544200">
        <w:t>) and</w:t>
      </w:r>
      <w:r w:rsidR="003D7AF6">
        <w:t xml:space="preserve"> 250</w:t>
      </w:r>
      <w:r w:rsidR="00544200">
        <w:t> </w:t>
      </w:r>
      <w:r w:rsidR="003D7AF6">
        <w:t>bp paired</w:t>
      </w:r>
      <w:r w:rsidR="00544200">
        <w:noBreakHyphen/>
      </w:r>
      <w:r w:rsidR="003D7AF6">
        <w:t>end protocol. Reads were adapter</w:t>
      </w:r>
      <w:r w:rsidR="003F468E">
        <w:t>-</w:t>
      </w:r>
      <w:r w:rsidR="003D7AF6">
        <w:t>trimmed using Trimmomatic</w:t>
      </w:r>
      <w:r w:rsidR="0045443B">
        <w:t> v</w:t>
      </w:r>
      <w:r w:rsidR="003D7AF6">
        <w:t>0.3</w:t>
      </w:r>
      <w:r w:rsidR="00135E60">
        <w:t>0</w:t>
      </w:r>
      <w:r w:rsidR="003F468E">
        <w:t>,</w:t>
      </w:r>
      <w:r w:rsidR="003D7AF6">
        <w:t xml:space="preserve"> with a sliding window quality cut</w:t>
      </w:r>
      <w:r w:rsidR="00965536">
        <w:t>-</w:t>
      </w:r>
      <w:r w:rsidR="003D7AF6">
        <w:t>off of Q15</w:t>
      </w:r>
      <w:r w:rsidR="0045443B">
        <w:t xml:space="preserve"> </w:t>
      </w:r>
      <w:r w:rsidR="0045443B">
        <w:fldChar w:fldCharType="begin" w:fldLock="1"/>
      </w:r>
      <w:r w:rsidR="009016C9">
        <w:instrText>ADDIN CSL_CITATION {"citationItems":[{"id":"ITEM-1","itemData":{"DOI":"10.1093/bioinformatics/btu170","ISSN":"14602059","PMID":"24695404","abstract":"Motivation: Although many next-generation sequencing (NGS) read preprocessing tools already existed, we could not find any tool or combination of tools that met our requirements in terms of flexibility, correct handling of paired-end data and high performance. We have developed Trimmomatic as a more flexible and efficient preprocessing tool, which could correctly handle paired-end data. Results: The value of NGS read preprocessing is demonstrated for both reference-based and reference-free tasks. Trimmomatic is shown to produce output that is at least competitive with, and in many cases superior to, that produced by other tools, in all scenarios tested. Availability and implementation: Trimmomatic is licensed under GPL V3. It is cross-platform (Java 1.5+ required) and available at http://www.usadellab.org/cms/index.php?page= trimmomatic. © The Author 2014.","author":[{"dropping-particle":"","family":"Bolger","given":"Anthony M.","non-dropping-particle":"","parse-names":false,"suffix":""},{"dropping-particle":"","family":"Lohse","given":"Marc","non-dropping-particle":"","parse-names":false,"suffix":""},{"dropping-particle":"","family":"Usadel","given":"Bjoern","non-dropping-particle":"","parse-names":false,"suffix":""}],"container-title":"Bioinformatics","id":"ITEM-1","issue":"15","issued":{"date-parts":[["2014"]]},"page":"2114-2120","title":"Trimmomatic: A flexible trimmer for Illumina sequence data","type":"article-journal","volume":"30"},"uris":["http://www.mendeley.com/documents/?uuid=a24019a9-5ee3-45fb-8586-73665ee3b9e3"]}],"mendeley":{"formattedCitation":"(12)","plainTextFormattedCitation":"(12)","previouslyFormattedCitation":"(12)"},"properties":{"noteIndex":0},"schema":"https://github.com/citation-style-language/schema/raw/master/csl-citation.json"}</w:instrText>
      </w:r>
      <w:r w:rsidR="0045443B">
        <w:fldChar w:fldCharType="separate"/>
      </w:r>
      <w:r w:rsidR="0045443B" w:rsidRPr="0045443B">
        <w:rPr>
          <w:noProof/>
        </w:rPr>
        <w:t>(12)</w:t>
      </w:r>
      <w:r w:rsidR="0045443B">
        <w:fldChar w:fldCharType="end"/>
      </w:r>
      <w:r w:rsidR="003D7AF6">
        <w:t>.</w:t>
      </w:r>
      <w:r w:rsidR="00587B0F" w:rsidRPr="00587B0F">
        <w:rPr>
          <w:rFonts w:eastAsia="Times New Roman"/>
          <w:lang w:eastAsia="en-GB"/>
        </w:rPr>
        <w:t xml:space="preserve"> </w:t>
      </w:r>
    </w:p>
    <w:p w14:paraId="56C6575B" w14:textId="20A012B6" w:rsidR="00D16F75" w:rsidRDefault="00494E0E" w:rsidP="00E90D6D">
      <w:pPr>
        <w:spacing w:line="360" w:lineRule="auto"/>
        <w:jc w:val="both"/>
        <w:rPr>
          <w:rFonts w:eastAsia="Times New Roman"/>
          <w:lang w:eastAsia="en-GB"/>
        </w:rPr>
      </w:pPr>
      <w:bookmarkStart w:id="3" w:name="_Hlk63955087"/>
      <w:r w:rsidRPr="00494E0E">
        <w:rPr>
          <w:rFonts w:eastAsia="Times New Roman"/>
          <w:lang w:eastAsia="en-GB"/>
        </w:rPr>
        <w:t xml:space="preserve">Using </w:t>
      </w:r>
      <w:bookmarkStart w:id="4" w:name="_Hlk63763582"/>
      <w:proofErr w:type="spellStart"/>
      <w:r w:rsidR="00577D22">
        <w:rPr>
          <w:rFonts w:eastAsia="Times New Roman"/>
          <w:lang w:eastAsia="en-GB"/>
        </w:rPr>
        <w:t>F</w:t>
      </w:r>
      <w:r w:rsidRPr="00494E0E">
        <w:rPr>
          <w:rFonts w:eastAsia="Times New Roman"/>
          <w:lang w:eastAsia="en-GB"/>
        </w:rPr>
        <w:t>iltlong</w:t>
      </w:r>
      <w:proofErr w:type="spellEnd"/>
      <w:r w:rsidR="00577D22">
        <w:rPr>
          <w:rFonts w:eastAsia="Times New Roman"/>
          <w:lang w:eastAsia="en-GB"/>
        </w:rPr>
        <w:t> </w:t>
      </w:r>
      <w:r w:rsidRPr="00494E0E">
        <w:rPr>
          <w:rFonts w:eastAsia="Times New Roman"/>
          <w:lang w:eastAsia="en-GB"/>
        </w:rPr>
        <w:t xml:space="preserve">v0.2.0 </w:t>
      </w:r>
      <w:r w:rsidR="00630C9B">
        <w:rPr>
          <w:rFonts w:eastAsia="Times New Roman"/>
          <w:lang w:eastAsia="en-GB"/>
        </w:rPr>
        <w:t>(</w:t>
      </w:r>
      <w:hyperlink r:id="rId11" w:history="1">
        <w:r w:rsidR="00630C9B" w:rsidRPr="00C101F3">
          <w:rPr>
            <w:rStyle w:val="Hyperlink"/>
            <w:rFonts w:eastAsia="Times New Roman"/>
            <w:lang w:eastAsia="en-GB"/>
          </w:rPr>
          <w:t>https://github.com/rrwick/Filtlong</w:t>
        </w:r>
      </w:hyperlink>
      <w:r w:rsidR="00630C9B">
        <w:rPr>
          <w:rFonts w:eastAsia="Times New Roman"/>
          <w:lang w:eastAsia="en-GB"/>
        </w:rPr>
        <w:t xml:space="preserve">) </w:t>
      </w:r>
      <w:bookmarkEnd w:id="4"/>
      <w:r w:rsidRPr="00494E0E">
        <w:rPr>
          <w:rFonts w:eastAsia="Times New Roman"/>
          <w:lang w:eastAsia="en-GB"/>
        </w:rPr>
        <w:t xml:space="preserve">and Illumina reads as a reference, we selected a subset of </w:t>
      </w:r>
      <w:r w:rsidR="00976AFC">
        <w:rPr>
          <w:rFonts w:eastAsia="Times New Roman"/>
          <w:lang w:eastAsia="en-GB"/>
        </w:rPr>
        <w:t xml:space="preserve">raw </w:t>
      </w:r>
      <w:r w:rsidRPr="00494E0E">
        <w:rPr>
          <w:rFonts w:eastAsia="Times New Roman"/>
          <w:lang w:eastAsia="en-GB"/>
        </w:rPr>
        <w:t>PacBio reads with best quality and length to yield an approximate 100x coverage</w:t>
      </w:r>
      <w:r w:rsidR="00ED2F31">
        <w:rPr>
          <w:rFonts w:eastAsia="Times New Roman"/>
          <w:lang w:eastAsia="en-GB"/>
        </w:rPr>
        <w:t xml:space="preserve"> for each genome</w:t>
      </w:r>
      <w:r w:rsidRPr="00494E0E">
        <w:rPr>
          <w:rFonts w:eastAsia="Times New Roman"/>
          <w:lang w:eastAsia="en-GB"/>
        </w:rPr>
        <w:t xml:space="preserve">. </w:t>
      </w:r>
      <w:bookmarkStart w:id="5" w:name="_Hlk63953747"/>
      <w:r w:rsidRPr="00494E0E">
        <w:rPr>
          <w:rFonts w:eastAsia="Times New Roman"/>
          <w:lang w:eastAsia="en-GB"/>
        </w:rPr>
        <w:t>Selected long</w:t>
      </w:r>
      <w:r w:rsidR="00396922">
        <w:rPr>
          <w:rFonts w:eastAsia="Times New Roman"/>
          <w:lang w:eastAsia="en-GB"/>
        </w:rPr>
        <w:t>- and</w:t>
      </w:r>
      <w:r>
        <w:rPr>
          <w:rFonts w:eastAsia="Times New Roman"/>
          <w:lang w:eastAsia="en-GB"/>
        </w:rPr>
        <w:t xml:space="preserve"> </w:t>
      </w:r>
      <w:r w:rsidR="00396922">
        <w:rPr>
          <w:rFonts w:eastAsia="Times New Roman"/>
          <w:lang w:eastAsia="en-GB"/>
        </w:rPr>
        <w:t>short-reads</w:t>
      </w:r>
      <w:r>
        <w:rPr>
          <w:rFonts w:eastAsia="Times New Roman"/>
          <w:lang w:eastAsia="en-GB"/>
        </w:rPr>
        <w:t xml:space="preserve"> </w:t>
      </w:r>
      <w:r w:rsidR="00396922" w:rsidRPr="00494E0E">
        <w:rPr>
          <w:rFonts w:eastAsia="Times New Roman"/>
          <w:lang w:eastAsia="en-GB"/>
        </w:rPr>
        <w:t>were assembled</w:t>
      </w:r>
      <w:r w:rsidR="00396922">
        <w:rPr>
          <w:rFonts w:eastAsia="Times New Roman"/>
          <w:lang w:eastAsia="en-GB"/>
        </w:rPr>
        <w:t xml:space="preserve"> </w:t>
      </w:r>
      <w:r>
        <w:rPr>
          <w:rFonts w:eastAsia="Times New Roman"/>
          <w:lang w:eastAsia="en-GB"/>
        </w:rPr>
        <w:t xml:space="preserve">using </w:t>
      </w:r>
      <w:bookmarkStart w:id="6" w:name="_Hlk63763611"/>
      <w:r w:rsidRPr="008F69A1">
        <w:rPr>
          <w:rFonts w:eastAsia="Times New Roman"/>
          <w:lang w:val="ru-RU" w:eastAsia="en-GB"/>
        </w:rPr>
        <w:t>Unicycler</w:t>
      </w:r>
      <w:r w:rsidR="007B71C3">
        <w:rPr>
          <w:rFonts w:eastAsia="Times New Roman"/>
          <w:lang w:eastAsia="en-GB"/>
        </w:rPr>
        <w:t> </w:t>
      </w:r>
      <w:r w:rsidRPr="008F69A1">
        <w:rPr>
          <w:rFonts w:eastAsia="Times New Roman"/>
          <w:lang w:val="ru-RU" w:eastAsia="en-GB"/>
        </w:rPr>
        <w:t xml:space="preserve">v0.4.4 </w:t>
      </w:r>
      <w:r w:rsidR="009D3BC7">
        <w:rPr>
          <w:rFonts w:eastAsia="Times New Roman"/>
          <w:lang w:eastAsia="en-GB"/>
        </w:rPr>
        <w:t xml:space="preserve">in hybrid mode </w:t>
      </w:r>
      <w:r w:rsidR="008F69A1">
        <w:rPr>
          <w:rFonts w:eastAsia="Times New Roman"/>
          <w:lang w:val="ru-RU" w:eastAsia="en-GB"/>
        </w:rPr>
        <w:fldChar w:fldCharType="begin" w:fldLock="1"/>
      </w:r>
      <w:r w:rsidR="009016C9">
        <w:rPr>
          <w:rFonts w:eastAsia="Times New Roman"/>
          <w:lang w:val="ru-RU" w:eastAsia="en-GB"/>
        </w:rPr>
        <w:instrText>ADDIN CSL_CITATION {"citationItems":[{"id":"ITEM-1","itemData":{"DOI":"10.1371/journal.pcbi.1005595","ISSN":"1553-7358 (Electronic)","PMID":"28594827","abstract":"The Illumina DNA sequencing platform generates accurate but short reads, which can be used to produce accurate but fragmented genome assemblies. Pacific Biosciences and Oxford Nanopore Technologies DNA sequencing platforms generate long reads that can produce complete genome assemblies, but the sequencing is more expensive and error-prone. There is significant interest in combining data from these complementary sequencing technologies to generate more accurate \"hybrid\" assemblies. However, few tools exist that truly leverage the benefits of both types of data, namely the accuracy of short reads and the structural resolving power of long reads. Here we present Unicycler, a new tool for assembling bacterial genomes from a combination of short and long reads, which produces assemblies that are accurate, complete and cost-effective. Unicycler builds an initial assembly graph from short reads using the de novo assembler SPAdes and then simplifies the graph using information from short and long reads. Unicycler uses a novel semi-global aligner to align long reads to the assembly graph. Tests on both synthetic and real reads show Unicycler can assemble larger contigs with fewer misassemblies than other hybrid assemblers, even when long-read depth and accuracy are low. Unicycler is open source (GPLv3) and available at github.com/rrwick/Unicycler.","author":[{"dropping-particle":"","family":"Wick","given":"Ryan R","non-dropping-particle":"","parse-names":false,"suffix":""},{"dropping-particle":"","family":"Judd","given":"Louise M","non-dropping-particle":"","parse-names":false,"suffix":""},{"dropping-particle":"","family":"Gorrie","given":"Claire L","non-dropping-particle":"","parse-names":false,"suffix":""},{"dropping-particle":"","family":"Holt","given":"Kathryn E","non-dropping-particle":"","parse-names":false,"suffix":""}],"container-title":"PLoS computational biology","id":"ITEM-1","issue":"6","issued":{"date-parts":[["2017","6"]]},"language":"eng","page":"e1005595","publisher-place":"United States","title":"Unicycler: Resolving bacterial genome assemblies from short and long sequencing reads.","type":"article-journal","volume":"13"},"uris":["http://www.mendeley.com/documents/?uuid=85c946aa-9d3c-462a-a450-866cd3708113"]}],"mendeley":{"formattedCitation":"(13)","plainTextFormattedCitation":"(13)","previouslyFormattedCitation":"(13)"},"properties":{"noteIndex":0},"schema":"https://github.com/citation-style-language/schema/raw/master/csl-citation.json"}</w:instrText>
      </w:r>
      <w:r w:rsidR="008F69A1">
        <w:rPr>
          <w:rFonts w:eastAsia="Times New Roman"/>
          <w:lang w:val="ru-RU" w:eastAsia="en-GB"/>
        </w:rPr>
        <w:fldChar w:fldCharType="separate"/>
      </w:r>
      <w:r w:rsidR="0045443B" w:rsidRPr="0045443B">
        <w:rPr>
          <w:rFonts w:eastAsia="Times New Roman"/>
          <w:noProof/>
          <w:lang w:val="ru-RU" w:eastAsia="en-GB"/>
        </w:rPr>
        <w:t>(13)</w:t>
      </w:r>
      <w:r w:rsidR="008F69A1">
        <w:rPr>
          <w:rFonts w:eastAsia="Times New Roman"/>
          <w:lang w:val="ru-RU" w:eastAsia="en-GB"/>
        </w:rPr>
        <w:fldChar w:fldCharType="end"/>
      </w:r>
      <w:bookmarkEnd w:id="6"/>
      <w:r w:rsidR="008F69A1">
        <w:rPr>
          <w:rFonts w:eastAsia="Times New Roman"/>
          <w:lang w:eastAsia="en-GB"/>
        </w:rPr>
        <w:t xml:space="preserve">. </w:t>
      </w:r>
      <w:bookmarkStart w:id="7" w:name="_Hlk63957881"/>
      <w:r>
        <w:rPr>
          <w:rFonts w:eastAsia="Times New Roman"/>
          <w:lang w:val="en-US" w:eastAsia="en-GB"/>
        </w:rPr>
        <w:t xml:space="preserve">Genomes were </w:t>
      </w:r>
      <w:r w:rsidR="00D03577">
        <w:rPr>
          <w:rFonts w:eastAsia="Times New Roman"/>
          <w:lang w:val="en-US" w:eastAsia="en-GB"/>
        </w:rPr>
        <w:t xml:space="preserve">initially </w:t>
      </w:r>
      <w:r>
        <w:rPr>
          <w:rFonts w:eastAsia="Times New Roman"/>
          <w:lang w:val="en-US" w:eastAsia="en-GB"/>
        </w:rPr>
        <w:t xml:space="preserve">annotated using </w:t>
      </w:r>
      <w:bookmarkStart w:id="8" w:name="_Hlk63763622"/>
      <w:r>
        <w:rPr>
          <w:rFonts w:eastAsia="Times New Roman"/>
          <w:lang w:val="en-US" w:eastAsia="en-GB"/>
        </w:rPr>
        <w:t>Prokka</w:t>
      </w:r>
      <w:r w:rsidR="008B0FFA">
        <w:t> </w:t>
      </w:r>
      <w:r w:rsidR="008B0FFA" w:rsidRPr="008B0FFA">
        <w:rPr>
          <w:rFonts w:eastAsia="Times New Roman"/>
          <w:lang w:val="en-US" w:eastAsia="en-GB"/>
        </w:rPr>
        <w:t>v1.13.7</w:t>
      </w:r>
      <w:r w:rsidR="00A42A37">
        <w:rPr>
          <w:rFonts w:eastAsia="Times New Roman"/>
          <w:lang w:val="en-US" w:eastAsia="en-GB"/>
        </w:rPr>
        <w:t xml:space="preserve"> </w:t>
      </w:r>
      <w:r w:rsidR="008F69A1">
        <w:rPr>
          <w:rFonts w:eastAsia="Times New Roman"/>
          <w:lang w:val="en-US" w:eastAsia="en-GB"/>
        </w:rPr>
        <w:fldChar w:fldCharType="begin" w:fldLock="1"/>
      </w:r>
      <w:r w:rsidR="009016C9">
        <w:rPr>
          <w:rFonts w:eastAsia="Times New Roman"/>
          <w:lang w:val="en-US" w:eastAsia="en-GB"/>
        </w:rPr>
        <w:instrText>ADDIN CSL_CITATION {"citationItems":[{"id":"ITEM-1","itemData":{"DOI":"10.1093/bioinformatics/btu153","ISSN":"1367-4811 (Electronic)","PMID":"24642063","abstract":"UNLABELLED: The multiplex capability and high yield of current day DNA-sequencing instruments has made bacterial whole genome sequencing a routine affair. The subsequent de novo assembly of reads into contigs has been well addressed. The final step of annotating all relevant genomic features on those contigs can be achieved slowly using existing web- and email-based systems, but these are not applicable for sensitive data or integrating into computational pipelines. Here we introduce Prokka, a command line software tool to fully annotate a draft bacterial genome in about 10 min on a typical desktop computer. It produces standards-compliant output files for further analysis or viewing in genome browsers. AVAILABILITY AND IMPLEMENTATION: Prokka is implemented in Perl and is freely available under an open source GPLv2 license from http://vicbioinformatics.com/.","author":[{"dropping-particle":"","family":"Seemann","given":"Torsten","non-dropping-particle":"","parse-names":false,"suffix":""}],"container-title":"Bioinformatics","id":"ITEM-1","issue":"14","issued":{"date-parts":[["2014","7"]]},"language":"eng","page":"2068-2069","publisher-place":"England","title":"Prokka: rapid prokaryotic genome annotation.","type":"article-journal","volume":"30"},"uris":["http://www.mendeley.com/documents/?uuid=3ba2022f-e230-4cb6-8f0c-7084efc85005"]}],"mendeley":{"formattedCitation":"(14)","plainTextFormattedCitation":"(14)","previouslyFormattedCitation":"(14)"},"properties":{"noteIndex":0},"schema":"https://github.com/citation-style-language/schema/raw/master/csl-citation.json"}</w:instrText>
      </w:r>
      <w:r w:rsidR="008F69A1">
        <w:rPr>
          <w:rFonts w:eastAsia="Times New Roman"/>
          <w:lang w:val="en-US" w:eastAsia="en-GB"/>
        </w:rPr>
        <w:fldChar w:fldCharType="separate"/>
      </w:r>
      <w:r w:rsidR="0045443B" w:rsidRPr="0045443B">
        <w:rPr>
          <w:rFonts w:eastAsia="Times New Roman"/>
          <w:noProof/>
          <w:lang w:val="en-US" w:eastAsia="en-GB"/>
        </w:rPr>
        <w:t>(14)</w:t>
      </w:r>
      <w:r w:rsidR="008F69A1">
        <w:rPr>
          <w:rFonts w:eastAsia="Times New Roman"/>
          <w:lang w:val="en-US" w:eastAsia="en-GB"/>
        </w:rPr>
        <w:fldChar w:fldCharType="end"/>
      </w:r>
      <w:r>
        <w:rPr>
          <w:rFonts w:eastAsia="Times New Roman"/>
          <w:lang w:val="en-US" w:eastAsia="en-GB"/>
        </w:rPr>
        <w:t xml:space="preserve"> </w:t>
      </w:r>
      <w:r w:rsidR="002135EF">
        <w:rPr>
          <w:rFonts w:eastAsia="Times New Roman"/>
          <w:lang w:val="en-US" w:eastAsia="en-GB"/>
        </w:rPr>
        <w:t>through</w:t>
      </w:r>
      <w:r w:rsidR="00ED2F31">
        <w:rPr>
          <w:rFonts w:eastAsia="Times New Roman"/>
          <w:lang w:val="en-US" w:eastAsia="en-GB"/>
        </w:rPr>
        <w:t xml:space="preserve"> </w:t>
      </w:r>
      <w:proofErr w:type="spellStart"/>
      <w:r w:rsidR="002135EF">
        <w:rPr>
          <w:rFonts w:eastAsia="Times New Roman"/>
          <w:lang w:val="en-US" w:eastAsia="en-GB"/>
        </w:rPr>
        <w:t>B</w:t>
      </w:r>
      <w:r>
        <w:rPr>
          <w:rFonts w:eastAsia="Times New Roman"/>
          <w:lang w:val="en-US" w:eastAsia="en-GB"/>
        </w:rPr>
        <w:t>acpipe</w:t>
      </w:r>
      <w:proofErr w:type="spellEnd"/>
      <w:r w:rsidR="00E52FEF">
        <w:rPr>
          <w:rFonts w:eastAsia="Times New Roman"/>
          <w:lang w:val="en-US" w:eastAsia="en-GB"/>
        </w:rPr>
        <w:t xml:space="preserve"> v0.6 </w:t>
      </w:r>
      <w:r w:rsidR="00A42A37">
        <w:rPr>
          <w:rFonts w:eastAsia="Times New Roman"/>
          <w:lang w:val="en-US" w:eastAsia="en-GB"/>
        </w:rPr>
        <w:t>(</w:t>
      </w:r>
      <w:hyperlink r:id="rId12" w:history="1">
        <w:r w:rsidR="00ED2F31" w:rsidRPr="004E1744">
          <w:rPr>
            <w:rStyle w:val="Hyperlink"/>
            <w:rFonts w:eastAsia="Times New Roman"/>
            <w:lang w:val="en-US" w:eastAsia="en-GB"/>
          </w:rPr>
          <w:t>https://github.com/apredeus/multi-bacpipe</w:t>
        </w:r>
      </w:hyperlink>
      <w:r w:rsidR="00A42A37">
        <w:rPr>
          <w:rFonts w:eastAsia="Times New Roman"/>
          <w:lang w:val="en-US" w:eastAsia="en-GB"/>
        </w:rPr>
        <w:t>)</w:t>
      </w:r>
      <w:bookmarkEnd w:id="8"/>
      <w:r w:rsidR="00C92D84">
        <w:rPr>
          <w:rFonts w:eastAsia="Times New Roman"/>
          <w:lang w:val="en-US" w:eastAsia="en-GB"/>
        </w:rPr>
        <w:t>,</w:t>
      </w:r>
      <w:r w:rsidR="00661EA9">
        <w:rPr>
          <w:rFonts w:eastAsia="Times New Roman"/>
          <w:lang w:val="en-US" w:eastAsia="en-GB"/>
        </w:rPr>
        <w:t xml:space="preserve"> </w:t>
      </w:r>
      <w:r w:rsidR="004F60DD">
        <w:rPr>
          <w:rFonts w:eastAsia="Times New Roman"/>
          <w:lang w:val="en-US" w:eastAsia="en-GB"/>
        </w:rPr>
        <w:t xml:space="preserve">and automatically </w:t>
      </w:r>
      <w:r w:rsidR="00951771">
        <w:rPr>
          <w:rFonts w:eastAsia="Times New Roman"/>
          <w:lang w:val="en-US" w:eastAsia="en-GB"/>
        </w:rPr>
        <w:t>re-</w:t>
      </w:r>
      <w:r w:rsidR="004F60DD">
        <w:rPr>
          <w:rFonts w:eastAsia="Times New Roman"/>
          <w:lang w:val="en-US" w:eastAsia="en-GB"/>
        </w:rPr>
        <w:t>annotated by GenBank</w:t>
      </w:r>
      <w:r w:rsidR="00D03577">
        <w:rPr>
          <w:rFonts w:eastAsia="Times New Roman"/>
          <w:lang w:val="en-US" w:eastAsia="en-GB"/>
        </w:rPr>
        <w:t xml:space="preserve"> with PGAP</w:t>
      </w:r>
      <w:r w:rsidR="00951771">
        <w:rPr>
          <w:rFonts w:eastAsia="Times New Roman"/>
          <w:lang w:val="en-US" w:eastAsia="en-GB"/>
        </w:rPr>
        <w:t xml:space="preserve"> </w:t>
      </w:r>
      <w:r w:rsidR="00951771">
        <w:rPr>
          <w:rFonts w:eastAsia="Times New Roman"/>
          <w:lang w:val="en-US" w:eastAsia="en-GB"/>
        </w:rPr>
        <w:fldChar w:fldCharType="begin" w:fldLock="1"/>
      </w:r>
      <w:r w:rsidR="009016C9">
        <w:rPr>
          <w:rFonts w:eastAsia="Times New Roman"/>
          <w:lang w:val="en-US" w:eastAsia="en-GB"/>
        </w:rPr>
        <w:instrText>ADDIN CSL_CITATION {"citationItems":[{"id":"ITEM-1","itemData":{"DOI":"10.1093/nar/gkw569","ISSN":"13624962","PMID":"27342282","abstract":"Recent technological advances have opened unprecedented opportunities for large-scale sequencing and analysis of populations of pathogenic species in disease outbreaks, as well as for large-scale diversity studies aimed at expanding our knowledge across the whole domain of prokaryotes. To meet the challenge of timely interpretation of structure, function and meaning of this vast genetic information, a comprehensive approach to automatic genome annotation is critically needed. In collaboration with Georgia Tech, NCBI has developed a new approach to genome annotation that combines alignment based methods with methods of predicting protein-coding and RNA genes and other functional elements directly from sequence. A new gene finding tool, GeneMarkS+, uses the combined evidence of protein and RNA placement by homology as an initial map of annotation to generate and modify ab initio gene predictions across the whole genome. Thus, the new NCBI's Prokaryotic Genome Annotation Pipeline (PGAP) relies more on sequence similarity when confident comparative data are available, while it relies more on statistical predictions in the absence of external evidence. The pipeline provides a framework for generation and analysis of annotation on the full breadth of prokaryotic taxonomy. For additional information on PGAP see https://www.ncbi.nlm.nih.gov/genome/annotation-prok/ and the NCBI Handbook, https://www.ncbi.nlm.nih.gov/books/NBK174280/.","author":[{"dropping-particle":"","family":"Tatusova","given":"Tatiana","non-dropping-particle":"","parse-names":false,"suffix":""},{"dropping-particle":"","family":"Dicuccio","given":"Michael","non-dropping-particle":"","parse-names":false,"suffix":""},{"dropping-particle":"","family":"Badretdin","given":"Azat","non-dropping-particle":"","parse-names":false,"suffix":""},{"dropping-particle":"","family":"Chetvernin","given":"Vyacheslav","non-dropping-particle":"","parse-names":false,"suffix":""},{"dropping-particle":"","family":"Nawrocki","given":"Eric P.","non-dropping-particle":"","parse-names":false,"suffix":""},{"dropping-particle":"","family":"Zaslavsky","given":"Leonid","non-dropping-particle":"","parse-names":false,"suffix":""},{"dropping-particle":"","family":"Lomsadze","given":"Alexandre","non-dropping-particle":"","parse-names":false,"suffix":""},{"dropping-particle":"","family":"Pruitt","given":"Kim D.","non-dropping-particle":"","parse-names":false,"suffix":""},{"dropping-particle":"","family":"Borodovsky","given":"Mark","non-dropping-particle":"","parse-names":false,"suffix":""},{"dropping-particle":"","family":"Ostell","given":"James","non-dropping-particle":"","parse-names":false,"suffix":""}],"container-title":"Nucleic Acids Research","id":"ITEM-1","issue":"14","issued":{"date-parts":[["2016","8","19"]]},"page":"6614-6624","publisher":"Oxford University Press","title":"NCBI prokaryotic genome annotation pipeline","type":"article-journal","volume":"44"},"uris":["http://www.mendeley.com/documents/?uuid=90c055b7-ebdd-396b-be5b-95f724caa377"]}],"mendeley":{"formattedCitation":"(15)","plainTextFormattedCitation":"(15)","previouslyFormattedCitation":"(15)"},"properties":{"noteIndex":0},"schema":"https://github.com/citation-style-language/schema/raw/master/csl-citation.json"}</w:instrText>
      </w:r>
      <w:r w:rsidR="00951771">
        <w:rPr>
          <w:rFonts w:eastAsia="Times New Roman"/>
          <w:lang w:val="en-US" w:eastAsia="en-GB"/>
        </w:rPr>
        <w:fldChar w:fldCharType="separate"/>
      </w:r>
      <w:r w:rsidR="0045443B" w:rsidRPr="0045443B">
        <w:rPr>
          <w:rFonts w:eastAsia="Times New Roman"/>
          <w:noProof/>
          <w:lang w:val="en-US" w:eastAsia="en-GB"/>
        </w:rPr>
        <w:t>(15)</w:t>
      </w:r>
      <w:r w:rsidR="00951771">
        <w:rPr>
          <w:rFonts w:eastAsia="Times New Roman"/>
          <w:lang w:val="en-US" w:eastAsia="en-GB"/>
        </w:rPr>
        <w:fldChar w:fldCharType="end"/>
      </w:r>
      <w:r w:rsidR="00DB04D1">
        <w:rPr>
          <w:rFonts w:eastAsia="Times New Roman"/>
          <w:lang w:val="en-US" w:eastAsia="en-GB"/>
        </w:rPr>
        <w:t xml:space="preserve">, and rotated to the origin at the </w:t>
      </w:r>
      <w:proofErr w:type="spellStart"/>
      <w:r w:rsidR="00DB04D1" w:rsidRPr="00DB04D1">
        <w:rPr>
          <w:rFonts w:eastAsia="Times New Roman"/>
          <w:i/>
          <w:lang w:val="en-US" w:eastAsia="en-GB"/>
        </w:rPr>
        <w:t>thrLABC</w:t>
      </w:r>
      <w:proofErr w:type="spellEnd"/>
      <w:r w:rsidR="00DB04D1">
        <w:rPr>
          <w:rFonts w:eastAsia="Times New Roman"/>
          <w:lang w:val="en-US" w:eastAsia="en-GB"/>
        </w:rPr>
        <w:t xml:space="preserve"> operon.</w:t>
      </w:r>
      <w:bookmarkEnd w:id="5"/>
      <w:r w:rsidR="00DB04D1">
        <w:rPr>
          <w:rFonts w:eastAsia="Times New Roman"/>
          <w:lang w:val="en-US" w:eastAsia="en-GB"/>
        </w:rPr>
        <w:t xml:space="preserve"> </w:t>
      </w:r>
      <w:bookmarkEnd w:id="7"/>
      <w:r w:rsidR="00DB04D1">
        <w:rPr>
          <w:rFonts w:eastAsia="Times New Roman"/>
          <w:lang w:val="en-US" w:eastAsia="en-GB"/>
        </w:rPr>
        <w:t>V</w:t>
      </w:r>
      <w:proofErr w:type="spellStart"/>
      <w:r w:rsidR="007B71C3">
        <w:rPr>
          <w:rFonts w:eastAsia="Times New Roman"/>
          <w:lang w:eastAsia="en-GB"/>
        </w:rPr>
        <w:t>ariant</w:t>
      </w:r>
      <w:proofErr w:type="spellEnd"/>
      <w:r>
        <w:rPr>
          <w:rFonts w:eastAsia="Times New Roman"/>
          <w:lang w:eastAsia="en-GB"/>
        </w:rPr>
        <w:t xml:space="preserve"> calling </w:t>
      </w:r>
      <w:r w:rsidR="009D3BC7">
        <w:rPr>
          <w:rFonts w:eastAsia="Times New Roman"/>
          <w:lang w:eastAsia="en-GB"/>
        </w:rPr>
        <w:t xml:space="preserve">was done </w:t>
      </w:r>
      <w:r>
        <w:rPr>
          <w:rFonts w:eastAsia="Times New Roman"/>
          <w:lang w:eastAsia="en-GB"/>
        </w:rPr>
        <w:t xml:space="preserve">with </w:t>
      </w:r>
      <w:bookmarkStart w:id="9" w:name="_Hlk63763631"/>
      <w:r>
        <w:rPr>
          <w:rFonts w:eastAsia="Times New Roman"/>
          <w:lang w:eastAsia="en-GB"/>
        </w:rPr>
        <w:t>Snippy</w:t>
      </w:r>
      <w:r w:rsidR="00577D22">
        <w:rPr>
          <w:rFonts w:eastAsia="Times New Roman"/>
          <w:lang w:eastAsia="en-GB"/>
        </w:rPr>
        <w:t> </w:t>
      </w:r>
      <w:r w:rsidR="009E6BA6">
        <w:rPr>
          <w:rFonts w:eastAsia="Times New Roman"/>
          <w:lang w:eastAsia="en-GB"/>
        </w:rPr>
        <w:t>v4.3.6</w:t>
      </w:r>
      <w:r w:rsidR="008F69A1">
        <w:rPr>
          <w:rFonts w:eastAsia="Times New Roman"/>
          <w:lang w:eastAsia="en-GB"/>
        </w:rPr>
        <w:t xml:space="preserve"> (</w:t>
      </w:r>
      <w:hyperlink r:id="rId13" w:history="1">
        <w:r w:rsidR="008F69A1" w:rsidRPr="008F69A1">
          <w:rPr>
            <w:rStyle w:val="Hyperlink"/>
            <w:rFonts w:eastAsia="Times New Roman"/>
            <w:lang w:eastAsia="en-GB"/>
          </w:rPr>
          <w:t>https://github.com/tseemann/snippy</w:t>
        </w:r>
      </w:hyperlink>
      <w:r w:rsidR="008F69A1">
        <w:rPr>
          <w:rFonts w:eastAsia="Times New Roman"/>
          <w:lang w:eastAsia="en-GB"/>
        </w:rPr>
        <w:t>)</w:t>
      </w:r>
      <w:r>
        <w:rPr>
          <w:rFonts w:eastAsia="Times New Roman"/>
          <w:lang w:eastAsia="en-GB"/>
        </w:rPr>
        <w:t xml:space="preserve"> in contig mode</w:t>
      </w:r>
      <w:bookmarkEnd w:id="9"/>
      <w:r>
        <w:rPr>
          <w:rFonts w:eastAsia="Times New Roman"/>
          <w:lang w:eastAsia="en-GB"/>
        </w:rPr>
        <w:t>.</w:t>
      </w:r>
      <w:bookmarkEnd w:id="3"/>
      <w:r>
        <w:rPr>
          <w:rFonts w:eastAsia="Times New Roman"/>
          <w:lang w:eastAsia="en-GB"/>
        </w:rPr>
        <w:t xml:space="preserve"> </w:t>
      </w:r>
    </w:p>
    <w:p w14:paraId="48020638" w14:textId="2B61EF6F" w:rsidR="00E90D6D" w:rsidRPr="00D16F75" w:rsidRDefault="00661EA9" w:rsidP="00E90D6D">
      <w:pPr>
        <w:spacing w:line="360" w:lineRule="auto"/>
        <w:jc w:val="both"/>
        <w:rPr>
          <w:rFonts w:eastAsia="Times New Roman"/>
          <w:lang w:val="en-US" w:eastAsia="en-GB"/>
        </w:rPr>
      </w:pPr>
      <w:r>
        <w:rPr>
          <w:rFonts w:eastAsia="Times New Roman"/>
          <w:lang w:eastAsia="en-GB"/>
        </w:rPr>
        <w:t>Genome comparison</w:t>
      </w:r>
      <w:r w:rsidRPr="00BC19E2">
        <w:rPr>
          <w:rFonts w:eastAsia="Times New Roman"/>
          <w:lang w:eastAsia="en-GB"/>
        </w:rPr>
        <w:t xml:space="preserve"> </w:t>
      </w:r>
      <w:r w:rsidRPr="00AB426C">
        <w:rPr>
          <w:rFonts w:eastAsia="Times New Roman"/>
          <w:lang w:eastAsia="en-GB"/>
        </w:rPr>
        <w:t>revealed genomic degradation and differences in accessory genome</w:t>
      </w:r>
      <w:r w:rsidR="00D16F75">
        <w:rPr>
          <w:rFonts w:eastAsia="Times New Roman"/>
          <w:lang w:eastAsia="en-GB"/>
        </w:rPr>
        <w:t xml:space="preserve"> </w:t>
      </w:r>
      <w:r>
        <w:rPr>
          <w:rFonts w:eastAsia="Times New Roman"/>
          <w:lang w:eastAsia="en-GB"/>
        </w:rPr>
        <w:t>(Table 1).</w:t>
      </w:r>
      <w:r w:rsidR="00D16F75">
        <w:rPr>
          <w:rFonts w:eastAsia="Times New Roman"/>
          <w:lang w:val="en-US" w:eastAsia="en-GB"/>
        </w:rPr>
        <w:t xml:space="preserve"> </w:t>
      </w:r>
      <w:r w:rsidR="00692FBE">
        <w:rPr>
          <w:rFonts w:eastAsia="Times New Roman"/>
          <w:lang w:eastAsia="en-GB"/>
        </w:rPr>
        <w:t xml:space="preserve">P125109 and A1636 </w:t>
      </w:r>
      <w:r w:rsidR="00ED2F31">
        <w:rPr>
          <w:rFonts w:eastAsia="Times New Roman"/>
          <w:lang w:eastAsia="en-GB"/>
        </w:rPr>
        <w:t xml:space="preserve">carried </w:t>
      </w:r>
      <w:r w:rsidR="005F0095">
        <w:rPr>
          <w:rFonts w:eastAsia="Times New Roman"/>
          <w:lang w:eastAsia="en-GB"/>
        </w:rPr>
        <w:t xml:space="preserve">the </w:t>
      </w:r>
      <w:r w:rsidR="003E704C">
        <w:rPr>
          <w:rFonts w:eastAsia="Times New Roman"/>
          <w:lang w:eastAsia="en-GB"/>
        </w:rPr>
        <w:t>virulence plasmid pSENV</w:t>
      </w:r>
      <w:r w:rsidR="00692FBE">
        <w:rPr>
          <w:rFonts w:eastAsia="Times New Roman"/>
          <w:lang w:eastAsia="en-GB"/>
        </w:rPr>
        <w:t>, whereas D7795</w:t>
      </w:r>
      <w:r w:rsidR="00F037EC">
        <w:rPr>
          <w:rFonts w:eastAsia="Times New Roman"/>
          <w:lang w:eastAsia="en-GB"/>
        </w:rPr>
        <w:t xml:space="preserve"> </w:t>
      </w:r>
      <w:r w:rsidR="0028135A">
        <w:rPr>
          <w:rFonts w:eastAsia="Times New Roman"/>
          <w:lang w:eastAsia="en-GB"/>
        </w:rPr>
        <w:t>carried</w:t>
      </w:r>
      <w:r w:rsidR="00F037EC">
        <w:rPr>
          <w:rFonts w:eastAsia="Times New Roman"/>
          <w:lang w:eastAsia="en-GB"/>
        </w:rPr>
        <w:t xml:space="preserve"> pSEN-BT</w:t>
      </w:r>
      <w:r w:rsidR="00C10F1C">
        <w:rPr>
          <w:rFonts w:eastAsia="Times New Roman"/>
          <w:lang w:eastAsia="en-GB"/>
        </w:rPr>
        <w:t xml:space="preserve"> </w:t>
      </w:r>
      <w:r w:rsidR="00C10F1C">
        <w:rPr>
          <w:rFonts w:eastAsia="Times New Roman"/>
          <w:lang w:eastAsia="en-GB"/>
        </w:rPr>
        <w:fldChar w:fldCharType="begin" w:fldLock="1"/>
      </w:r>
      <w:r w:rsidR="00FC21D7">
        <w:rPr>
          <w:rFonts w:eastAsia="Times New Roman"/>
          <w:lang w:eastAsia="en-GB"/>
        </w:rPr>
        <w:instrText>ADDIN CSL_CITATION {"citationItems":[{"id":"ITEM-1","itemData":{"DOI":"10.1038/ng.3644","ISSN":"1061-4036","PMID":"27548315","abstract":"An epidemiological paradox surrounds Salmonella enterica serovar Enteritidis. In high-income settings, it has been responsible for an epidemic of poultry-associated, self-limiting enterocolitis, whereas in sub-Saharan Africa it is a major cause of invasive nontyphoidal Salmonella disease, associated with high case fatality. By whole-genome sequence analysis of 675 isolates of S. Enteritidis from 45 countries, we show the existence of a global epidemic clade and two new clades of S. Enteritidis that are geographically restricted to distinct regions of Africa. The African isolates display genomic degradation, a novel prophage repertoire, and an expanded multidrug resistance plasmid. S. Enteritidis is a further example of a Salmonella serotype that displays niche plasticity, with distinct clades that enable it to become a prominent cause of gastroenteritis in association with the industrial production of eggs and of multidrug-resistant, bloodstream-invasive infection in Africa.","author":[{"dropping-particle":"","family":"Feasey","given":"Nicholas A.","non-dropping-particle":"","parse-names":false,"suffix":""},{"dropping-particle":"","family":"Hadfield","given":"James","non-dropping-particle":"","parse-names":false,"suffix":""},{"dropping-particle":"","family":"Keddy","given":"Karen H","non-dropping-particle":"","parse-names":false,"suffix":""},{"dropping-particle":"","family":"Dallman","given":"Timothy J","non-dropping-particle":"","parse-names":false,"suffix":""},{"dropping-particle":"","family":"Jacobs","given":"Jan","non-dropping-particle":"","parse-names":false,"suffix":""},{"dropping-particle":"","family":"Deng","given":"Xiangyu","non-dropping-particle":"","parse-names":false,"suffix":""},{"dropping-particle":"","family":"Wigley","given":"Paul","non-dropping-particle":"","parse-names":false,"suffix":""},{"dropping-particle":"","family":"Barquist Barquist","given":"Lars","non-dropping-particle":"","parse-names":false,"suffix":""},{"dropping-particle":"","family":"Langridge","given":"Gemma C.","non-dropping-particle":"","parse-names":false,"suffix":""},{"dropping-particle":"","family":"Feltwell","given":"Theresa","non-dropping-particle":"","parse-names":false,"suffix":""},{"dropping-particle":"","family":"Harris","given":"Simon R","non-dropping-particle":"","parse-names":false,"suffix":""},{"dropping-particle":"","family":"Mather","given":"Alison E","non-dropping-particle":"","parse-names":false,"suffix":""},{"dropping-particle":"","family":"Fookes","given":"Maria","non-dropping-particle":"","parse-names":false,"suffix":""},{"dropping-particle":"","family":"Aslett","given":"Martin","non-dropping-particle":"","parse-names":false,"suffix":""},{"dropping-particle":"","family":"Msefula","given":"Chisomo","non-dropping-particle":"","parse-names":false,"suffix":""},{"dropping-particle":"","family":"Kariuki","given":"Samuel","non-dropping-particle":"","parse-names":false,"suffix":""},{"dropping-particle":"","family":"Maclennan","given":"Calman A.","non-dropping-particle":"","parse-names":false,"suffix":""},{"dropping-particle":"","family":"Onsare","given":"Robert S","non-dropping-particle":"","parse-names":false,"suffix":""},{"dropping-particle":"","family":"Weill","given":"François-Xavier","non-dropping-particle":"","parse-names":false,"suffix":""},{"dropping-particle":"","family":"Hello","given":"Simon","non-dropping-particle":"Le","parse-names":false,"suffix":""},{"dropping-particle":"","family":"Smith","given":"Anthony M","non-dropping-particle":"","parse-names":false,"suffix":""},{"dropping-particle":"","family":"Mcclelland","given":"Michael","non-dropping-particle":"","parse-names":false,"suffix":""},{"dropping-particle":"","family":"Desai","given":"Prerak","non-dropping-particle":"","parse-names":false,"suffix":""},{"dropping-particle":"","family":"Parry","given":"Christopher M","non-dropping-particle":"","parse-names":false,"suffix":""},{"dropping-particle":"","family":"Cheesbrough","given":"John S.","non-dropping-particle":"","parse-names":false,"suffix":""},{"dropping-particle":"","family":"French","given":"Neil","non-dropping-particle":"","parse-names":false,"suffix":""},{"dropping-particle":"","family":"Campos","given":"Josefina","non-dropping-particle":"","parse-names":false,"suffix":""},{"dropping-particle":"","family":"Chabalgoity","given":"Jose A","non-dropping-particle":"","parse-names":false,"suffix":""},{"dropping-particle":"","family":"Betancor","given":"Laura","non-dropping-particle":"","parse-names":false,"suffix":""},{"dropping-particle":"","family":"Hopkins","given":"Katie L","non-dropping-particle":"","parse-names":false,"suffix":""},{"dropping-particle":"","family":"Nair","given":"Satheesh","non-dropping-particle":"","parse-names":false,"suffix":""},{"dropping-particle":"","family":"Humphrey","given":"Tom J","non-dropping-particle":"","parse-names":false,"suffix":""},{"dropping-particle":"","family":"Lunguya","given":"Octavie","non-dropping-particle":"","parse-names":false,"suffix":""},{"dropping-particle":"","family":"Cogan","given":"Tristan A","non-dropping-particle":"","parse-names":false,"suffix":""},{"dropping-particle":"","family":"Tapia","given":"Milagritos D","non-dropping-particle":"","parse-names":false,"suffix":""},{"dropping-particle":"","family":"Sow","given":"Samba O","non-dropping-particle":"","parse-names":false,"suffix":""},{"dropping-particle":"","family":"Tennant","given":"Sharon M","non-dropping-particle":"","parse-names":false,"suffix":""},{"dropping-particle":"","family":"Bornstein","given":"Kristin","non-dropping-particle":"","parse-names":false,"suffix":""},{"dropping-particle":"","family":"Levine","given":"Myron M","non-dropping-particle":"","parse-names":false,"suffix":""},{"dropping-particle":"","family":"Lacharme-Lora","given":"Lizeth","non-dropping-particle":"","parse-names":false,"suffix":""},{"dropping-particle":"","family":"Everett","given":"Dean B","non-dropping-particle":"","parse-names":false,"suffix":""},{"dropping-particle":"","family":"Kingsley","given":"Robert A.","non-dropping-particle":"","parse-names":false,"suffix":""},{"dropping-particle":"","family":"Parkhill","given":"Julian","non-dropping-particle":"","parse-names":false,"suffix":""},{"dropping-particle":"","family":"Heyderman","given":"Robert S","non-dropping-particle":"","parse-names":false,"suffix":""},{"dropping-particle":"","family":"Dougan","given":"Gordon","non-dropping-particle":"","parse-names":false,"suffix":""},{"dropping-particle":"","family":"Gordon","given":"Melita A.","non-dropping-particle":"","parse-names":false,"suffix":""},{"dropping-particle":"","family":"Thomson","given":"Nicholas R.","non-dropping-particle":"","parse-names":false,"suffix":""},{"dropping-particle":"","family":"Barquist","given":"Lars","non-dropping-particle":"","parse-names":false,"suffix":""},{"dropping-particle":"","family":"Gemma","given":"C","non-dropping-particle":"","parse-names":false,"suffix":""},{"dropping-particle":"Le","family":"Hello","given":"Simon","non-dropping-particle":"","parse-names":false,"suffix":""},{"dropping-particle":"","family":"Melita","given":"A","non-dropping-particle":"","parse-names":false,"suffix":""}],"container-title":"Nature Genetics","id":"ITEM-1","issue":"October 2015","issued":{"date-parts":[["2016"]]},"page":"1211-7","title":"Distinct &lt;i&gt;Salmonella&lt;/i&gt; Enteritidis lineages associated with enterocolitis in high-income settings and invasive disease in low-income settings","type":"article-journal","volume":"48"},"uris":["http://www.mendeley.com/documents/?uuid=0b337582-08a1-4754-a1c5-35df0ce1d920"]}],"mendeley":{"formattedCitation":"(3)","plainTextFormattedCitation":"(3)","previouslyFormattedCitation":"(3)"},"properties":{"noteIndex":0},"schema":"https://github.com/citation-style-language/schema/raw/master/csl-citation.json"}</w:instrText>
      </w:r>
      <w:r w:rsidR="00C10F1C">
        <w:rPr>
          <w:rFonts w:eastAsia="Times New Roman"/>
          <w:lang w:eastAsia="en-GB"/>
        </w:rPr>
        <w:fldChar w:fldCharType="separate"/>
      </w:r>
      <w:r w:rsidR="00AF5B4C" w:rsidRPr="00AF5B4C">
        <w:rPr>
          <w:rFonts w:eastAsia="Times New Roman"/>
          <w:noProof/>
          <w:lang w:eastAsia="en-GB"/>
        </w:rPr>
        <w:t>(3)</w:t>
      </w:r>
      <w:r w:rsidR="00C10F1C">
        <w:rPr>
          <w:rFonts w:eastAsia="Times New Roman"/>
          <w:lang w:eastAsia="en-GB"/>
        </w:rPr>
        <w:fldChar w:fldCharType="end"/>
      </w:r>
      <w:r w:rsidR="00692FBE">
        <w:rPr>
          <w:rFonts w:eastAsia="Times New Roman"/>
          <w:lang w:eastAsia="en-GB"/>
        </w:rPr>
        <w:t xml:space="preserve"> </w:t>
      </w:r>
      <w:r w:rsidR="00F037EC">
        <w:rPr>
          <w:rFonts w:eastAsia="Times New Roman"/>
          <w:lang w:eastAsia="en-GB"/>
        </w:rPr>
        <w:t xml:space="preserve">and CP255 pSEN-DRC, </w:t>
      </w:r>
      <w:r w:rsidR="00F34887">
        <w:rPr>
          <w:rFonts w:eastAsia="Times New Roman"/>
          <w:lang w:eastAsia="en-GB"/>
        </w:rPr>
        <w:t xml:space="preserve">which </w:t>
      </w:r>
      <w:r w:rsidR="00F037EC">
        <w:rPr>
          <w:rFonts w:eastAsia="Times New Roman"/>
          <w:lang w:eastAsia="en-GB"/>
        </w:rPr>
        <w:t xml:space="preserve">both </w:t>
      </w:r>
      <w:r w:rsidR="00F34887">
        <w:rPr>
          <w:rFonts w:eastAsia="Times New Roman"/>
          <w:lang w:eastAsia="en-GB"/>
        </w:rPr>
        <w:t xml:space="preserve">had </w:t>
      </w:r>
      <w:r w:rsidR="00F037EC">
        <w:rPr>
          <w:rFonts w:eastAsia="Times New Roman"/>
          <w:lang w:eastAsia="en-GB"/>
        </w:rPr>
        <w:t xml:space="preserve">a </w:t>
      </w:r>
      <w:r w:rsidR="00C92D84">
        <w:rPr>
          <w:rFonts w:eastAsia="Times New Roman"/>
          <w:lang w:eastAsia="en-GB"/>
        </w:rPr>
        <w:t xml:space="preserve">pSENV </w:t>
      </w:r>
      <w:r w:rsidR="00F037EC">
        <w:rPr>
          <w:rFonts w:eastAsia="Times New Roman"/>
          <w:lang w:eastAsia="en-GB"/>
        </w:rPr>
        <w:t xml:space="preserve">backbone with </w:t>
      </w:r>
      <w:r w:rsidR="009D3BC7">
        <w:rPr>
          <w:rFonts w:eastAsia="Times New Roman"/>
          <w:lang w:eastAsia="en-GB"/>
        </w:rPr>
        <w:t xml:space="preserve">MDR-encoding </w:t>
      </w:r>
      <w:r w:rsidR="00F037EC">
        <w:rPr>
          <w:rFonts w:eastAsia="Times New Roman"/>
          <w:lang w:eastAsia="en-GB"/>
        </w:rPr>
        <w:t xml:space="preserve">genes. </w:t>
      </w:r>
      <w:r w:rsidR="009D3BC7">
        <w:rPr>
          <w:rFonts w:eastAsia="Times New Roman"/>
          <w:lang w:eastAsia="en-GB"/>
        </w:rPr>
        <w:t>O</w:t>
      </w:r>
      <w:r w:rsidR="00F037EC">
        <w:rPr>
          <w:rFonts w:eastAsia="Times New Roman"/>
          <w:lang w:eastAsia="en-GB"/>
        </w:rPr>
        <w:t xml:space="preserve">ther plasmids </w:t>
      </w:r>
      <w:r w:rsidR="009D3BC7">
        <w:rPr>
          <w:rFonts w:eastAsia="Times New Roman"/>
          <w:lang w:eastAsia="en-GB"/>
        </w:rPr>
        <w:t xml:space="preserve">were identified </w:t>
      </w:r>
      <w:r w:rsidR="00F037EC">
        <w:rPr>
          <w:rFonts w:eastAsia="Times New Roman"/>
          <w:lang w:eastAsia="en-GB"/>
        </w:rPr>
        <w:t>in A1636</w:t>
      </w:r>
      <w:r w:rsidR="00AC70F8">
        <w:rPr>
          <w:rFonts w:eastAsia="Times New Roman"/>
          <w:lang w:eastAsia="en-GB"/>
        </w:rPr>
        <w:t>, D7795, and CP255</w:t>
      </w:r>
      <w:r w:rsidR="00D52858">
        <w:rPr>
          <w:rFonts w:eastAsia="Times New Roman"/>
          <w:lang w:eastAsia="en-GB"/>
        </w:rPr>
        <w:t>.</w:t>
      </w:r>
      <w:r w:rsidR="0001225A">
        <w:rPr>
          <w:rFonts w:eastAsia="Times New Roman"/>
          <w:lang w:eastAsia="en-GB"/>
        </w:rPr>
        <w:t xml:space="preserve"> The prophage repertoire of A1636 </w:t>
      </w:r>
      <w:r w:rsidR="00F34887">
        <w:rPr>
          <w:rFonts w:eastAsia="Times New Roman"/>
          <w:lang w:eastAsia="en-GB"/>
        </w:rPr>
        <w:t>resembled</w:t>
      </w:r>
      <w:r w:rsidR="0001225A">
        <w:rPr>
          <w:rFonts w:eastAsia="Times New Roman"/>
          <w:lang w:eastAsia="en-GB"/>
        </w:rPr>
        <w:t xml:space="preserve"> P125109</w:t>
      </w:r>
      <w:r w:rsidR="007B71C3">
        <w:rPr>
          <w:rFonts w:eastAsia="Times New Roman"/>
          <w:lang w:eastAsia="en-GB"/>
        </w:rPr>
        <w:t xml:space="preserve"> </w:t>
      </w:r>
      <w:r w:rsidR="007B71C3">
        <w:rPr>
          <w:rFonts w:eastAsia="Times New Roman"/>
          <w:lang w:eastAsia="en-GB"/>
        </w:rPr>
        <w:fldChar w:fldCharType="begin" w:fldLock="1"/>
      </w:r>
      <w:r w:rsidR="00BB131B">
        <w:rPr>
          <w:rFonts w:eastAsia="Times New Roman"/>
          <w:lang w:eastAsia="en-GB"/>
        </w:rPr>
        <w:instrText>ADDIN CSL_CITATION {"citationItems":[{"id":"ITEM-1","itemData":{"DOI":"10.1101/gr.077404.108","ISBN":"1088-9051 (Print)\\r1088-9051 (Linking)","ISSN":"1088-9051 (Print) 1088-9051 (Linking)","PMID":"18583645","abstract":"We have determined the complete genome sequences of a host-promiscuous Salmonella enterica serovar Enteritidis PT4 isolate P125109 and a chicken-restricted Salmonella enterica serovar Gallinarum isolate 287/91. Genome comparisons between these and other Salmonella isolates indicate that S. Gallinarum 287/91 is a recently evolved descendent of S. Enteritidis. Significantly, the genome of S. Gallinarum has undergone extensive degradation through deletion and pseudogene formation. Comparison of the pseudogenes in S. Gallinarum with those identified previously in other host-adapted bacteria reveals the loss of many common functional traits and provides insights into possible mechanisms of host and tissue adaptation. We propose that experimental analysis in chickens and mice of S. Enteritidis-harboring mutations in functional homologs of the pseudogenes present in S. Gallinarum could provide an experimentally tractable route toward unraveling the genetic basis of host adaptation in S. enterica.","author":[{"dropping-particle":"","family":"Thomson","given":"Nicholas R.","non-dropping-particle":"","parse-names":false,"suffix":""},{"dropping-particle":"","family":"Clayton","given":"Debra J.","non-dropping-particle":"","parse-names":false,"suffix":""},{"dropping-particle":"","family":"Windhorst","given":"Daniel","non-dropping-particle":"","parse-names":false,"suffix":""},{"dropping-particle":"","family":"Vernikos","given":"Georgios","non-dropping-particle":"","parse-names":false,"suffix":""},{"dropping-particle":"","family":"Davidson","given":"Susanne","non-dropping-particle":"","parse-names":false,"suffix":""},{"dropping-particle":"","family":"Churcher","given":"Carol","non-dropping-particle":"","parse-names":false,"suffix":""},{"dropping-particle":"","family":"Quail","given":"Michael A.","non-dropping-particle":"","parse-names":false,"suffix":""},{"dropping-particle":"","family":"Stevens","given":"Mark","non-dropping-particle":"","parse-names":false,"suffix":""},{"dropping-particle":"","family":"Jones","given":"Michael A.","non-dropping-particle":"","parse-names":false,"suffix":""},{"dropping-particle":"","family":"Watson","given":"Michael","non-dropping-particle":"","parse-names":false,"suffix":""},{"dropping-particle":"","family":"Barron","given":"Andy","non-dropping-particle":"","parse-names":false,"suffix":""},{"dropping-particle":"","family":"Layton","given":"Abigail","non-dropping-particle":"","parse-names":false,"suffix":""},{"dropping-particle":"","family":"Pickard","given":"Derek","non-dropping-particle":"","parse-names":false,"suffix":""},{"dropping-particle":"","family":"Kingsley","given":"Robert A.","non-dropping-particle":"","parse-names":false,"suffix":""},{"dropping-particle":"","family":"Bignell","given":"Alex","non-dropping-particle":"","parse-names":false,"suffix":""},{"dropping-particle":"","family":"Clark","given":"Louise","non-dropping-particle":"","parse-names":false,"suffix":""},{"dropping-particle":"","family":"Harris","given":"Barbara","non-dropping-particle":"","parse-names":false,"suffix":""},{"dropping-particle":"","family":"Ormond","given":"Doug","non-dropping-particle":"","parse-names":false,"suffix":""},{"dropping-particle":"","family":"Abdellah","given":"Zahra","non-dropping-particle":"","parse-names":false,"suffix":""},{"dropping-particle":"","family":"Brooks","given":"Karen","non-dropping-particle":"","parse-names":false,"suffix":""},{"dropping-particle":"","family":"Cherevach","given":"Inna","non-dropping-particle":"","parse-names":false,"suffix":""},{"dropping-particle":"","family":"Chillingworth","given":"Tracey","non-dropping-particle":"","parse-names":false,"suffix":""},{"dropping-particle":"","family":"Woodward","given":"John","non-dropping-particle":"","parse-names":false,"suffix":""},{"dropping-particle":"","family":"Norberczak","given":"Halina","non-dropping-particle":"","parse-names":false,"suffix":""},{"dropping-particle":"","family":"Lord","given":"Angela","non-dropping-particle":"","parse-names":false,"suffix":""},{"dropping-particle":"","family":"Arrowsmith","given":"Claire","non-dropping-particle":"","parse-names":false,"suffix":""},{"dropping-particle":"","family":"Jagels","given":"Kay","non-dropping-particle":"","parse-names":false,"suffix":""},{"dropping-particle":"","family":"Moule","given":"Sharon","non-dropping-particle":"","parse-names":false,"suffix":""},{"dropping-particle":"","family":"Mungall","given":"Karen","non-dropping-particle":"","parse-names":false,"suffix":""},{"dropping-particle":"","family":"Sanders","given":"Mandy","non-dropping-particle":"","parse-names":false,"suffix":""},{"dropping-particle":"","family":"Whitehead","given":"Sally","non-dropping-particle":"","parse-names":false,"suffix":""},{"dropping-particle":"","family":"Chabalgoity","given":"Jose A.","non-dropping-particle":"","parse-names":false,"suffix":""},{"dropping-particle":"","family":"Maskell","given":"Duncan","non-dropping-particle":"","parse-names":false,"suffix":""},{"dropping-particle":"","family":"Humphrey","given":"Tom","non-dropping-particle":"","parse-names":false,"suffix":""},{"dropping-particle":"","family":"Roberts","given":"Mark","non-dropping-particle":"","parse-names":false,"suffix":""},{"dropping-particle":"","family":"Barrow","given":"Paul A.","non-dropping-particle":"","parse-names":false,"suffix":""},{"dropping-particle":"","family":"Dougan","given":"Gordon","non-dropping-particle":"","parse-names":false,"suffix":""},{"dropping-particle":"","family":"Parkhill","given":"Julian","non-dropping-particle":"","parse-names":false,"suffix":""}],"container-title":"Genome Research","id":"ITEM-1","issue":"10","issued":{"date-parts":[["2008"]]},"page":"1624-1637","title":"Comparative genome analysis of &lt;i&gt;Salmonella&lt;/i&gt; Enteritidis PT4 and &lt;i&gt;Salmonella&lt;/i&gt; Gallinarum 287/91 provides insights into evolutionary and host adaptation pathways","type":"article-journal","volume":"18"},"uris":["http://www.mendeley.com/documents/?uuid=6693441f-20a0-42ec-ab10-6707bba373c8"]}],"mendeley":{"formattedCitation":"(7)","plainTextFormattedCitation":"(7)","previouslyFormattedCitation":"(7)"},"properties":{"noteIndex":0},"schema":"https://github.com/citation-style-language/schema/raw/master/csl-citation.json"}</w:instrText>
      </w:r>
      <w:r w:rsidR="007B71C3">
        <w:rPr>
          <w:rFonts w:eastAsia="Times New Roman"/>
          <w:lang w:eastAsia="en-GB"/>
        </w:rPr>
        <w:fldChar w:fldCharType="separate"/>
      </w:r>
      <w:r w:rsidR="007B71C3" w:rsidRPr="007B71C3">
        <w:rPr>
          <w:rFonts w:eastAsia="Times New Roman"/>
          <w:noProof/>
          <w:lang w:eastAsia="en-GB"/>
        </w:rPr>
        <w:t>(7)</w:t>
      </w:r>
      <w:r w:rsidR="007B71C3">
        <w:rPr>
          <w:rFonts w:eastAsia="Times New Roman"/>
          <w:lang w:eastAsia="en-GB"/>
        </w:rPr>
        <w:fldChar w:fldCharType="end"/>
      </w:r>
      <w:r w:rsidR="0001225A">
        <w:rPr>
          <w:rFonts w:eastAsia="Times New Roman"/>
          <w:lang w:eastAsia="en-GB"/>
        </w:rPr>
        <w:t>.</w:t>
      </w:r>
      <w:r w:rsidR="003714AC">
        <w:rPr>
          <w:rFonts w:eastAsia="Times New Roman"/>
          <w:lang w:eastAsia="en-GB"/>
        </w:rPr>
        <w:t xml:space="preserve"> </w:t>
      </w:r>
      <w:r w:rsidR="009D3BC7">
        <w:rPr>
          <w:rFonts w:eastAsia="Times New Roman"/>
          <w:lang w:eastAsia="en-GB"/>
        </w:rPr>
        <w:t xml:space="preserve">Both </w:t>
      </w:r>
      <w:r w:rsidR="0001225A">
        <w:rPr>
          <w:rFonts w:eastAsia="Times New Roman"/>
          <w:lang w:eastAsia="en-GB"/>
        </w:rPr>
        <w:t>D7795 and CP255 lacked ΦSE20, and instead carried P</w:t>
      </w:r>
      <w:r w:rsidR="00516C73">
        <w:rPr>
          <w:rFonts w:eastAsia="Times New Roman"/>
          <w:lang w:eastAsia="en-GB"/>
        </w:rPr>
        <w:t>88</w:t>
      </w:r>
      <w:r w:rsidR="0001225A">
        <w:rPr>
          <w:rFonts w:eastAsia="Times New Roman"/>
          <w:lang w:eastAsia="en-GB"/>
        </w:rPr>
        <w:t>-like and Fels2</w:t>
      </w:r>
      <w:r w:rsidR="00FE27AC">
        <w:rPr>
          <w:rFonts w:eastAsia="Times New Roman"/>
          <w:lang w:eastAsia="en-GB"/>
        </w:rPr>
        <w:t>-like</w:t>
      </w:r>
      <w:r w:rsidR="009D3BC7">
        <w:rPr>
          <w:rFonts w:eastAsia="Times New Roman"/>
          <w:lang w:eastAsia="en-GB"/>
        </w:rPr>
        <w:t xml:space="preserve"> prophages</w:t>
      </w:r>
      <w:r w:rsidR="0001225A">
        <w:rPr>
          <w:rFonts w:eastAsia="Times New Roman"/>
          <w:lang w:eastAsia="en-GB"/>
        </w:rPr>
        <w:t>.</w:t>
      </w:r>
    </w:p>
    <w:p w14:paraId="60057C5B" w14:textId="77777777" w:rsidR="004E223C" w:rsidRDefault="004E223C">
      <w:pPr>
        <w:spacing w:line="259" w:lineRule="auto"/>
        <w:rPr>
          <w:rFonts w:eastAsia="Times New Roman"/>
          <w:b/>
          <w:lang w:eastAsia="en-GB"/>
        </w:rPr>
      </w:pPr>
      <w:r>
        <w:rPr>
          <w:rFonts w:eastAsia="Times New Roman"/>
          <w:b/>
          <w:lang w:eastAsia="en-GB"/>
        </w:rPr>
        <w:br w:type="page"/>
      </w:r>
    </w:p>
    <w:p w14:paraId="485FCC34" w14:textId="67004389" w:rsidR="00E73A22" w:rsidRDefault="00595454" w:rsidP="00BC19E2">
      <w:pPr>
        <w:pStyle w:val="Heading1"/>
      </w:pPr>
      <w:r>
        <w:lastRenderedPageBreak/>
        <w:t>Data Availability</w:t>
      </w:r>
    </w:p>
    <w:p w14:paraId="2602DDBD" w14:textId="45590A7C" w:rsidR="007650E3" w:rsidRPr="00E73A22" w:rsidRDefault="00595454" w:rsidP="007650E3">
      <w:r>
        <w:t>The annotated complete genome assembl</w:t>
      </w:r>
      <w:r w:rsidR="00C51548">
        <w:t>ies</w:t>
      </w:r>
      <w:r>
        <w:t xml:space="preserve"> of </w:t>
      </w:r>
      <w:r>
        <w:rPr>
          <w:i/>
        </w:rPr>
        <w:t xml:space="preserve">S. </w:t>
      </w:r>
      <w:r>
        <w:t xml:space="preserve">Enteritidis CP255, D7795, A1636 and P125109 </w:t>
      </w:r>
      <w:r w:rsidR="000170A2">
        <w:t xml:space="preserve">have been </w:t>
      </w:r>
      <w:r>
        <w:t xml:space="preserve">deposited in </w:t>
      </w:r>
      <w:r w:rsidR="00514392">
        <w:t>NCBI</w:t>
      </w:r>
      <w:r>
        <w:t xml:space="preserve">. The </w:t>
      </w:r>
      <w:proofErr w:type="spellStart"/>
      <w:r>
        <w:t>BioProject</w:t>
      </w:r>
      <w:proofErr w:type="spellEnd"/>
      <w:r>
        <w:t xml:space="preserve"> accession number is </w:t>
      </w:r>
      <w:hyperlink r:id="rId14" w:history="1">
        <w:r w:rsidRPr="00E40BAA">
          <w:rPr>
            <w:rStyle w:val="Hyperlink"/>
          </w:rPr>
          <w:t>PRJNA671837</w:t>
        </w:r>
      </w:hyperlink>
      <w:r>
        <w:t xml:space="preserve">, and </w:t>
      </w:r>
      <w:r w:rsidR="00BC19E2">
        <w:t xml:space="preserve">the individual accession </w:t>
      </w:r>
      <w:r w:rsidR="00BC19E2" w:rsidRPr="008D29AC">
        <w:t>numbers are</w:t>
      </w:r>
      <w:r w:rsidR="007650E3" w:rsidRPr="008D29AC">
        <w:t xml:space="preserve"> </w:t>
      </w:r>
      <w:hyperlink r:id="rId15" w:history="1">
        <w:r w:rsidR="007650E3" w:rsidRPr="00AB5C01">
          <w:rPr>
            <w:rStyle w:val="Hyperlink"/>
            <w:rFonts w:eastAsia="Times New Roman"/>
            <w:lang w:eastAsia="en-GB"/>
          </w:rPr>
          <w:t>SAMN16552338</w:t>
        </w:r>
      </w:hyperlink>
      <w:r w:rsidR="007650E3" w:rsidRPr="00AB5C01">
        <w:rPr>
          <w:rFonts w:eastAsia="Times New Roman"/>
          <w:lang w:eastAsia="en-GB"/>
        </w:rPr>
        <w:t xml:space="preserve"> (A1636), </w:t>
      </w:r>
      <w:hyperlink r:id="rId16" w:history="1">
        <w:r w:rsidR="007650E3" w:rsidRPr="00AB5C01">
          <w:rPr>
            <w:rStyle w:val="Hyperlink"/>
            <w:rFonts w:eastAsia="Times New Roman"/>
            <w:lang w:eastAsia="en-GB"/>
          </w:rPr>
          <w:t>SAMN16552337</w:t>
        </w:r>
      </w:hyperlink>
      <w:r w:rsidR="007650E3" w:rsidRPr="00AB5C01">
        <w:rPr>
          <w:rFonts w:eastAsia="Times New Roman"/>
          <w:lang w:eastAsia="en-GB"/>
        </w:rPr>
        <w:t xml:space="preserve"> (CP255), </w:t>
      </w:r>
      <w:hyperlink r:id="rId17" w:history="1">
        <w:r w:rsidR="007650E3" w:rsidRPr="00AB5C01">
          <w:rPr>
            <w:rStyle w:val="Hyperlink"/>
            <w:rFonts w:eastAsia="Times New Roman"/>
            <w:lang w:eastAsia="en-GB"/>
          </w:rPr>
          <w:t>SAMN16552336</w:t>
        </w:r>
      </w:hyperlink>
      <w:r w:rsidR="007650E3" w:rsidRPr="00AB5C01">
        <w:rPr>
          <w:rFonts w:eastAsia="Times New Roman"/>
          <w:lang w:eastAsia="en-GB"/>
        </w:rPr>
        <w:t xml:space="preserve"> (D7795) and </w:t>
      </w:r>
      <w:hyperlink r:id="rId18" w:history="1">
        <w:r w:rsidR="007650E3" w:rsidRPr="00AB5C01">
          <w:rPr>
            <w:rStyle w:val="Hyperlink"/>
            <w:rFonts w:eastAsia="Times New Roman"/>
            <w:lang w:eastAsia="en-GB"/>
          </w:rPr>
          <w:t>SAMN16552335</w:t>
        </w:r>
      </w:hyperlink>
      <w:r w:rsidR="007650E3" w:rsidRPr="00AB5C01">
        <w:rPr>
          <w:rFonts w:eastAsia="Times New Roman"/>
          <w:lang w:eastAsia="en-GB"/>
        </w:rPr>
        <w:t xml:space="preserve"> (P125109).</w:t>
      </w:r>
      <w:r w:rsidR="00582171">
        <w:rPr>
          <w:rFonts w:eastAsia="Times New Roman"/>
          <w:lang w:eastAsia="en-GB"/>
        </w:rPr>
        <w:t xml:space="preserve"> The </w:t>
      </w:r>
      <w:proofErr w:type="spellStart"/>
      <w:r w:rsidR="000170A2">
        <w:rPr>
          <w:rFonts w:eastAsia="Times New Roman"/>
          <w:lang w:eastAsia="en-GB"/>
        </w:rPr>
        <w:t>Bacpipe</w:t>
      </w:r>
      <w:proofErr w:type="spellEnd"/>
      <w:r w:rsidR="000170A2">
        <w:rPr>
          <w:rFonts w:eastAsia="Times New Roman"/>
          <w:lang w:eastAsia="en-GB"/>
        </w:rPr>
        <w:t xml:space="preserve"> </w:t>
      </w:r>
      <w:r w:rsidR="00E91E0D">
        <w:rPr>
          <w:rFonts w:eastAsia="Times New Roman"/>
          <w:lang w:eastAsia="en-GB"/>
        </w:rPr>
        <w:t xml:space="preserve">annotation pipeline can be </w:t>
      </w:r>
      <w:r w:rsidR="008D233B">
        <w:rPr>
          <w:rFonts w:eastAsia="Times New Roman"/>
          <w:lang w:eastAsia="en-GB"/>
        </w:rPr>
        <w:t>accessed</w:t>
      </w:r>
      <w:r w:rsidR="00E91E0D">
        <w:rPr>
          <w:rFonts w:eastAsia="Times New Roman"/>
          <w:lang w:eastAsia="en-GB"/>
        </w:rPr>
        <w:t xml:space="preserve"> </w:t>
      </w:r>
      <w:r w:rsidR="00463ADE">
        <w:rPr>
          <w:rFonts w:eastAsia="Times New Roman"/>
          <w:lang w:eastAsia="en-GB"/>
        </w:rPr>
        <w:t xml:space="preserve">at </w:t>
      </w:r>
      <w:hyperlink r:id="rId19" w:history="1">
        <w:r w:rsidR="00E91E0D" w:rsidRPr="004E1744">
          <w:rPr>
            <w:rStyle w:val="Hyperlink"/>
            <w:rFonts w:eastAsia="Times New Roman"/>
            <w:lang w:val="en-US" w:eastAsia="en-GB"/>
          </w:rPr>
          <w:t>https://github.com/apredeus/multi-bacpipe</w:t>
        </w:r>
      </w:hyperlink>
      <w:r w:rsidR="00E91E0D">
        <w:rPr>
          <w:rStyle w:val="Hyperlink"/>
          <w:rFonts w:eastAsia="Times New Roman"/>
          <w:lang w:val="en-US" w:eastAsia="en-GB"/>
        </w:rPr>
        <w:t>.</w:t>
      </w:r>
    </w:p>
    <w:p w14:paraId="7F7F374D" w14:textId="73A6454D" w:rsidR="0096295D" w:rsidRDefault="0096295D" w:rsidP="001C0C0A">
      <w:pPr>
        <w:pStyle w:val="Heading1"/>
      </w:pPr>
      <w:r>
        <w:t>Acknowledgements</w:t>
      </w:r>
    </w:p>
    <w:p w14:paraId="4CBD99D3" w14:textId="11EE07D7" w:rsidR="001E6572" w:rsidRPr="001E6572" w:rsidRDefault="000E4184" w:rsidP="001E6572">
      <w:r w:rsidRPr="000E4184">
        <w:t>We are grateful to present and former members of</w:t>
      </w:r>
      <w:r>
        <w:t xml:space="preserve"> </w:t>
      </w:r>
      <w:r w:rsidRPr="000E4184">
        <w:t xml:space="preserve">the Hinton laboratory for helpful discussions, particularly </w:t>
      </w:r>
      <w:r w:rsidR="003C3444">
        <w:t>Roc</w:t>
      </w:r>
      <w:r w:rsidR="003C3444" w:rsidRPr="00765457">
        <w:t>í</w:t>
      </w:r>
      <w:r w:rsidR="003C3444">
        <w:t xml:space="preserve">o Canals and Siân Owen for their </w:t>
      </w:r>
      <w:r w:rsidRPr="000E4184">
        <w:t xml:space="preserve">expert </w:t>
      </w:r>
      <w:r w:rsidR="003C3444">
        <w:t xml:space="preserve">advice. </w:t>
      </w:r>
      <w:r w:rsidR="00E90D6D">
        <w:t xml:space="preserve">We are </w:t>
      </w:r>
      <w:r w:rsidR="008D29AC">
        <w:t>indebted</w:t>
      </w:r>
      <w:r w:rsidR="00E90D6D">
        <w:t xml:space="preserve"> to Paul Barrow for kindly sharing the </w:t>
      </w:r>
      <w:r w:rsidR="00E90D6D">
        <w:rPr>
          <w:i/>
        </w:rPr>
        <w:t xml:space="preserve">S. </w:t>
      </w:r>
      <w:r w:rsidR="00E90D6D">
        <w:t xml:space="preserve">Enteritidis P125109 strain. </w:t>
      </w:r>
      <w:r w:rsidR="001E6572">
        <w:t xml:space="preserve">This project was supported by the </w:t>
      </w:r>
      <w:r w:rsidR="001E6572" w:rsidRPr="00882028">
        <w:t>Wellcome Trust Senior Investigator Award (106914/Z/15/Z)</w:t>
      </w:r>
      <w:r w:rsidR="001E6572">
        <w:t xml:space="preserve"> to Jay C. D. Hinton.</w:t>
      </w:r>
      <w:r w:rsidR="00596CE6">
        <w:t xml:space="preserve"> The MLW bacteraemia service is funded by Wellcome Africa and Asia Programme Grant </w:t>
      </w:r>
      <w:r w:rsidR="00596CE6" w:rsidRPr="00596CE6">
        <w:t>206545/Z/17/Z</w:t>
      </w:r>
      <w:r w:rsidR="00596CE6">
        <w:t>.</w:t>
      </w:r>
    </w:p>
    <w:p w14:paraId="41960E6C" w14:textId="77777777" w:rsidR="00FB0238" w:rsidRDefault="00FB0238">
      <w:pPr>
        <w:spacing w:line="259" w:lineRule="auto"/>
        <w:rPr>
          <w:b/>
        </w:rPr>
      </w:pPr>
      <w:r>
        <w:br w:type="page"/>
      </w:r>
    </w:p>
    <w:p w14:paraId="7019924F" w14:textId="323F4DBD" w:rsidR="0096295D" w:rsidRDefault="0096295D" w:rsidP="001C0C0A">
      <w:pPr>
        <w:pStyle w:val="Heading1"/>
      </w:pPr>
      <w:r>
        <w:lastRenderedPageBreak/>
        <w:t>References</w:t>
      </w:r>
    </w:p>
    <w:p w14:paraId="50899E75" w14:textId="01B18099" w:rsidR="00C265D6" w:rsidRPr="00C265D6" w:rsidRDefault="00887788" w:rsidP="00C265D6">
      <w:pPr>
        <w:widowControl w:val="0"/>
        <w:autoSpaceDE w:val="0"/>
        <w:autoSpaceDN w:val="0"/>
        <w:adjustRightInd w:val="0"/>
        <w:ind w:left="640" w:hanging="640"/>
        <w:rPr>
          <w:noProof/>
          <w:szCs w:val="24"/>
        </w:rPr>
      </w:pPr>
      <w:r>
        <w:fldChar w:fldCharType="begin" w:fldLock="1"/>
      </w:r>
      <w:r>
        <w:instrText xml:space="preserve">ADDIN Mendeley Bibliography CSL_BIBLIOGRAPHY </w:instrText>
      </w:r>
      <w:r>
        <w:fldChar w:fldCharType="separate"/>
      </w:r>
      <w:r w:rsidR="00C265D6" w:rsidRPr="00C265D6">
        <w:rPr>
          <w:noProof/>
          <w:szCs w:val="24"/>
        </w:rPr>
        <w:t xml:space="preserve">1. </w:t>
      </w:r>
      <w:r w:rsidR="00C265D6" w:rsidRPr="00C265D6">
        <w:rPr>
          <w:noProof/>
          <w:szCs w:val="24"/>
        </w:rPr>
        <w:tab/>
        <w:t>Reddy EA, Shaw A V., Crump JA. 2010. Community-acquired bloodstream infections in Africa: a systematic review and meta-analysis. Lancet Infect Dis 10:417–432.</w:t>
      </w:r>
    </w:p>
    <w:p w14:paraId="4A90E1D1" w14:textId="77777777" w:rsidR="00C265D6" w:rsidRPr="00C265D6" w:rsidRDefault="00C265D6" w:rsidP="00C265D6">
      <w:pPr>
        <w:widowControl w:val="0"/>
        <w:autoSpaceDE w:val="0"/>
        <w:autoSpaceDN w:val="0"/>
        <w:adjustRightInd w:val="0"/>
        <w:ind w:left="640" w:hanging="640"/>
        <w:rPr>
          <w:noProof/>
          <w:szCs w:val="24"/>
        </w:rPr>
      </w:pPr>
      <w:r w:rsidRPr="00C265D6">
        <w:rPr>
          <w:noProof/>
          <w:szCs w:val="24"/>
        </w:rPr>
        <w:t xml:space="preserve">2. </w:t>
      </w:r>
      <w:r w:rsidRPr="00C265D6">
        <w:rPr>
          <w:noProof/>
          <w:szCs w:val="24"/>
        </w:rPr>
        <w:tab/>
        <w:t xml:space="preserve">Feasey NA, Masesa C, Jassi C, Faragher EB, Mallewa J, Mallewa M, Maclennan CA, Msefula C, Heyderman RS, Gordon MA. 2015. Three epidemics of invasive multidrug-resistant </w:t>
      </w:r>
      <w:r w:rsidRPr="00C265D6">
        <w:rPr>
          <w:i/>
          <w:iCs/>
          <w:noProof/>
          <w:szCs w:val="24"/>
        </w:rPr>
        <w:t>Salmonella</w:t>
      </w:r>
      <w:r w:rsidRPr="00C265D6">
        <w:rPr>
          <w:noProof/>
          <w:szCs w:val="24"/>
        </w:rPr>
        <w:t xml:space="preserve"> bloodstream infection in Blantyre, Malawi, 1998-2014. Clin Infect Dis 61:S363–S371.</w:t>
      </w:r>
    </w:p>
    <w:p w14:paraId="3333FDAC" w14:textId="77777777" w:rsidR="00C265D6" w:rsidRPr="00C265D6" w:rsidRDefault="00C265D6" w:rsidP="00C265D6">
      <w:pPr>
        <w:widowControl w:val="0"/>
        <w:autoSpaceDE w:val="0"/>
        <w:autoSpaceDN w:val="0"/>
        <w:adjustRightInd w:val="0"/>
        <w:ind w:left="640" w:hanging="640"/>
        <w:rPr>
          <w:noProof/>
          <w:szCs w:val="24"/>
        </w:rPr>
      </w:pPr>
      <w:r w:rsidRPr="00C265D6">
        <w:rPr>
          <w:noProof/>
          <w:szCs w:val="24"/>
        </w:rPr>
        <w:t xml:space="preserve">3. </w:t>
      </w:r>
      <w:r w:rsidRPr="00C265D6">
        <w:rPr>
          <w:noProof/>
          <w:szCs w:val="24"/>
        </w:rPr>
        <w:tab/>
        <w:t xml:space="preserve">Feasey NA, Hadfield J, Keddy KH, Dallman TJ, Jacobs J, Deng X, Wigley P, Barquist Barquist L, Langridge GC, Feltwell T, Harris SR, Mather AE, Fookes M, Aslett M, Msefula C, Kariuki S, Maclennan CA, Onsare RS, Weill F-X, Le Hello S, Smith AM, Mcclelland M, Desai P, Parry CM, Cheesbrough JS, French N, Campos J, Chabalgoity JA, Betancor L, Hopkins KL, Nair S, Humphrey TJ, Lunguya O, Cogan TA, Tapia MD, Sow SO, Tennant SM, Bornstein K, Levine MM, Lacharme-Lora L, Everett DB, Kingsley RA, Parkhill J, Heyderman RS, Dougan G, Gordon MA, Thomson NR, Barquist L, Gemma C, Hello S Le, Melita A. 2016. Distinct </w:t>
      </w:r>
      <w:r w:rsidRPr="00C265D6">
        <w:rPr>
          <w:i/>
          <w:iCs/>
          <w:noProof/>
          <w:szCs w:val="24"/>
        </w:rPr>
        <w:t>Salmonella</w:t>
      </w:r>
      <w:r w:rsidRPr="00C265D6">
        <w:rPr>
          <w:noProof/>
          <w:szCs w:val="24"/>
        </w:rPr>
        <w:t xml:space="preserve"> Enteritidis lineages associated with enterocolitis in high-income settings and invasive disease in low-income settings. Nat Genet 48:1211–7.</w:t>
      </w:r>
    </w:p>
    <w:p w14:paraId="6C9774CA" w14:textId="77777777" w:rsidR="00C265D6" w:rsidRPr="00C265D6" w:rsidRDefault="00C265D6" w:rsidP="00C265D6">
      <w:pPr>
        <w:widowControl w:val="0"/>
        <w:autoSpaceDE w:val="0"/>
        <w:autoSpaceDN w:val="0"/>
        <w:adjustRightInd w:val="0"/>
        <w:ind w:left="640" w:hanging="640"/>
        <w:rPr>
          <w:noProof/>
          <w:szCs w:val="24"/>
        </w:rPr>
      </w:pPr>
      <w:r w:rsidRPr="00C265D6">
        <w:rPr>
          <w:noProof/>
          <w:szCs w:val="24"/>
        </w:rPr>
        <w:t xml:space="preserve">4. </w:t>
      </w:r>
      <w:r w:rsidRPr="00C265D6">
        <w:rPr>
          <w:noProof/>
          <w:szCs w:val="24"/>
        </w:rPr>
        <w:tab/>
        <w:t xml:space="preserve">Uche IV, MacLennan CA, Saul A. 2017. A Systematic Review of the Incidence, Risk Factors and Case Fatality Rates of Invasive Nontyphoidal </w:t>
      </w:r>
      <w:r w:rsidRPr="00C265D6">
        <w:rPr>
          <w:i/>
          <w:iCs/>
          <w:noProof/>
          <w:szCs w:val="24"/>
        </w:rPr>
        <w:t>Salmonella</w:t>
      </w:r>
      <w:r w:rsidRPr="00C265D6">
        <w:rPr>
          <w:noProof/>
          <w:szCs w:val="24"/>
        </w:rPr>
        <w:t xml:space="preserve"> (iNTS) Disease in Africa (1966 to 2014). PLoS Negl Trop Dis 11:e0005118.</w:t>
      </w:r>
    </w:p>
    <w:p w14:paraId="09686A43" w14:textId="77777777" w:rsidR="00C265D6" w:rsidRPr="00C265D6" w:rsidRDefault="00C265D6" w:rsidP="00C265D6">
      <w:pPr>
        <w:widowControl w:val="0"/>
        <w:autoSpaceDE w:val="0"/>
        <w:autoSpaceDN w:val="0"/>
        <w:adjustRightInd w:val="0"/>
        <w:ind w:left="640" w:hanging="640"/>
        <w:rPr>
          <w:noProof/>
          <w:szCs w:val="24"/>
        </w:rPr>
      </w:pPr>
      <w:r w:rsidRPr="00C265D6">
        <w:rPr>
          <w:noProof/>
          <w:szCs w:val="24"/>
        </w:rPr>
        <w:t xml:space="preserve">5. </w:t>
      </w:r>
      <w:r w:rsidRPr="00C265D6">
        <w:rPr>
          <w:noProof/>
          <w:szCs w:val="24"/>
        </w:rPr>
        <w:tab/>
        <w:t xml:space="preserve">Green SDR, Cheesbrough JS. 1993. </w:t>
      </w:r>
      <w:r w:rsidRPr="00C265D6">
        <w:rPr>
          <w:i/>
          <w:iCs/>
          <w:noProof/>
          <w:szCs w:val="24"/>
        </w:rPr>
        <w:t>Salmonella</w:t>
      </w:r>
      <w:r w:rsidRPr="00C265D6">
        <w:rPr>
          <w:noProof/>
          <w:szCs w:val="24"/>
        </w:rPr>
        <w:t xml:space="preserve"> bacteraemia among young children at a rural hospital in western Zaire. Ann Trop Paediatr 13:45–53.</w:t>
      </w:r>
    </w:p>
    <w:p w14:paraId="05C15001" w14:textId="77777777" w:rsidR="00C265D6" w:rsidRPr="00C265D6" w:rsidRDefault="00C265D6" w:rsidP="00C265D6">
      <w:pPr>
        <w:widowControl w:val="0"/>
        <w:autoSpaceDE w:val="0"/>
        <w:autoSpaceDN w:val="0"/>
        <w:adjustRightInd w:val="0"/>
        <w:ind w:left="640" w:hanging="640"/>
        <w:rPr>
          <w:noProof/>
          <w:szCs w:val="24"/>
        </w:rPr>
      </w:pPr>
      <w:r w:rsidRPr="00C265D6">
        <w:rPr>
          <w:noProof/>
          <w:szCs w:val="24"/>
        </w:rPr>
        <w:t xml:space="preserve">6. </w:t>
      </w:r>
      <w:r w:rsidRPr="00C265D6">
        <w:rPr>
          <w:noProof/>
          <w:szCs w:val="24"/>
        </w:rPr>
        <w:tab/>
        <w:t xml:space="preserve">Cheesbrough JS, Taxman BC, Green SDR, Mewa FI, Numbi A. 1997. Clinical definition for invasive </w:t>
      </w:r>
      <w:r w:rsidRPr="00C265D6">
        <w:rPr>
          <w:i/>
          <w:iCs/>
          <w:noProof/>
          <w:szCs w:val="24"/>
        </w:rPr>
        <w:t>Salmonella</w:t>
      </w:r>
      <w:r w:rsidRPr="00C265D6">
        <w:rPr>
          <w:noProof/>
          <w:szCs w:val="24"/>
        </w:rPr>
        <w:t xml:space="preserve"> infection in African children. Pediatr Infect Dis J 16:277–283.</w:t>
      </w:r>
    </w:p>
    <w:p w14:paraId="6426EAA9" w14:textId="77777777" w:rsidR="00C265D6" w:rsidRPr="00C265D6" w:rsidRDefault="00C265D6" w:rsidP="00C265D6">
      <w:pPr>
        <w:widowControl w:val="0"/>
        <w:autoSpaceDE w:val="0"/>
        <w:autoSpaceDN w:val="0"/>
        <w:adjustRightInd w:val="0"/>
        <w:ind w:left="640" w:hanging="640"/>
        <w:rPr>
          <w:noProof/>
          <w:szCs w:val="24"/>
        </w:rPr>
      </w:pPr>
      <w:r w:rsidRPr="00C265D6">
        <w:rPr>
          <w:noProof/>
          <w:szCs w:val="24"/>
        </w:rPr>
        <w:t xml:space="preserve">7. </w:t>
      </w:r>
      <w:r w:rsidRPr="00C265D6">
        <w:rPr>
          <w:noProof/>
          <w:szCs w:val="24"/>
        </w:rPr>
        <w:tab/>
        <w:t xml:space="preserve">Thomson NR, Clayton DJ, Windhorst D, Vernikos G, Davidson S, Churcher C, Quail MA, Stevens M, Jones MA, Watson M, Barron A, Layton A, Pickard D, Kingsley RA, Bignell A, Clark L, Harris B, Ormond D, Abdellah Z, Brooks K, Cherevach I, Chillingworth T, Woodward J, Norberczak H, Lord A, Arrowsmith C, Jagels K, Moule S, Mungall K, Sanders M, Whitehead S, Chabalgoity JA, Maskell D, Humphrey T, Roberts M, Barrow PA, Dougan G, Parkhill J. 2008. Comparative genome analysis of </w:t>
      </w:r>
      <w:r w:rsidRPr="00C265D6">
        <w:rPr>
          <w:i/>
          <w:iCs/>
          <w:noProof/>
          <w:szCs w:val="24"/>
        </w:rPr>
        <w:t>Salmonella</w:t>
      </w:r>
      <w:r w:rsidRPr="00C265D6">
        <w:rPr>
          <w:noProof/>
          <w:szCs w:val="24"/>
        </w:rPr>
        <w:t xml:space="preserve"> Enteritidis PT4 and </w:t>
      </w:r>
      <w:r w:rsidRPr="00C265D6">
        <w:rPr>
          <w:i/>
          <w:iCs/>
          <w:noProof/>
          <w:szCs w:val="24"/>
        </w:rPr>
        <w:t>Salmonella</w:t>
      </w:r>
      <w:r w:rsidRPr="00C265D6">
        <w:rPr>
          <w:noProof/>
          <w:szCs w:val="24"/>
        </w:rPr>
        <w:t xml:space="preserve"> Gallinarum 287/91 provides insights into evolutionary and host adaptation pathways. Genome Res 18:1624–1637.</w:t>
      </w:r>
    </w:p>
    <w:p w14:paraId="44054D5B" w14:textId="77777777" w:rsidR="00C265D6" w:rsidRPr="00C265D6" w:rsidRDefault="00C265D6" w:rsidP="00C265D6">
      <w:pPr>
        <w:widowControl w:val="0"/>
        <w:autoSpaceDE w:val="0"/>
        <w:autoSpaceDN w:val="0"/>
        <w:adjustRightInd w:val="0"/>
        <w:ind w:left="640" w:hanging="640"/>
        <w:rPr>
          <w:noProof/>
          <w:szCs w:val="24"/>
        </w:rPr>
      </w:pPr>
      <w:r w:rsidRPr="00C265D6">
        <w:rPr>
          <w:noProof/>
          <w:szCs w:val="24"/>
        </w:rPr>
        <w:t xml:space="preserve">8. </w:t>
      </w:r>
      <w:r w:rsidRPr="00C265D6">
        <w:rPr>
          <w:noProof/>
          <w:szCs w:val="24"/>
        </w:rPr>
        <w:tab/>
        <w:t xml:space="preserve">Silva CA, Blondel CJ, Quezada CP, Porwollik S, Andrews-Polymenis HL, Toro CS, Zaldívar M, Contreras I, Mcclelland M, Santiviago CA. 2012. Infection of mice by </w:t>
      </w:r>
      <w:r w:rsidRPr="00C265D6">
        <w:rPr>
          <w:i/>
          <w:iCs/>
          <w:noProof/>
          <w:szCs w:val="24"/>
        </w:rPr>
        <w:t>Salmonella enterica</w:t>
      </w:r>
      <w:r w:rsidRPr="00C265D6">
        <w:rPr>
          <w:noProof/>
          <w:szCs w:val="24"/>
        </w:rPr>
        <w:t xml:space="preserve"> serovar Enteritidis involves additional genes that are absent in the genome of serovar Typhimurium. Infect Immun 80:839–849.</w:t>
      </w:r>
    </w:p>
    <w:p w14:paraId="1A756E7B" w14:textId="77777777" w:rsidR="00C265D6" w:rsidRPr="00C265D6" w:rsidRDefault="00C265D6" w:rsidP="00C265D6">
      <w:pPr>
        <w:widowControl w:val="0"/>
        <w:autoSpaceDE w:val="0"/>
        <w:autoSpaceDN w:val="0"/>
        <w:adjustRightInd w:val="0"/>
        <w:ind w:left="640" w:hanging="640"/>
        <w:rPr>
          <w:noProof/>
          <w:szCs w:val="24"/>
        </w:rPr>
      </w:pPr>
      <w:r w:rsidRPr="00C265D6">
        <w:rPr>
          <w:noProof/>
          <w:szCs w:val="24"/>
        </w:rPr>
        <w:t xml:space="preserve">9. </w:t>
      </w:r>
      <w:r w:rsidRPr="00C265D6">
        <w:rPr>
          <w:noProof/>
          <w:szCs w:val="24"/>
        </w:rPr>
        <w:tab/>
        <w:t xml:space="preserve">Barrow PA. 1991. Experimental infection of chickens with </w:t>
      </w:r>
      <w:r w:rsidRPr="00C265D6">
        <w:rPr>
          <w:i/>
          <w:iCs/>
          <w:noProof/>
          <w:szCs w:val="24"/>
        </w:rPr>
        <w:t>Salmonella</w:t>
      </w:r>
      <w:r w:rsidRPr="00C265D6">
        <w:rPr>
          <w:noProof/>
          <w:szCs w:val="24"/>
        </w:rPr>
        <w:t xml:space="preserve"> enteritidis. Avian Pathol 20:145–153.</w:t>
      </w:r>
    </w:p>
    <w:p w14:paraId="261C3708" w14:textId="77777777" w:rsidR="00C265D6" w:rsidRPr="00C265D6" w:rsidRDefault="00C265D6" w:rsidP="00C265D6">
      <w:pPr>
        <w:widowControl w:val="0"/>
        <w:autoSpaceDE w:val="0"/>
        <w:autoSpaceDN w:val="0"/>
        <w:adjustRightInd w:val="0"/>
        <w:ind w:left="640" w:hanging="640"/>
        <w:rPr>
          <w:noProof/>
          <w:szCs w:val="24"/>
        </w:rPr>
      </w:pPr>
      <w:r w:rsidRPr="00C265D6">
        <w:rPr>
          <w:noProof/>
          <w:szCs w:val="24"/>
        </w:rPr>
        <w:t xml:space="preserve">10. </w:t>
      </w:r>
      <w:r w:rsidRPr="00C265D6">
        <w:rPr>
          <w:noProof/>
          <w:szCs w:val="24"/>
        </w:rPr>
        <w:tab/>
        <w:t>Barrow PA, Lovell MA. 1991. Experimental infection of egg</w:t>
      </w:r>
      <w:r w:rsidRPr="00C265D6">
        <w:rPr>
          <w:rFonts w:ascii="Cambria Math" w:hAnsi="Cambria Math" w:cs="Cambria Math"/>
          <w:noProof/>
          <w:szCs w:val="24"/>
        </w:rPr>
        <w:t>‐</w:t>
      </w:r>
      <w:r w:rsidRPr="00C265D6">
        <w:rPr>
          <w:noProof/>
          <w:szCs w:val="24"/>
        </w:rPr>
        <w:t xml:space="preserve">laying hens with </w:t>
      </w:r>
      <w:r w:rsidRPr="00C265D6">
        <w:rPr>
          <w:i/>
          <w:iCs/>
          <w:noProof/>
          <w:szCs w:val="24"/>
        </w:rPr>
        <w:t>Salmonella</w:t>
      </w:r>
      <w:r w:rsidRPr="00C265D6">
        <w:rPr>
          <w:noProof/>
          <w:szCs w:val="24"/>
        </w:rPr>
        <w:t xml:space="preserve"> enteritidis phage type 4. Avian Pathol 20:335–348.</w:t>
      </w:r>
    </w:p>
    <w:p w14:paraId="2377F949" w14:textId="77777777" w:rsidR="00C265D6" w:rsidRPr="00C265D6" w:rsidRDefault="00C265D6" w:rsidP="00C265D6">
      <w:pPr>
        <w:widowControl w:val="0"/>
        <w:autoSpaceDE w:val="0"/>
        <w:autoSpaceDN w:val="0"/>
        <w:adjustRightInd w:val="0"/>
        <w:ind w:left="640" w:hanging="640"/>
        <w:rPr>
          <w:noProof/>
          <w:szCs w:val="24"/>
        </w:rPr>
      </w:pPr>
      <w:r w:rsidRPr="00C265D6">
        <w:rPr>
          <w:noProof/>
          <w:szCs w:val="24"/>
        </w:rPr>
        <w:t xml:space="preserve">11. </w:t>
      </w:r>
      <w:r w:rsidRPr="00C265D6">
        <w:rPr>
          <w:noProof/>
          <w:szCs w:val="24"/>
        </w:rPr>
        <w:tab/>
        <w:t>Perez-Sepulveda B, Heavens D, Pulford C, Predeus A, Low R, Webster H, Schudoma C, Rowe W, Lipscombe J, Watkins C, Kumwenda B, Shearer N, Costigan K, Baker K, Feasey NA, Hinton J, Hall N. 2020. An accessible, efficient and global approach for the large-scale sequencing of bacterial genomes. bioRxiv 2020.07.22.200840.</w:t>
      </w:r>
    </w:p>
    <w:p w14:paraId="4CA33505" w14:textId="77777777" w:rsidR="00C265D6" w:rsidRPr="00C265D6" w:rsidRDefault="00C265D6" w:rsidP="00C265D6">
      <w:pPr>
        <w:widowControl w:val="0"/>
        <w:autoSpaceDE w:val="0"/>
        <w:autoSpaceDN w:val="0"/>
        <w:adjustRightInd w:val="0"/>
        <w:ind w:left="640" w:hanging="640"/>
        <w:rPr>
          <w:noProof/>
          <w:szCs w:val="24"/>
        </w:rPr>
      </w:pPr>
      <w:r w:rsidRPr="00C265D6">
        <w:rPr>
          <w:noProof/>
          <w:szCs w:val="24"/>
        </w:rPr>
        <w:t xml:space="preserve">12. </w:t>
      </w:r>
      <w:r w:rsidRPr="00C265D6">
        <w:rPr>
          <w:noProof/>
          <w:szCs w:val="24"/>
        </w:rPr>
        <w:tab/>
        <w:t>Bolger AM, Lohse M, Usadel B. 2014. Trimmomatic: A flexible trimmer for Illumina sequence data. Bioinformatics 30:2114–2120.</w:t>
      </w:r>
    </w:p>
    <w:p w14:paraId="2C35CFF1" w14:textId="77777777" w:rsidR="00C265D6" w:rsidRPr="00C265D6" w:rsidRDefault="00C265D6" w:rsidP="00C265D6">
      <w:pPr>
        <w:widowControl w:val="0"/>
        <w:autoSpaceDE w:val="0"/>
        <w:autoSpaceDN w:val="0"/>
        <w:adjustRightInd w:val="0"/>
        <w:ind w:left="640" w:hanging="640"/>
        <w:rPr>
          <w:noProof/>
          <w:szCs w:val="24"/>
        </w:rPr>
      </w:pPr>
      <w:r w:rsidRPr="00C265D6">
        <w:rPr>
          <w:noProof/>
          <w:szCs w:val="24"/>
        </w:rPr>
        <w:t xml:space="preserve">13. </w:t>
      </w:r>
      <w:r w:rsidRPr="00C265D6">
        <w:rPr>
          <w:noProof/>
          <w:szCs w:val="24"/>
        </w:rPr>
        <w:tab/>
        <w:t>Wick RR, Judd LM, Gorrie CL, Holt KE. 2017. Unicycler: Resolving bacterial genome assemblies from short and long sequencing reads. PLoS Comput Biol 13:e1005595.</w:t>
      </w:r>
    </w:p>
    <w:p w14:paraId="27772333" w14:textId="77777777" w:rsidR="00C265D6" w:rsidRPr="00C265D6" w:rsidRDefault="00C265D6" w:rsidP="00C265D6">
      <w:pPr>
        <w:widowControl w:val="0"/>
        <w:autoSpaceDE w:val="0"/>
        <w:autoSpaceDN w:val="0"/>
        <w:adjustRightInd w:val="0"/>
        <w:ind w:left="640" w:hanging="640"/>
        <w:rPr>
          <w:noProof/>
          <w:szCs w:val="24"/>
        </w:rPr>
      </w:pPr>
      <w:r w:rsidRPr="00C265D6">
        <w:rPr>
          <w:noProof/>
          <w:szCs w:val="24"/>
        </w:rPr>
        <w:t xml:space="preserve">14. </w:t>
      </w:r>
      <w:r w:rsidRPr="00C265D6">
        <w:rPr>
          <w:noProof/>
          <w:szCs w:val="24"/>
        </w:rPr>
        <w:tab/>
        <w:t>Seemann T. 2014. Prokka: rapid prokaryotic genome annotation. Bioinformat</w:t>
      </w:r>
      <w:bookmarkStart w:id="10" w:name="_GoBack"/>
      <w:bookmarkEnd w:id="10"/>
      <w:r w:rsidRPr="00C265D6">
        <w:rPr>
          <w:noProof/>
          <w:szCs w:val="24"/>
        </w:rPr>
        <w:t>ics 30:2068–2069.</w:t>
      </w:r>
    </w:p>
    <w:p w14:paraId="208E1C6B" w14:textId="77777777" w:rsidR="00C265D6" w:rsidRPr="00C265D6" w:rsidRDefault="00C265D6" w:rsidP="00C265D6">
      <w:pPr>
        <w:widowControl w:val="0"/>
        <w:autoSpaceDE w:val="0"/>
        <w:autoSpaceDN w:val="0"/>
        <w:adjustRightInd w:val="0"/>
        <w:ind w:left="640" w:hanging="640"/>
        <w:rPr>
          <w:noProof/>
          <w:szCs w:val="24"/>
        </w:rPr>
      </w:pPr>
      <w:r w:rsidRPr="00C265D6">
        <w:rPr>
          <w:noProof/>
          <w:szCs w:val="24"/>
        </w:rPr>
        <w:t xml:space="preserve">15. </w:t>
      </w:r>
      <w:r w:rsidRPr="00C265D6">
        <w:rPr>
          <w:noProof/>
          <w:szCs w:val="24"/>
        </w:rPr>
        <w:tab/>
        <w:t>Tatusova T, Dicuccio M, Badretdin A, Chetvernin V, Nawrocki EP, Zaslavsky L, Lomsadze A, Pruitt KD, Borodovsky M, Ostell J. 2016. NCBI prokaryotic genome annotation pipeline. Nucleic Acids Res 44:6614–6624.</w:t>
      </w:r>
    </w:p>
    <w:p w14:paraId="06E4F3E4" w14:textId="77777777" w:rsidR="00C265D6" w:rsidRPr="00C265D6" w:rsidRDefault="00C265D6" w:rsidP="00C265D6">
      <w:pPr>
        <w:widowControl w:val="0"/>
        <w:autoSpaceDE w:val="0"/>
        <w:autoSpaceDN w:val="0"/>
        <w:adjustRightInd w:val="0"/>
        <w:ind w:left="640" w:hanging="640"/>
        <w:rPr>
          <w:noProof/>
          <w:szCs w:val="24"/>
        </w:rPr>
      </w:pPr>
      <w:r w:rsidRPr="00C265D6">
        <w:rPr>
          <w:noProof/>
          <w:szCs w:val="24"/>
        </w:rPr>
        <w:t xml:space="preserve">16. </w:t>
      </w:r>
      <w:r w:rsidRPr="00C265D6">
        <w:rPr>
          <w:noProof/>
          <w:szCs w:val="24"/>
        </w:rPr>
        <w:tab/>
        <w:t xml:space="preserve">Kröger C, Dillon SCDCDC, Cameron ADS, Papenfort K, Sivasankaran SK, Hokamp K, Chao Y, Sittka A, Hebrard M, Handler K, Colgan AM, Leekitcharoenphon P, Langridge GC, Lohan AJ, Loftus B, Lucchini S, Ussery DW, Dorman CJ, Thomson NR, Vogel J, Hinton JCD. 2012. The transcriptional landscape and small RNAs of </w:t>
      </w:r>
      <w:r w:rsidRPr="00C265D6">
        <w:rPr>
          <w:i/>
          <w:iCs/>
          <w:noProof/>
          <w:szCs w:val="24"/>
        </w:rPr>
        <w:t>Salmonella enterica</w:t>
      </w:r>
      <w:r w:rsidRPr="00C265D6">
        <w:rPr>
          <w:noProof/>
          <w:szCs w:val="24"/>
        </w:rPr>
        <w:t xml:space="preserve"> serovar Typhimurium. Proc Natl Acad Sci 109:E1277–E1286.</w:t>
      </w:r>
    </w:p>
    <w:p w14:paraId="186D1C17" w14:textId="77777777" w:rsidR="00C265D6" w:rsidRPr="00C265D6" w:rsidRDefault="00C265D6" w:rsidP="00C265D6">
      <w:pPr>
        <w:widowControl w:val="0"/>
        <w:autoSpaceDE w:val="0"/>
        <w:autoSpaceDN w:val="0"/>
        <w:adjustRightInd w:val="0"/>
        <w:ind w:left="640" w:hanging="640"/>
        <w:rPr>
          <w:noProof/>
        </w:rPr>
      </w:pPr>
      <w:r w:rsidRPr="00C265D6">
        <w:rPr>
          <w:noProof/>
          <w:szCs w:val="24"/>
        </w:rPr>
        <w:t xml:space="preserve">17. </w:t>
      </w:r>
      <w:r w:rsidRPr="00C265D6">
        <w:rPr>
          <w:noProof/>
          <w:szCs w:val="24"/>
        </w:rPr>
        <w:tab/>
        <w:t>Jørgensen TS, Xu Z, Hansen MA, Sørensen SJ, Hansen LH. 2014. Hundreds of Circular Novel Plasmids and DNA Elements Identified in a Rat Cecum Metamobilome. PLoS One 9:e87924.</w:t>
      </w:r>
    </w:p>
    <w:p w14:paraId="0CB39739" w14:textId="77777777" w:rsidR="00F066E6" w:rsidRDefault="00887788" w:rsidP="00FB1BED">
      <w:pPr>
        <w:widowControl w:val="0"/>
        <w:autoSpaceDE w:val="0"/>
        <w:autoSpaceDN w:val="0"/>
        <w:adjustRightInd w:val="0"/>
        <w:ind w:left="640" w:hanging="640"/>
        <w:sectPr w:rsidR="00F066E6" w:rsidSect="00455EF2">
          <w:headerReference w:type="default" r:id="rId20"/>
          <w:pgSz w:w="11906" w:h="16838"/>
          <w:pgMar w:top="1440" w:right="1440" w:bottom="1440" w:left="1440" w:header="708" w:footer="708" w:gutter="0"/>
          <w:lnNumType w:countBy="1" w:restart="continuous"/>
          <w:cols w:space="708"/>
          <w:docGrid w:linePitch="360"/>
        </w:sectPr>
      </w:pPr>
      <w:r>
        <w:fldChar w:fldCharType="end"/>
      </w:r>
    </w:p>
    <w:p w14:paraId="0B1AD8FB" w14:textId="490579B6" w:rsidR="00F066E6" w:rsidRDefault="00F066E6" w:rsidP="00D26071">
      <w:pPr>
        <w:spacing w:line="360" w:lineRule="auto"/>
        <w:ind w:right="-1"/>
        <w:jc w:val="both"/>
        <w:rPr>
          <w:rFonts w:eastAsia="Times New Roman"/>
          <w:b/>
          <w:lang w:eastAsia="en-GB"/>
        </w:rPr>
      </w:pPr>
      <w:r w:rsidRPr="00DF0B14">
        <w:rPr>
          <w:rFonts w:eastAsia="Times New Roman"/>
          <w:b/>
          <w:lang w:eastAsia="en-GB"/>
        </w:rPr>
        <w:lastRenderedPageBreak/>
        <w:t>Table 1:</w:t>
      </w:r>
      <w:r w:rsidR="002A5819">
        <w:rPr>
          <w:rFonts w:eastAsia="Times New Roman"/>
          <w:b/>
          <w:lang w:eastAsia="en-GB"/>
        </w:rPr>
        <w:t xml:space="preserve"> </w:t>
      </w:r>
      <w:r w:rsidR="002A5819" w:rsidRPr="002A5819">
        <w:rPr>
          <w:rFonts w:eastAsia="Times New Roman"/>
          <w:b/>
          <w:lang w:eastAsia="en-GB"/>
        </w:rPr>
        <w:t xml:space="preserve">Characteristics and accession numbers of </w:t>
      </w:r>
      <w:r w:rsidR="00D26071">
        <w:rPr>
          <w:rFonts w:eastAsia="Times New Roman"/>
          <w:b/>
          <w:lang w:eastAsia="en-GB"/>
        </w:rPr>
        <w:t xml:space="preserve">genomes of </w:t>
      </w:r>
      <w:r w:rsidR="000170A2">
        <w:rPr>
          <w:rFonts w:eastAsia="Times New Roman"/>
          <w:b/>
          <w:lang w:eastAsia="en-GB"/>
        </w:rPr>
        <w:t xml:space="preserve">four </w:t>
      </w:r>
      <w:r w:rsidR="002A5819">
        <w:rPr>
          <w:rFonts w:eastAsia="Times New Roman"/>
          <w:b/>
          <w:i/>
          <w:lang w:eastAsia="en-GB"/>
        </w:rPr>
        <w:t xml:space="preserve">S. </w:t>
      </w:r>
      <w:r w:rsidR="002A5819">
        <w:rPr>
          <w:rFonts w:eastAsia="Times New Roman"/>
          <w:b/>
          <w:lang w:eastAsia="en-GB"/>
        </w:rPr>
        <w:t xml:space="preserve">Enteritidis </w:t>
      </w:r>
      <w:r w:rsidR="00D26071">
        <w:rPr>
          <w:rFonts w:eastAsia="Times New Roman"/>
          <w:b/>
          <w:lang w:eastAsia="en-GB"/>
        </w:rPr>
        <w:t>isolates</w:t>
      </w:r>
    </w:p>
    <w:tbl>
      <w:tblPr>
        <w:tblW w:w="15735" w:type="dxa"/>
        <w:tblInd w:w="-284" w:type="dxa"/>
        <w:tblLayout w:type="fixed"/>
        <w:tblLook w:val="04A0" w:firstRow="1" w:lastRow="0" w:firstColumn="1" w:lastColumn="0" w:noHBand="0" w:noVBand="1"/>
      </w:tblPr>
      <w:tblGrid>
        <w:gridCol w:w="993"/>
        <w:gridCol w:w="709"/>
        <w:gridCol w:w="1701"/>
        <w:gridCol w:w="1430"/>
        <w:gridCol w:w="1122"/>
        <w:gridCol w:w="992"/>
        <w:gridCol w:w="992"/>
        <w:gridCol w:w="850"/>
        <w:gridCol w:w="851"/>
        <w:gridCol w:w="1134"/>
        <w:gridCol w:w="709"/>
        <w:gridCol w:w="1257"/>
        <w:gridCol w:w="1152"/>
        <w:gridCol w:w="993"/>
        <w:gridCol w:w="850"/>
      </w:tblGrid>
      <w:tr w:rsidR="00D72B23" w:rsidRPr="004C002E" w14:paraId="7F1DBAA7" w14:textId="77777777" w:rsidTr="00D72B23">
        <w:trPr>
          <w:trHeight w:val="644"/>
        </w:trPr>
        <w:tc>
          <w:tcPr>
            <w:tcW w:w="993" w:type="dxa"/>
            <w:tcBorders>
              <w:top w:val="single" w:sz="4" w:space="0" w:color="auto"/>
              <w:bottom w:val="single" w:sz="4" w:space="0" w:color="auto"/>
            </w:tcBorders>
            <w:vAlign w:val="bottom"/>
            <w:hideMark/>
          </w:tcPr>
          <w:p w14:paraId="58CE0588" w14:textId="0C178A2E" w:rsidR="00E84481" w:rsidRPr="004C002E" w:rsidRDefault="00E84481" w:rsidP="00840350">
            <w:pPr>
              <w:spacing w:after="0" w:line="240" w:lineRule="auto"/>
              <w:rPr>
                <w:rFonts w:eastAsia="Times New Roman"/>
                <w:color w:val="000000"/>
                <w:sz w:val="18"/>
                <w:szCs w:val="18"/>
                <w:lang w:eastAsia="en-GB"/>
              </w:rPr>
            </w:pPr>
            <w:r w:rsidRPr="004C002E">
              <w:rPr>
                <w:rFonts w:eastAsia="Times New Roman"/>
                <w:color w:val="000000"/>
                <w:sz w:val="18"/>
                <w:szCs w:val="18"/>
                <w:lang w:eastAsia="en-GB"/>
              </w:rPr>
              <w:t>Isolate</w:t>
            </w:r>
          </w:p>
        </w:tc>
        <w:tc>
          <w:tcPr>
            <w:tcW w:w="709" w:type="dxa"/>
            <w:tcBorders>
              <w:top w:val="single" w:sz="4" w:space="0" w:color="auto"/>
              <w:bottom w:val="single" w:sz="4" w:space="0" w:color="auto"/>
            </w:tcBorders>
            <w:vAlign w:val="bottom"/>
          </w:tcPr>
          <w:p w14:paraId="2DED976D" w14:textId="51A409D7" w:rsidR="00E84481" w:rsidRPr="004C002E" w:rsidRDefault="00E84481" w:rsidP="00840350">
            <w:pPr>
              <w:spacing w:after="0" w:line="240" w:lineRule="auto"/>
              <w:rPr>
                <w:rFonts w:eastAsia="Times New Roman"/>
                <w:color w:val="000000"/>
                <w:sz w:val="18"/>
                <w:szCs w:val="18"/>
                <w:lang w:eastAsia="en-GB"/>
              </w:rPr>
            </w:pPr>
            <w:r w:rsidRPr="004C002E">
              <w:rPr>
                <w:rFonts w:eastAsia="Times New Roman"/>
                <w:color w:val="000000"/>
                <w:sz w:val="18"/>
                <w:szCs w:val="18"/>
                <w:lang w:eastAsia="en-GB"/>
              </w:rPr>
              <w:t xml:space="preserve">Year </w:t>
            </w:r>
          </w:p>
        </w:tc>
        <w:tc>
          <w:tcPr>
            <w:tcW w:w="1701" w:type="dxa"/>
            <w:tcBorders>
              <w:top w:val="single" w:sz="4" w:space="0" w:color="auto"/>
              <w:bottom w:val="single" w:sz="4" w:space="0" w:color="auto"/>
            </w:tcBorders>
            <w:vAlign w:val="bottom"/>
            <w:hideMark/>
          </w:tcPr>
          <w:p w14:paraId="72B71CE0" w14:textId="7C60F03F" w:rsidR="00E84481" w:rsidRPr="004C002E" w:rsidRDefault="00E84481" w:rsidP="00840350">
            <w:pPr>
              <w:spacing w:after="0" w:line="240" w:lineRule="auto"/>
              <w:rPr>
                <w:rFonts w:eastAsia="Times New Roman"/>
                <w:color w:val="000000"/>
                <w:sz w:val="18"/>
                <w:szCs w:val="18"/>
                <w:lang w:eastAsia="en-GB"/>
              </w:rPr>
            </w:pPr>
            <w:r w:rsidRPr="004C002E">
              <w:rPr>
                <w:rFonts w:eastAsia="Times New Roman"/>
                <w:color w:val="000000"/>
                <w:sz w:val="18"/>
                <w:szCs w:val="18"/>
                <w:lang w:eastAsia="en-GB"/>
              </w:rPr>
              <w:t>Assembly accession no.</w:t>
            </w:r>
          </w:p>
        </w:tc>
        <w:tc>
          <w:tcPr>
            <w:tcW w:w="1430" w:type="dxa"/>
            <w:tcBorders>
              <w:top w:val="single" w:sz="4" w:space="0" w:color="auto"/>
              <w:bottom w:val="single" w:sz="4" w:space="0" w:color="auto"/>
            </w:tcBorders>
            <w:vAlign w:val="bottom"/>
            <w:hideMark/>
          </w:tcPr>
          <w:p w14:paraId="75DBC1D8" w14:textId="31671ADB" w:rsidR="00E84481" w:rsidRPr="004C002E" w:rsidRDefault="00E84481" w:rsidP="00840350">
            <w:pPr>
              <w:spacing w:after="0" w:line="240" w:lineRule="auto"/>
              <w:rPr>
                <w:rFonts w:eastAsia="Times New Roman"/>
                <w:color w:val="000000"/>
                <w:sz w:val="18"/>
                <w:szCs w:val="18"/>
                <w:lang w:eastAsia="en-GB"/>
              </w:rPr>
            </w:pPr>
            <w:r w:rsidRPr="004C002E">
              <w:rPr>
                <w:rFonts w:eastAsia="Times New Roman"/>
                <w:color w:val="000000"/>
                <w:sz w:val="18"/>
                <w:szCs w:val="18"/>
                <w:lang w:eastAsia="en-GB"/>
              </w:rPr>
              <w:t xml:space="preserve">Raw reads accession </w:t>
            </w:r>
            <w:proofErr w:type="spellStart"/>
            <w:proofErr w:type="gramStart"/>
            <w:r w:rsidRPr="004C002E">
              <w:rPr>
                <w:rFonts w:eastAsia="Times New Roman"/>
                <w:color w:val="000000"/>
                <w:sz w:val="18"/>
                <w:szCs w:val="18"/>
                <w:lang w:eastAsia="en-GB"/>
              </w:rPr>
              <w:t>no.</w:t>
            </w:r>
            <w:r w:rsidRPr="004C002E">
              <w:rPr>
                <w:rFonts w:eastAsia="Times New Roman"/>
                <w:color w:val="000000"/>
                <w:sz w:val="18"/>
                <w:szCs w:val="18"/>
                <w:vertAlign w:val="superscript"/>
                <w:lang w:eastAsia="en-GB"/>
              </w:rPr>
              <w:t>a</w:t>
            </w:r>
            <w:proofErr w:type="spellEnd"/>
            <w:proofErr w:type="gramEnd"/>
          </w:p>
        </w:tc>
        <w:tc>
          <w:tcPr>
            <w:tcW w:w="1122" w:type="dxa"/>
            <w:tcBorders>
              <w:top w:val="single" w:sz="4" w:space="0" w:color="auto"/>
              <w:bottom w:val="single" w:sz="4" w:space="0" w:color="auto"/>
            </w:tcBorders>
            <w:shd w:val="clear" w:color="auto" w:fill="auto"/>
            <w:vAlign w:val="bottom"/>
            <w:hideMark/>
          </w:tcPr>
          <w:p w14:paraId="5300EA1F" w14:textId="7CAAC2F5" w:rsidR="00E84481" w:rsidRPr="004C002E" w:rsidRDefault="00E84481" w:rsidP="00840350">
            <w:pPr>
              <w:spacing w:after="0" w:line="240" w:lineRule="auto"/>
              <w:jc w:val="center"/>
              <w:rPr>
                <w:rFonts w:eastAsia="Times New Roman"/>
                <w:color w:val="000000"/>
                <w:sz w:val="18"/>
                <w:szCs w:val="18"/>
                <w:lang w:eastAsia="en-GB"/>
              </w:rPr>
            </w:pPr>
            <w:r w:rsidRPr="004C002E">
              <w:rPr>
                <w:rFonts w:eastAsia="Times New Roman"/>
                <w:color w:val="000000"/>
                <w:sz w:val="18"/>
                <w:szCs w:val="18"/>
                <w:lang w:eastAsia="en-GB"/>
              </w:rPr>
              <w:t>No. reads</w:t>
            </w:r>
          </w:p>
          <w:p w14:paraId="0AA88112" w14:textId="66FEAB5D" w:rsidR="00E84481" w:rsidRPr="004C002E" w:rsidRDefault="00E84481" w:rsidP="00840350">
            <w:pPr>
              <w:spacing w:after="0" w:line="240" w:lineRule="auto"/>
              <w:jc w:val="center"/>
              <w:rPr>
                <w:rFonts w:eastAsia="Times New Roman"/>
                <w:color w:val="000000"/>
                <w:sz w:val="18"/>
                <w:szCs w:val="18"/>
                <w:lang w:eastAsia="en-GB"/>
              </w:rPr>
            </w:pPr>
            <w:r w:rsidRPr="004C002E">
              <w:rPr>
                <w:rFonts w:eastAsia="Times New Roman"/>
                <w:color w:val="000000"/>
                <w:sz w:val="18"/>
                <w:szCs w:val="18"/>
                <w:lang w:eastAsia="en-GB"/>
              </w:rPr>
              <w:t>Illumina (2x250 bp)</w:t>
            </w:r>
          </w:p>
        </w:tc>
        <w:tc>
          <w:tcPr>
            <w:tcW w:w="992" w:type="dxa"/>
            <w:tcBorders>
              <w:top w:val="single" w:sz="4" w:space="0" w:color="auto"/>
              <w:bottom w:val="single" w:sz="4" w:space="0" w:color="auto"/>
            </w:tcBorders>
            <w:vAlign w:val="bottom"/>
          </w:tcPr>
          <w:p w14:paraId="701EB801" w14:textId="35E682A2" w:rsidR="00E84481" w:rsidRPr="004C002E" w:rsidRDefault="00E84481" w:rsidP="00463ADE">
            <w:pPr>
              <w:spacing w:after="0" w:line="240" w:lineRule="auto"/>
              <w:jc w:val="center"/>
              <w:rPr>
                <w:rFonts w:eastAsia="Times New Roman"/>
                <w:color w:val="000000"/>
                <w:sz w:val="18"/>
                <w:szCs w:val="18"/>
                <w:lang w:eastAsia="en-GB"/>
              </w:rPr>
            </w:pPr>
            <w:r w:rsidRPr="00765457">
              <w:rPr>
                <w:rFonts w:eastAsia="Times New Roman"/>
                <w:color w:val="000000"/>
                <w:sz w:val="18"/>
                <w:szCs w:val="18"/>
                <w:lang w:eastAsia="en-GB"/>
              </w:rPr>
              <w:t xml:space="preserve">Illumina </w:t>
            </w:r>
            <w:r w:rsidR="00765457" w:rsidRPr="00765457">
              <w:rPr>
                <w:rFonts w:eastAsia="Times New Roman"/>
                <w:color w:val="000000"/>
                <w:sz w:val="18"/>
                <w:szCs w:val="18"/>
                <w:lang w:eastAsia="en-GB"/>
              </w:rPr>
              <w:t>coverage</w:t>
            </w:r>
          </w:p>
        </w:tc>
        <w:tc>
          <w:tcPr>
            <w:tcW w:w="992" w:type="dxa"/>
            <w:tcBorders>
              <w:top w:val="single" w:sz="4" w:space="0" w:color="auto"/>
              <w:bottom w:val="single" w:sz="4" w:space="0" w:color="auto"/>
            </w:tcBorders>
            <w:shd w:val="clear" w:color="auto" w:fill="auto"/>
            <w:vAlign w:val="bottom"/>
            <w:hideMark/>
          </w:tcPr>
          <w:p w14:paraId="6E2E263A" w14:textId="7DC455DB" w:rsidR="00E84481" w:rsidRPr="004C002E" w:rsidRDefault="00E84481" w:rsidP="00463ADE">
            <w:pPr>
              <w:spacing w:after="0" w:line="240" w:lineRule="auto"/>
              <w:jc w:val="center"/>
              <w:rPr>
                <w:rFonts w:eastAsia="Times New Roman"/>
                <w:color w:val="000000"/>
                <w:sz w:val="18"/>
                <w:szCs w:val="18"/>
                <w:lang w:eastAsia="en-GB"/>
              </w:rPr>
            </w:pPr>
            <w:r w:rsidRPr="004C002E">
              <w:rPr>
                <w:rFonts w:eastAsia="Times New Roman"/>
                <w:color w:val="000000"/>
                <w:sz w:val="18"/>
                <w:szCs w:val="18"/>
                <w:lang w:eastAsia="en-GB"/>
              </w:rPr>
              <w:t>No. reads</w:t>
            </w:r>
          </w:p>
          <w:p w14:paraId="7D6C3DEB" w14:textId="6A44D862" w:rsidR="00E84481" w:rsidRPr="004C002E" w:rsidRDefault="00E84481" w:rsidP="00463ADE">
            <w:pPr>
              <w:spacing w:after="0" w:line="240" w:lineRule="auto"/>
              <w:jc w:val="center"/>
              <w:rPr>
                <w:rFonts w:eastAsia="Times New Roman"/>
                <w:color w:val="000000"/>
                <w:sz w:val="18"/>
                <w:szCs w:val="18"/>
                <w:lang w:eastAsia="en-GB"/>
              </w:rPr>
            </w:pPr>
            <w:r w:rsidRPr="004C002E">
              <w:rPr>
                <w:rFonts w:eastAsia="Times New Roman"/>
                <w:color w:val="000000"/>
                <w:sz w:val="18"/>
                <w:szCs w:val="18"/>
                <w:lang w:eastAsia="en-GB"/>
              </w:rPr>
              <w:t>PacBio</w:t>
            </w:r>
          </w:p>
        </w:tc>
        <w:tc>
          <w:tcPr>
            <w:tcW w:w="850" w:type="dxa"/>
            <w:tcBorders>
              <w:top w:val="single" w:sz="4" w:space="0" w:color="auto"/>
              <w:bottom w:val="single" w:sz="4" w:space="0" w:color="auto"/>
            </w:tcBorders>
            <w:vAlign w:val="bottom"/>
          </w:tcPr>
          <w:p w14:paraId="0E83CDC2" w14:textId="35877F5D" w:rsidR="00E84481" w:rsidRPr="004C002E" w:rsidRDefault="00E84481" w:rsidP="00D72B23">
            <w:pPr>
              <w:spacing w:after="0" w:line="240" w:lineRule="auto"/>
              <w:jc w:val="center"/>
              <w:rPr>
                <w:rFonts w:eastAsia="Times New Roman"/>
                <w:color w:val="000000"/>
                <w:sz w:val="18"/>
                <w:szCs w:val="18"/>
                <w:lang w:eastAsia="en-GB"/>
              </w:rPr>
            </w:pPr>
            <w:r w:rsidRPr="008E4C95">
              <w:rPr>
                <w:rFonts w:eastAsia="Times New Roman"/>
                <w:color w:val="000000"/>
                <w:sz w:val="18"/>
                <w:szCs w:val="18"/>
                <w:lang w:eastAsia="en-GB"/>
              </w:rPr>
              <w:t>N</w:t>
            </w:r>
            <w:r w:rsidRPr="008E4C95">
              <w:rPr>
                <w:rFonts w:eastAsia="Times New Roman"/>
                <w:color w:val="000000"/>
                <w:sz w:val="18"/>
                <w:szCs w:val="18"/>
                <w:vertAlign w:val="subscript"/>
                <w:lang w:eastAsia="en-GB"/>
              </w:rPr>
              <w:t>50</w:t>
            </w:r>
            <w:r w:rsidRPr="008E4C95">
              <w:rPr>
                <w:rFonts w:eastAsia="Times New Roman"/>
                <w:color w:val="000000"/>
                <w:sz w:val="18"/>
                <w:szCs w:val="18"/>
                <w:lang w:eastAsia="en-GB"/>
              </w:rPr>
              <w:t xml:space="preserve"> PacBio reads</w:t>
            </w:r>
          </w:p>
        </w:tc>
        <w:tc>
          <w:tcPr>
            <w:tcW w:w="851" w:type="dxa"/>
            <w:tcBorders>
              <w:top w:val="single" w:sz="4" w:space="0" w:color="auto"/>
              <w:bottom w:val="single" w:sz="4" w:space="0" w:color="auto"/>
            </w:tcBorders>
            <w:vAlign w:val="bottom"/>
            <w:hideMark/>
          </w:tcPr>
          <w:p w14:paraId="3C904AEB" w14:textId="787A7FBF" w:rsidR="00E84481" w:rsidRPr="004C002E" w:rsidRDefault="00E84481" w:rsidP="00840350">
            <w:pPr>
              <w:spacing w:after="0" w:line="240" w:lineRule="auto"/>
              <w:jc w:val="center"/>
              <w:rPr>
                <w:rFonts w:eastAsia="Times New Roman"/>
                <w:color w:val="000000"/>
                <w:sz w:val="18"/>
                <w:szCs w:val="18"/>
                <w:lang w:eastAsia="en-GB"/>
              </w:rPr>
            </w:pPr>
            <w:r w:rsidRPr="004C002E">
              <w:rPr>
                <w:rFonts w:eastAsia="Times New Roman"/>
                <w:color w:val="000000"/>
                <w:sz w:val="18"/>
                <w:szCs w:val="18"/>
                <w:lang w:eastAsia="en-GB"/>
              </w:rPr>
              <w:t>G+C content</w:t>
            </w:r>
          </w:p>
        </w:tc>
        <w:tc>
          <w:tcPr>
            <w:tcW w:w="1134" w:type="dxa"/>
            <w:tcBorders>
              <w:top w:val="single" w:sz="4" w:space="0" w:color="auto"/>
              <w:bottom w:val="single" w:sz="4" w:space="0" w:color="auto"/>
            </w:tcBorders>
            <w:vAlign w:val="bottom"/>
            <w:hideMark/>
          </w:tcPr>
          <w:p w14:paraId="69B21CA1" w14:textId="326A2C3C" w:rsidR="00E84481" w:rsidRPr="00D72B23" w:rsidRDefault="00E84481" w:rsidP="00463ADE">
            <w:pPr>
              <w:spacing w:after="0" w:line="240" w:lineRule="auto"/>
              <w:jc w:val="center"/>
              <w:rPr>
                <w:rFonts w:eastAsia="Times New Roman"/>
                <w:color w:val="000000"/>
                <w:sz w:val="18"/>
                <w:szCs w:val="18"/>
                <w:lang w:eastAsia="en-GB"/>
              </w:rPr>
            </w:pPr>
            <w:r w:rsidRPr="00D72B23">
              <w:rPr>
                <w:rFonts w:eastAsia="Times New Roman"/>
                <w:color w:val="000000"/>
                <w:sz w:val="18"/>
                <w:szCs w:val="18"/>
                <w:lang w:eastAsia="en-GB"/>
              </w:rPr>
              <w:t>Genome size (bp)</w:t>
            </w:r>
          </w:p>
        </w:tc>
        <w:tc>
          <w:tcPr>
            <w:tcW w:w="709" w:type="dxa"/>
            <w:tcBorders>
              <w:top w:val="single" w:sz="4" w:space="0" w:color="auto"/>
              <w:bottom w:val="single" w:sz="4" w:space="0" w:color="auto"/>
            </w:tcBorders>
            <w:vAlign w:val="bottom"/>
            <w:hideMark/>
          </w:tcPr>
          <w:p w14:paraId="71013FA7" w14:textId="2E2FBC56" w:rsidR="00E84481" w:rsidRPr="00D72B23" w:rsidRDefault="00E84481" w:rsidP="0031717F">
            <w:pPr>
              <w:spacing w:after="0" w:line="240" w:lineRule="auto"/>
              <w:jc w:val="center"/>
              <w:rPr>
                <w:rFonts w:eastAsia="Times New Roman"/>
                <w:color w:val="000000"/>
                <w:sz w:val="18"/>
                <w:szCs w:val="18"/>
                <w:lang w:eastAsia="en-GB"/>
              </w:rPr>
            </w:pPr>
            <w:r w:rsidRPr="00D72B23">
              <w:rPr>
                <w:rFonts w:eastAsia="Times New Roman"/>
                <w:color w:val="000000"/>
                <w:sz w:val="18"/>
                <w:szCs w:val="18"/>
                <w:lang w:eastAsia="en-GB"/>
              </w:rPr>
              <w:t>Total no. of genes</w:t>
            </w:r>
          </w:p>
        </w:tc>
        <w:tc>
          <w:tcPr>
            <w:tcW w:w="1257" w:type="dxa"/>
            <w:tcBorders>
              <w:top w:val="single" w:sz="4" w:space="0" w:color="auto"/>
              <w:bottom w:val="single" w:sz="4" w:space="0" w:color="auto"/>
            </w:tcBorders>
            <w:vAlign w:val="bottom"/>
            <w:hideMark/>
          </w:tcPr>
          <w:p w14:paraId="57F3CA79" w14:textId="7858EE1B" w:rsidR="00E84481" w:rsidRPr="004C002E" w:rsidRDefault="00E84481" w:rsidP="00840350">
            <w:pPr>
              <w:spacing w:after="0" w:line="240" w:lineRule="auto"/>
              <w:jc w:val="center"/>
              <w:rPr>
                <w:rFonts w:eastAsia="Times New Roman"/>
                <w:color w:val="000000"/>
                <w:sz w:val="18"/>
                <w:szCs w:val="18"/>
                <w:lang w:eastAsia="en-GB"/>
              </w:rPr>
            </w:pPr>
            <w:r w:rsidRPr="004C002E">
              <w:rPr>
                <w:rFonts w:eastAsia="Times New Roman"/>
                <w:color w:val="000000"/>
                <w:sz w:val="18"/>
                <w:szCs w:val="18"/>
                <w:lang w:eastAsia="en-GB"/>
              </w:rPr>
              <w:t xml:space="preserve">Virulence </w:t>
            </w:r>
            <w:proofErr w:type="spellStart"/>
            <w:r w:rsidRPr="004C002E">
              <w:rPr>
                <w:rFonts w:eastAsia="Times New Roman"/>
                <w:color w:val="000000"/>
                <w:sz w:val="18"/>
                <w:szCs w:val="18"/>
                <w:lang w:eastAsia="en-GB"/>
              </w:rPr>
              <w:t>plasmid</w:t>
            </w:r>
            <w:r w:rsidRPr="004C002E">
              <w:rPr>
                <w:rFonts w:eastAsia="Times New Roman"/>
                <w:color w:val="000000"/>
                <w:sz w:val="18"/>
                <w:szCs w:val="18"/>
                <w:vertAlign w:val="superscript"/>
                <w:lang w:eastAsia="en-GB"/>
              </w:rPr>
              <w:t>b</w:t>
            </w:r>
            <w:proofErr w:type="spellEnd"/>
          </w:p>
        </w:tc>
        <w:tc>
          <w:tcPr>
            <w:tcW w:w="1152" w:type="dxa"/>
            <w:tcBorders>
              <w:top w:val="single" w:sz="4" w:space="0" w:color="auto"/>
              <w:bottom w:val="single" w:sz="4" w:space="0" w:color="auto"/>
            </w:tcBorders>
            <w:vAlign w:val="bottom"/>
            <w:hideMark/>
          </w:tcPr>
          <w:p w14:paraId="3EAB77DF" w14:textId="06B36ADD" w:rsidR="00E84481" w:rsidRPr="004C002E" w:rsidRDefault="00E84481" w:rsidP="00840350">
            <w:pPr>
              <w:spacing w:after="0" w:line="240" w:lineRule="auto"/>
              <w:jc w:val="center"/>
              <w:rPr>
                <w:rFonts w:eastAsia="Times New Roman"/>
                <w:color w:val="000000"/>
                <w:sz w:val="18"/>
                <w:szCs w:val="18"/>
                <w:lang w:eastAsia="en-GB"/>
              </w:rPr>
            </w:pPr>
            <w:r w:rsidRPr="004C002E">
              <w:rPr>
                <w:rFonts w:eastAsia="Times New Roman"/>
                <w:color w:val="000000"/>
                <w:sz w:val="18"/>
                <w:szCs w:val="18"/>
                <w:lang w:eastAsia="en-GB"/>
              </w:rPr>
              <w:t xml:space="preserve">Other </w:t>
            </w:r>
            <w:proofErr w:type="spellStart"/>
            <w:r w:rsidRPr="004C002E">
              <w:rPr>
                <w:rFonts w:eastAsia="Times New Roman"/>
                <w:color w:val="000000"/>
                <w:sz w:val="18"/>
                <w:szCs w:val="18"/>
                <w:lang w:eastAsia="en-GB"/>
              </w:rPr>
              <w:t>plasmids</w:t>
            </w:r>
            <w:r w:rsidRPr="004C002E">
              <w:rPr>
                <w:rFonts w:eastAsia="Times New Roman"/>
                <w:color w:val="000000"/>
                <w:sz w:val="18"/>
                <w:szCs w:val="18"/>
                <w:vertAlign w:val="superscript"/>
                <w:lang w:eastAsia="en-GB"/>
              </w:rPr>
              <w:t>c</w:t>
            </w:r>
            <w:proofErr w:type="spellEnd"/>
          </w:p>
        </w:tc>
        <w:tc>
          <w:tcPr>
            <w:tcW w:w="993" w:type="dxa"/>
            <w:tcBorders>
              <w:top w:val="single" w:sz="4" w:space="0" w:color="auto"/>
              <w:bottom w:val="single" w:sz="4" w:space="0" w:color="auto"/>
            </w:tcBorders>
            <w:shd w:val="clear" w:color="auto" w:fill="auto"/>
            <w:vAlign w:val="bottom"/>
            <w:hideMark/>
          </w:tcPr>
          <w:p w14:paraId="6D8CBFFE" w14:textId="3721C649" w:rsidR="00E84481" w:rsidRPr="004C002E" w:rsidRDefault="00E84481" w:rsidP="00463ADE">
            <w:pPr>
              <w:spacing w:after="0" w:line="240" w:lineRule="auto"/>
              <w:jc w:val="center"/>
              <w:rPr>
                <w:rFonts w:eastAsia="Times New Roman"/>
                <w:color w:val="000000"/>
                <w:sz w:val="18"/>
                <w:szCs w:val="18"/>
                <w:lang w:eastAsia="en-GB"/>
              </w:rPr>
            </w:pPr>
            <w:proofErr w:type="spellStart"/>
            <w:r w:rsidRPr="004C002E">
              <w:rPr>
                <w:rFonts w:eastAsia="Times New Roman"/>
                <w:color w:val="000000"/>
                <w:sz w:val="18"/>
                <w:szCs w:val="18"/>
                <w:lang w:eastAsia="en-GB"/>
              </w:rPr>
              <w:t>SNP</w:t>
            </w:r>
            <w:r w:rsidRPr="004C002E">
              <w:rPr>
                <w:rFonts w:eastAsia="Times New Roman"/>
                <w:color w:val="000000"/>
                <w:sz w:val="18"/>
                <w:szCs w:val="18"/>
                <w:vertAlign w:val="superscript"/>
                <w:lang w:eastAsia="en-GB"/>
              </w:rPr>
              <w:t>c</w:t>
            </w:r>
            <w:proofErr w:type="spellEnd"/>
            <w:r w:rsidRPr="004C002E">
              <w:rPr>
                <w:rFonts w:eastAsia="Times New Roman"/>
                <w:color w:val="000000"/>
                <w:sz w:val="18"/>
                <w:szCs w:val="18"/>
                <w:lang w:eastAsia="en-GB"/>
              </w:rPr>
              <w:t xml:space="preserve"> P125109</w:t>
            </w:r>
          </w:p>
        </w:tc>
        <w:tc>
          <w:tcPr>
            <w:tcW w:w="850" w:type="dxa"/>
            <w:tcBorders>
              <w:top w:val="single" w:sz="4" w:space="0" w:color="auto"/>
              <w:bottom w:val="single" w:sz="4" w:space="0" w:color="auto"/>
            </w:tcBorders>
            <w:shd w:val="clear" w:color="auto" w:fill="auto"/>
            <w:vAlign w:val="bottom"/>
            <w:hideMark/>
          </w:tcPr>
          <w:p w14:paraId="4BAE7726" w14:textId="43EA75C9" w:rsidR="00E84481" w:rsidRPr="004C002E" w:rsidRDefault="00E84481" w:rsidP="00463ADE">
            <w:pPr>
              <w:spacing w:after="0" w:line="240" w:lineRule="auto"/>
              <w:jc w:val="center"/>
              <w:rPr>
                <w:rFonts w:eastAsia="Times New Roman"/>
                <w:color w:val="000000"/>
                <w:sz w:val="18"/>
                <w:szCs w:val="18"/>
                <w:lang w:eastAsia="en-GB"/>
              </w:rPr>
            </w:pPr>
            <w:proofErr w:type="spellStart"/>
            <w:r w:rsidRPr="004C002E">
              <w:rPr>
                <w:rFonts w:eastAsia="Times New Roman"/>
                <w:color w:val="000000"/>
                <w:sz w:val="18"/>
                <w:szCs w:val="18"/>
                <w:lang w:eastAsia="en-GB"/>
              </w:rPr>
              <w:t>SNP</w:t>
            </w:r>
            <w:r w:rsidRPr="004C002E">
              <w:rPr>
                <w:rFonts w:eastAsia="Times New Roman"/>
                <w:color w:val="000000"/>
                <w:sz w:val="18"/>
                <w:szCs w:val="18"/>
                <w:vertAlign w:val="superscript"/>
                <w:lang w:eastAsia="en-GB"/>
              </w:rPr>
              <w:t>c</w:t>
            </w:r>
            <w:proofErr w:type="spellEnd"/>
            <w:r w:rsidRPr="004C002E">
              <w:rPr>
                <w:rFonts w:eastAsia="Times New Roman"/>
                <w:color w:val="000000"/>
                <w:sz w:val="18"/>
                <w:szCs w:val="18"/>
                <w:lang w:eastAsia="en-GB"/>
              </w:rPr>
              <w:t xml:space="preserve"> D7795</w:t>
            </w:r>
          </w:p>
        </w:tc>
      </w:tr>
      <w:tr w:rsidR="00D72B23" w:rsidRPr="004C002E" w14:paraId="5B08E43F" w14:textId="77777777" w:rsidTr="00D72B23">
        <w:trPr>
          <w:trHeight w:val="722"/>
        </w:trPr>
        <w:tc>
          <w:tcPr>
            <w:tcW w:w="993" w:type="dxa"/>
            <w:tcBorders>
              <w:top w:val="single" w:sz="4" w:space="0" w:color="auto"/>
            </w:tcBorders>
            <w:shd w:val="clear" w:color="auto" w:fill="auto"/>
            <w:noWrap/>
            <w:vAlign w:val="center"/>
            <w:hideMark/>
          </w:tcPr>
          <w:p w14:paraId="328E8E4E" w14:textId="77777777" w:rsidR="00E84481" w:rsidRPr="004C002E" w:rsidRDefault="00E84481" w:rsidP="00840350">
            <w:pPr>
              <w:spacing w:after="0" w:line="240" w:lineRule="auto"/>
              <w:rPr>
                <w:rFonts w:eastAsia="Times New Roman"/>
                <w:b/>
                <w:bCs/>
                <w:color w:val="000000"/>
                <w:sz w:val="18"/>
                <w:szCs w:val="18"/>
                <w:lang w:eastAsia="en-GB"/>
              </w:rPr>
            </w:pPr>
            <w:r w:rsidRPr="004C002E">
              <w:rPr>
                <w:rFonts w:eastAsia="Times New Roman"/>
                <w:b/>
                <w:bCs/>
                <w:color w:val="000000"/>
                <w:sz w:val="18"/>
                <w:szCs w:val="18"/>
                <w:lang w:eastAsia="en-GB"/>
              </w:rPr>
              <w:t>CP255</w:t>
            </w:r>
          </w:p>
        </w:tc>
        <w:tc>
          <w:tcPr>
            <w:tcW w:w="709" w:type="dxa"/>
            <w:tcBorders>
              <w:top w:val="single" w:sz="4" w:space="0" w:color="auto"/>
            </w:tcBorders>
            <w:vAlign w:val="center"/>
          </w:tcPr>
          <w:p w14:paraId="41112D48" w14:textId="4934221E" w:rsidR="00E84481" w:rsidRPr="004C002E" w:rsidRDefault="00E84481" w:rsidP="00840350">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1991</w:t>
            </w:r>
          </w:p>
        </w:tc>
        <w:tc>
          <w:tcPr>
            <w:tcW w:w="1701" w:type="dxa"/>
            <w:tcBorders>
              <w:top w:val="single" w:sz="4" w:space="0" w:color="auto"/>
            </w:tcBorders>
            <w:shd w:val="clear" w:color="auto" w:fill="auto"/>
            <w:noWrap/>
            <w:vAlign w:val="center"/>
            <w:hideMark/>
          </w:tcPr>
          <w:p w14:paraId="21F62712" w14:textId="0D087F25" w:rsidR="00E84481" w:rsidRPr="004C002E" w:rsidRDefault="00123BEB" w:rsidP="00840350">
            <w:pPr>
              <w:spacing w:after="0" w:line="240" w:lineRule="auto"/>
              <w:rPr>
                <w:rFonts w:eastAsia="Times New Roman"/>
                <w:color w:val="1155CC"/>
                <w:sz w:val="18"/>
                <w:szCs w:val="18"/>
                <w:u w:val="single"/>
                <w:lang w:eastAsia="en-GB"/>
              </w:rPr>
            </w:pPr>
            <w:hyperlink r:id="rId21" w:history="1">
              <w:r w:rsidR="00E84481" w:rsidRPr="004C002E">
                <w:rPr>
                  <w:rFonts w:eastAsia="Times New Roman"/>
                  <w:color w:val="1155CC"/>
                  <w:sz w:val="18"/>
                  <w:szCs w:val="18"/>
                  <w:u w:val="single"/>
                  <w:lang w:eastAsia="en-GB"/>
                </w:rPr>
                <w:t>GCA_015240995</w:t>
              </w:r>
            </w:hyperlink>
          </w:p>
        </w:tc>
        <w:tc>
          <w:tcPr>
            <w:tcW w:w="1430" w:type="dxa"/>
            <w:tcBorders>
              <w:top w:val="single" w:sz="4" w:space="0" w:color="auto"/>
            </w:tcBorders>
            <w:shd w:val="clear" w:color="auto" w:fill="auto"/>
            <w:noWrap/>
            <w:vAlign w:val="center"/>
            <w:hideMark/>
          </w:tcPr>
          <w:p w14:paraId="7B45A41E" w14:textId="1727EDEC" w:rsidR="00E84481" w:rsidRPr="004C002E" w:rsidRDefault="00123BEB" w:rsidP="005A1FDF">
            <w:pPr>
              <w:spacing w:after="0" w:line="240" w:lineRule="auto"/>
              <w:rPr>
                <w:rFonts w:eastAsia="Times New Roman"/>
                <w:color w:val="1155CC"/>
                <w:sz w:val="18"/>
                <w:szCs w:val="18"/>
                <w:u w:val="single"/>
                <w:lang w:eastAsia="en-GB"/>
              </w:rPr>
            </w:pPr>
            <w:hyperlink r:id="rId22" w:history="1">
              <w:r w:rsidR="00E84481" w:rsidRPr="004C002E">
                <w:rPr>
                  <w:rFonts w:eastAsia="Times New Roman"/>
                  <w:color w:val="1155CC"/>
                  <w:sz w:val="18"/>
                  <w:szCs w:val="18"/>
                  <w:u w:val="single"/>
                  <w:lang w:eastAsia="en-GB"/>
                </w:rPr>
                <w:t>SRR12953596</w:t>
              </w:r>
            </w:hyperlink>
            <w:r w:rsidR="00E84481" w:rsidRPr="004C002E">
              <w:rPr>
                <w:rFonts w:eastAsia="Times New Roman"/>
                <w:color w:val="1155CC"/>
                <w:sz w:val="18"/>
                <w:szCs w:val="18"/>
                <w:u w:val="single"/>
                <w:lang w:eastAsia="en-GB"/>
              </w:rPr>
              <w:br/>
            </w:r>
            <w:hyperlink r:id="rId23" w:history="1">
              <w:r w:rsidR="00E84481" w:rsidRPr="004C002E">
                <w:rPr>
                  <w:rFonts w:eastAsia="Times New Roman"/>
                  <w:color w:val="1155CC"/>
                  <w:sz w:val="18"/>
                  <w:szCs w:val="18"/>
                  <w:u w:val="single"/>
                  <w:lang w:eastAsia="en-GB"/>
                </w:rPr>
                <w:t>SRR12953597</w:t>
              </w:r>
            </w:hyperlink>
          </w:p>
        </w:tc>
        <w:tc>
          <w:tcPr>
            <w:tcW w:w="1122" w:type="dxa"/>
            <w:tcBorders>
              <w:top w:val="single" w:sz="4" w:space="0" w:color="auto"/>
            </w:tcBorders>
            <w:shd w:val="clear" w:color="auto" w:fill="auto"/>
            <w:vAlign w:val="center"/>
            <w:hideMark/>
          </w:tcPr>
          <w:p w14:paraId="39B61726" w14:textId="77777777" w:rsidR="00E84481" w:rsidRPr="004C002E" w:rsidRDefault="00E84481" w:rsidP="00840350">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296,730</w:t>
            </w:r>
          </w:p>
        </w:tc>
        <w:tc>
          <w:tcPr>
            <w:tcW w:w="992" w:type="dxa"/>
            <w:tcBorders>
              <w:top w:val="single" w:sz="4" w:space="0" w:color="auto"/>
            </w:tcBorders>
            <w:vAlign w:val="center"/>
          </w:tcPr>
          <w:p w14:paraId="46BE52D2" w14:textId="54524AB6" w:rsidR="00E84481" w:rsidRPr="004C002E" w:rsidRDefault="00765457" w:rsidP="00D72B23">
            <w:pPr>
              <w:spacing w:after="0" w:line="240" w:lineRule="auto"/>
              <w:jc w:val="right"/>
              <w:rPr>
                <w:rFonts w:eastAsia="Times New Roman"/>
                <w:color w:val="000000"/>
                <w:sz w:val="18"/>
                <w:szCs w:val="18"/>
                <w:lang w:eastAsia="en-GB"/>
              </w:rPr>
            </w:pPr>
            <w:r>
              <w:rPr>
                <w:rFonts w:eastAsia="Times New Roman"/>
                <w:color w:val="000000"/>
                <w:sz w:val="18"/>
                <w:szCs w:val="18"/>
                <w:lang w:eastAsia="en-GB"/>
              </w:rPr>
              <w:t>30.6</w:t>
            </w:r>
          </w:p>
        </w:tc>
        <w:tc>
          <w:tcPr>
            <w:tcW w:w="992" w:type="dxa"/>
            <w:tcBorders>
              <w:top w:val="single" w:sz="4" w:space="0" w:color="auto"/>
            </w:tcBorders>
            <w:shd w:val="clear" w:color="auto" w:fill="auto"/>
            <w:vAlign w:val="center"/>
            <w:hideMark/>
          </w:tcPr>
          <w:p w14:paraId="19A2D736" w14:textId="524F495D" w:rsidR="00E84481" w:rsidRPr="004C002E" w:rsidRDefault="00E84481" w:rsidP="00D72B23">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40,000</w:t>
            </w:r>
          </w:p>
        </w:tc>
        <w:tc>
          <w:tcPr>
            <w:tcW w:w="850" w:type="dxa"/>
            <w:tcBorders>
              <w:top w:val="single" w:sz="4" w:space="0" w:color="auto"/>
            </w:tcBorders>
            <w:vAlign w:val="center"/>
          </w:tcPr>
          <w:p w14:paraId="1F3406B3" w14:textId="7F44C046" w:rsidR="00E84481" w:rsidRPr="004C002E" w:rsidRDefault="008E4C95" w:rsidP="00D72B23">
            <w:pPr>
              <w:spacing w:after="0" w:line="240" w:lineRule="auto"/>
              <w:jc w:val="right"/>
              <w:rPr>
                <w:rFonts w:eastAsia="Times New Roman"/>
                <w:color w:val="000000"/>
                <w:sz w:val="18"/>
                <w:szCs w:val="18"/>
                <w:lang w:eastAsia="en-GB"/>
              </w:rPr>
            </w:pPr>
            <w:r>
              <w:rPr>
                <w:rFonts w:eastAsia="Times New Roman"/>
                <w:color w:val="000000"/>
                <w:sz w:val="18"/>
                <w:szCs w:val="18"/>
                <w:lang w:eastAsia="en-GB"/>
              </w:rPr>
              <w:t>20</w:t>
            </w:r>
            <w:r w:rsidR="00B304A1">
              <w:rPr>
                <w:rFonts w:eastAsia="Times New Roman"/>
                <w:color w:val="000000"/>
                <w:sz w:val="18"/>
                <w:szCs w:val="18"/>
                <w:lang w:eastAsia="en-GB"/>
              </w:rPr>
              <w:t>,</w:t>
            </w:r>
            <w:r>
              <w:rPr>
                <w:rFonts w:eastAsia="Times New Roman"/>
                <w:color w:val="000000"/>
                <w:sz w:val="18"/>
                <w:szCs w:val="18"/>
                <w:lang w:eastAsia="en-GB"/>
              </w:rPr>
              <w:t>451</w:t>
            </w:r>
          </w:p>
        </w:tc>
        <w:tc>
          <w:tcPr>
            <w:tcW w:w="851" w:type="dxa"/>
            <w:tcBorders>
              <w:top w:val="single" w:sz="4" w:space="0" w:color="auto"/>
            </w:tcBorders>
            <w:shd w:val="clear" w:color="auto" w:fill="auto"/>
            <w:noWrap/>
            <w:vAlign w:val="center"/>
            <w:hideMark/>
          </w:tcPr>
          <w:p w14:paraId="1726F442" w14:textId="70A5AEE9" w:rsidR="00E84481" w:rsidRPr="004C002E" w:rsidRDefault="00E84481" w:rsidP="00840350">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52.30%</w:t>
            </w:r>
          </w:p>
        </w:tc>
        <w:tc>
          <w:tcPr>
            <w:tcW w:w="1134" w:type="dxa"/>
            <w:tcBorders>
              <w:top w:val="single" w:sz="4" w:space="0" w:color="auto"/>
            </w:tcBorders>
            <w:shd w:val="clear" w:color="auto" w:fill="auto"/>
            <w:noWrap/>
            <w:vAlign w:val="center"/>
            <w:hideMark/>
          </w:tcPr>
          <w:p w14:paraId="49231B0D" w14:textId="77777777" w:rsidR="00E84481" w:rsidRPr="00D72B23" w:rsidRDefault="00E84481" w:rsidP="00D72B23">
            <w:pPr>
              <w:spacing w:after="0" w:line="240" w:lineRule="auto"/>
              <w:jc w:val="right"/>
              <w:rPr>
                <w:rFonts w:eastAsia="Times New Roman"/>
                <w:color w:val="000000"/>
                <w:sz w:val="18"/>
                <w:szCs w:val="18"/>
                <w:lang w:eastAsia="en-GB"/>
              </w:rPr>
            </w:pPr>
            <w:r w:rsidRPr="00D72B23">
              <w:rPr>
                <w:rFonts w:eastAsia="Times New Roman"/>
                <w:color w:val="000000"/>
                <w:sz w:val="18"/>
                <w:szCs w:val="18"/>
                <w:lang w:eastAsia="en-GB"/>
              </w:rPr>
              <w:t>4,840,946</w:t>
            </w:r>
          </w:p>
        </w:tc>
        <w:tc>
          <w:tcPr>
            <w:tcW w:w="709" w:type="dxa"/>
            <w:tcBorders>
              <w:top w:val="single" w:sz="4" w:space="0" w:color="auto"/>
            </w:tcBorders>
            <w:shd w:val="clear" w:color="auto" w:fill="auto"/>
            <w:vAlign w:val="center"/>
            <w:hideMark/>
          </w:tcPr>
          <w:p w14:paraId="62D1B064" w14:textId="77777777" w:rsidR="00E84481" w:rsidRPr="00D72B23" w:rsidRDefault="00E84481" w:rsidP="00D72B23">
            <w:pPr>
              <w:spacing w:after="0" w:line="240" w:lineRule="auto"/>
              <w:jc w:val="right"/>
              <w:rPr>
                <w:rFonts w:eastAsia="Times New Roman"/>
                <w:color w:val="000000"/>
                <w:sz w:val="18"/>
                <w:szCs w:val="18"/>
                <w:lang w:eastAsia="en-GB"/>
              </w:rPr>
            </w:pPr>
            <w:r w:rsidRPr="00D72B23">
              <w:rPr>
                <w:rFonts w:eastAsia="Times New Roman"/>
                <w:color w:val="000000"/>
                <w:sz w:val="18"/>
                <w:szCs w:val="18"/>
                <w:lang w:eastAsia="en-GB"/>
              </w:rPr>
              <w:t>4,729</w:t>
            </w:r>
          </w:p>
        </w:tc>
        <w:tc>
          <w:tcPr>
            <w:tcW w:w="1257" w:type="dxa"/>
            <w:tcBorders>
              <w:top w:val="single" w:sz="4" w:space="0" w:color="auto"/>
            </w:tcBorders>
            <w:shd w:val="clear" w:color="auto" w:fill="auto"/>
            <w:vAlign w:val="center"/>
            <w:hideMark/>
          </w:tcPr>
          <w:p w14:paraId="2168D109" w14:textId="77777777" w:rsidR="00E84481" w:rsidRPr="004C002E" w:rsidRDefault="00E84481" w:rsidP="00840350">
            <w:pPr>
              <w:spacing w:after="0" w:line="240" w:lineRule="auto"/>
              <w:rPr>
                <w:rFonts w:eastAsia="Times New Roman"/>
                <w:color w:val="000000"/>
                <w:sz w:val="18"/>
                <w:szCs w:val="18"/>
                <w:lang w:eastAsia="en-GB"/>
              </w:rPr>
            </w:pPr>
            <w:r w:rsidRPr="004C002E">
              <w:rPr>
                <w:rFonts w:eastAsia="Times New Roman"/>
                <w:color w:val="000000"/>
                <w:sz w:val="18"/>
                <w:szCs w:val="18"/>
                <w:lang w:eastAsia="en-GB"/>
              </w:rPr>
              <w:t>pSEN-DRC (96 kb)</w:t>
            </w:r>
          </w:p>
        </w:tc>
        <w:tc>
          <w:tcPr>
            <w:tcW w:w="1152" w:type="dxa"/>
            <w:tcBorders>
              <w:top w:val="single" w:sz="4" w:space="0" w:color="auto"/>
            </w:tcBorders>
            <w:shd w:val="clear" w:color="auto" w:fill="auto"/>
            <w:vAlign w:val="center"/>
            <w:hideMark/>
          </w:tcPr>
          <w:p w14:paraId="4D27FE8A" w14:textId="423D02AC" w:rsidR="00E84481" w:rsidRPr="004C002E" w:rsidRDefault="00E84481" w:rsidP="00840350">
            <w:pPr>
              <w:spacing w:after="0" w:line="240" w:lineRule="auto"/>
              <w:rPr>
                <w:rFonts w:eastAsia="Times New Roman"/>
                <w:color w:val="000000"/>
                <w:sz w:val="18"/>
                <w:szCs w:val="18"/>
                <w:lang w:eastAsia="en-GB"/>
              </w:rPr>
            </w:pPr>
            <w:r w:rsidRPr="004C002E">
              <w:rPr>
                <w:rFonts w:eastAsia="Times New Roman"/>
                <w:color w:val="000000"/>
                <w:sz w:val="18"/>
                <w:szCs w:val="18"/>
                <w:lang w:eastAsia="en-GB"/>
              </w:rPr>
              <w:t>pRSF1010 (8.7 kb</w:t>
            </w:r>
            <w:r w:rsidRPr="004C002E">
              <w:rPr>
                <w:rFonts w:eastAsia="Times New Roman"/>
                <w:sz w:val="18"/>
                <w:szCs w:val="18"/>
                <w:lang w:eastAsia="en-GB"/>
              </w:rPr>
              <w:t>)</w:t>
            </w:r>
            <w:r w:rsidRPr="004C002E">
              <w:rPr>
                <w:rFonts w:eastAsia="Times New Roman"/>
                <w:sz w:val="18"/>
                <w:szCs w:val="18"/>
                <w:lang w:eastAsia="en-GB"/>
              </w:rPr>
              <w:fldChar w:fldCharType="begin" w:fldLock="1"/>
            </w:r>
            <w:r w:rsidR="009016C9">
              <w:rPr>
                <w:rFonts w:eastAsia="Times New Roman"/>
                <w:sz w:val="18"/>
                <w:szCs w:val="18"/>
                <w:lang w:eastAsia="en-GB"/>
              </w:rPr>
              <w:instrText>ADDIN CSL_CITATION {"citationItems":[{"id":"ITEM-1","itemData":{"DOI":"10.1073/pnas.1201061109","ISBN":"1091-6490 (Electronic) 0027-8424 (Linking)","ISSN":"0027-8424","PMID":"22538806","abstract":"More than 50 y of research have provided great insight into the physiology, metabolism, and molecular biology of Salmonella enterica serovar Typhimurium (S. Typhimurium), but important gaps in our knowledge remain. It is clear that a precise choreography of gene expression is required for Salmonella infection, but basic genetic information such as the global locations of transcription start sites (TSSs) has been lacking. We combined three RNA-sequencing techniques and two sequencing platforms to generate a robust picture of transcription in S. Typhimurium. Differential RNA sequencing identified 1,873 TSSs on the chromosome of S. Typhimurium SL1344 and 13% of these TSSs initiated antisense transcripts. Unique findings include the TSSs of the virulence regulators phoP, slyA, and invF. Chromatin immunoprecipitation revealed that RNA polymerase was bound to 70% of the TSSs, and two-thirds of these TSSs were associated with σ(70) (including phoP, slyA, and invF) from which we identified the -10 and -35 motifs of σ(70)-dependent S. Typhimurium gene promoters. Overall, we corrected the location of important genes and discovered 18 times more promoters than identified previously. S. Typhimurium expresses 140 small regulatory RNAs (sRNAs) at early stationary phase, including 60 newly identified sRNAs. Almost half of the experimentally verified sRNAs were found to be unique to the Salmonella genus, and &lt;20% were found throughout the Enterobacteriaceae. This description of the transcriptional map of SL1344 advances our understanding of S. Typhimurium, arguably the most important bacterial infection model.","author":[{"dropping-particle":"","family":"Kröger","given":"Carsten","non-dropping-particle":"","parse-names":false,"suffix":""},{"dropping-particle":"","family":"Dillon","given":"Shane C. D C. D C.","non-dropping-particle":"","parse-names":false,"suffix":""},{"dropping-particle":"","family":"Cameron","given":"Andrew D. S.","non-dropping-particle":"","parse-names":false,"suffix":""},{"dropping-particle":"","family":"Papenfort","given":"Kai","non-dropping-particle":"","parse-names":false,"suffix":""},{"dropping-particle":"","family":"Sivasankaran","given":"Sathesh K.","non-dropping-particle":"","parse-names":false,"suffix":""},{"dropping-particle":"","family":"Hokamp","given":"Karsten","non-dropping-particle":"","parse-names":false,"suffix":""},{"dropping-particle":"","family":"Chao","given":"Yanjie","non-dropping-particle":"","parse-names":false,"suffix":""},{"dropping-particle":"","family":"Sittka","given":"Alexandra","non-dropping-particle":"","parse-names":false,"suffix":""},{"dropping-particle":"","family":"Hebrard","given":"Magali","non-dropping-particle":"","parse-names":false,"suffix":""},{"dropping-particle":"","family":"Handler","given":"Kristian","non-dropping-particle":"","parse-names":false,"suffix":""},{"dropping-particle":"","family":"Colgan","given":"Aoife M.","non-dropping-particle":"","parse-names":false,"suffix":""},{"dropping-particle":"","family":"Leekitcharoenphon","given":"Pimlapas","non-dropping-particle":"","parse-names":false,"suffix":""},{"dropping-particle":"","family":"Langridge","given":"Gemma C.","non-dropping-particle":"","parse-names":false,"suffix":""},{"dropping-particle":"","family":"Lohan","given":"Amanda J.","non-dropping-particle":"","parse-names":false,"suffix":""},{"dropping-particle":"","family":"Loftus","given":"Brendan","non-dropping-particle":"","parse-names":false,"suffix":""},{"dropping-particle":"","family":"Lucchini","given":"Sacha","non-dropping-particle":"","parse-names":false,"suffix":""},{"dropping-particle":"","family":"Ussery","given":"David W.","non-dropping-particle":"","parse-names":false,"suffix":""},{"dropping-particle":"","family":"Dorman","given":"Charles J.","non-dropping-particle":"","parse-names":false,"suffix":""},{"dropping-particle":"","family":"Thomson","given":"Nicholas R.","non-dropping-particle":"","parse-names":false,"suffix":""},{"dropping-particle":"","family":"Vogel","given":"Jörg","non-dropping-particle":"","parse-names":false,"suffix":""},{"dropping-particle":"","family":"Hinton","given":"Jay C. D.","non-dropping-particle":"","parse-names":false,"suffix":""}],"container-title":"Proceedings of the National Academy of Sciences","id":"ITEM-1","issue":"20","issued":{"date-parts":[["2012"]]},"page":"E1277-E1286","title":"The transcriptional landscape and small RNAs of &lt;i&gt;Salmonella enterica&lt;/i&gt; serovar Typhimurium","type":"article-journal","volume":"109"},"uris":["http://www.mendeley.com/documents/?uuid=9eeb131d-18fd-422c-a61f-54c867f6d732"]}],"mendeley":{"formattedCitation":"(16)","plainTextFormattedCitation":"(16)","previouslyFormattedCitation":"(16)"},"properties":{"noteIndex":0},"schema":"https://github.com/citation-style-language/schema/raw/master/csl-citation.json"}</w:instrText>
            </w:r>
            <w:r w:rsidRPr="004C002E">
              <w:rPr>
                <w:rFonts w:eastAsia="Times New Roman"/>
                <w:sz w:val="18"/>
                <w:szCs w:val="18"/>
                <w:lang w:eastAsia="en-GB"/>
              </w:rPr>
              <w:fldChar w:fldCharType="separate"/>
            </w:r>
            <w:r w:rsidRPr="004C002E">
              <w:rPr>
                <w:rFonts w:eastAsia="Times New Roman"/>
                <w:noProof/>
                <w:sz w:val="18"/>
                <w:szCs w:val="18"/>
                <w:lang w:eastAsia="en-GB"/>
              </w:rPr>
              <w:t>(16)</w:t>
            </w:r>
            <w:r w:rsidRPr="004C002E">
              <w:rPr>
                <w:rFonts w:eastAsia="Times New Roman"/>
                <w:sz w:val="18"/>
                <w:szCs w:val="18"/>
                <w:lang w:eastAsia="en-GB"/>
              </w:rPr>
              <w:fldChar w:fldCharType="end"/>
            </w:r>
          </w:p>
        </w:tc>
        <w:tc>
          <w:tcPr>
            <w:tcW w:w="993" w:type="dxa"/>
            <w:tcBorders>
              <w:top w:val="single" w:sz="4" w:space="0" w:color="auto"/>
            </w:tcBorders>
            <w:shd w:val="clear" w:color="auto" w:fill="auto"/>
            <w:noWrap/>
            <w:vAlign w:val="center"/>
            <w:hideMark/>
          </w:tcPr>
          <w:p w14:paraId="0FB51FD8" w14:textId="77777777" w:rsidR="00E84481" w:rsidRPr="004C002E" w:rsidRDefault="00E84481" w:rsidP="00D72B23">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972</w:t>
            </w:r>
          </w:p>
        </w:tc>
        <w:tc>
          <w:tcPr>
            <w:tcW w:w="850" w:type="dxa"/>
            <w:tcBorders>
              <w:top w:val="single" w:sz="4" w:space="0" w:color="auto"/>
            </w:tcBorders>
            <w:shd w:val="clear" w:color="auto" w:fill="auto"/>
            <w:noWrap/>
            <w:vAlign w:val="center"/>
            <w:hideMark/>
          </w:tcPr>
          <w:p w14:paraId="3293614F" w14:textId="77777777" w:rsidR="00E84481" w:rsidRPr="004C002E" w:rsidRDefault="00E84481" w:rsidP="00D72B23">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61</w:t>
            </w:r>
          </w:p>
        </w:tc>
      </w:tr>
      <w:tr w:rsidR="00D72B23" w:rsidRPr="004C002E" w14:paraId="458FF8DF" w14:textId="77777777" w:rsidTr="00D72B23">
        <w:trPr>
          <w:trHeight w:val="596"/>
        </w:trPr>
        <w:tc>
          <w:tcPr>
            <w:tcW w:w="993" w:type="dxa"/>
            <w:shd w:val="clear" w:color="auto" w:fill="auto"/>
            <w:noWrap/>
            <w:vAlign w:val="center"/>
            <w:hideMark/>
          </w:tcPr>
          <w:p w14:paraId="24F0E828" w14:textId="77777777" w:rsidR="00E84481" w:rsidRPr="004C002E" w:rsidRDefault="00E84481" w:rsidP="00840350">
            <w:pPr>
              <w:spacing w:after="0" w:line="240" w:lineRule="auto"/>
              <w:rPr>
                <w:rFonts w:eastAsia="Times New Roman"/>
                <w:b/>
                <w:bCs/>
                <w:color w:val="000000"/>
                <w:sz w:val="18"/>
                <w:szCs w:val="18"/>
                <w:lang w:eastAsia="en-GB"/>
              </w:rPr>
            </w:pPr>
            <w:r w:rsidRPr="004C002E">
              <w:rPr>
                <w:rFonts w:eastAsia="Times New Roman"/>
                <w:b/>
                <w:bCs/>
                <w:color w:val="000000"/>
                <w:sz w:val="18"/>
                <w:szCs w:val="18"/>
                <w:lang w:eastAsia="en-GB"/>
              </w:rPr>
              <w:t>D7795</w:t>
            </w:r>
          </w:p>
        </w:tc>
        <w:tc>
          <w:tcPr>
            <w:tcW w:w="709" w:type="dxa"/>
            <w:vAlign w:val="center"/>
          </w:tcPr>
          <w:p w14:paraId="0FAC757A" w14:textId="0EF7CF86" w:rsidR="00E84481" w:rsidRPr="004C002E" w:rsidRDefault="00E84481" w:rsidP="00840350">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2000</w:t>
            </w:r>
          </w:p>
        </w:tc>
        <w:tc>
          <w:tcPr>
            <w:tcW w:w="1701" w:type="dxa"/>
            <w:shd w:val="clear" w:color="auto" w:fill="auto"/>
            <w:noWrap/>
            <w:vAlign w:val="center"/>
            <w:hideMark/>
          </w:tcPr>
          <w:p w14:paraId="4907144E" w14:textId="682B6946" w:rsidR="00E84481" w:rsidRPr="004C002E" w:rsidRDefault="00123BEB" w:rsidP="00840350">
            <w:pPr>
              <w:spacing w:after="0" w:line="240" w:lineRule="auto"/>
              <w:rPr>
                <w:rFonts w:eastAsia="Times New Roman"/>
                <w:color w:val="1155CC"/>
                <w:sz w:val="18"/>
                <w:szCs w:val="18"/>
                <w:u w:val="single"/>
                <w:lang w:eastAsia="en-GB"/>
              </w:rPr>
            </w:pPr>
            <w:hyperlink r:id="rId24" w:history="1">
              <w:r w:rsidR="00E84481" w:rsidRPr="004C002E">
                <w:rPr>
                  <w:rFonts w:eastAsia="Times New Roman"/>
                  <w:color w:val="1155CC"/>
                  <w:sz w:val="18"/>
                  <w:szCs w:val="18"/>
                  <w:u w:val="single"/>
                  <w:lang w:eastAsia="en-GB"/>
                </w:rPr>
                <w:t>GCA_015240855</w:t>
              </w:r>
            </w:hyperlink>
          </w:p>
        </w:tc>
        <w:tc>
          <w:tcPr>
            <w:tcW w:w="1430" w:type="dxa"/>
            <w:shd w:val="clear" w:color="auto" w:fill="auto"/>
            <w:noWrap/>
            <w:vAlign w:val="center"/>
            <w:hideMark/>
          </w:tcPr>
          <w:p w14:paraId="2FA2E302" w14:textId="67D382E8" w:rsidR="00E84481" w:rsidRPr="004C002E" w:rsidRDefault="00123BEB" w:rsidP="005A1FDF">
            <w:pPr>
              <w:spacing w:after="0" w:line="240" w:lineRule="auto"/>
              <w:rPr>
                <w:rFonts w:eastAsia="Times New Roman"/>
                <w:color w:val="1155CC"/>
                <w:sz w:val="18"/>
                <w:szCs w:val="18"/>
                <w:u w:val="single"/>
                <w:lang w:eastAsia="en-GB"/>
              </w:rPr>
            </w:pPr>
            <w:hyperlink r:id="rId25" w:history="1">
              <w:r w:rsidR="00E84481" w:rsidRPr="004C002E">
                <w:rPr>
                  <w:rFonts w:eastAsia="Times New Roman"/>
                  <w:color w:val="1155CC"/>
                  <w:sz w:val="18"/>
                  <w:szCs w:val="18"/>
                  <w:u w:val="single"/>
                  <w:lang w:eastAsia="en-GB"/>
                </w:rPr>
                <w:t>SRR12953602</w:t>
              </w:r>
            </w:hyperlink>
            <w:r w:rsidR="00E84481" w:rsidRPr="004C002E">
              <w:rPr>
                <w:rFonts w:eastAsia="Times New Roman"/>
                <w:color w:val="1155CC"/>
                <w:sz w:val="18"/>
                <w:szCs w:val="18"/>
                <w:u w:val="single"/>
                <w:lang w:eastAsia="en-GB"/>
              </w:rPr>
              <w:br/>
            </w:r>
            <w:hyperlink r:id="rId26" w:history="1">
              <w:r w:rsidR="00E84481" w:rsidRPr="004C002E">
                <w:rPr>
                  <w:rFonts w:eastAsia="Times New Roman"/>
                  <w:color w:val="1155CC"/>
                  <w:sz w:val="18"/>
                  <w:szCs w:val="18"/>
                  <w:u w:val="single"/>
                  <w:lang w:eastAsia="en-GB"/>
                </w:rPr>
                <w:t>SRR12953603</w:t>
              </w:r>
            </w:hyperlink>
          </w:p>
        </w:tc>
        <w:tc>
          <w:tcPr>
            <w:tcW w:w="1122" w:type="dxa"/>
            <w:shd w:val="clear" w:color="auto" w:fill="auto"/>
            <w:vAlign w:val="center"/>
            <w:hideMark/>
          </w:tcPr>
          <w:p w14:paraId="16EB8212" w14:textId="77777777" w:rsidR="00E84481" w:rsidRPr="004C002E" w:rsidRDefault="00E84481" w:rsidP="00840350">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813,469</w:t>
            </w:r>
          </w:p>
        </w:tc>
        <w:tc>
          <w:tcPr>
            <w:tcW w:w="992" w:type="dxa"/>
            <w:vAlign w:val="center"/>
          </w:tcPr>
          <w:p w14:paraId="0A83FBFD" w14:textId="3646BD87" w:rsidR="00E84481" w:rsidRPr="004C002E" w:rsidRDefault="00765457" w:rsidP="00D72B23">
            <w:pPr>
              <w:spacing w:after="0" w:line="240" w:lineRule="auto"/>
              <w:jc w:val="right"/>
              <w:rPr>
                <w:rFonts w:eastAsia="Times New Roman"/>
                <w:color w:val="000000"/>
                <w:sz w:val="18"/>
                <w:szCs w:val="18"/>
                <w:lang w:eastAsia="en-GB"/>
              </w:rPr>
            </w:pPr>
            <w:r>
              <w:rPr>
                <w:rFonts w:eastAsia="Times New Roman"/>
                <w:color w:val="000000"/>
                <w:sz w:val="18"/>
                <w:szCs w:val="18"/>
                <w:lang w:eastAsia="en-GB"/>
              </w:rPr>
              <w:t>83.5</w:t>
            </w:r>
          </w:p>
        </w:tc>
        <w:tc>
          <w:tcPr>
            <w:tcW w:w="992" w:type="dxa"/>
            <w:shd w:val="clear" w:color="auto" w:fill="auto"/>
            <w:vAlign w:val="center"/>
            <w:hideMark/>
          </w:tcPr>
          <w:p w14:paraId="63E9A4CF" w14:textId="6BE35014" w:rsidR="00E84481" w:rsidRPr="004C002E" w:rsidRDefault="00E84481" w:rsidP="00D72B23">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103,762</w:t>
            </w:r>
          </w:p>
        </w:tc>
        <w:tc>
          <w:tcPr>
            <w:tcW w:w="850" w:type="dxa"/>
            <w:vAlign w:val="center"/>
          </w:tcPr>
          <w:p w14:paraId="700D737B" w14:textId="0B914820" w:rsidR="00E84481" w:rsidRPr="004C002E" w:rsidRDefault="008E4C95" w:rsidP="00D72B23">
            <w:pPr>
              <w:spacing w:after="0" w:line="240" w:lineRule="auto"/>
              <w:jc w:val="right"/>
              <w:rPr>
                <w:rFonts w:eastAsia="Times New Roman"/>
                <w:color w:val="000000"/>
                <w:sz w:val="18"/>
                <w:szCs w:val="18"/>
                <w:lang w:eastAsia="en-GB"/>
              </w:rPr>
            </w:pPr>
            <w:r>
              <w:rPr>
                <w:rFonts w:eastAsia="Times New Roman"/>
                <w:color w:val="000000"/>
                <w:sz w:val="18"/>
                <w:szCs w:val="18"/>
                <w:lang w:eastAsia="en-GB"/>
              </w:rPr>
              <w:t>16</w:t>
            </w:r>
            <w:r w:rsidR="00B304A1">
              <w:rPr>
                <w:rFonts w:eastAsia="Times New Roman"/>
                <w:color w:val="000000"/>
                <w:sz w:val="18"/>
                <w:szCs w:val="18"/>
                <w:lang w:eastAsia="en-GB"/>
              </w:rPr>
              <w:t>,</w:t>
            </w:r>
            <w:r>
              <w:rPr>
                <w:rFonts w:eastAsia="Times New Roman"/>
                <w:color w:val="000000"/>
                <w:sz w:val="18"/>
                <w:szCs w:val="18"/>
                <w:lang w:eastAsia="en-GB"/>
              </w:rPr>
              <w:t>718</w:t>
            </w:r>
          </w:p>
        </w:tc>
        <w:tc>
          <w:tcPr>
            <w:tcW w:w="851" w:type="dxa"/>
            <w:shd w:val="clear" w:color="auto" w:fill="auto"/>
            <w:noWrap/>
            <w:vAlign w:val="center"/>
            <w:hideMark/>
          </w:tcPr>
          <w:p w14:paraId="156482DA" w14:textId="4839E4DB" w:rsidR="00E84481" w:rsidRPr="004C002E" w:rsidRDefault="00E84481" w:rsidP="00840350">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52.30%</w:t>
            </w:r>
          </w:p>
        </w:tc>
        <w:tc>
          <w:tcPr>
            <w:tcW w:w="1134" w:type="dxa"/>
            <w:shd w:val="clear" w:color="auto" w:fill="auto"/>
            <w:noWrap/>
            <w:vAlign w:val="center"/>
            <w:hideMark/>
          </w:tcPr>
          <w:p w14:paraId="352088A8" w14:textId="77777777" w:rsidR="00E84481" w:rsidRPr="00D72B23" w:rsidRDefault="00E84481" w:rsidP="00D72B23">
            <w:pPr>
              <w:spacing w:after="0" w:line="240" w:lineRule="auto"/>
              <w:jc w:val="right"/>
              <w:rPr>
                <w:rFonts w:eastAsia="Times New Roman"/>
                <w:color w:val="000000"/>
                <w:sz w:val="18"/>
                <w:szCs w:val="18"/>
                <w:lang w:eastAsia="en-GB"/>
              </w:rPr>
            </w:pPr>
            <w:r w:rsidRPr="00D72B23">
              <w:rPr>
                <w:rFonts w:eastAsia="Times New Roman"/>
                <w:color w:val="000000"/>
                <w:sz w:val="18"/>
                <w:szCs w:val="18"/>
                <w:lang w:eastAsia="en-GB"/>
              </w:rPr>
              <w:t>4,869,504</w:t>
            </w:r>
          </w:p>
        </w:tc>
        <w:tc>
          <w:tcPr>
            <w:tcW w:w="709" w:type="dxa"/>
            <w:shd w:val="clear" w:color="auto" w:fill="auto"/>
            <w:vAlign w:val="center"/>
            <w:hideMark/>
          </w:tcPr>
          <w:p w14:paraId="3C276594" w14:textId="77777777" w:rsidR="00E84481" w:rsidRPr="00D72B23" w:rsidRDefault="00E84481" w:rsidP="00D72B23">
            <w:pPr>
              <w:spacing w:after="0" w:line="240" w:lineRule="auto"/>
              <w:jc w:val="right"/>
              <w:rPr>
                <w:rFonts w:eastAsia="Times New Roman"/>
                <w:color w:val="000000"/>
                <w:sz w:val="18"/>
                <w:szCs w:val="18"/>
                <w:lang w:eastAsia="en-GB"/>
              </w:rPr>
            </w:pPr>
            <w:r w:rsidRPr="00D72B23">
              <w:rPr>
                <w:rFonts w:eastAsia="Times New Roman"/>
                <w:color w:val="000000"/>
                <w:sz w:val="18"/>
                <w:szCs w:val="18"/>
                <w:lang w:eastAsia="en-GB"/>
              </w:rPr>
              <w:t>4,777</w:t>
            </w:r>
          </w:p>
        </w:tc>
        <w:tc>
          <w:tcPr>
            <w:tcW w:w="1257" w:type="dxa"/>
            <w:shd w:val="clear" w:color="auto" w:fill="auto"/>
            <w:vAlign w:val="center"/>
            <w:hideMark/>
          </w:tcPr>
          <w:p w14:paraId="4E70C2B8" w14:textId="28DFBCF9" w:rsidR="00E84481" w:rsidRPr="004C002E" w:rsidRDefault="00E84481" w:rsidP="00840350">
            <w:pPr>
              <w:spacing w:after="0" w:line="240" w:lineRule="auto"/>
              <w:rPr>
                <w:rFonts w:eastAsia="Times New Roman"/>
                <w:color w:val="000000"/>
                <w:sz w:val="18"/>
                <w:szCs w:val="18"/>
                <w:lang w:eastAsia="en-GB"/>
              </w:rPr>
            </w:pPr>
            <w:r w:rsidRPr="004C002E">
              <w:rPr>
                <w:rFonts w:eastAsia="Times New Roman"/>
                <w:color w:val="000000"/>
                <w:sz w:val="18"/>
                <w:szCs w:val="18"/>
                <w:lang w:eastAsia="en-GB"/>
              </w:rPr>
              <w:t>pSEN-BT (116 kb)</w:t>
            </w:r>
            <w:r w:rsidRPr="004C002E">
              <w:rPr>
                <w:rFonts w:eastAsia="Times New Roman"/>
                <w:color w:val="000000"/>
                <w:sz w:val="18"/>
                <w:szCs w:val="18"/>
                <w:lang w:eastAsia="en-GB"/>
              </w:rPr>
              <w:fldChar w:fldCharType="begin" w:fldLock="1"/>
            </w:r>
            <w:r w:rsidRPr="004C002E">
              <w:rPr>
                <w:rFonts w:eastAsia="Times New Roman"/>
                <w:color w:val="000000"/>
                <w:sz w:val="18"/>
                <w:szCs w:val="18"/>
                <w:lang w:eastAsia="en-GB"/>
              </w:rPr>
              <w:instrText>ADDIN CSL_CITATION {"citationItems":[{"id":"ITEM-1","itemData":{"DOI":"10.1038/ng.3644","ISSN":"1061-4036","PMID":"27548315","abstract":"An epidemiological paradox surrounds Salmonella enterica serovar Enteritidis. In high-income settings, it has been responsible for an epidemic of poultry-associated, self-limiting enterocolitis, whereas in sub-Saharan Africa it is a major cause of invasive nontyphoidal Salmonella disease, associated with high case fatality. By whole-genome sequence analysis of 675 isolates of S. Enteritidis from 45 countries, we show the existence of a global epidemic clade and two new clades of S. Enteritidis that are geographically restricted to distinct regions of Africa. The African isolates display genomic degradation, a novel prophage repertoire, and an expanded multidrug resistance plasmid. S. Enteritidis is a further example of a Salmonella serotype that displays niche plasticity, with distinct clades that enable it to become a prominent cause of gastroenteritis in association with the industrial production of eggs and of multidrug-resistant, bloodstream-invasive infection in Africa.","author":[{"dropping-particle":"","family":"Feasey","given":"Nicholas A.","non-dropping-particle":"","parse-names":false,"suffix":""},{"dropping-particle":"","family":"Hadfield","given":"James","non-dropping-particle":"","parse-names":false,"suffix":""},{"dropping-particle":"","family":"Keddy","given":"Karen H","non-dropping-particle":"","parse-names":false,"suffix":""},{"dropping-particle":"","family":"Dallman","given":"Timothy J","non-dropping-particle":"","parse-names":false,"suffix":""},{"dropping-particle":"","family":"Jacobs","given":"Jan","non-dropping-particle":"","parse-names":false,"suffix":""},{"dropping-particle":"","family":"Deng","given":"Xiangyu","non-dropping-particle":"","parse-names":false,"suffix":""},{"dropping-particle":"","family":"Wigley","given":"Paul","non-dropping-particle":"","parse-names":false,"suffix":""},{"dropping-particle":"","family":"Barquist Barquist","given":"Lars","non-dropping-particle":"","parse-names":false,"suffix":""},{"dropping-particle":"","family":"Langridge","given":"Gemma C.","non-dropping-particle":"","parse-names":false,"suffix":""},{"dropping-particle":"","family":"Feltwell","given":"Theresa","non-dropping-particle":"","parse-names":false,"suffix":""},{"dropping-particle":"","family":"Harris","given":"Simon R","non-dropping-particle":"","parse-names":false,"suffix":""},{"dropping-particle":"","family":"Mather","given":"Alison E","non-dropping-particle":"","parse-names":false,"suffix":""},{"dropping-particle":"","family":"Fookes","given":"Maria","non-dropping-particle":"","parse-names":false,"suffix":""},{"dropping-particle":"","family":"Aslett","given":"Martin","non-dropping-particle":"","parse-names":false,"suffix":""},{"dropping-particle":"","family":"Msefula","given":"Chisomo","non-dropping-particle":"","parse-names":false,"suffix":""},{"dropping-particle":"","family":"Kariuki","given":"Samuel","non-dropping-particle":"","parse-names":false,"suffix":""},{"dropping-particle":"","family":"Maclennan","given":"Calman A.","non-dropping-particle":"","parse-names":false,"suffix":""},{"dropping-particle":"","family":"Onsare","given":"Robert S","non-dropping-particle":"","parse-names":false,"suffix":""},{"dropping-particle":"","family":"Weill","given":"François-Xavier","non-dropping-particle":"","parse-names":false,"suffix":""},{"dropping-particle":"","family":"Hello","given":"Simon","non-dropping-particle":"Le","parse-names":false,"suffix":""},{"dropping-particle":"","family":"Smith","given":"Anthony M","non-dropping-particle":"","parse-names":false,"suffix":""},{"dropping-particle":"","family":"Mcclelland","given":"Michael","non-dropping-particle":"","parse-names":false,"suffix":""},{"dropping-particle":"","family":"Desai","given":"Prerak","non-dropping-particle":"","parse-names":false,"suffix":""},{"dropping-particle":"","family":"Parry","given":"Christopher M","non-dropping-particle":"","parse-names":false,"suffix":""},{"dropping-particle":"","family":"Cheesbrough","given":"John S.","non-dropping-particle":"","parse-names":false,"suffix":""},{"dropping-particle":"","family":"French","given":"Neil","non-dropping-particle":"","parse-names":false,"suffix":""},{"dropping-particle":"","family":"Campos","given":"Josefina","non-dropping-particle":"","parse-names":false,"suffix":""},{"dropping-particle":"","family":"Chabalgoity","given":"Jose A","non-dropping-particle":"","parse-names":false,"suffix":""},{"dropping-particle":"","family":"Betancor","given":"Laura","non-dropping-particle":"","parse-names":false,"suffix":""},{"dropping-particle":"","family":"Hopkins","given":"Katie L","non-dropping-particle":"","parse-names":false,"suffix":""},{"dropping-particle":"","family":"Nair","given":"Satheesh","non-dropping-particle":"","parse-names":false,"suffix":""},{"dropping-particle":"","family":"Humphrey","given":"Tom J","non-dropping-particle":"","parse-names":false,"suffix":""},{"dropping-particle":"","family":"Lunguya","given":"Octavie","non-dropping-particle":"","parse-names":false,"suffix":""},{"dropping-particle":"","family":"Cogan","given":"Tristan A","non-dropping-particle":"","parse-names":false,"suffix":""},{"dropping-particle":"","family":"Tapia","given":"Milagritos D","non-dropping-particle":"","parse-names":false,"suffix":""},{"dropping-particle":"","family":"Sow","given":"Samba O","non-dropping-particle":"","parse-names":false,"suffix":""},{"dropping-particle":"","family":"Tennant","given":"Sharon M","non-dropping-particle":"","parse-names":false,"suffix":""},{"dropping-particle":"","family":"Bornstein","given":"Kristin","non-dropping-particle":"","parse-names":false,"suffix":""},{"dropping-particle":"","family":"Levine","given":"Myron M","non-dropping-particle":"","parse-names":false,"suffix":""},{"dropping-particle":"","family":"Lacharme-Lora","given":"Lizeth","non-dropping-particle":"","parse-names":false,"suffix":""},{"dropping-particle":"","family":"Everett","given":"Dean B","non-dropping-particle":"","parse-names":false,"suffix":""},{"dropping-particle":"","family":"Kingsley","given":"Robert A.","non-dropping-particle":"","parse-names":false,"suffix":""},{"dropping-particle":"","family":"Parkhill","given":"Julian","non-dropping-particle":"","parse-names":false,"suffix":""},{"dropping-particle":"","family":"Heyderman","given":"Robert S","non-dropping-particle":"","parse-names":false,"suffix":""},{"dropping-particle":"","family":"Dougan","given":"Gordon","non-dropping-particle":"","parse-names":false,"suffix":""},{"dropping-particle":"","family":"Gordon","given":"Melita A.","non-dropping-particle":"","parse-names":false,"suffix":""},{"dropping-particle":"","family":"Thomson","given":"Nicholas R.","non-dropping-particle":"","parse-names":false,"suffix":""},{"dropping-particle":"","family":"Barquist","given":"Lars","non-dropping-particle":"","parse-names":false,"suffix":""},{"dropping-particle":"","family":"Gemma","given":"C","non-dropping-particle":"","parse-names":false,"suffix":""},{"dropping-particle":"Le","family":"Hello","given":"Simon","non-dropping-particle":"","parse-names":false,"suffix":""},{"dropping-particle":"","family":"Melita","given":"A","non-dropping-particle":"","parse-names":false,"suffix":""}],"container-title":"Nature Genetics","id":"ITEM-1","issue":"October 2015","issued":{"date-parts":[["2016"]]},"page":"1211-7","title":"Distinct &lt;i&gt;Salmonella&lt;/i&gt; Enteritidis lineages associated with enterocolitis in high-income settings and invasive disease in low-income settings","type":"article-journal","volume":"48"},"uris":["http://www.mendeley.com/documents/?uuid=0b337582-08a1-4754-a1c5-35df0ce1d920"]}],"mendeley":{"formattedCitation":"(3)","plainTextFormattedCitation":"(3)","previouslyFormattedCitation":"(3)"},"properties":{"noteIndex":0},"schema":"https://github.com/citation-style-language/schema/raw/master/csl-citation.json"}</w:instrText>
            </w:r>
            <w:r w:rsidRPr="004C002E">
              <w:rPr>
                <w:rFonts w:eastAsia="Times New Roman"/>
                <w:color w:val="000000"/>
                <w:sz w:val="18"/>
                <w:szCs w:val="18"/>
                <w:lang w:eastAsia="en-GB"/>
              </w:rPr>
              <w:fldChar w:fldCharType="separate"/>
            </w:r>
            <w:r w:rsidRPr="004C002E">
              <w:rPr>
                <w:rFonts w:eastAsia="Times New Roman"/>
                <w:noProof/>
                <w:color w:val="000000"/>
                <w:sz w:val="18"/>
                <w:szCs w:val="18"/>
                <w:lang w:eastAsia="en-GB"/>
              </w:rPr>
              <w:t>(3)</w:t>
            </w:r>
            <w:r w:rsidRPr="004C002E">
              <w:rPr>
                <w:rFonts w:eastAsia="Times New Roman"/>
                <w:color w:val="000000"/>
                <w:sz w:val="18"/>
                <w:szCs w:val="18"/>
                <w:lang w:eastAsia="en-GB"/>
              </w:rPr>
              <w:fldChar w:fldCharType="end"/>
            </w:r>
          </w:p>
        </w:tc>
        <w:tc>
          <w:tcPr>
            <w:tcW w:w="1152" w:type="dxa"/>
            <w:shd w:val="clear" w:color="auto" w:fill="auto"/>
            <w:vAlign w:val="center"/>
            <w:hideMark/>
          </w:tcPr>
          <w:p w14:paraId="56EAF285" w14:textId="1C17B61E" w:rsidR="00E84481" w:rsidRPr="004C002E" w:rsidRDefault="00E84481" w:rsidP="00840350">
            <w:pPr>
              <w:spacing w:after="0" w:line="240" w:lineRule="auto"/>
              <w:rPr>
                <w:rFonts w:eastAsia="Times New Roman"/>
                <w:color w:val="000000"/>
                <w:sz w:val="18"/>
                <w:szCs w:val="18"/>
                <w:lang w:eastAsia="en-GB"/>
              </w:rPr>
            </w:pPr>
            <w:r w:rsidRPr="004C002E">
              <w:rPr>
                <w:rFonts w:eastAsia="Times New Roman"/>
                <w:color w:val="000000"/>
                <w:sz w:val="18"/>
                <w:szCs w:val="18"/>
                <w:lang w:eastAsia="en-GB"/>
              </w:rPr>
              <w:t>pRGI00316 (4.9 kb</w:t>
            </w:r>
            <w:r w:rsidRPr="004C002E">
              <w:rPr>
                <w:rFonts w:eastAsia="Times New Roman"/>
                <w:sz w:val="18"/>
                <w:szCs w:val="18"/>
                <w:lang w:eastAsia="en-GB"/>
              </w:rPr>
              <w:t>)</w:t>
            </w:r>
            <w:r w:rsidRPr="004C002E">
              <w:rPr>
                <w:rFonts w:eastAsia="Times New Roman"/>
                <w:sz w:val="18"/>
                <w:szCs w:val="18"/>
                <w:lang w:eastAsia="en-GB"/>
              </w:rPr>
              <w:fldChar w:fldCharType="begin" w:fldLock="1"/>
            </w:r>
            <w:r w:rsidR="009016C9">
              <w:rPr>
                <w:rFonts w:eastAsia="Times New Roman"/>
                <w:sz w:val="18"/>
                <w:szCs w:val="18"/>
                <w:lang w:eastAsia="en-GB"/>
              </w:rPr>
              <w:instrText>ADDIN CSL_CITATION {"citationItems":[{"id":"ITEM-1","itemData":{"DOI":"10.1371/journal.pone.0087924","ISSN":"1932-6203","abstract":"Metagenomic approaches are widespread in microbiological research, but so far, the knowledge on extrachromosomal DNA diversity and composition has largely remained dependant on cultivating host organisms. Even with the emergence of metagenomics, complete circular sequences are rarely identified, and have required manual curation. We propose a robust in silico procedure for identifying complete small plasmids in metagenomic datasets from whole genome shotgun sequencing. From one very pure and exhaustively sequenced metamobilome from rat cecum, we identified a total of 616 circular sequences, 160 of which were carrying a gene with plasmid replication domain. Further homology analyses indicated that the majority of these plasmid sequences are novel. We confirmed the circularity of the complete plasmid candidates using an inverse-type PCR approach on a subset of sequences with 95% success, confirming the existence and length of discrete sequences. The implication of these findings is a broadened understanding of the traits of circular elements in nature and the possibility of massive data mining in existing metagenomic datasets to discover novel pools of complete plasmids thus vastly expanding the current plasmid database. © 2014 Jørgensen et al.","author":[{"dropping-particle":"","family":"Jørgensen","given":"Tue Sparholt","non-dropping-particle":"","parse-names":false,"suffix":""},{"dropping-particle":"","family":"Xu","given":"Zhuofei","non-dropping-particle":"","parse-names":false,"suffix":""},{"dropping-particle":"","family":"Hansen","given":"Martin Asser","non-dropping-particle":"","parse-names":false,"suffix":""},{"dropping-particle":"","family":"Sørensen","given":"Søren Johannes","non-dropping-particle":"","parse-names":false,"suffix":""},{"dropping-particle":"","family":"Hansen","given":"Lars Hestbjerg","non-dropping-particle":"","parse-names":false,"suffix":""}],"container-title":"PLoS ONE","editor":[{"dropping-particle":"","family":"White","given":"Bryan A.","non-dropping-particle":"","parse-names":false,"suffix":""}],"id":"ITEM-1","issue":"2","issued":{"date-parts":[["2014","2","4"]]},"page":"e87924","publisher":"Public Library of Science","title":"Hundreds of Circular Novel Plasmids and DNA Elements Identified in a Rat Cecum Metamobilome","type":"article-journal","volume":"9"},"uris":["http://www.mendeley.com/documents/?uuid=00c5a75d-0e5e-397e-add7-a8c66483ba52"]}],"mendeley":{"formattedCitation":"(17)","plainTextFormattedCitation":"(17)","previouslyFormattedCitation":"(17)"},"properties":{"noteIndex":0},"schema":"https://github.com/citation-style-language/schema/raw/master/csl-citation.json"}</w:instrText>
            </w:r>
            <w:r w:rsidRPr="004C002E">
              <w:rPr>
                <w:rFonts w:eastAsia="Times New Roman"/>
                <w:sz w:val="18"/>
                <w:szCs w:val="18"/>
                <w:lang w:eastAsia="en-GB"/>
              </w:rPr>
              <w:fldChar w:fldCharType="separate"/>
            </w:r>
            <w:r w:rsidRPr="004C002E">
              <w:rPr>
                <w:rFonts w:eastAsia="Times New Roman"/>
                <w:noProof/>
                <w:sz w:val="18"/>
                <w:szCs w:val="18"/>
                <w:lang w:eastAsia="en-GB"/>
              </w:rPr>
              <w:t>(17)</w:t>
            </w:r>
            <w:r w:rsidRPr="004C002E">
              <w:rPr>
                <w:rFonts w:eastAsia="Times New Roman"/>
                <w:sz w:val="18"/>
                <w:szCs w:val="18"/>
                <w:lang w:eastAsia="en-GB"/>
              </w:rPr>
              <w:fldChar w:fldCharType="end"/>
            </w:r>
          </w:p>
        </w:tc>
        <w:tc>
          <w:tcPr>
            <w:tcW w:w="993" w:type="dxa"/>
            <w:shd w:val="clear" w:color="auto" w:fill="auto"/>
            <w:noWrap/>
            <w:vAlign w:val="center"/>
            <w:hideMark/>
          </w:tcPr>
          <w:p w14:paraId="17993A01" w14:textId="77777777" w:rsidR="00E84481" w:rsidRPr="004C002E" w:rsidRDefault="00E84481" w:rsidP="00D72B23">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1,017</w:t>
            </w:r>
          </w:p>
        </w:tc>
        <w:tc>
          <w:tcPr>
            <w:tcW w:w="850" w:type="dxa"/>
            <w:shd w:val="clear" w:color="auto" w:fill="auto"/>
            <w:noWrap/>
            <w:vAlign w:val="center"/>
            <w:hideMark/>
          </w:tcPr>
          <w:p w14:paraId="6C52F50E" w14:textId="77777777" w:rsidR="00E84481" w:rsidRPr="004C002E" w:rsidRDefault="00E84481" w:rsidP="00D72B23">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0</w:t>
            </w:r>
          </w:p>
        </w:tc>
      </w:tr>
      <w:tr w:rsidR="00D72B23" w:rsidRPr="004C002E" w14:paraId="1FBF2E2D" w14:textId="77777777" w:rsidTr="00D72B23">
        <w:trPr>
          <w:trHeight w:val="596"/>
        </w:trPr>
        <w:tc>
          <w:tcPr>
            <w:tcW w:w="993" w:type="dxa"/>
            <w:shd w:val="clear" w:color="auto" w:fill="auto"/>
            <w:noWrap/>
            <w:vAlign w:val="center"/>
            <w:hideMark/>
          </w:tcPr>
          <w:p w14:paraId="692F2A27" w14:textId="77777777" w:rsidR="00E84481" w:rsidRPr="004C002E" w:rsidRDefault="00E84481" w:rsidP="00840350">
            <w:pPr>
              <w:spacing w:after="0" w:line="240" w:lineRule="auto"/>
              <w:rPr>
                <w:rFonts w:eastAsia="Times New Roman"/>
                <w:b/>
                <w:bCs/>
                <w:color w:val="000000"/>
                <w:sz w:val="18"/>
                <w:szCs w:val="18"/>
                <w:lang w:eastAsia="en-GB"/>
              </w:rPr>
            </w:pPr>
            <w:r w:rsidRPr="004C002E">
              <w:rPr>
                <w:rFonts w:eastAsia="Times New Roman"/>
                <w:b/>
                <w:bCs/>
                <w:color w:val="000000"/>
                <w:sz w:val="18"/>
                <w:szCs w:val="18"/>
                <w:lang w:eastAsia="en-GB"/>
              </w:rPr>
              <w:t>A1636</w:t>
            </w:r>
          </w:p>
        </w:tc>
        <w:tc>
          <w:tcPr>
            <w:tcW w:w="709" w:type="dxa"/>
            <w:vAlign w:val="center"/>
          </w:tcPr>
          <w:p w14:paraId="40BB2678" w14:textId="79E31001" w:rsidR="00E84481" w:rsidRPr="004C002E" w:rsidRDefault="00E84481" w:rsidP="00840350">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1998</w:t>
            </w:r>
          </w:p>
        </w:tc>
        <w:tc>
          <w:tcPr>
            <w:tcW w:w="1701" w:type="dxa"/>
            <w:shd w:val="clear" w:color="auto" w:fill="auto"/>
            <w:noWrap/>
            <w:vAlign w:val="center"/>
            <w:hideMark/>
          </w:tcPr>
          <w:p w14:paraId="51711307" w14:textId="1AF5E820" w:rsidR="00E84481" w:rsidRPr="004C002E" w:rsidRDefault="00123BEB" w:rsidP="00840350">
            <w:pPr>
              <w:spacing w:after="0" w:line="240" w:lineRule="auto"/>
              <w:rPr>
                <w:rFonts w:eastAsia="Times New Roman"/>
                <w:color w:val="1155CC"/>
                <w:sz w:val="18"/>
                <w:szCs w:val="18"/>
                <w:u w:val="single"/>
                <w:lang w:eastAsia="en-GB"/>
              </w:rPr>
            </w:pPr>
            <w:hyperlink r:id="rId27" w:history="1">
              <w:r w:rsidR="00E84481" w:rsidRPr="004C002E">
                <w:rPr>
                  <w:rFonts w:eastAsia="Times New Roman"/>
                  <w:color w:val="1155CC"/>
                  <w:sz w:val="18"/>
                  <w:szCs w:val="18"/>
                  <w:u w:val="single"/>
                  <w:lang w:eastAsia="en-GB"/>
                </w:rPr>
                <w:t>GCA_015241115</w:t>
              </w:r>
            </w:hyperlink>
          </w:p>
        </w:tc>
        <w:tc>
          <w:tcPr>
            <w:tcW w:w="1430" w:type="dxa"/>
            <w:shd w:val="clear" w:color="auto" w:fill="auto"/>
            <w:noWrap/>
            <w:vAlign w:val="center"/>
            <w:hideMark/>
          </w:tcPr>
          <w:p w14:paraId="79F3CCDB" w14:textId="06C4B68B" w:rsidR="00E84481" w:rsidRPr="004C002E" w:rsidRDefault="00123BEB" w:rsidP="005A1FDF">
            <w:pPr>
              <w:spacing w:after="0" w:line="240" w:lineRule="auto"/>
              <w:rPr>
                <w:rFonts w:eastAsia="Times New Roman"/>
                <w:color w:val="1155CC"/>
                <w:sz w:val="18"/>
                <w:szCs w:val="18"/>
                <w:u w:val="single"/>
                <w:lang w:eastAsia="en-GB"/>
              </w:rPr>
            </w:pPr>
            <w:hyperlink r:id="rId28" w:history="1">
              <w:r w:rsidR="00E84481" w:rsidRPr="004C002E">
                <w:rPr>
                  <w:rFonts w:eastAsia="Times New Roman"/>
                  <w:color w:val="1155CC"/>
                  <w:sz w:val="18"/>
                  <w:szCs w:val="18"/>
                  <w:u w:val="single"/>
                  <w:lang w:eastAsia="en-GB"/>
                </w:rPr>
                <w:t>SRR12953598</w:t>
              </w:r>
            </w:hyperlink>
            <w:r w:rsidR="00E84481" w:rsidRPr="004C002E">
              <w:rPr>
                <w:rFonts w:eastAsia="Times New Roman"/>
                <w:color w:val="1155CC"/>
                <w:sz w:val="18"/>
                <w:szCs w:val="18"/>
                <w:u w:val="single"/>
                <w:lang w:eastAsia="en-GB"/>
              </w:rPr>
              <w:br/>
            </w:r>
            <w:hyperlink r:id="rId29" w:history="1">
              <w:r w:rsidR="00E84481" w:rsidRPr="004C002E">
                <w:rPr>
                  <w:rFonts w:eastAsia="Times New Roman"/>
                  <w:color w:val="1155CC"/>
                  <w:sz w:val="18"/>
                  <w:szCs w:val="18"/>
                  <w:u w:val="single"/>
                  <w:lang w:eastAsia="en-GB"/>
                </w:rPr>
                <w:t>SRR12953599</w:t>
              </w:r>
            </w:hyperlink>
          </w:p>
        </w:tc>
        <w:tc>
          <w:tcPr>
            <w:tcW w:w="1122" w:type="dxa"/>
            <w:shd w:val="clear" w:color="auto" w:fill="auto"/>
            <w:vAlign w:val="center"/>
            <w:hideMark/>
          </w:tcPr>
          <w:p w14:paraId="1906DB2E" w14:textId="77777777" w:rsidR="00E84481" w:rsidRPr="004C002E" w:rsidRDefault="00E84481" w:rsidP="00840350">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3,859,080</w:t>
            </w:r>
          </w:p>
        </w:tc>
        <w:tc>
          <w:tcPr>
            <w:tcW w:w="992" w:type="dxa"/>
            <w:vAlign w:val="center"/>
          </w:tcPr>
          <w:p w14:paraId="0B4FCC02" w14:textId="2B6340EB" w:rsidR="00E84481" w:rsidRPr="004C002E" w:rsidRDefault="00765457" w:rsidP="00D72B23">
            <w:pPr>
              <w:spacing w:after="0" w:line="240" w:lineRule="auto"/>
              <w:jc w:val="right"/>
              <w:rPr>
                <w:rFonts w:eastAsia="Times New Roman"/>
                <w:color w:val="000000"/>
                <w:sz w:val="18"/>
                <w:szCs w:val="18"/>
                <w:lang w:eastAsia="en-GB"/>
              </w:rPr>
            </w:pPr>
            <w:r>
              <w:rPr>
                <w:rFonts w:eastAsia="Times New Roman"/>
                <w:color w:val="000000"/>
                <w:sz w:val="18"/>
                <w:szCs w:val="18"/>
                <w:lang w:eastAsia="en-GB"/>
              </w:rPr>
              <w:t>406.4</w:t>
            </w:r>
          </w:p>
        </w:tc>
        <w:tc>
          <w:tcPr>
            <w:tcW w:w="992" w:type="dxa"/>
            <w:shd w:val="clear" w:color="auto" w:fill="auto"/>
            <w:vAlign w:val="center"/>
            <w:hideMark/>
          </w:tcPr>
          <w:p w14:paraId="371343A9" w14:textId="2B843E1E" w:rsidR="00E84481" w:rsidRPr="004C002E" w:rsidRDefault="00E84481" w:rsidP="00D72B23">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97,435</w:t>
            </w:r>
          </w:p>
        </w:tc>
        <w:tc>
          <w:tcPr>
            <w:tcW w:w="850" w:type="dxa"/>
            <w:vAlign w:val="center"/>
          </w:tcPr>
          <w:p w14:paraId="09BC0132" w14:textId="5F88AF7E" w:rsidR="00E84481" w:rsidRPr="004C002E" w:rsidRDefault="008E4C95" w:rsidP="00D72B23">
            <w:pPr>
              <w:spacing w:after="0" w:line="240" w:lineRule="auto"/>
              <w:jc w:val="right"/>
              <w:rPr>
                <w:rFonts w:eastAsia="Times New Roman"/>
                <w:color w:val="000000"/>
                <w:sz w:val="18"/>
                <w:szCs w:val="18"/>
                <w:lang w:eastAsia="en-GB"/>
              </w:rPr>
            </w:pPr>
            <w:r>
              <w:rPr>
                <w:rFonts w:eastAsia="Times New Roman"/>
                <w:color w:val="000000"/>
                <w:sz w:val="18"/>
                <w:szCs w:val="18"/>
                <w:lang w:eastAsia="en-GB"/>
              </w:rPr>
              <w:t>16</w:t>
            </w:r>
            <w:r w:rsidR="00B304A1">
              <w:rPr>
                <w:rFonts w:eastAsia="Times New Roman"/>
                <w:color w:val="000000"/>
                <w:sz w:val="18"/>
                <w:szCs w:val="18"/>
                <w:lang w:eastAsia="en-GB"/>
              </w:rPr>
              <w:t>,</w:t>
            </w:r>
            <w:r>
              <w:rPr>
                <w:rFonts w:eastAsia="Times New Roman"/>
                <w:color w:val="000000"/>
                <w:sz w:val="18"/>
                <w:szCs w:val="18"/>
                <w:lang w:eastAsia="en-GB"/>
              </w:rPr>
              <w:t>873</w:t>
            </w:r>
          </w:p>
        </w:tc>
        <w:tc>
          <w:tcPr>
            <w:tcW w:w="851" w:type="dxa"/>
            <w:shd w:val="clear" w:color="auto" w:fill="auto"/>
            <w:noWrap/>
            <w:vAlign w:val="center"/>
            <w:hideMark/>
          </w:tcPr>
          <w:p w14:paraId="79177CF6" w14:textId="4EA77839" w:rsidR="00E84481" w:rsidRPr="004C002E" w:rsidRDefault="00E84481" w:rsidP="00840350">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52.20%</w:t>
            </w:r>
          </w:p>
        </w:tc>
        <w:tc>
          <w:tcPr>
            <w:tcW w:w="1134" w:type="dxa"/>
            <w:shd w:val="clear" w:color="auto" w:fill="auto"/>
            <w:noWrap/>
            <w:vAlign w:val="center"/>
            <w:hideMark/>
          </w:tcPr>
          <w:p w14:paraId="52018CAA" w14:textId="77777777" w:rsidR="00E84481" w:rsidRPr="00D72B23" w:rsidRDefault="00E84481" w:rsidP="00D72B23">
            <w:pPr>
              <w:spacing w:after="0" w:line="240" w:lineRule="auto"/>
              <w:jc w:val="right"/>
              <w:rPr>
                <w:rFonts w:eastAsia="Times New Roman"/>
                <w:color w:val="000000"/>
                <w:sz w:val="18"/>
                <w:szCs w:val="18"/>
                <w:lang w:eastAsia="en-GB"/>
              </w:rPr>
            </w:pPr>
            <w:r w:rsidRPr="00D72B23">
              <w:rPr>
                <w:rFonts w:eastAsia="Times New Roman"/>
                <w:color w:val="000000"/>
                <w:sz w:val="18"/>
                <w:szCs w:val="18"/>
                <w:lang w:eastAsia="en-GB"/>
              </w:rPr>
              <w:t>4,748,456</w:t>
            </w:r>
          </w:p>
        </w:tc>
        <w:tc>
          <w:tcPr>
            <w:tcW w:w="709" w:type="dxa"/>
            <w:shd w:val="clear" w:color="auto" w:fill="auto"/>
            <w:vAlign w:val="center"/>
            <w:hideMark/>
          </w:tcPr>
          <w:p w14:paraId="207E2CFA" w14:textId="77777777" w:rsidR="00E84481" w:rsidRPr="00D72B23" w:rsidRDefault="00E84481" w:rsidP="00D72B23">
            <w:pPr>
              <w:spacing w:after="0" w:line="240" w:lineRule="auto"/>
              <w:jc w:val="right"/>
              <w:rPr>
                <w:rFonts w:eastAsia="Times New Roman"/>
                <w:color w:val="000000"/>
                <w:sz w:val="18"/>
                <w:szCs w:val="18"/>
                <w:lang w:eastAsia="en-GB"/>
              </w:rPr>
            </w:pPr>
            <w:r w:rsidRPr="00D72B23">
              <w:rPr>
                <w:rFonts w:eastAsia="Times New Roman"/>
                <w:color w:val="000000"/>
                <w:sz w:val="18"/>
                <w:szCs w:val="18"/>
                <w:lang w:eastAsia="en-GB"/>
              </w:rPr>
              <w:t>4,608</w:t>
            </w:r>
          </w:p>
        </w:tc>
        <w:tc>
          <w:tcPr>
            <w:tcW w:w="1257" w:type="dxa"/>
            <w:shd w:val="clear" w:color="auto" w:fill="auto"/>
            <w:vAlign w:val="center"/>
            <w:hideMark/>
          </w:tcPr>
          <w:p w14:paraId="239036C8" w14:textId="77777777" w:rsidR="00E84481" w:rsidRPr="004C002E" w:rsidRDefault="00E84481" w:rsidP="00840350">
            <w:pPr>
              <w:spacing w:after="0" w:line="240" w:lineRule="auto"/>
              <w:rPr>
                <w:rFonts w:eastAsia="Times New Roman"/>
                <w:color w:val="000000"/>
                <w:sz w:val="18"/>
                <w:szCs w:val="18"/>
                <w:lang w:eastAsia="en-GB"/>
              </w:rPr>
            </w:pPr>
            <w:r w:rsidRPr="004C002E">
              <w:rPr>
                <w:rFonts w:eastAsia="Times New Roman"/>
                <w:color w:val="000000"/>
                <w:sz w:val="18"/>
                <w:szCs w:val="18"/>
                <w:lang w:eastAsia="en-GB"/>
              </w:rPr>
              <w:t>pSENV (59 kb)</w:t>
            </w:r>
          </w:p>
        </w:tc>
        <w:tc>
          <w:tcPr>
            <w:tcW w:w="1152" w:type="dxa"/>
            <w:shd w:val="clear" w:color="auto" w:fill="auto"/>
            <w:vAlign w:val="center"/>
            <w:hideMark/>
          </w:tcPr>
          <w:p w14:paraId="6E9266D4" w14:textId="77777777" w:rsidR="00E84481" w:rsidRPr="004C002E" w:rsidRDefault="00E84481" w:rsidP="00840350">
            <w:pPr>
              <w:spacing w:after="0" w:line="240" w:lineRule="auto"/>
              <w:rPr>
                <w:rFonts w:eastAsia="Times New Roman"/>
                <w:color w:val="000000"/>
                <w:sz w:val="18"/>
                <w:szCs w:val="18"/>
                <w:lang w:eastAsia="en-GB"/>
              </w:rPr>
            </w:pPr>
            <w:proofErr w:type="spellStart"/>
            <w:r w:rsidRPr="004C002E">
              <w:rPr>
                <w:rFonts w:eastAsia="Times New Roman"/>
                <w:color w:val="000000"/>
                <w:sz w:val="18"/>
                <w:szCs w:val="18"/>
                <w:lang w:eastAsia="en-GB"/>
              </w:rPr>
              <w:t>pSE</w:t>
            </w:r>
            <w:proofErr w:type="spellEnd"/>
            <w:r w:rsidRPr="004C002E">
              <w:rPr>
                <w:rFonts w:eastAsia="Times New Roman"/>
                <w:color w:val="000000"/>
                <w:sz w:val="18"/>
                <w:szCs w:val="18"/>
                <w:lang w:eastAsia="en-GB"/>
              </w:rPr>
              <w:t>-GC (3.2 kb)</w:t>
            </w:r>
          </w:p>
        </w:tc>
        <w:tc>
          <w:tcPr>
            <w:tcW w:w="993" w:type="dxa"/>
            <w:shd w:val="clear" w:color="auto" w:fill="auto"/>
            <w:noWrap/>
            <w:vAlign w:val="center"/>
            <w:hideMark/>
          </w:tcPr>
          <w:p w14:paraId="1C2247C5" w14:textId="77777777" w:rsidR="00E84481" w:rsidRPr="004C002E" w:rsidRDefault="00E84481" w:rsidP="00D72B23">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46</w:t>
            </w:r>
          </w:p>
        </w:tc>
        <w:tc>
          <w:tcPr>
            <w:tcW w:w="850" w:type="dxa"/>
            <w:shd w:val="clear" w:color="auto" w:fill="auto"/>
            <w:noWrap/>
            <w:vAlign w:val="center"/>
            <w:hideMark/>
          </w:tcPr>
          <w:p w14:paraId="6A281BCB" w14:textId="77777777" w:rsidR="00E84481" w:rsidRPr="004C002E" w:rsidRDefault="00E84481" w:rsidP="00D72B23">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1,022</w:t>
            </w:r>
          </w:p>
        </w:tc>
      </w:tr>
      <w:tr w:rsidR="00D72B23" w:rsidRPr="004C002E" w14:paraId="3C0D18C4" w14:textId="77777777" w:rsidTr="00D72B23">
        <w:trPr>
          <w:trHeight w:val="613"/>
        </w:trPr>
        <w:tc>
          <w:tcPr>
            <w:tcW w:w="993" w:type="dxa"/>
            <w:tcBorders>
              <w:bottom w:val="single" w:sz="4" w:space="0" w:color="auto"/>
            </w:tcBorders>
            <w:shd w:val="clear" w:color="auto" w:fill="auto"/>
            <w:noWrap/>
            <w:vAlign w:val="center"/>
            <w:hideMark/>
          </w:tcPr>
          <w:p w14:paraId="7D6BF637" w14:textId="77777777" w:rsidR="00E84481" w:rsidRPr="004C002E" w:rsidRDefault="00E84481" w:rsidP="00840350">
            <w:pPr>
              <w:spacing w:after="0" w:line="240" w:lineRule="auto"/>
              <w:rPr>
                <w:rFonts w:eastAsia="Times New Roman"/>
                <w:b/>
                <w:bCs/>
                <w:color w:val="000000"/>
                <w:sz w:val="18"/>
                <w:szCs w:val="18"/>
                <w:lang w:eastAsia="en-GB"/>
              </w:rPr>
            </w:pPr>
            <w:r w:rsidRPr="004C002E">
              <w:rPr>
                <w:rFonts w:eastAsia="Times New Roman"/>
                <w:b/>
                <w:bCs/>
                <w:color w:val="000000"/>
                <w:sz w:val="18"/>
                <w:szCs w:val="18"/>
                <w:lang w:eastAsia="en-GB"/>
              </w:rPr>
              <w:t>P125109</w:t>
            </w:r>
          </w:p>
        </w:tc>
        <w:tc>
          <w:tcPr>
            <w:tcW w:w="709" w:type="dxa"/>
            <w:tcBorders>
              <w:bottom w:val="single" w:sz="4" w:space="0" w:color="auto"/>
            </w:tcBorders>
            <w:vAlign w:val="center"/>
          </w:tcPr>
          <w:p w14:paraId="7D77FE80" w14:textId="2CC1EB7A" w:rsidR="00E84481" w:rsidRPr="004C002E" w:rsidRDefault="00E84481" w:rsidP="00840350">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1988</w:t>
            </w:r>
          </w:p>
        </w:tc>
        <w:tc>
          <w:tcPr>
            <w:tcW w:w="1701" w:type="dxa"/>
            <w:tcBorders>
              <w:bottom w:val="single" w:sz="4" w:space="0" w:color="auto"/>
            </w:tcBorders>
            <w:shd w:val="clear" w:color="auto" w:fill="auto"/>
            <w:noWrap/>
            <w:vAlign w:val="center"/>
            <w:hideMark/>
          </w:tcPr>
          <w:p w14:paraId="31D18D93" w14:textId="5836A6E7" w:rsidR="00E84481" w:rsidRPr="004C002E" w:rsidRDefault="00123BEB" w:rsidP="00840350">
            <w:pPr>
              <w:spacing w:after="0" w:line="240" w:lineRule="auto"/>
              <w:rPr>
                <w:rFonts w:eastAsia="Times New Roman"/>
                <w:color w:val="1155CC"/>
                <w:sz w:val="18"/>
                <w:szCs w:val="18"/>
                <w:u w:val="single"/>
                <w:lang w:eastAsia="en-GB"/>
              </w:rPr>
            </w:pPr>
            <w:hyperlink r:id="rId30" w:history="1">
              <w:r w:rsidR="00E84481" w:rsidRPr="004C002E">
                <w:rPr>
                  <w:rFonts w:eastAsia="Times New Roman"/>
                  <w:color w:val="1155CC"/>
                  <w:sz w:val="18"/>
                  <w:szCs w:val="18"/>
                  <w:u w:val="single"/>
                  <w:lang w:eastAsia="en-GB"/>
                </w:rPr>
                <w:t>GCA_015240635</w:t>
              </w:r>
            </w:hyperlink>
          </w:p>
        </w:tc>
        <w:tc>
          <w:tcPr>
            <w:tcW w:w="1430" w:type="dxa"/>
            <w:tcBorders>
              <w:bottom w:val="single" w:sz="4" w:space="0" w:color="auto"/>
            </w:tcBorders>
            <w:shd w:val="clear" w:color="auto" w:fill="auto"/>
            <w:noWrap/>
            <w:vAlign w:val="center"/>
            <w:hideMark/>
          </w:tcPr>
          <w:p w14:paraId="4F3101F7" w14:textId="3561DA72" w:rsidR="00E84481" w:rsidRPr="004C002E" w:rsidRDefault="00123BEB" w:rsidP="005A1FDF">
            <w:pPr>
              <w:spacing w:after="0" w:line="240" w:lineRule="auto"/>
              <w:rPr>
                <w:rFonts w:eastAsia="Times New Roman"/>
                <w:color w:val="1155CC"/>
                <w:sz w:val="18"/>
                <w:szCs w:val="18"/>
                <w:u w:val="single"/>
                <w:lang w:eastAsia="en-GB"/>
              </w:rPr>
            </w:pPr>
            <w:hyperlink r:id="rId31" w:history="1">
              <w:r w:rsidR="00E84481" w:rsidRPr="004C002E">
                <w:rPr>
                  <w:rFonts w:eastAsia="Times New Roman"/>
                  <w:color w:val="1155CC"/>
                  <w:sz w:val="18"/>
                  <w:szCs w:val="18"/>
                  <w:u w:val="single"/>
                  <w:lang w:eastAsia="en-GB"/>
                </w:rPr>
                <w:t>SRR12953600</w:t>
              </w:r>
            </w:hyperlink>
            <w:r w:rsidR="00E84481" w:rsidRPr="004C002E">
              <w:rPr>
                <w:rFonts w:eastAsia="Times New Roman"/>
                <w:color w:val="1155CC"/>
                <w:sz w:val="18"/>
                <w:szCs w:val="18"/>
                <w:u w:val="single"/>
                <w:lang w:eastAsia="en-GB"/>
              </w:rPr>
              <w:br/>
            </w:r>
            <w:hyperlink r:id="rId32" w:history="1">
              <w:r w:rsidR="00E84481" w:rsidRPr="004C002E">
                <w:rPr>
                  <w:rFonts w:eastAsia="Times New Roman"/>
                  <w:color w:val="1155CC"/>
                  <w:sz w:val="18"/>
                  <w:szCs w:val="18"/>
                  <w:u w:val="single"/>
                  <w:lang w:eastAsia="en-GB"/>
                </w:rPr>
                <w:t>SRR12953601</w:t>
              </w:r>
            </w:hyperlink>
          </w:p>
        </w:tc>
        <w:tc>
          <w:tcPr>
            <w:tcW w:w="1122" w:type="dxa"/>
            <w:tcBorders>
              <w:bottom w:val="single" w:sz="4" w:space="0" w:color="auto"/>
            </w:tcBorders>
            <w:shd w:val="clear" w:color="auto" w:fill="auto"/>
            <w:vAlign w:val="center"/>
            <w:hideMark/>
          </w:tcPr>
          <w:p w14:paraId="26253819" w14:textId="77777777" w:rsidR="00E84481" w:rsidRPr="004C002E" w:rsidRDefault="00E84481" w:rsidP="00840350">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587,289</w:t>
            </w:r>
          </w:p>
        </w:tc>
        <w:tc>
          <w:tcPr>
            <w:tcW w:w="992" w:type="dxa"/>
            <w:tcBorders>
              <w:bottom w:val="single" w:sz="4" w:space="0" w:color="auto"/>
            </w:tcBorders>
            <w:vAlign w:val="center"/>
          </w:tcPr>
          <w:p w14:paraId="7434DFBF" w14:textId="00EF4390" w:rsidR="00E84481" w:rsidRPr="004C002E" w:rsidRDefault="00765457" w:rsidP="00D72B23">
            <w:pPr>
              <w:spacing w:after="0" w:line="240" w:lineRule="auto"/>
              <w:jc w:val="right"/>
              <w:rPr>
                <w:rFonts w:eastAsia="Times New Roman"/>
                <w:color w:val="000000"/>
                <w:sz w:val="18"/>
                <w:szCs w:val="18"/>
                <w:lang w:eastAsia="en-GB"/>
              </w:rPr>
            </w:pPr>
            <w:r>
              <w:rPr>
                <w:rFonts w:eastAsia="Times New Roman"/>
                <w:color w:val="000000"/>
                <w:sz w:val="18"/>
                <w:szCs w:val="18"/>
                <w:lang w:eastAsia="en-GB"/>
              </w:rPr>
              <w:t>61.9</w:t>
            </w:r>
          </w:p>
        </w:tc>
        <w:tc>
          <w:tcPr>
            <w:tcW w:w="992" w:type="dxa"/>
            <w:tcBorders>
              <w:bottom w:val="single" w:sz="4" w:space="0" w:color="auto"/>
            </w:tcBorders>
            <w:shd w:val="clear" w:color="auto" w:fill="auto"/>
            <w:vAlign w:val="center"/>
            <w:hideMark/>
          </w:tcPr>
          <w:p w14:paraId="7CE5E8FA" w14:textId="2E00EA9A" w:rsidR="00E84481" w:rsidRPr="004C002E" w:rsidRDefault="00E84481" w:rsidP="00D72B23">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92,761</w:t>
            </w:r>
          </w:p>
        </w:tc>
        <w:tc>
          <w:tcPr>
            <w:tcW w:w="850" w:type="dxa"/>
            <w:tcBorders>
              <w:bottom w:val="single" w:sz="4" w:space="0" w:color="auto"/>
            </w:tcBorders>
            <w:vAlign w:val="center"/>
          </w:tcPr>
          <w:p w14:paraId="47DDF9DF" w14:textId="19C153A3" w:rsidR="00E84481" w:rsidRPr="004C002E" w:rsidRDefault="008E4C95" w:rsidP="00D72B23">
            <w:pPr>
              <w:spacing w:after="0" w:line="240" w:lineRule="auto"/>
              <w:jc w:val="right"/>
              <w:rPr>
                <w:rFonts w:eastAsia="Times New Roman"/>
                <w:color w:val="000000"/>
                <w:sz w:val="18"/>
                <w:szCs w:val="18"/>
                <w:lang w:eastAsia="en-GB"/>
              </w:rPr>
            </w:pPr>
            <w:r>
              <w:rPr>
                <w:rFonts w:eastAsia="Times New Roman"/>
                <w:color w:val="000000"/>
                <w:sz w:val="18"/>
                <w:szCs w:val="18"/>
                <w:lang w:eastAsia="en-GB"/>
              </w:rPr>
              <w:t>17</w:t>
            </w:r>
            <w:r w:rsidR="00B304A1">
              <w:rPr>
                <w:rFonts w:eastAsia="Times New Roman"/>
                <w:color w:val="000000"/>
                <w:sz w:val="18"/>
                <w:szCs w:val="18"/>
                <w:lang w:eastAsia="en-GB"/>
              </w:rPr>
              <w:t>,</w:t>
            </w:r>
            <w:r>
              <w:rPr>
                <w:rFonts w:eastAsia="Times New Roman"/>
                <w:color w:val="000000"/>
                <w:sz w:val="18"/>
                <w:szCs w:val="18"/>
                <w:lang w:eastAsia="en-GB"/>
              </w:rPr>
              <w:t>272</w:t>
            </w:r>
          </w:p>
        </w:tc>
        <w:tc>
          <w:tcPr>
            <w:tcW w:w="851" w:type="dxa"/>
            <w:tcBorders>
              <w:bottom w:val="single" w:sz="4" w:space="0" w:color="auto"/>
            </w:tcBorders>
            <w:shd w:val="clear" w:color="auto" w:fill="auto"/>
            <w:noWrap/>
            <w:vAlign w:val="center"/>
            <w:hideMark/>
          </w:tcPr>
          <w:p w14:paraId="1B27AD1E" w14:textId="6805F6E7" w:rsidR="00E84481" w:rsidRPr="004C002E" w:rsidRDefault="00E84481" w:rsidP="00840350">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52.20%</w:t>
            </w:r>
          </w:p>
        </w:tc>
        <w:tc>
          <w:tcPr>
            <w:tcW w:w="1134" w:type="dxa"/>
            <w:tcBorders>
              <w:bottom w:val="single" w:sz="4" w:space="0" w:color="auto"/>
            </w:tcBorders>
            <w:shd w:val="clear" w:color="auto" w:fill="auto"/>
            <w:noWrap/>
            <w:vAlign w:val="center"/>
            <w:hideMark/>
          </w:tcPr>
          <w:p w14:paraId="2FCE1AB8" w14:textId="77777777" w:rsidR="00E84481" w:rsidRPr="00D72B23" w:rsidRDefault="00E84481" w:rsidP="00D72B23">
            <w:pPr>
              <w:spacing w:after="0" w:line="240" w:lineRule="auto"/>
              <w:jc w:val="right"/>
              <w:rPr>
                <w:rFonts w:eastAsia="Times New Roman"/>
                <w:color w:val="000000"/>
                <w:sz w:val="18"/>
                <w:szCs w:val="18"/>
                <w:lang w:eastAsia="en-GB"/>
              </w:rPr>
            </w:pPr>
            <w:r w:rsidRPr="00D72B23">
              <w:rPr>
                <w:rFonts w:eastAsia="Times New Roman"/>
                <w:color w:val="000000"/>
                <w:sz w:val="18"/>
                <w:szCs w:val="18"/>
                <w:lang w:eastAsia="en-GB"/>
              </w:rPr>
              <w:t>4,745,224</w:t>
            </w:r>
          </w:p>
        </w:tc>
        <w:tc>
          <w:tcPr>
            <w:tcW w:w="709" w:type="dxa"/>
            <w:tcBorders>
              <w:bottom w:val="single" w:sz="4" w:space="0" w:color="auto"/>
            </w:tcBorders>
            <w:shd w:val="clear" w:color="auto" w:fill="auto"/>
            <w:vAlign w:val="center"/>
            <w:hideMark/>
          </w:tcPr>
          <w:p w14:paraId="10E3C642" w14:textId="77777777" w:rsidR="00E84481" w:rsidRPr="00D72B23" w:rsidRDefault="00E84481" w:rsidP="00D72B23">
            <w:pPr>
              <w:spacing w:after="0" w:line="240" w:lineRule="auto"/>
              <w:jc w:val="right"/>
              <w:rPr>
                <w:rFonts w:eastAsia="Times New Roman"/>
                <w:color w:val="000000"/>
                <w:sz w:val="18"/>
                <w:szCs w:val="18"/>
                <w:lang w:eastAsia="en-GB"/>
              </w:rPr>
            </w:pPr>
            <w:r w:rsidRPr="00D72B23">
              <w:rPr>
                <w:rFonts w:eastAsia="Times New Roman"/>
                <w:color w:val="000000"/>
                <w:sz w:val="18"/>
                <w:szCs w:val="18"/>
                <w:lang w:eastAsia="en-GB"/>
              </w:rPr>
              <w:t>4,606</w:t>
            </w:r>
          </w:p>
        </w:tc>
        <w:tc>
          <w:tcPr>
            <w:tcW w:w="1257" w:type="dxa"/>
            <w:tcBorders>
              <w:bottom w:val="single" w:sz="4" w:space="0" w:color="auto"/>
            </w:tcBorders>
            <w:shd w:val="clear" w:color="auto" w:fill="auto"/>
            <w:vAlign w:val="center"/>
            <w:hideMark/>
          </w:tcPr>
          <w:p w14:paraId="0D399B69" w14:textId="7A31EAED" w:rsidR="00E84481" w:rsidRPr="004C002E" w:rsidRDefault="00E84481" w:rsidP="00840350">
            <w:pPr>
              <w:spacing w:after="0" w:line="240" w:lineRule="auto"/>
              <w:rPr>
                <w:rFonts w:eastAsia="Times New Roman"/>
                <w:color w:val="000000"/>
                <w:sz w:val="18"/>
                <w:szCs w:val="18"/>
                <w:lang w:eastAsia="en-GB"/>
              </w:rPr>
            </w:pPr>
            <w:r w:rsidRPr="004C002E">
              <w:rPr>
                <w:rFonts w:eastAsia="Times New Roman"/>
                <w:color w:val="000000"/>
                <w:sz w:val="18"/>
                <w:szCs w:val="18"/>
                <w:lang w:eastAsia="en-GB"/>
              </w:rPr>
              <w:t>pSENV (59 kb)</w:t>
            </w:r>
          </w:p>
        </w:tc>
        <w:tc>
          <w:tcPr>
            <w:tcW w:w="1152" w:type="dxa"/>
            <w:tcBorders>
              <w:bottom w:val="single" w:sz="4" w:space="0" w:color="auto"/>
            </w:tcBorders>
            <w:shd w:val="clear" w:color="auto" w:fill="auto"/>
            <w:vAlign w:val="center"/>
            <w:hideMark/>
          </w:tcPr>
          <w:p w14:paraId="760BBEEB" w14:textId="77777777" w:rsidR="00E84481" w:rsidRPr="004C002E" w:rsidRDefault="00E84481" w:rsidP="00840350">
            <w:pPr>
              <w:spacing w:after="0" w:line="240" w:lineRule="auto"/>
              <w:jc w:val="center"/>
              <w:rPr>
                <w:rFonts w:eastAsia="Times New Roman"/>
                <w:color w:val="000000"/>
                <w:sz w:val="18"/>
                <w:szCs w:val="18"/>
                <w:lang w:eastAsia="en-GB"/>
              </w:rPr>
            </w:pPr>
          </w:p>
        </w:tc>
        <w:tc>
          <w:tcPr>
            <w:tcW w:w="993" w:type="dxa"/>
            <w:tcBorders>
              <w:bottom w:val="single" w:sz="4" w:space="0" w:color="auto"/>
            </w:tcBorders>
            <w:shd w:val="clear" w:color="auto" w:fill="auto"/>
            <w:noWrap/>
            <w:vAlign w:val="center"/>
            <w:hideMark/>
          </w:tcPr>
          <w:p w14:paraId="3D83426D" w14:textId="77777777" w:rsidR="00E84481" w:rsidRPr="004C002E" w:rsidRDefault="00E84481" w:rsidP="00D72B23">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0</w:t>
            </w:r>
          </w:p>
        </w:tc>
        <w:tc>
          <w:tcPr>
            <w:tcW w:w="850" w:type="dxa"/>
            <w:tcBorders>
              <w:bottom w:val="single" w:sz="4" w:space="0" w:color="auto"/>
            </w:tcBorders>
            <w:shd w:val="clear" w:color="auto" w:fill="auto"/>
            <w:noWrap/>
            <w:vAlign w:val="center"/>
            <w:hideMark/>
          </w:tcPr>
          <w:p w14:paraId="6F982D41" w14:textId="77777777" w:rsidR="00E84481" w:rsidRPr="004C002E" w:rsidRDefault="00E84481" w:rsidP="00D72B23">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1,022</w:t>
            </w:r>
          </w:p>
        </w:tc>
      </w:tr>
    </w:tbl>
    <w:p w14:paraId="11AA24AC" w14:textId="56ED1F43" w:rsidR="0044554C" w:rsidRPr="0044554C" w:rsidRDefault="00992FBB" w:rsidP="00992FBB">
      <w:pPr>
        <w:widowControl w:val="0"/>
        <w:autoSpaceDE w:val="0"/>
        <w:autoSpaceDN w:val="0"/>
        <w:adjustRightInd w:val="0"/>
        <w:spacing w:after="0" w:line="240" w:lineRule="auto"/>
        <w:ind w:left="640" w:hanging="640"/>
        <w:rPr>
          <w:sz w:val="20"/>
        </w:rPr>
      </w:pPr>
      <w:proofErr w:type="spellStart"/>
      <w:r>
        <w:rPr>
          <w:sz w:val="20"/>
          <w:vertAlign w:val="superscript"/>
        </w:rPr>
        <w:t>a</w:t>
      </w:r>
      <w:r w:rsidR="0044554C">
        <w:rPr>
          <w:sz w:val="20"/>
        </w:rPr>
        <w:t>Accession</w:t>
      </w:r>
      <w:proofErr w:type="spellEnd"/>
      <w:r w:rsidR="0044554C">
        <w:rPr>
          <w:sz w:val="20"/>
        </w:rPr>
        <w:t xml:space="preserve"> numbers for raw short</w:t>
      </w:r>
      <w:r w:rsidR="000F7F26">
        <w:rPr>
          <w:sz w:val="20"/>
        </w:rPr>
        <w:t xml:space="preserve"> (</w:t>
      </w:r>
      <w:r w:rsidR="0044554C">
        <w:rPr>
          <w:sz w:val="20"/>
        </w:rPr>
        <w:t>Illumina</w:t>
      </w:r>
      <w:r w:rsidR="000F7F26">
        <w:rPr>
          <w:sz w:val="20"/>
        </w:rPr>
        <w:t>)</w:t>
      </w:r>
      <w:r w:rsidR="0044554C">
        <w:rPr>
          <w:sz w:val="20"/>
        </w:rPr>
        <w:t xml:space="preserve"> and </w:t>
      </w:r>
      <w:r w:rsidR="000F7F26">
        <w:rPr>
          <w:sz w:val="20"/>
        </w:rPr>
        <w:t>long (</w:t>
      </w:r>
      <w:r w:rsidR="0044554C">
        <w:rPr>
          <w:sz w:val="20"/>
        </w:rPr>
        <w:t>PacBio</w:t>
      </w:r>
      <w:r w:rsidR="000F7F26">
        <w:rPr>
          <w:sz w:val="20"/>
        </w:rPr>
        <w:t>)</w:t>
      </w:r>
      <w:r w:rsidR="0044554C">
        <w:rPr>
          <w:sz w:val="20"/>
        </w:rPr>
        <w:t xml:space="preserve"> reads</w:t>
      </w:r>
    </w:p>
    <w:p w14:paraId="132D46FC" w14:textId="35AD6FDE" w:rsidR="00992FBB" w:rsidRPr="00C01828" w:rsidRDefault="0044554C" w:rsidP="00992FBB">
      <w:pPr>
        <w:widowControl w:val="0"/>
        <w:autoSpaceDE w:val="0"/>
        <w:autoSpaceDN w:val="0"/>
        <w:adjustRightInd w:val="0"/>
        <w:spacing w:after="0" w:line="240" w:lineRule="auto"/>
        <w:ind w:left="640" w:hanging="640"/>
        <w:rPr>
          <w:sz w:val="20"/>
        </w:rPr>
      </w:pPr>
      <w:proofErr w:type="spellStart"/>
      <w:r w:rsidRPr="0044554C">
        <w:rPr>
          <w:sz w:val="20"/>
          <w:vertAlign w:val="superscript"/>
        </w:rPr>
        <w:t>b</w:t>
      </w:r>
      <w:r w:rsidR="00992FBB">
        <w:rPr>
          <w:sz w:val="20"/>
        </w:rPr>
        <w:t>Number</w:t>
      </w:r>
      <w:proofErr w:type="spellEnd"/>
      <w:r w:rsidR="00992FBB">
        <w:rPr>
          <w:sz w:val="20"/>
        </w:rPr>
        <w:t xml:space="preserve"> in parenthesis indicates plasmid size in kb</w:t>
      </w:r>
      <w:r w:rsidR="002D5253">
        <w:rPr>
          <w:sz w:val="20"/>
        </w:rPr>
        <w:t xml:space="preserve"> and reference</w:t>
      </w:r>
    </w:p>
    <w:p w14:paraId="6C4704C3" w14:textId="76DB8E2A" w:rsidR="00992FBB" w:rsidRPr="00C01828" w:rsidRDefault="0044554C" w:rsidP="00992FBB">
      <w:pPr>
        <w:widowControl w:val="0"/>
        <w:autoSpaceDE w:val="0"/>
        <w:autoSpaceDN w:val="0"/>
        <w:adjustRightInd w:val="0"/>
        <w:spacing w:after="0" w:line="240" w:lineRule="auto"/>
        <w:ind w:left="640" w:hanging="640"/>
        <w:rPr>
          <w:sz w:val="20"/>
        </w:rPr>
      </w:pPr>
      <w:proofErr w:type="spellStart"/>
      <w:r>
        <w:rPr>
          <w:sz w:val="20"/>
          <w:vertAlign w:val="superscript"/>
        </w:rPr>
        <w:t>c</w:t>
      </w:r>
      <w:r w:rsidR="001530E7" w:rsidRPr="00C01828">
        <w:rPr>
          <w:sz w:val="20"/>
        </w:rPr>
        <w:t>SNP</w:t>
      </w:r>
      <w:proofErr w:type="spellEnd"/>
      <w:r w:rsidR="001530E7" w:rsidRPr="00C01828">
        <w:rPr>
          <w:sz w:val="20"/>
        </w:rPr>
        <w:t xml:space="preserve"> (single nucleotide polymorphisms) identified in whole genome</w:t>
      </w:r>
      <w:r w:rsidR="000170A2">
        <w:rPr>
          <w:sz w:val="20"/>
        </w:rPr>
        <w:t>-based</w:t>
      </w:r>
      <w:r w:rsidR="001530E7" w:rsidRPr="00C01828">
        <w:rPr>
          <w:sz w:val="20"/>
        </w:rPr>
        <w:t xml:space="preserve"> sequence comparison </w:t>
      </w:r>
      <w:r w:rsidR="000170A2">
        <w:rPr>
          <w:sz w:val="20"/>
        </w:rPr>
        <w:t>against</w:t>
      </w:r>
      <w:r w:rsidR="000170A2" w:rsidRPr="00C01828">
        <w:rPr>
          <w:sz w:val="20"/>
        </w:rPr>
        <w:t xml:space="preserve"> </w:t>
      </w:r>
      <w:r w:rsidR="001530E7" w:rsidRPr="00C01828">
        <w:rPr>
          <w:sz w:val="20"/>
        </w:rPr>
        <w:t xml:space="preserve">either </w:t>
      </w:r>
      <w:r w:rsidR="001530E7" w:rsidRPr="00C01828">
        <w:rPr>
          <w:i/>
          <w:sz w:val="20"/>
        </w:rPr>
        <w:t xml:space="preserve">S. </w:t>
      </w:r>
      <w:r w:rsidR="001530E7" w:rsidRPr="00C01828">
        <w:rPr>
          <w:sz w:val="20"/>
        </w:rPr>
        <w:t>Enteritidis P125109 or D7795</w:t>
      </w:r>
    </w:p>
    <w:sectPr w:rsidR="00992FBB" w:rsidRPr="00C01828" w:rsidSect="004D117F">
      <w:pgSz w:w="16838" w:h="11906" w:orient="landscape"/>
      <w:pgMar w:top="1440" w:right="253" w:bottom="1440" w:left="851"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4C2A4" w16cex:dateUtc="2020-12-16T17: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4C1B8" w14:textId="77777777" w:rsidR="00123BEB" w:rsidRDefault="00123BEB" w:rsidP="00455EF2">
      <w:r>
        <w:separator/>
      </w:r>
    </w:p>
    <w:p w14:paraId="00A87861" w14:textId="77777777" w:rsidR="00123BEB" w:rsidRDefault="00123BEB" w:rsidP="00455EF2"/>
    <w:p w14:paraId="5A1ECE1E" w14:textId="77777777" w:rsidR="00123BEB" w:rsidRDefault="00123BEB" w:rsidP="00455EF2"/>
  </w:endnote>
  <w:endnote w:type="continuationSeparator" w:id="0">
    <w:p w14:paraId="3A6950A5" w14:textId="77777777" w:rsidR="00123BEB" w:rsidRDefault="00123BEB" w:rsidP="00455EF2">
      <w:r>
        <w:continuationSeparator/>
      </w:r>
    </w:p>
    <w:p w14:paraId="754795B1" w14:textId="77777777" w:rsidR="00123BEB" w:rsidRDefault="00123BEB" w:rsidP="00455EF2"/>
    <w:p w14:paraId="564699A4" w14:textId="77777777" w:rsidR="00123BEB" w:rsidRDefault="00123BEB" w:rsidP="00455E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BEBA9" w14:textId="77777777" w:rsidR="00123BEB" w:rsidRDefault="00123BEB" w:rsidP="00455EF2">
      <w:r>
        <w:separator/>
      </w:r>
    </w:p>
    <w:p w14:paraId="455C997F" w14:textId="77777777" w:rsidR="00123BEB" w:rsidRDefault="00123BEB" w:rsidP="00455EF2"/>
    <w:p w14:paraId="0C797495" w14:textId="77777777" w:rsidR="00123BEB" w:rsidRDefault="00123BEB" w:rsidP="00455EF2"/>
  </w:footnote>
  <w:footnote w:type="continuationSeparator" w:id="0">
    <w:p w14:paraId="2BC24CAA" w14:textId="77777777" w:rsidR="00123BEB" w:rsidRDefault="00123BEB" w:rsidP="00455EF2">
      <w:r>
        <w:continuationSeparator/>
      </w:r>
    </w:p>
    <w:p w14:paraId="5803D7FE" w14:textId="77777777" w:rsidR="00123BEB" w:rsidRDefault="00123BEB" w:rsidP="00455EF2"/>
    <w:p w14:paraId="26821AFE" w14:textId="77777777" w:rsidR="00123BEB" w:rsidRDefault="00123BEB" w:rsidP="00455E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9244" w14:textId="5D5B8AE4" w:rsidR="00BC19E2" w:rsidRDefault="00BC19E2" w:rsidP="00455EF2">
    <w:pPr>
      <w:pStyle w:val="Header"/>
      <w:pBdr>
        <w:bottom w:val="single" w:sz="8" w:space="1" w:color="BFBFBF" w:themeColor="background1" w:themeShade="BF"/>
      </w:pBdr>
    </w:pPr>
    <w:r>
      <w:t>Perez-Sepulveda</w:t>
    </w:r>
    <w:r w:rsidR="00FB1BED">
      <w:t xml:space="preserve"> et al.</w:t>
    </w:r>
    <w:r w:rsidR="00FB1BED">
      <w:tab/>
    </w:r>
    <w:r w:rsidR="00FB1BED" w:rsidRPr="003F2734">
      <w:t xml:space="preserve">African </w:t>
    </w:r>
    <w:r w:rsidR="00FB1BED" w:rsidRPr="003F2734">
      <w:rPr>
        <w:i/>
      </w:rPr>
      <w:t xml:space="preserve">S. </w:t>
    </w:r>
    <w:r w:rsidR="00FB1BED" w:rsidRPr="003F2734">
      <w:t>Enteritidis</w:t>
    </w:r>
    <w:r w:rsidR="00FB1BED" w:rsidRPr="00751925">
      <w:t xml:space="preserve"> </w:t>
    </w:r>
    <w:r w:rsidR="00FB1BED">
      <w:t>g</w:t>
    </w:r>
    <w:r w:rsidR="00FB1BED" w:rsidRPr="003F2734">
      <w:t>enome announcement</w:t>
    </w:r>
    <w:r>
      <w:tab/>
    </w:r>
    <w:sdt>
      <w:sdtPr>
        <w:id w:val="-341712334"/>
        <w:docPartObj>
          <w:docPartGallery w:val="Page Numbers (Top of Page)"/>
          <w:docPartUnique/>
        </w:docPartObj>
      </w:sdtPr>
      <w:sdtEndPr>
        <w:rPr>
          <w:b/>
          <w:bCs/>
          <w:noProof/>
        </w:rPr>
      </w:sdtEndPr>
      <w:sdtContent>
        <w:r w:rsidRPr="007F3FFD">
          <w:t xml:space="preserve">Page | </w:t>
        </w:r>
        <w:r w:rsidRPr="007F3FFD">
          <w:fldChar w:fldCharType="begin"/>
        </w:r>
        <w:r w:rsidRPr="007F3FFD">
          <w:instrText xml:space="preserve"> PAGE   \* MERGEFORMAT </w:instrText>
        </w:r>
        <w:r w:rsidRPr="007F3FFD">
          <w:fldChar w:fldCharType="separate"/>
        </w:r>
        <w:r w:rsidR="008E4C95" w:rsidRPr="008E4C95">
          <w:rPr>
            <w:b/>
            <w:bCs/>
            <w:noProof/>
          </w:rPr>
          <w:t>8</w:t>
        </w:r>
        <w:r w:rsidRPr="007F3FFD">
          <w:rPr>
            <w:b/>
            <w:bCs/>
            <w:noProof/>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E2EE071-18B5-47F5-B9C4-B93BEFEF8576}"/>
    <w:docVar w:name="dgnword-eventsink" w:val="2884918541744"/>
  </w:docVars>
  <w:rsids>
    <w:rsidRoot w:val="00F27E27"/>
    <w:rsid w:val="000032CE"/>
    <w:rsid w:val="0001225A"/>
    <w:rsid w:val="00012A74"/>
    <w:rsid w:val="000170A2"/>
    <w:rsid w:val="000232F2"/>
    <w:rsid w:val="00023842"/>
    <w:rsid w:val="00036C76"/>
    <w:rsid w:val="00043D83"/>
    <w:rsid w:val="000562BB"/>
    <w:rsid w:val="00062504"/>
    <w:rsid w:val="0006612C"/>
    <w:rsid w:val="0009021D"/>
    <w:rsid w:val="000B0F72"/>
    <w:rsid w:val="000C240F"/>
    <w:rsid w:val="000E1535"/>
    <w:rsid w:val="000E4184"/>
    <w:rsid w:val="000E7CEA"/>
    <w:rsid w:val="000F7F26"/>
    <w:rsid w:val="00104FF7"/>
    <w:rsid w:val="00123BEB"/>
    <w:rsid w:val="00132B02"/>
    <w:rsid w:val="00133CF4"/>
    <w:rsid w:val="00135E60"/>
    <w:rsid w:val="0014548F"/>
    <w:rsid w:val="0015292F"/>
    <w:rsid w:val="00152A4C"/>
    <w:rsid w:val="001530E7"/>
    <w:rsid w:val="00157422"/>
    <w:rsid w:val="001B2CB1"/>
    <w:rsid w:val="001C0C0A"/>
    <w:rsid w:val="001C413C"/>
    <w:rsid w:val="001E6572"/>
    <w:rsid w:val="001E68A0"/>
    <w:rsid w:val="001F6181"/>
    <w:rsid w:val="002135EF"/>
    <w:rsid w:val="00217D9E"/>
    <w:rsid w:val="0024718E"/>
    <w:rsid w:val="00253E0B"/>
    <w:rsid w:val="0025427A"/>
    <w:rsid w:val="00261DCE"/>
    <w:rsid w:val="002648A4"/>
    <w:rsid w:val="00271BC4"/>
    <w:rsid w:val="00277052"/>
    <w:rsid w:val="0028135A"/>
    <w:rsid w:val="002A0375"/>
    <w:rsid w:val="002A0D75"/>
    <w:rsid w:val="002A5701"/>
    <w:rsid w:val="002A5819"/>
    <w:rsid w:val="002A6ACB"/>
    <w:rsid w:val="002C357B"/>
    <w:rsid w:val="002D2E26"/>
    <w:rsid w:val="002D5253"/>
    <w:rsid w:val="00305B5D"/>
    <w:rsid w:val="003102B2"/>
    <w:rsid w:val="0031717F"/>
    <w:rsid w:val="00322814"/>
    <w:rsid w:val="0034188B"/>
    <w:rsid w:val="003477F1"/>
    <w:rsid w:val="00355466"/>
    <w:rsid w:val="003714AC"/>
    <w:rsid w:val="00385696"/>
    <w:rsid w:val="00396922"/>
    <w:rsid w:val="003A3108"/>
    <w:rsid w:val="003A6943"/>
    <w:rsid w:val="003A6A3E"/>
    <w:rsid w:val="003C3444"/>
    <w:rsid w:val="003D7AF6"/>
    <w:rsid w:val="003E0C97"/>
    <w:rsid w:val="003E704C"/>
    <w:rsid w:val="003F2734"/>
    <w:rsid w:val="003F468E"/>
    <w:rsid w:val="00401095"/>
    <w:rsid w:val="00412482"/>
    <w:rsid w:val="0044554C"/>
    <w:rsid w:val="00445940"/>
    <w:rsid w:val="0045443B"/>
    <w:rsid w:val="00455EF2"/>
    <w:rsid w:val="00463ADE"/>
    <w:rsid w:val="004675E2"/>
    <w:rsid w:val="00472E35"/>
    <w:rsid w:val="004755CA"/>
    <w:rsid w:val="00494E0E"/>
    <w:rsid w:val="004A01F3"/>
    <w:rsid w:val="004A13E8"/>
    <w:rsid w:val="004A1A47"/>
    <w:rsid w:val="004B22D6"/>
    <w:rsid w:val="004B4FFC"/>
    <w:rsid w:val="004C002E"/>
    <w:rsid w:val="004D117F"/>
    <w:rsid w:val="004D6349"/>
    <w:rsid w:val="004E223C"/>
    <w:rsid w:val="004E37BC"/>
    <w:rsid w:val="004F240B"/>
    <w:rsid w:val="004F3798"/>
    <w:rsid w:val="004F60DD"/>
    <w:rsid w:val="00503D17"/>
    <w:rsid w:val="00514392"/>
    <w:rsid w:val="00516C73"/>
    <w:rsid w:val="00521EFD"/>
    <w:rsid w:val="0052735F"/>
    <w:rsid w:val="00532F0D"/>
    <w:rsid w:val="005412DD"/>
    <w:rsid w:val="00544200"/>
    <w:rsid w:val="005510D5"/>
    <w:rsid w:val="00562683"/>
    <w:rsid w:val="005738D1"/>
    <w:rsid w:val="00577D22"/>
    <w:rsid w:val="005801DD"/>
    <w:rsid w:val="00582171"/>
    <w:rsid w:val="00586504"/>
    <w:rsid w:val="00587B0F"/>
    <w:rsid w:val="00595454"/>
    <w:rsid w:val="00596CE6"/>
    <w:rsid w:val="005A1FDF"/>
    <w:rsid w:val="005B5CB6"/>
    <w:rsid w:val="005C322A"/>
    <w:rsid w:val="005C3301"/>
    <w:rsid w:val="005D5F2E"/>
    <w:rsid w:val="005F0095"/>
    <w:rsid w:val="005F0B6A"/>
    <w:rsid w:val="006008F2"/>
    <w:rsid w:val="006052D9"/>
    <w:rsid w:val="00615960"/>
    <w:rsid w:val="00630C9B"/>
    <w:rsid w:val="00634B94"/>
    <w:rsid w:val="0063560A"/>
    <w:rsid w:val="00637476"/>
    <w:rsid w:val="00643C1E"/>
    <w:rsid w:val="00661EA9"/>
    <w:rsid w:val="006919E6"/>
    <w:rsid w:val="00692FBE"/>
    <w:rsid w:val="00694A45"/>
    <w:rsid w:val="006B5A79"/>
    <w:rsid w:val="006C66F4"/>
    <w:rsid w:val="006D6B13"/>
    <w:rsid w:val="006F4F88"/>
    <w:rsid w:val="00711E5B"/>
    <w:rsid w:val="00713F7C"/>
    <w:rsid w:val="00726627"/>
    <w:rsid w:val="0074567F"/>
    <w:rsid w:val="0074573B"/>
    <w:rsid w:val="00745964"/>
    <w:rsid w:val="007469B5"/>
    <w:rsid w:val="00751925"/>
    <w:rsid w:val="00755A9C"/>
    <w:rsid w:val="00762B35"/>
    <w:rsid w:val="007650E3"/>
    <w:rsid w:val="00765457"/>
    <w:rsid w:val="00765A26"/>
    <w:rsid w:val="00792B46"/>
    <w:rsid w:val="007A61DC"/>
    <w:rsid w:val="007B428B"/>
    <w:rsid w:val="007B6014"/>
    <w:rsid w:val="007B71C3"/>
    <w:rsid w:val="007E2F6D"/>
    <w:rsid w:val="007F3FFD"/>
    <w:rsid w:val="00810F0F"/>
    <w:rsid w:val="00816DFD"/>
    <w:rsid w:val="008321EA"/>
    <w:rsid w:val="00836871"/>
    <w:rsid w:val="00840350"/>
    <w:rsid w:val="00843696"/>
    <w:rsid w:val="00852936"/>
    <w:rsid w:val="00854B2C"/>
    <w:rsid w:val="00864F46"/>
    <w:rsid w:val="00887056"/>
    <w:rsid w:val="00887788"/>
    <w:rsid w:val="00891A97"/>
    <w:rsid w:val="00891C89"/>
    <w:rsid w:val="00894D1E"/>
    <w:rsid w:val="00896D55"/>
    <w:rsid w:val="008A2298"/>
    <w:rsid w:val="008A6B4D"/>
    <w:rsid w:val="008B0FFA"/>
    <w:rsid w:val="008B57A4"/>
    <w:rsid w:val="008B6105"/>
    <w:rsid w:val="008D233B"/>
    <w:rsid w:val="008D29AC"/>
    <w:rsid w:val="008E1D88"/>
    <w:rsid w:val="008E45FA"/>
    <w:rsid w:val="008E4C95"/>
    <w:rsid w:val="008F4819"/>
    <w:rsid w:val="008F544D"/>
    <w:rsid w:val="008F69A1"/>
    <w:rsid w:val="009016C9"/>
    <w:rsid w:val="00903F53"/>
    <w:rsid w:val="00932E9D"/>
    <w:rsid w:val="00940C97"/>
    <w:rsid w:val="00951771"/>
    <w:rsid w:val="00961402"/>
    <w:rsid w:val="0096295D"/>
    <w:rsid w:val="00964845"/>
    <w:rsid w:val="00965536"/>
    <w:rsid w:val="00976AFC"/>
    <w:rsid w:val="009770CC"/>
    <w:rsid w:val="009922AC"/>
    <w:rsid w:val="00992FBB"/>
    <w:rsid w:val="009A28A7"/>
    <w:rsid w:val="009B4697"/>
    <w:rsid w:val="009C4A54"/>
    <w:rsid w:val="009C4E50"/>
    <w:rsid w:val="009D3BC7"/>
    <w:rsid w:val="009E6BA6"/>
    <w:rsid w:val="009F508D"/>
    <w:rsid w:val="009F682D"/>
    <w:rsid w:val="00A03B5C"/>
    <w:rsid w:val="00A42A37"/>
    <w:rsid w:val="00A46A3A"/>
    <w:rsid w:val="00A53B0A"/>
    <w:rsid w:val="00A77366"/>
    <w:rsid w:val="00A82ED3"/>
    <w:rsid w:val="00A83F46"/>
    <w:rsid w:val="00A8493D"/>
    <w:rsid w:val="00A959C5"/>
    <w:rsid w:val="00AB53F0"/>
    <w:rsid w:val="00AB5C01"/>
    <w:rsid w:val="00AC3D66"/>
    <w:rsid w:val="00AC70F8"/>
    <w:rsid w:val="00AD3F71"/>
    <w:rsid w:val="00AE0B50"/>
    <w:rsid w:val="00AE2956"/>
    <w:rsid w:val="00AE7787"/>
    <w:rsid w:val="00AF5B4C"/>
    <w:rsid w:val="00B00D8A"/>
    <w:rsid w:val="00B0575C"/>
    <w:rsid w:val="00B133E3"/>
    <w:rsid w:val="00B304A1"/>
    <w:rsid w:val="00B3768A"/>
    <w:rsid w:val="00B5172D"/>
    <w:rsid w:val="00B54F78"/>
    <w:rsid w:val="00B604D0"/>
    <w:rsid w:val="00B77E3A"/>
    <w:rsid w:val="00B82B9A"/>
    <w:rsid w:val="00B87093"/>
    <w:rsid w:val="00BA76F3"/>
    <w:rsid w:val="00BB131B"/>
    <w:rsid w:val="00BB77F0"/>
    <w:rsid w:val="00BC19E2"/>
    <w:rsid w:val="00BC6A1A"/>
    <w:rsid w:val="00BD7299"/>
    <w:rsid w:val="00BE668F"/>
    <w:rsid w:val="00BF3F06"/>
    <w:rsid w:val="00C01828"/>
    <w:rsid w:val="00C10F1C"/>
    <w:rsid w:val="00C265D6"/>
    <w:rsid w:val="00C51548"/>
    <w:rsid w:val="00C8421C"/>
    <w:rsid w:val="00C92D84"/>
    <w:rsid w:val="00C9561C"/>
    <w:rsid w:val="00CB0576"/>
    <w:rsid w:val="00CB2762"/>
    <w:rsid w:val="00CC4521"/>
    <w:rsid w:val="00D01CBB"/>
    <w:rsid w:val="00D01D37"/>
    <w:rsid w:val="00D03577"/>
    <w:rsid w:val="00D146F5"/>
    <w:rsid w:val="00D16F75"/>
    <w:rsid w:val="00D233AA"/>
    <w:rsid w:val="00D26071"/>
    <w:rsid w:val="00D52858"/>
    <w:rsid w:val="00D60B3E"/>
    <w:rsid w:val="00D651F9"/>
    <w:rsid w:val="00D72B23"/>
    <w:rsid w:val="00D731EF"/>
    <w:rsid w:val="00D8633B"/>
    <w:rsid w:val="00D95485"/>
    <w:rsid w:val="00DB04D1"/>
    <w:rsid w:val="00DC46D6"/>
    <w:rsid w:val="00DE0C60"/>
    <w:rsid w:val="00DE2E91"/>
    <w:rsid w:val="00DF0B14"/>
    <w:rsid w:val="00DF52D7"/>
    <w:rsid w:val="00E36053"/>
    <w:rsid w:val="00E40BAA"/>
    <w:rsid w:val="00E40EAE"/>
    <w:rsid w:val="00E500B4"/>
    <w:rsid w:val="00E52FEF"/>
    <w:rsid w:val="00E610C9"/>
    <w:rsid w:val="00E73A22"/>
    <w:rsid w:val="00E8024C"/>
    <w:rsid w:val="00E84481"/>
    <w:rsid w:val="00E90D6D"/>
    <w:rsid w:val="00E91E0D"/>
    <w:rsid w:val="00E947E1"/>
    <w:rsid w:val="00E94E72"/>
    <w:rsid w:val="00EB6E03"/>
    <w:rsid w:val="00EC74AD"/>
    <w:rsid w:val="00ED2F31"/>
    <w:rsid w:val="00ED5B40"/>
    <w:rsid w:val="00EF39B9"/>
    <w:rsid w:val="00EF6B32"/>
    <w:rsid w:val="00F037EC"/>
    <w:rsid w:val="00F066E6"/>
    <w:rsid w:val="00F21826"/>
    <w:rsid w:val="00F277F2"/>
    <w:rsid w:val="00F27E27"/>
    <w:rsid w:val="00F34887"/>
    <w:rsid w:val="00F7309D"/>
    <w:rsid w:val="00F9418F"/>
    <w:rsid w:val="00F97267"/>
    <w:rsid w:val="00FB0238"/>
    <w:rsid w:val="00FB1BED"/>
    <w:rsid w:val="00FB5DE4"/>
    <w:rsid w:val="00FC21D7"/>
    <w:rsid w:val="00FD3B82"/>
    <w:rsid w:val="00FE27AC"/>
    <w:rsid w:val="00FE68DB"/>
    <w:rsid w:val="00FF6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F07315"/>
  <w15:chartTrackingRefBased/>
  <w15:docId w15:val="{9766BD0D-ACFC-4ABA-B347-7D6414FB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EF2"/>
    <w:pPr>
      <w:spacing w:line="480" w:lineRule="auto"/>
    </w:pPr>
    <w:rPr>
      <w:rFonts w:ascii="Arial" w:hAnsi="Arial" w:cs="Arial"/>
    </w:rPr>
  </w:style>
  <w:style w:type="paragraph" w:styleId="Heading1">
    <w:name w:val="heading 1"/>
    <w:basedOn w:val="Normal"/>
    <w:next w:val="Normal"/>
    <w:link w:val="Heading1Char"/>
    <w:uiPriority w:val="9"/>
    <w:qFormat/>
    <w:rsid w:val="001C0C0A"/>
    <w:pPr>
      <w:outlineLvl w:val="0"/>
    </w:pPr>
    <w:rPr>
      <w:b/>
    </w:rPr>
  </w:style>
  <w:style w:type="paragraph" w:styleId="Heading2">
    <w:name w:val="heading 2"/>
    <w:basedOn w:val="Subtitle"/>
    <w:next w:val="Normal"/>
    <w:link w:val="Heading2Char"/>
    <w:uiPriority w:val="9"/>
    <w:unhideWhenUsed/>
    <w:qFormat/>
    <w:rsid w:val="00615960"/>
    <w:pPr>
      <w:ind w:left="173" w:right="280"/>
      <w:outlineLvl w:val="1"/>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uiPriority w:val="99"/>
    <w:semiHidden/>
    <w:rsid w:val="00615960"/>
    <w:pPr>
      <w:spacing w:after="0" w:line="240" w:lineRule="auto"/>
    </w:pPr>
    <w:rPr>
      <w:rFonts w:ascii="Times New Roman" w:hAnsi="Times New Roman" w:cs="Times New Roman"/>
      <w:sz w:val="24"/>
      <w:szCs w:val="24"/>
      <w:lang w:eastAsia="en-GB"/>
    </w:rPr>
  </w:style>
  <w:style w:type="paragraph" w:customStyle="1" w:styleId="xmsonormal0">
    <w:name w:val="x_msonormal"/>
    <w:basedOn w:val="Normal"/>
    <w:uiPriority w:val="99"/>
    <w:semiHidden/>
    <w:rsid w:val="00615960"/>
    <w:pPr>
      <w:spacing w:after="0" w:line="240" w:lineRule="auto"/>
    </w:pPr>
    <w:rPr>
      <w:rFonts w:ascii="Times New Roman" w:hAnsi="Times New Roman" w:cs="Times New Roman"/>
      <w:sz w:val="24"/>
      <w:szCs w:val="24"/>
      <w:lang w:eastAsia="en-GB"/>
    </w:rPr>
  </w:style>
  <w:style w:type="paragraph" w:customStyle="1" w:styleId="xxmsonormal">
    <w:name w:val="x_xmsonormal"/>
    <w:basedOn w:val="Normal"/>
    <w:uiPriority w:val="99"/>
    <w:semiHidden/>
    <w:rsid w:val="00615960"/>
    <w:pPr>
      <w:spacing w:after="0" w:line="240" w:lineRule="auto"/>
    </w:pPr>
    <w:rPr>
      <w:rFonts w:ascii="Times New Roman" w:hAnsi="Times New Roman" w:cs="Times New Roman"/>
      <w:sz w:val="24"/>
      <w:szCs w:val="24"/>
      <w:lang w:eastAsia="en-GB"/>
    </w:rPr>
  </w:style>
  <w:style w:type="paragraph" w:customStyle="1" w:styleId="paragraph">
    <w:name w:val="paragraph"/>
    <w:basedOn w:val="Normal"/>
    <w:uiPriority w:val="99"/>
    <w:semiHidden/>
    <w:rsid w:val="00615960"/>
    <w:pPr>
      <w:spacing w:after="0"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615960"/>
  </w:style>
  <w:style w:type="character" w:customStyle="1" w:styleId="eop">
    <w:name w:val="eop"/>
    <w:basedOn w:val="DefaultParagraphFont"/>
    <w:rsid w:val="00615960"/>
  </w:style>
  <w:style w:type="character" w:customStyle="1" w:styleId="Heading1Char">
    <w:name w:val="Heading 1 Char"/>
    <w:basedOn w:val="DefaultParagraphFont"/>
    <w:link w:val="Heading1"/>
    <w:uiPriority w:val="9"/>
    <w:rsid w:val="001C0C0A"/>
    <w:rPr>
      <w:rFonts w:ascii="Arial" w:hAnsi="Arial" w:cs="Arial"/>
      <w:b/>
    </w:rPr>
  </w:style>
  <w:style w:type="character" w:customStyle="1" w:styleId="Heading2Char">
    <w:name w:val="Heading 2 Char"/>
    <w:basedOn w:val="DefaultParagraphFont"/>
    <w:link w:val="Heading2"/>
    <w:uiPriority w:val="9"/>
    <w:rsid w:val="00615960"/>
    <w:rPr>
      <w:rFonts w:ascii="Calibri" w:hAnsi="Calibri" w:cs="Calibri"/>
      <w:b/>
      <w:noProof/>
      <w:color w:val="222222"/>
      <w:sz w:val="24"/>
      <w:szCs w:val="24"/>
      <w:lang w:eastAsia="en-GB"/>
    </w:rPr>
  </w:style>
  <w:style w:type="paragraph" w:styleId="Subtitle">
    <w:name w:val="Subtitle"/>
    <w:basedOn w:val="Normal"/>
    <w:next w:val="Normal"/>
    <w:link w:val="SubtitleChar"/>
    <w:uiPriority w:val="11"/>
    <w:qFormat/>
    <w:rsid w:val="00615960"/>
    <w:pPr>
      <w:spacing w:after="0" w:line="240" w:lineRule="auto"/>
    </w:pPr>
    <w:rPr>
      <w:rFonts w:ascii="Calibri" w:hAnsi="Calibri" w:cs="Calibri"/>
      <w:b/>
      <w:color w:val="222222"/>
      <w:sz w:val="24"/>
      <w:szCs w:val="24"/>
      <w:lang w:eastAsia="en-GB"/>
    </w:rPr>
  </w:style>
  <w:style w:type="character" w:customStyle="1" w:styleId="SubtitleChar">
    <w:name w:val="Subtitle Char"/>
    <w:basedOn w:val="DefaultParagraphFont"/>
    <w:link w:val="Subtitle"/>
    <w:uiPriority w:val="11"/>
    <w:rsid w:val="00615960"/>
    <w:rPr>
      <w:rFonts w:ascii="Calibri" w:hAnsi="Calibri" w:cs="Calibri"/>
      <w:b/>
      <w:color w:val="222222"/>
      <w:sz w:val="24"/>
      <w:szCs w:val="24"/>
      <w:lang w:eastAsia="en-GB"/>
    </w:rPr>
  </w:style>
  <w:style w:type="character" w:styleId="Hyperlink">
    <w:name w:val="Hyperlink"/>
    <w:basedOn w:val="DefaultParagraphFont"/>
    <w:uiPriority w:val="99"/>
    <w:unhideWhenUsed/>
    <w:qFormat/>
    <w:rsid w:val="008F69A1"/>
    <w:rPr>
      <w:b w:val="0"/>
      <w:color w:val="0070C0"/>
      <w:u w:val="single"/>
    </w:rPr>
  </w:style>
  <w:style w:type="character" w:styleId="Strong">
    <w:name w:val="Strong"/>
    <w:basedOn w:val="DefaultParagraphFont"/>
    <w:uiPriority w:val="22"/>
    <w:qFormat/>
    <w:rsid w:val="00615960"/>
    <w:rPr>
      <w:b/>
      <w:bCs/>
    </w:rPr>
  </w:style>
  <w:style w:type="paragraph" w:styleId="NormalWeb">
    <w:name w:val="Normal (Web)"/>
    <w:basedOn w:val="Normal"/>
    <w:uiPriority w:val="99"/>
    <w:unhideWhenUsed/>
    <w:rsid w:val="00615960"/>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15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960"/>
    <w:rPr>
      <w:rFonts w:ascii="Segoe UI" w:hAnsi="Segoe UI" w:cs="Segoe UI"/>
      <w:sz w:val="18"/>
      <w:szCs w:val="18"/>
    </w:rPr>
  </w:style>
  <w:style w:type="paragraph" w:styleId="ListParagraph">
    <w:name w:val="List Paragraph"/>
    <w:aliases w:val="Dot pt,F5 List Paragraph,List Paragraph1,No Spacing1,List Paragraph Char Char Char,Indicator Text,Numbered Para 1,Bullet 1,Colorful List - Accent 11,Bullet Points,List Paragraph2,MAIN CONTENT,Normal numbered,List Paragraph12,Recommendatio"/>
    <w:basedOn w:val="Normal"/>
    <w:link w:val="ListParagraphChar"/>
    <w:uiPriority w:val="34"/>
    <w:qFormat/>
    <w:rsid w:val="00615960"/>
    <w:pPr>
      <w:spacing w:after="0" w:line="240" w:lineRule="auto"/>
      <w:ind w:left="720"/>
    </w:pPr>
    <w:rPr>
      <w:rFonts w:ascii="Calibri" w:hAnsi="Calibri" w:cs="Calibri"/>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List Paragraph2 Char"/>
    <w:basedOn w:val="DefaultParagraphFont"/>
    <w:link w:val="ListParagraph"/>
    <w:uiPriority w:val="34"/>
    <w:locked/>
    <w:rsid w:val="00615960"/>
    <w:rPr>
      <w:rFonts w:ascii="Calibri" w:hAnsi="Calibri" w:cs="Calibri"/>
    </w:rPr>
  </w:style>
  <w:style w:type="character" w:customStyle="1" w:styleId="UnresolvedMention1">
    <w:name w:val="Unresolved Mention1"/>
    <w:basedOn w:val="DefaultParagraphFont"/>
    <w:uiPriority w:val="99"/>
    <w:semiHidden/>
    <w:unhideWhenUsed/>
    <w:rsid w:val="00615960"/>
    <w:rPr>
      <w:color w:val="605E5C"/>
      <w:shd w:val="clear" w:color="auto" w:fill="E1DFDD"/>
    </w:rPr>
  </w:style>
  <w:style w:type="paragraph" w:styleId="Header">
    <w:name w:val="header"/>
    <w:basedOn w:val="Normal"/>
    <w:link w:val="HeaderChar"/>
    <w:uiPriority w:val="99"/>
    <w:unhideWhenUsed/>
    <w:rsid w:val="007F3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FFD"/>
  </w:style>
  <w:style w:type="paragraph" w:styleId="Footer">
    <w:name w:val="footer"/>
    <w:basedOn w:val="Normal"/>
    <w:link w:val="FooterChar"/>
    <w:uiPriority w:val="99"/>
    <w:unhideWhenUsed/>
    <w:rsid w:val="007F3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FFD"/>
  </w:style>
  <w:style w:type="paragraph" w:styleId="Title">
    <w:name w:val="Title"/>
    <w:basedOn w:val="Normal"/>
    <w:next w:val="Normal"/>
    <w:link w:val="TitleChar"/>
    <w:uiPriority w:val="10"/>
    <w:qFormat/>
    <w:rsid w:val="00455EF2"/>
    <w:pPr>
      <w:jc w:val="center"/>
    </w:pPr>
    <w:rPr>
      <w:b/>
      <w:sz w:val="28"/>
    </w:rPr>
  </w:style>
  <w:style w:type="character" w:customStyle="1" w:styleId="TitleChar">
    <w:name w:val="Title Char"/>
    <w:basedOn w:val="DefaultParagraphFont"/>
    <w:link w:val="Title"/>
    <w:uiPriority w:val="10"/>
    <w:rsid w:val="00455EF2"/>
    <w:rPr>
      <w:rFonts w:ascii="Arial" w:hAnsi="Arial" w:cs="Arial"/>
      <w:b/>
      <w:sz w:val="28"/>
    </w:rPr>
  </w:style>
  <w:style w:type="character" w:styleId="LineNumber">
    <w:name w:val="line number"/>
    <w:basedOn w:val="DefaultParagraphFont"/>
    <w:uiPriority w:val="99"/>
    <w:semiHidden/>
    <w:unhideWhenUsed/>
    <w:rsid w:val="00455EF2"/>
  </w:style>
  <w:style w:type="table" w:styleId="TableGrid">
    <w:name w:val="Table Grid"/>
    <w:basedOn w:val="TableNormal"/>
    <w:uiPriority w:val="39"/>
    <w:rsid w:val="00023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573B"/>
    <w:rPr>
      <w:sz w:val="16"/>
      <w:szCs w:val="16"/>
    </w:rPr>
  </w:style>
  <w:style w:type="paragraph" w:styleId="CommentText">
    <w:name w:val="annotation text"/>
    <w:basedOn w:val="Normal"/>
    <w:link w:val="CommentTextChar"/>
    <w:uiPriority w:val="99"/>
    <w:semiHidden/>
    <w:unhideWhenUsed/>
    <w:rsid w:val="0074573B"/>
    <w:pPr>
      <w:spacing w:line="240" w:lineRule="auto"/>
    </w:pPr>
    <w:rPr>
      <w:sz w:val="20"/>
      <w:szCs w:val="20"/>
    </w:rPr>
  </w:style>
  <w:style w:type="character" w:customStyle="1" w:styleId="CommentTextChar">
    <w:name w:val="Comment Text Char"/>
    <w:basedOn w:val="DefaultParagraphFont"/>
    <w:link w:val="CommentText"/>
    <w:uiPriority w:val="99"/>
    <w:semiHidden/>
    <w:rsid w:val="0074573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4573B"/>
    <w:rPr>
      <w:b/>
      <w:bCs/>
    </w:rPr>
  </w:style>
  <w:style w:type="character" w:customStyle="1" w:styleId="CommentSubjectChar">
    <w:name w:val="Comment Subject Char"/>
    <w:basedOn w:val="CommentTextChar"/>
    <w:link w:val="CommentSubject"/>
    <w:uiPriority w:val="99"/>
    <w:semiHidden/>
    <w:rsid w:val="0074573B"/>
    <w:rPr>
      <w:rFonts w:ascii="Arial" w:hAnsi="Arial" w:cs="Arial"/>
      <w:b/>
      <w:bCs/>
      <w:sz w:val="20"/>
      <w:szCs w:val="20"/>
    </w:rPr>
  </w:style>
  <w:style w:type="table" w:styleId="PlainTable3">
    <w:name w:val="Plain Table 3"/>
    <w:basedOn w:val="TableNormal"/>
    <w:uiPriority w:val="43"/>
    <w:rsid w:val="00940C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2">
    <w:name w:val="Unresolved Mention2"/>
    <w:basedOn w:val="DefaultParagraphFont"/>
    <w:uiPriority w:val="99"/>
    <w:semiHidden/>
    <w:unhideWhenUsed/>
    <w:rsid w:val="008F69A1"/>
    <w:rPr>
      <w:color w:val="605E5C"/>
      <w:shd w:val="clear" w:color="auto" w:fill="E1DFDD"/>
    </w:rPr>
  </w:style>
  <w:style w:type="paragraph" w:styleId="Revision">
    <w:name w:val="Revision"/>
    <w:hidden/>
    <w:uiPriority w:val="99"/>
    <w:semiHidden/>
    <w:rsid w:val="000C240F"/>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2980">
      <w:bodyDiv w:val="1"/>
      <w:marLeft w:val="0"/>
      <w:marRight w:val="0"/>
      <w:marTop w:val="0"/>
      <w:marBottom w:val="0"/>
      <w:divBdr>
        <w:top w:val="none" w:sz="0" w:space="0" w:color="auto"/>
        <w:left w:val="none" w:sz="0" w:space="0" w:color="auto"/>
        <w:bottom w:val="none" w:sz="0" w:space="0" w:color="auto"/>
        <w:right w:val="none" w:sz="0" w:space="0" w:color="auto"/>
      </w:divBdr>
    </w:div>
    <w:div w:id="616834293">
      <w:bodyDiv w:val="1"/>
      <w:marLeft w:val="0"/>
      <w:marRight w:val="0"/>
      <w:marTop w:val="0"/>
      <w:marBottom w:val="0"/>
      <w:divBdr>
        <w:top w:val="none" w:sz="0" w:space="0" w:color="auto"/>
        <w:left w:val="none" w:sz="0" w:space="0" w:color="auto"/>
        <w:bottom w:val="none" w:sz="0" w:space="0" w:color="auto"/>
        <w:right w:val="none" w:sz="0" w:space="0" w:color="auto"/>
      </w:divBdr>
    </w:div>
    <w:div w:id="650183009">
      <w:bodyDiv w:val="1"/>
      <w:marLeft w:val="0"/>
      <w:marRight w:val="0"/>
      <w:marTop w:val="0"/>
      <w:marBottom w:val="0"/>
      <w:divBdr>
        <w:top w:val="none" w:sz="0" w:space="0" w:color="auto"/>
        <w:left w:val="none" w:sz="0" w:space="0" w:color="auto"/>
        <w:bottom w:val="none" w:sz="0" w:space="0" w:color="auto"/>
        <w:right w:val="none" w:sz="0" w:space="0" w:color="auto"/>
      </w:divBdr>
    </w:div>
    <w:div w:id="831259695">
      <w:bodyDiv w:val="1"/>
      <w:marLeft w:val="0"/>
      <w:marRight w:val="0"/>
      <w:marTop w:val="0"/>
      <w:marBottom w:val="0"/>
      <w:divBdr>
        <w:top w:val="none" w:sz="0" w:space="0" w:color="auto"/>
        <w:left w:val="none" w:sz="0" w:space="0" w:color="auto"/>
        <w:bottom w:val="none" w:sz="0" w:space="0" w:color="auto"/>
        <w:right w:val="none" w:sz="0" w:space="0" w:color="auto"/>
      </w:divBdr>
    </w:div>
    <w:div w:id="877861887">
      <w:bodyDiv w:val="1"/>
      <w:marLeft w:val="0"/>
      <w:marRight w:val="0"/>
      <w:marTop w:val="0"/>
      <w:marBottom w:val="0"/>
      <w:divBdr>
        <w:top w:val="none" w:sz="0" w:space="0" w:color="auto"/>
        <w:left w:val="none" w:sz="0" w:space="0" w:color="auto"/>
        <w:bottom w:val="none" w:sz="0" w:space="0" w:color="auto"/>
        <w:right w:val="none" w:sz="0" w:space="0" w:color="auto"/>
      </w:divBdr>
    </w:div>
    <w:div w:id="949315190">
      <w:bodyDiv w:val="1"/>
      <w:marLeft w:val="0"/>
      <w:marRight w:val="0"/>
      <w:marTop w:val="0"/>
      <w:marBottom w:val="0"/>
      <w:divBdr>
        <w:top w:val="none" w:sz="0" w:space="0" w:color="auto"/>
        <w:left w:val="none" w:sz="0" w:space="0" w:color="auto"/>
        <w:bottom w:val="none" w:sz="0" w:space="0" w:color="auto"/>
        <w:right w:val="none" w:sz="0" w:space="0" w:color="auto"/>
      </w:divBdr>
    </w:div>
    <w:div w:id="957105320">
      <w:bodyDiv w:val="1"/>
      <w:marLeft w:val="0"/>
      <w:marRight w:val="0"/>
      <w:marTop w:val="0"/>
      <w:marBottom w:val="0"/>
      <w:divBdr>
        <w:top w:val="none" w:sz="0" w:space="0" w:color="auto"/>
        <w:left w:val="none" w:sz="0" w:space="0" w:color="auto"/>
        <w:bottom w:val="none" w:sz="0" w:space="0" w:color="auto"/>
        <w:right w:val="none" w:sz="0" w:space="0" w:color="auto"/>
      </w:divBdr>
    </w:div>
    <w:div w:id="1017847833">
      <w:bodyDiv w:val="1"/>
      <w:marLeft w:val="0"/>
      <w:marRight w:val="0"/>
      <w:marTop w:val="0"/>
      <w:marBottom w:val="0"/>
      <w:divBdr>
        <w:top w:val="none" w:sz="0" w:space="0" w:color="auto"/>
        <w:left w:val="none" w:sz="0" w:space="0" w:color="auto"/>
        <w:bottom w:val="none" w:sz="0" w:space="0" w:color="auto"/>
        <w:right w:val="none" w:sz="0" w:space="0" w:color="auto"/>
      </w:divBdr>
    </w:div>
    <w:div w:id="1148136450">
      <w:bodyDiv w:val="1"/>
      <w:marLeft w:val="0"/>
      <w:marRight w:val="0"/>
      <w:marTop w:val="0"/>
      <w:marBottom w:val="0"/>
      <w:divBdr>
        <w:top w:val="none" w:sz="0" w:space="0" w:color="auto"/>
        <w:left w:val="none" w:sz="0" w:space="0" w:color="auto"/>
        <w:bottom w:val="none" w:sz="0" w:space="0" w:color="auto"/>
        <w:right w:val="none" w:sz="0" w:space="0" w:color="auto"/>
      </w:divBdr>
    </w:div>
    <w:div w:id="1241258629">
      <w:bodyDiv w:val="1"/>
      <w:marLeft w:val="0"/>
      <w:marRight w:val="0"/>
      <w:marTop w:val="0"/>
      <w:marBottom w:val="0"/>
      <w:divBdr>
        <w:top w:val="none" w:sz="0" w:space="0" w:color="auto"/>
        <w:left w:val="none" w:sz="0" w:space="0" w:color="auto"/>
        <w:bottom w:val="none" w:sz="0" w:space="0" w:color="auto"/>
        <w:right w:val="none" w:sz="0" w:space="0" w:color="auto"/>
      </w:divBdr>
    </w:div>
    <w:div w:id="1404792672">
      <w:bodyDiv w:val="1"/>
      <w:marLeft w:val="0"/>
      <w:marRight w:val="0"/>
      <w:marTop w:val="0"/>
      <w:marBottom w:val="0"/>
      <w:divBdr>
        <w:top w:val="none" w:sz="0" w:space="0" w:color="auto"/>
        <w:left w:val="none" w:sz="0" w:space="0" w:color="auto"/>
        <w:bottom w:val="none" w:sz="0" w:space="0" w:color="auto"/>
        <w:right w:val="none" w:sz="0" w:space="0" w:color="auto"/>
      </w:divBdr>
    </w:div>
    <w:div w:id="1409032058">
      <w:bodyDiv w:val="1"/>
      <w:marLeft w:val="0"/>
      <w:marRight w:val="0"/>
      <w:marTop w:val="0"/>
      <w:marBottom w:val="0"/>
      <w:divBdr>
        <w:top w:val="none" w:sz="0" w:space="0" w:color="auto"/>
        <w:left w:val="none" w:sz="0" w:space="0" w:color="auto"/>
        <w:bottom w:val="none" w:sz="0" w:space="0" w:color="auto"/>
        <w:right w:val="none" w:sz="0" w:space="0" w:color="auto"/>
      </w:divBdr>
    </w:div>
    <w:div w:id="1698894079">
      <w:bodyDiv w:val="1"/>
      <w:marLeft w:val="0"/>
      <w:marRight w:val="0"/>
      <w:marTop w:val="0"/>
      <w:marBottom w:val="0"/>
      <w:divBdr>
        <w:top w:val="none" w:sz="0" w:space="0" w:color="auto"/>
        <w:left w:val="none" w:sz="0" w:space="0" w:color="auto"/>
        <w:bottom w:val="none" w:sz="0" w:space="0" w:color="auto"/>
        <w:right w:val="none" w:sz="0" w:space="0" w:color="auto"/>
      </w:divBdr>
    </w:div>
    <w:div w:id="1975329202">
      <w:bodyDiv w:val="1"/>
      <w:marLeft w:val="0"/>
      <w:marRight w:val="0"/>
      <w:marTop w:val="0"/>
      <w:marBottom w:val="0"/>
      <w:divBdr>
        <w:top w:val="none" w:sz="0" w:space="0" w:color="auto"/>
        <w:left w:val="none" w:sz="0" w:space="0" w:color="auto"/>
        <w:bottom w:val="none" w:sz="0" w:space="0" w:color="auto"/>
        <w:right w:val="none" w:sz="0" w:space="0" w:color="auto"/>
      </w:divBdr>
    </w:div>
    <w:div w:id="1980987148">
      <w:bodyDiv w:val="1"/>
      <w:marLeft w:val="0"/>
      <w:marRight w:val="0"/>
      <w:marTop w:val="0"/>
      <w:marBottom w:val="0"/>
      <w:divBdr>
        <w:top w:val="none" w:sz="0" w:space="0" w:color="auto"/>
        <w:left w:val="none" w:sz="0" w:space="0" w:color="auto"/>
        <w:bottom w:val="none" w:sz="0" w:space="0" w:color="auto"/>
        <w:right w:val="none" w:sz="0" w:space="0" w:color="auto"/>
      </w:divBdr>
    </w:div>
    <w:div w:id="205175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thub.com/tseemann/snippy" TargetMode="External"/><Relationship Id="rId18" Type="http://schemas.openxmlformats.org/officeDocument/2006/relationships/hyperlink" Target="https://www.ncbi.nlm.nih.gov/assembly/GCA_015240635.1" TargetMode="External"/><Relationship Id="rId26" Type="http://schemas.openxmlformats.org/officeDocument/2006/relationships/hyperlink" Target="https://trace.ncbi.nlm.nih.gov/Traces/sra/?run=SRR12953603" TargetMode="External"/><Relationship Id="rId3" Type="http://schemas.openxmlformats.org/officeDocument/2006/relationships/customXml" Target="../customXml/item3.xml"/><Relationship Id="rId21" Type="http://schemas.openxmlformats.org/officeDocument/2006/relationships/hyperlink" Target="https://www.ncbi.nlm.nih.gov/assembly/GCA_015240995.1"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github.com/apredeus/multi-bacpipe" TargetMode="External"/><Relationship Id="rId17" Type="http://schemas.openxmlformats.org/officeDocument/2006/relationships/hyperlink" Target="https://www.ncbi.nlm.nih.gov/assembly/GCA_015240855.1" TargetMode="External"/><Relationship Id="rId25" Type="http://schemas.openxmlformats.org/officeDocument/2006/relationships/hyperlink" Target="https://trace.ncbi.nlm.nih.gov/Traces/sra/?run=SRR12953602"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cbi.nlm.nih.gov/assembly/GCA_015240995.1" TargetMode="External"/><Relationship Id="rId20" Type="http://schemas.openxmlformats.org/officeDocument/2006/relationships/header" Target="header1.xml"/><Relationship Id="rId29" Type="http://schemas.openxmlformats.org/officeDocument/2006/relationships/hyperlink" Target="https://trace.ncbi.nlm.nih.gov/Traces/sra/?run=SRR1295359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ithub.com/rrwick/Filtlong" TargetMode="External"/><Relationship Id="rId24" Type="http://schemas.openxmlformats.org/officeDocument/2006/relationships/hyperlink" Target="https://www.ncbi.nlm.nih.gov/assembly/GCA_015240855.1" TargetMode="External"/><Relationship Id="rId32" Type="http://schemas.openxmlformats.org/officeDocument/2006/relationships/hyperlink" Target="https://trace.ncbi.nlm.nih.gov/Traces/sra/?run=SRR12953601" TargetMode="External"/><Relationship Id="rId5" Type="http://schemas.openxmlformats.org/officeDocument/2006/relationships/styles" Target="styles.xml"/><Relationship Id="rId15" Type="http://schemas.openxmlformats.org/officeDocument/2006/relationships/hyperlink" Target="https://www.ncbi.nlm.nih.gov/assembly/GCA_015241115.1" TargetMode="External"/><Relationship Id="rId23" Type="http://schemas.openxmlformats.org/officeDocument/2006/relationships/hyperlink" Target="https://trace.ncbi.nlm.nih.gov/Traces/sra/?run=SRR12953597" TargetMode="External"/><Relationship Id="rId28" Type="http://schemas.openxmlformats.org/officeDocument/2006/relationships/hyperlink" Target="https://trace.ncbi.nlm.nih.gov/Traces/sra/?run=SRR12953598" TargetMode="External"/><Relationship Id="rId10" Type="http://schemas.openxmlformats.org/officeDocument/2006/relationships/hyperlink" Target="mailto:jay.hinton@liverpool.ac.uk" TargetMode="External"/><Relationship Id="rId19" Type="http://schemas.openxmlformats.org/officeDocument/2006/relationships/hyperlink" Target="https://github.com/apredeus/multi-bacpipe" TargetMode="External"/><Relationship Id="rId31" Type="http://schemas.openxmlformats.org/officeDocument/2006/relationships/hyperlink" Target="https://trace.ncbi.nlm.nih.gov/Traces/sra/?run=SRR1295360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ncbi.nlm.nih.gov/bioproject/PRJNA671837/" TargetMode="External"/><Relationship Id="rId22" Type="http://schemas.openxmlformats.org/officeDocument/2006/relationships/hyperlink" Target="https://trace.ncbi.nlm.nih.gov/Traces/sra/?run=SRR12953596" TargetMode="External"/><Relationship Id="rId27" Type="http://schemas.openxmlformats.org/officeDocument/2006/relationships/hyperlink" Target="https://www.ncbi.nlm.nih.gov/assembly/GCA_015241115.1" TargetMode="External"/><Relationship Id="rId30" Type="http://schemas.openxmlformats.org/officeDocument/2006/relationships/hyperlink" Target="https://www.ncbi.nlm.nih.gov/assembly/GCA_015240635.1" TargetMode="External"/><Relationship Id="rId35" Type="http://schemas.microsoft.com/office/2018/08/relationships/commentsExtensible" Target="commentsExtensi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3" ma:contentTypeDescription="Create a new document." ma:contentTypeScope="" ma:versionID="2f6684937c5f3537bc9bbb7bd90f763a">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2c2f2153f72a3e2db0f256ea2ee20638"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C364C-0617-4D44-8B8E-6F9D9919538A}">
  <ds:schemaRefs>
    <ds:schemaRef ds:uri="http://www.w3.org/XML/1998/namespace"/>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2c0728d4-b628-46ac-beb8-1847ad0e6c02"/>
    <ds:schemaRef ds:uri="http://schemas.openxmlformats.org/package/2006/metadata/core-properties"/>
    <ds:schemaRef ds:uri="2c43926a-b248-4fb5-8692-7f03bd5c687b"/>
    <ds:schemaRef ds:uri="http://schemas.microsoft.com/office/2006/metadata/properties"/>
  </ds:schemaRefs>
</ds:datastoreItem>
</file>

<file path=customXml/itemProps2.xml><?xml version="1.0" encoding="utf-8"?>
<ds:datastoreItem xmlns:ds="http://schemas.openxmlformats.org/officeDocument/2006/customXml" ds:itemID="{92EDE156-05A3-489C-897B-5A6A578A1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F7769-1EBC-4935-B44E-1945957F8A48}">
  <ds:schemaRefs>
    <ds:schemaRef ds:uri="http://schemas.microsoft.com/sharepoint/v3/contenttype/forms"/>
  </ds:schemaRefs>
</ds:datastoreItem>
</file>

<file path=customXml/itemProps4.xml><?xml version="1.0" encoding="utf-8"?>
<ds:datastoreItem xmlns:ds="http://schemas.openxmlformats.org/officeDocument/2006/customXml" ds:itemID="{6D7D06A0-6419-43F8-B95F-0DFEE2A2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14529</Words>
  <Characters>82818</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Sepulveda, Blanca</dc:creator>
  <cp:keywords/>
  <dc:description/>
  <cp:lastModifiedBy>Perez Sepulveda, Blanca</cp:lastModifiedBy>
  <cp:revision>7</cp:revision>
  <cp:lastPrinted>2021-02-19T11:23:00Z</cp:lastPrinted>
  <dcterms:created xsi:type="dcterms:W3CDTF">2021-02-19T13:36:00Z</dcterms:created>
  <dcterms:modified xsi:type="dcterms:W3CDTF">2021-02-19T14:18:00Z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0x010100196A118AE6EB7543A7EC38CAF65D6D8B</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http://www.zotero.org/styles/american-society-for-microbiology</vt:lpwstr>
  </property>
  <property fmtid="{D5CDD505-2E9C-101B-9397-08002B2CF9AE}" pid="6" name="Mendeley Recent Style Name 1_1">
    <vt:lpwstr>American Society for Microbiology</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17th edition (author-date)</vt:lpwstr>
  </property>
  <property fmtid="{D5CDD505-2E9C-101B-9397-08002B2CF9AE}" pid="9" name="Mendeley Recent Style Id 3_1">
    <vt:lpwstr>http://www.zotero.org/styles/harvard-cite-them-right</vt:lpwstr>
  </property>
  <property fmtid="{D5CDD505-2E9C-101B-9397-08002B2CF9AE}" pid="10" name="Mendeley Recent Style Name 3_1">
    <vt:lpwstr>Cite Them Right 10th edition - Harvard</vt:lpwstr>
  </property>
  <property fmtid="{D5CDD505-2E9C-101B-9397-08002B2CF9AE}" pid="11" name="Mendeley Recent Style Id 4_1">
    <vt:lpwstr>http://www.zotero.org/styles/environmental-microbiology</vt:lpwstr>
  </property>
  <property fmtid="{D5CDD505-2E9C-101B-9397-08002B2CF9AE}" pid="12" name="Mendeley Recent Style Name 4_1">
    <vt:lpwstr>Environmental Microbiology</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http://www.zotero.org/styles/journal-of-clinical-microbiology</vt:lpwstr>
  </property>
  <property fmtid="{D5CDD505-2E9C-101B-9397-08002B2CF9AE}" pid="16" name="Mendeley Recent Style Name 6_1">
    <vt:lpwstr>Journal of Clinical Microbiology</vt:lpwstr>
  </property>
  <property fmtid="{D5CDD505-2E9C-101B-9397-08002B2CF9AE}" pid="17" name="Mendeley Recent Style Id 7_1">
    <vt:lpwstr>http://www.zotero.org/styles/liverpool-john-moores-university-harvard</vt:lpwstr>
  </property>
  <property fmtid="{D5CDD505-2E9C-101B-9397-08002B2CF9AE}" pid="18" name="Mendeley Recent Style Name 7_1">
    <vt:lpwstr>Liverpool John Moores University - Harvard</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http://www.zotero.org/styles/viruses</vt:lpwstr>
  </property>
  <property fmtid="{D5CDD505-2E9C-101B-9397-08002B2CF9AE}" pid="22" name="Mendeley Recent Style Name 9_1">
    <vt:lpwstr>Viruses</vt:lpwstr>
  </property>
  <property fmtid="{D5CDD505-2E9C-101B-9397-08002B2CF9AE}" pid="23" name="Mendeley Document_1">
    <vt:lpwstr>True</vt:lpwstr>
  </property>
  <property fmtid="{D5CDD505-2E9C-101B-9397-08002B2CF9AE}" pid="24" name="Mendeley Unique User Id_1">
    <vt:lpwstr>414b0e5b-892f-3306-b664-d661cb72845d</vt:lpwstr>
  </property>
  <property fmtid="{D5CDD505-2E9C-101B-9397-08002B2CF9AE}" pid="25" name="Mendeley Citation Style_1">
    <vt:lpwstr>http://www.zotero.org/styles/american-society-for-microbiology</vt:lpwstr>
  </property>
</Properties>
</file>