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8AAEE" w14:textId="543E0A2B" w:rsidR="003F454A" w:rsidRPr="003F454A" w:rsidRDefault="006958AC" w:rsidP="006506A8">
      <w:pPr>
        <w:spacing w:after="240" w:line="288" w:lineRule="auto"/>
        <w:jc w:val="center"/>
        <w:rPr>
          <w:b/>
          <w:bCs/>
        </w:rPr>
      </w:pPr>
      <w:r>
        <w:rPr>
          <w:b/>
          <w:bCs/>
        </w:rPr>
        <w:t xml:space="preserve">Cardiovascular, </w:t>
      </w:r>
      <w:r w:rsidR="006506A8">
        <w:rPr>
          <w:b/>
          <w:bCs/>
        </w:rPr>
        <w:t>renal</w:t>
      </w:r>
      <w:r w:rsidR="004C150C" w:rsidRPr="003F454A">
        <w:rPr>
          <w:b/>
          <w:bCs/>
        </w:rPr>
        <w:t xml:space="preserve"> </w:t>
      </w:r>
      <w:r w:rsidR="003F454A" w:rsidRPr="003F454A">
        <w:rPr>
          <w:b/>
          <w:bCs/>
        </w:rPr>
        <w:t xml:space="preserve">and metabolic outcomes of dapagliflozin vs. placebo in </w:t>
      </w:r>
      <w:r w:rsidR="001B31AD">
        <w:rPr>
          <w:b/>
          <w:bCs/>
        </w:rPr>
        <w:t>a</w:t>
      </w:r>
      <w:r w:rsidR="00E81649">
        <w:rPr>
          <w:b/>
          <w:bCs/>
        </w:rPr>
        <w:t xml:space="preserve"> primary </w:t>
      </w:r>
      <w:r w:rsidR="004C150C">
        <w:rPr>
          <w:b/>
          <w:bCs/>
        </w:rPr>
        <w:t xml:space="preserve">cardiovascular </w:t>
      </w:r>
      <w:r w:rsidR="00E81649">
        <w:rPr>
          <w:b/>
          <w:bCs/>
        </w:rPr>
        <w:t>prevention cohort</w:t>
      </w:r>
      <w:r w:rsidR="003F454A" w:rsidRPr="003F454A">
        <w:rPr>
          <w:b/>
          <w:bCs/>
        </w:rPr>
        <w:t>. Analyses from the DECLARE-TIMI 58 study</w:t>
      </w:r>
    </w:p>
    <w:p w14:paraId="2DDAD0F0" w14:textId="5D4D81BE" w:rsidR="000F325D" w:rsidRDefault="000F325D" w:rsidP="00F7650E">
      <w:pPr>
        <w:spacing w:after="240" w:line="288" w:lineRule="auto"/>
        <w:rPr>
          <w:rFonts w:cstheme="minorHAnsi"/>
          <w:vertAlign w:val="superscript"/>
        </w:rPr>
      </w:pPr>
      <w:r w:rsidRPr="001E5BE4">
        <w:rPr>
          <w:rFonts w:cstheme="minorHAnsi"/>
        </w:rPr>
        <w:t>Avivit Cahn</w:t>
      </w:r>
      <w:r>
        <w:rPr>
          <w:rFonts w:cstheme="minorHAnsi"/>
          <w:vertAlign w:val="superscript"/>
        </w:rPr>
        <w:t>1</w:t>
      </w:r>
      <w:r w:rsidRPr="001E5BE4">
        <w:rPr>
          <w:rFonts w:cstheme="minorHAnsi"/>
        </w:rPr>
        <w:t>, Itamar Raz</w:t>
      </w:r>
      <w:r>
        <w:rPr>
          <w:rFonts w:cstheme="minorHAnsi"/>
          <w:vertAlign w:val="superscript"/>
        </w:rPr>
        <w:t>1</w:t>
      </w:r>
      <w:r w:rsidRPr="003F454A">
        <w:rPr>
          <w:rFonts w:cstheme="minorHAnsi"/>
        </w:rPr>
        <w:t xml:space="preserve"> </w:t>
      </w:r>
      <w:r w:rsidRPr="001E5BE4">
        <w:rPr>
          <w:rFonts w:cstheme="minorHAnsi"/>
        </w:rPr>
        <w:t>Lawrence A. Leiter</w:t>
      </w:r>
      <w:r>
        <w:rPr>
          <w:rFonts w:cstheme="minorHAnsi"/>
          <w:vertAlign w:val="superscript"/>
        </w:rPr>
        <w:t>2</w:t>
      </w:r>
      <w:r w:rsidRPr="001E5BE4">
        <w:rPr>
          <w:rFonts w:cstheme="minorHAnsi"/>
        </w:rPr>
        <w:t>, Ofri Mosenzon</w:t>
      </w:r>
      <w:r>
        <w:rPr>
          <w:rFonts w:cstheme="minorHAnsi"/>
          <w:vertAlign w:val="superscript"/>
        </w:rPr>
        <w:t>1</w:t>
      </w:r>
      <w:r w:rsidRPr="001E5BE4">
        <w:rPr>
          <w:rFonts w:cstheme="minorHAnsi"/>
        </w:rPr>
        <w:t xml:space="preserve">, </w:t>
      </w:r>
      <w:r w:rsidRPr="001E5BE4">
        <w:rPr>
          <w:rFonts w:cstheme="minorHAnsi"/>
          <w:lang w:val="en-GB"/>
        </w:rPr>
        <w:t>Sabina A. Murphy</w:t>
      </w:r>
      <w:r>
        <w:rPr>
          <w:rFonts w:cstheme="minorHAnsi"/>
          <w:vertAlign w:val="superscript"/>
          <w:lang w:val="en-GB"/>
        </w:rPr>
        <w:t>3</w:t>
      </w:r>
      <w:r w:rsidRPr="001E5BE4">
        <w:rPr>
          <w:rFonts w:cstheme="minorHAnsi"/>
          <w:lang w:val="en-GB"/>
        </w:rPr>
        <w:t>, Erica L. Goodrich</w:t>
      </w:r>
      <w:r>
        <w:rPr>
          <w:rFonts w:cstheme="minorHAnsi"/>
          <w:vertAlign w:val="superscript"/>
          <w:lang w:val="en-GB"/>
        </w:rPr>
        <w:t>3</w:t>
      </w:r>
      <w:r w:rsidRPr="001E5BE4">
        <w:rPr>
          <w:rFonts w:cstheme="minorHAnsi"/>
          <w:lang w:val="en-GB"/>
        </w:rPr>
        <w:t>,</w:t>
      </w:r>
      <w:r w:rsidRPr="001E5BE4">
        <w:rPr>
          <w:rFonts w:cstheme="minorHAnsi"/>
        </w:rPr>
        <w:t xml:space="preserve"> Ilan Yanuv</w:t>
      </w:r>
      <w:r>
        <w:rPr>
          <w:rFonts w:cstheme="minorHAnsi"/>
          <w:vertAlign w:val="superscript"/>
        </w:rPr>
        <w:t>1</w:t>
      </w:r>
      <w:r w:rsidRPr="001E5BE4">
        <w:rPr>
          <w:rFonts w:cstheme="minorHAnsi"/>
          <w:lang w:val="en-GB"/>
        </w:rPr>
        <w:t>, Aliza</w:t>
      </w:r>
      <w:r w:rsidRPr="001E5BE4">
        <w:rPr>
          <w:rFonts w:cstheme="minorHAnsi"/>
        </w:rPr>
        <w:t xml:space="preserve"> Rozenberg</w:t>
      </w:r>
      <w:r>
        <w:rPr>
          <w:rFonts w:cstheme="minorHAnsi"/>
          <w:vertAlign w:val="superscript"/>
        </w:rPr>
        <w:t>1</w:t>
      </w:r>
      <w:r w:rsidRPr="001E5BE4">
        <w:rPr>
          <w:rFonts w:cstheme="minorHAnsi"/>
        </w:rPr>
        <w:t>, Deepak L. Bhatt</w:t>
      </w:r>
      <w:r>
        <w:rPr>
          <w:rFonts w:cstheme="minorHAnsi"/>
          <w:vertAlign w:val="superscript"/>
        </w:rPr>
        <w:t>3</w:t>
      </w:r>
      <w:r w:rsidRPr="001E5BE4">
        <w:rPr>
          <w:rFonts w:cstheme="minorHAnsi"/>
        </w:rPr>
        <w:t>, Darren K. McGuire</w:t>
      </w:r>
      <w:r w:rsidR="008C7836">
        <w:rPr>
          <w:rFonts w:cstheme="minorHAnsi"/>
          <w:vertAlign w:val="superscript"/>
        </w:rPr>
        <w:t>4</w:t>
      </w:r>
      <w:r w:rsidRPr="001E5BE4">
        <w:rPr>
          <w:rFonts w:cstheme="minorHAnsi"/>
        </w:rPr>
        <w:t xml:space="preserve">, </w:t>
      </w:r>
      <w:r w:rsidR="008C7836" w:rsidRPr="001E5BE4">
        <w:rPr>
          <w:rFonts w:cstheme="minorHAnsi"/>
        </w:rPr>
        <w:t>John P.H. Wilding</w:t>
      </w:r>
      <w:r w:rsidR="008C7836">
        <w:rPr>
          <w:rFonts w:cstheme="minorHAnsi"/>
          <w:vertAlign w:val="superscript"/>
        </w:rPr>
        <w:t>5</w:t>
      </w:r>
      <w:r w:rsidR="008C7836" w:rsidRPr="001E5BE4">
        <w:rPr>
          <w:rFonts w:cstheme="minorHAnsi"/>
        </w:rPr>
        <w:t xml:space="preserve">, </w:t>
      </w:r>
      <w:r w:rsidRPr="001E5BE4">
        <w:rPr>
          <w:rFonts w:cstheme="minorHAnsi"/>
        </w:rPr>
        <w:t>Ingrid A. M. Gause-Nilsson</w:t>
      </w:r>
      <w:r>
        <w:rPr>
          <w:rFonts w:cstheme="minorHAnsi"/>
          <w:vertAlign w:val="superscript"/>
        </w:rPr>
        <w:t>6</w:t>
      </w:r>
      <w:r w:rsidRPr="001E5BE4">
        <w:rPr>
          <w:rFonts w:cstheme="minorHAnsi"/>
        </w:rPr>
        <w:t>, Anna Maria Langkilde</w:t>
      </w:r>
      <w:r>
        <w:rPr>
          <w:rFonts w:cstheme="minorHAnsi"/>
          <w:vertAlign w:val="superscript"/>
        </w:rPr>
        <w:t>6</w:t>
      </w:r>
      <w:r w:rsidRPr="001E5BE4">
        <w:rPr>
          <w:rFonts w:cstheme="minorHAnsi"/>
        </w:rPr>
        <w:t>, Marc S. Sabatine</w:t>
      </w:r>
      <w:r>
        <w:rPr>
          <w:rFonts w:cstheme="minorHAnsi"/>
          <w:vertAlign w:val="superscript"/>
        </w:rPr>
        <w:t>3</w:t>
      </w:r>
      <w:r w:rsidRPr="001E5BE4">
        <w:rPr>
          <w:rFonts w:cstheme="minorHAnsi"/>
        </w:rPr>
        <w:t>, Stephen D. Wiviott</w:t>
      </w:r>
      <w:r>
        <w:rPr>
          <w:rFonts w:cstheme="minorHAnsi"/>
          <w:vertAlign w:val="superscript"/>
        </w:rPr>
        <w:t>3</w:t>
      </w:r>
    </w:p>
    <w:p w14:paraId="3E8E41B5" w14:textId="77777777" w:rsidR="000F325D" w:rsidRPr="00663F1C" w:rsidRDefault="000F325D" w:rsidP="00F7650E">
      <w:pPr>
        <w:spacing w:after="0" w:line="288" w:lineRule="auto"/>
        <w:rPr>
          <w:rFonts w:cstheme="minorHAnsi"/>
          <w:bCs/>
          <w:vertAlign w:val="superscript"/>
          <w:rtl/>
        </w:rPr>
      </w:pPr>
    </w:p>
    <w:p w14:paraId="727B9145" w14:textId="77777777" w:rsidR="000F325D" w:rsidRPr="001E5BE4" w:rsidRDefault="000F325D" w:rsidP="00F7650E">
      <w:pPr>
        <w:spacing w:after="0" w:line="288" w:lineRule="auto"/>
        <w:rPr>
          <w:rFonts w:cstheme="minorHAnsi"/>
        </w:rPr>
      </w:pPr>
      <w:r w:rsidRPr="001E5BE4">
        <w:rPr>
          <w:rFonts w:cstheme="minorHAnsi"/>
          <w:vertAlign w:val="superscript"/>
        </w:rPr>
        <w:t>1</w:t>
      </w:r>
      <w:r w:rsidRPr="001E5BE4">
        <w:rPr>
          <w:rFonts w:cstheme="minorHAnsi"/>
        </w:rPr>
        <w:t xml:space="preserve"> Diabetes Unit, Department of Endocrinology and Metabolism, Hadassah Medical Center, Hebrew University of Jerusalem, The Faculty of Medicine, Jerusalem, Israel</w:t>
      </w:r>
    </w:p>
    <w:p w14:paraId="09810014" w14:textId="77777777" w:rsidR="000F325D" w:rsidRDefault="000F325D" w:rsidP="00F7650E">
      <w:pPr>
        <w:spacing w:after="0" w:line="288" w:lineRule="auto"/>
        <w:rPr>
          <w:rFonts w:cstheme="minorHAnsi"/>
          <w:vertAlign w:val="superscript"/>
        </w:rPr>
      </w:pPr>
      <w:r>
        <w:rPr>
          <w:rFonts w:cstheme="minorHAnsi"/>
          <w:vertAlign w:val="superscript"/>
        </w:rPr>
        <w:t>2</w:t>
      </w:r>
      <w:r w:rsidRPr="00CF235F">
        <w:rPr>
          <w:rFonts w:cstheme="minorHAnsi"/>
        </w:rPr>
        <w:t xml:space="preserve"> Li Ka </w:t>
      </w:r>
      <w:proofErr w:type="spellStart"/>
      <w:r w:rsidRPr="00CF235F">
        <w:rPr>
          <w:rFonts w:cstheme="minorHAnsi"/>
        </w:rPr>
        <w:t>Shing</w:t>
      </w:r>
      <w:proofErr w:type="spellEnd"/>
      <w:r w:rsidRPr="00CF235F">
        <w:rPr>
          <w:rFonts w:cstheme="minorHAnsi"/>
        </w:rPr>
        <w:t xml:space="preserve"> Knowledge Institute, Department of Medicine, St. Michael’s Hospital, University of Toronto, Toronto, Canada</w:t>
      </w:r>
      <w:r w:rsidRPr="001E5BE4">
        <w:rPr>
          <w:rFonts w:cstheme="minorHAnsi"/>
          <w:vertAlign w:val="superscript"/>
        </w:rPr>
        <w:t xml:space="preserve"> </w:t>
      </w:r>
    </w:p>
    <w:p w14:paraId="755E8E0A" w14:textId="7B7892A7" w:rsidR="000F325D" w:rsidRPr="00CF235F" w:rsidRDefault="000F325D" w:rsidP="00F7650E">
      <w:pPr>
        <w:spacing w:after="0" w:line="288" w:lineRule="auto"/>
        <w:rPr>
          <w:rFonts w:cstheme="minorHAnsi"/>
        </w:rPr>
      </w:pPr>
      <w:r>
        <w:rPr>
          <w:rFonts w:cstheme="minorHAnsi"/>
          <w:vertAlign w:val="superscript"/>
        </w:rPr>
        <w:t>3</w:t>
      </w:r>
      <w:r w:rsidRPr="001E5BE4">
        <w:rPr>
          <w:rFonts w:cstheme="minorHAnsi"/>
        </w:rPr>
        <w:t xml:space="preserve"> </w:t>
      </w:r>
      <w:r w:rsidRPr="001E5BE4">
        <w:rPr>
          <w:rFonts w:cstheme="minorHAnsi"/>
          <w:color w:val="212121"/>
        </w:rPr>
        <w:t xml:space="preserve">TIMI Study Group, Division of Cardiovascular Medicine, Brigham and Women's Hospital and Harvard Medical School, Boston, </w:t>
      </w:r>
      <w:r w:rsidRPr="00CF235F">
        <w:rPr>
          <w:rFonts w:cstheme="minorHAnsi"/>
        </w:rPr>
        <w:t>MA USA</w:t>
      </w:r>
    </w:p>
    <w:p w14:paraId="7E9DC1A4" w14:textId="2DF4F9ED" w:rsidR="000F325D" w:rsidRPr="001E5BE4" w:rsidRDefault="008C7836" w:rsidP="00F7650E">
      <w:pPr>
        <w:spacing w:after="0" w:line="288" w:lineRule="auto"/>
        <w:rPr>
          <w:rFonts w:cstheme="minorHAnsi"/>
        </w:rPr>
      </w:pPr>
      <w:r>
        <w:rPr>
          <w:rFonts w:cstheme="minorHAnsi"/>
          <w:vertAlign w:val="superscript"/>
        </w:rPr>
        <w:t>4</w:t>
      </w:r>
      <w:r w:rsidR="000F325D">
        <w:rPr>
          <w:rFonts w:cstheme="minorHAnsi"/>
          <w:vertAlign w:val="superscript"/>
        </w:rPr>
        <w:t xml:space="preserve"> </w:t>
      </w:r>
      <w:r w:rsidR="000F325D">
        <w:rPr>
          <w:rFonts w:ascii="Calibri" w:hAnsi="Calibri" w:cs="Calibri"/>
          <w:color w:val="000000"/>
          <w:shd w:val="clear" w:color="auto" w:fill="FFFFFF"/>
        </w:rPr>
        <w:t xml:space="preserve">Division of Cardiology, Department of Internal Medicine, University of Texas Southwestern Medical </w:t>
      </w:r>
      <w:r w:rsidR="000F325D" w:rsidRPr="000F325D">
        <w:rPr>
          <w:rFonts w:ascii="Calibri" w:hAnsi="Calibri" w:cs="Calibri"/>
          <w:color w:val="000000"/>
          <w:shd w:val="clear" w:color="auto" w:fill="FFFFFF"/>
        </w:rPr>
        <w:t>Center</w:t>
      </w:r>
      <w:r w:rsidR="004C150C">
        <w:rPr>
          <w:rFonts w:ascii="Calibri" w:hAnsi="Calibri" w:cs="Calibri"/>
          <w:color w:val="000000"/>
          <w:shd w:val="clear" w:color="auto" w:fill="FFFFFF"/>
        </w:rPr>
        <w:t>,</w:t>
      </w:r>
      <w:r w:rsidR="000F325D" w:rsidRPr="000F325D">
        <w:rPr>
          <w:rFonts w:ascii="Calibri" w:hAnsi="Calibri" w:cs="Calibri"/>
          <w:color w:val="000000"/>
          <w:shd w:val="clear" w:color="auto" w:fill="FFFFFF"/>
        </w:rPr>
        <w:t> and Parkland Health and Hospital System</w:t>
      </w:r>
      <w:r w:rsidR="000F325D">
        <w:rPr>
          <w:rFonts w:ascii="Calibri" w:hAnsi="Calibri" w:cs="Calibri"/>
          <w:color w:val="000000"/>
          <w:shd w:val="clear" w:color="auto" w:fill="FFFFFF"/>
        </w:rPr>
        <w:t>, Dallas, Texas, USA</w:t>
      </w:r>
    </w:p>
    <w:p w14:paraId="125A30F1" w14:textId="6ED86499" w:rsidR="008C7836" w:rsidRPr="00CF235F" w:rsidRDefault="008C7836" w:rsidP="00F7650E">
      <w:pPr>
        <w:shd w:val="clear" w:color="auto" w:fill="FFFFFF"/>
        <w:spacing w:after="0" w:line="288" w:lineRule="auto"/>
        <w:rPr>
          <w:rFonts w:cstheme="minorHAnsi"/>
        </w:rPr>
      </w:pPr>
      <w:r>
        <w:rPr>
          <w:rFonts w:cstheme="minorHAnsi"/>
          <w:vertAlign w:val="superscript"/>
        </w:rPr>
        <w:t>5</w:t>
      </w:r>
      <w:r w:rsidRPr="001E5BE4">
        <w:rPr>
          <w:rFonts w:cstheme="minorHAnsi"/>
        </w:rPr>
        <w:t xml:space="preserve"> </w:t>
      </w:r>
      <w:r>
        <w:rPr>
          <w:rFonts w:ascii="Calibri" w:hAnsi="Calibri" w:cs="Calibri"/>
          <w:color w:val="000000"/>
          <w:shd w:val="clear" w:color="auto" w:fill="FFFFFF"/>
        </w:rPr>
        <w:t>Department of Cardiovascular and Metabolic Medicine, Institute of Life Course and Medical Sciences, University of Liverpool</w:t>
      </w:r>
      <w:r w:rsidRPr="00CF235F">
        <w:rPr>
          <w:rFonts w:cstheme="minorHAnsi"/>
        </w:rPr>
        <w:t>, Liverpool, UK</w:t>
      </w:r>
    </w:p>
    <w:p w14:paraId="051AA95E" w14:textId="77777777" w:rsidR="000F325D" w:rsidRPr="001E5BE4" w:rsidRDefault="000F325D" w:rsidP="00F7650E">
      <w:pPr>
        <w:spacing w:after="0" w:line="288" w:lineRule="auto"/>
        <w:rPr>
          <w:rFonts w:cstheme="minorHAnsi"/>
        </w:rPr>
      </w:pPr>
      <w:r>
        <w:rPr>
          <w:rFonts w:cstheme="minorHAnsi"/>
          <w:vertAlign w:val="superscript"/>
        </w:rPr>
        <w:t>6</w:t>
      </w:r>
      <w:r w:rsidRPr="001E5BE4">
        <w:rPr>
          <w:rFonts w:cstheme="minorHAnsi"/>
        </w:rPr>
        <w:t xml:space="preserve"> </w:t>
      </w:r>
      <w:proofErr w:type="spellStart"/>
      <w:r>
        <w:t>BioPharmaceuticals</w:t>
      </w:r>
      <w:proofErr w:type="spellEnd"/>
      <w:r>
        <w:t xml:space="preserve"> R&amp;D, AstraZeneca, Gothenburg, Sweden</w:t>
      </w:r>
    </w:p>
    <w:p w14:paraId="6AE02721" w14:textId="40FF69FD" w:rsidR="000F325D" w:rsidRDefault="000F325D" w:rsidP="00F7650E">
      <w:pPr>
        <w:spacing w:after="0" w:line="288" w:lineRule="auto"/>
        <w:rPr>
          <w:rFonts w:cstheme="minorHAnsi"/>
        </w:rPr>
      </w:pPr>
    </w:p>
    <w:p w14:paraId="2191EAB3" w14:textId="44F66060" w:rsidR="00470018" w:rsidRDefault="00470018" w:rsidP="00F7650E">
      <w:pPr>
        <w:spacing w:after="0" w:line="288" w:lineRule="auto"/>
        <w:rPr>
          <w:rFonts w:cstheme="minorHAnsi"/>
        </w:rPr>
      </w:pPr>
      <w:r>
        <w:rPr>
          <w:rFonts w:cstheme="minorHAnsi"/>
        </w:rPr>
        <w:t>Running head: DECLARE TIMI-58 outcomes in the MRF cohort</w:t>
      </w:r>
    </w:p>
    <w:p w14:paraId="1DD672FD" w14:textId="77777777" w:rsidR="00470018" w:rsidRDefault="00470018" w:rsidP="00F7650E">
      <w:pPr>
        <w:spacing w:after="0" w:line="288" w:lineRule="auto"/>
        <w:rPr>
          <w:rFonts w:cstheme="minorHAnsi"/>
        </w:rPr>
      </w:pPr>
    </w:p>
    <w:p w14:paraId="344A0EBB" w14:textId="77777777" w:rsidR="000F325D" w:rsidRPr="001E5BE4" w:rsidRDefault="000F325D" w:rsidP="00F7650E">
      <w:pPr>
        <w:spacing w:after="0" w:line="288" w:lineRule="auto"/>
        <w:rPr>
          <w:rFonts w:cstheme="minorHAnsi"/>
          <w:bCs/>
        </w:rPr>
      </w:pPr>
      <w:r w:rsidRPr="001E5BE4">
        <w:rPr>
          <w:rFonts w:cstheme="minorHAnsi"/>
          <w:bCs/>
        </w:rPr>
        <w:t>Corresponding author:</w:t>
      </w:r>
    </w:p>
    <w:p w14:paraId="1823EB96" w14:textId="77777777" w:rsidR="000F325D" w:rsidRPr="001E5BE4" w:rsidRDefault="000F325D" w:rsidP="00F7650E">
      <w:pPr>
        <w:pStyle w:val="NormalWeb"/>
        <w:spacing w:before="0" w:beforeAutospacing="0" w:after="0" w:afterAutospacing="0" w:line="288" w:lineRule="auto"/>
        <w:rPr>
          <w:rFonts w:asciiTheme="minorHAnsi" w:eastAsiaTheme="minorHAnsi" w:hAnsiTheme="minorHAnsi" w:cstheme="minorHAnsi"/>
          <w:bCs/>
          <w:sz w:val="22"/>
          <w:szCs w:val="22"/>
        </w:rPr>
      </w:pPr>
      <w:r w:rsidRPr="001E5BE4">
        <w:rPr>
          <w:rFonts w:asciiTheme="minorHAnsi" w:eastAsiaTheme="minorHAnsi" w:hAnsiTheme="minorHAnsi" w:cstheme="minorHAnsi"/>
          <w:bCs/>
          <w:sz w:val="22"/>
          <w:szCs w:val="22"/>
        </w:rPr>
        <w:t>Dr. Avivit Cahn</w:t>
      </w:r>
    </w:p>
    <w:p w14:paraId="35119031" w14:textId="77777777" w:rsidR="000F325D" w:rsidRPr="001E5BE4" w:rsidRDefault="000F325D" w:rsidP="00F7650E">
      <w:pPr>
        <w:pStyle w:val="NormalWeb"/>
        <w:spacing w:before="0" w:beforeAutospacing="0" w:after="0" w:afterAutospacing="0" w:line="288" w:lineRule="auto"/>
        <w:rPr>
          <w:rFonts w:asciiTheme="minorHAnsi" w:eastAsiaTheme="minorHAnsi" w:hAnsiTheme="minorHAnsi" w:cstheme="minorHAnsi"/>
          <w:bCs/>
          <w:sz w:val="22"/>
          <w:szCs w:val="22"/>
        </w:rPr>
      </w:pPr>
      <w:r w:rsidRPr="001E5BE4">
        <w:rPr>
          <w:rFonts w:asciiTheme="minorHAnsi" w:eastAsiaTheme="minorHAnsi" w:hAnsiTheme="minorHAnsi" w:cstheme="minorHAnsi"/>
          <w:bCs/>
          <w:sz w:val="22"/>
          <w:szCs w:val="22"/>
        </w:rPr>
        <w:t xml:space="preserve">Diabetes Unit, Department of Endocrinology and Metabolism </w:t>
      </w:r>
    </w:p>
    <w:p w14:paraId="7DD57233" w14:textId="77777777" w:rsidR="000F325D" w:rsidRPr="001E5BE4" w:rsidRDefault="000F325D" w:rsidP="00F7650E">
      <w:pPr>
        <w:pStyle w:val="NormalWeb"/>
        <w:spacing w:before="0" w:beforeAutospacing="0" w:after="0" w:afterAutospacing="0" w:line="288" w:lineRule="auto"/>
        <w:rPr>
          <w:rFonts w:asciiTheme="minorHAnsi" w:eastAsiaTheme="minorHAnsi" w:hAnsiTheme="minorHAnsi" w:cstheme="minorHAnsi"/>
          <w:bCs/>
          <w:sz w:val="22"/>
          <w:szCs w:val="22"/>
        </w:rPr>
      </w:pPr>
      <w:r w:rsidRPr="001E5BE4">
        <w:rPr>
          <w:rFonts w:asciiTheme="minorHAnsi" w:eastAsiaTheme="minorHAnsi" w:hAnsiTheme="minorHAnsi" w:cstheme="minorHAnsi"/>
          <w:bCs/>
          <w:sz w:val="22"/>
          <w:szCs w:val="22"/>
        </w:rPr>
        <w:t>Hadassah Hebrew University Hospital, PO Box 12000</w:t>
      </w:r>
    </w:p>
    <w:p w14:paraId="008B1CE5" w14:textId="77777777" w:rsidR="000F325D" w:rsidRPr="001E5BE4" w:rsidRDefault="000F325D" w:rsidP="00F7650E">
      <w:pPr>
        <w:pStyle w:val="NormalWeb"/>
        <w:spacing w:before="0" w:beforeAutospacing="0" w:after="0" w:afterAutospacing="0" w:line="288" w:lineRule="auto"/>
        <w:rPr>
          <w:rFonts w:asciiTheme="minorHAnsi" w:eastAsiaTheme="minorHAnsi" w:hAnsiTheme="minorHAnsi" w:cstheme="minorHAnsi"/>
          <w:bCs/>
          <w:sz w:val="22"/>
          <w:szCs w:val="22"/>
        </w:rPr>
      </w:pPr>
      <w:r w:rsidRPr="001E5BE4">
        <w:rPr>
          <w:rFonts w:asciiTheme="minorHAnsi" w:eastAsiaTheme="minorHAnsi" w:hAnsiTheme="minorHAnsi" w:cstheme="minorHAnsi"/>
          <w:bCs/>
          <w:sz w:val="22"/>
          <w:szCs w:val="22"/>
        </w:rPr>
        <w:t>Jerusalem, Israel 91120</w:t>
      </w:r>
    </w:p>
    <w:p w14:paraId="73E03529" w14:textId="77777777" w:rsidR="000F325D" w:rsidRDefault="000F325D" w:rsidP="00F7650E">
      <w:pPr>
        <w:pStyle w:val="NormalWeb"/>
        <w:spacing w:before="0" w:beforeAutospacing="0" w:after="0" w:afterAutospacing="0" w:line="288" w:lineRule="auto"/>
        <w:rPr>
          <w:rFonts w:asciiTheme="minorHAnsi" w:eastAsiaTheme="minorHAnsi" w:hAnsiTheme="minorHAnsi" w:cstheme="minorHAnsi"/>
          <w:bCs/>
          <w:sz w:val="22"/>
          <w:szCs w:val="22"/>
        </w:rPr>
      </w:pPr>
      <w:r>
        <w:rPr>
          <w:rFonts w:asciiTheme="minorHAnsi" w:eastAsiaTheme="minorHAnsi" w:hAnsiTheme="minorHAnsi" w:cstheme="minorHAnsi"/>
          <w:bCs/>
          <w:sz w:val="22"/>
          <w:szCs w:val="22"/>
        </w:rPr>
        <w:t xml:space="preserve">Tel: 972-2-6776498; </w:t>
      </w:r>
      <w:r w:rsidRPr="001E5BE4">
        <w:rPr>
          <w:rFonts w:asciiTheme="minorHAnsi" w:eastAsiaTheme="minorHAnsi" w:hAnsiTheme="minorHAnsi" w:cstheme="minorHAnsi"/>
          <w:bCs/>
          <w:sz w:val="22"/>
          <w:szCs w:val="22"/>
        </w:rPr>
        <w:t>Fax: 972</w:t>
      </w:r>
      <w:r>
        <w:rPr>
          <w:rFonts w:asciiTheme="minorHAnsi" w:eastAsiaTheme="minorHAnsi" w:hAnsiTheme="minorHAnsi" w:cstheme="minorHAnsi"/>
          <w:bCs/>
          <w:sz w:val="22"/>
          <w:szCs w:val="22"/>
        </w:rPr>
        <w:t>-</w:t>
      </w:r>
      <w:r w:rsidRPr="001E5BE4">
        <w:rPr>
          <w:rFonts w:asciiTheme="minorHAnsi" w:eastAsiaTheme="minorHAnsi" w:hAnsiTheme="minorHAnsi" w:cstheme="minorHAnsi"/>
          <w:bCs/>
          <w:sz w:val="22"/>
          <w:szCs w:val="22"/>
        </w:rPr>
        <w:t>2</w:t>
      </w:r>
      <w:r>
        <w:rPr>
          <w:rFonts w:asciiTheme="minorHAnsi" w:eastAsiaTheme="minorHAnsi" w:hAnsiTheme="minorHAnsi" w:cstheme="minorHAnsi"/>
          <w:bCs/>
          <w:sz w:val="22"/>
          <w:szCs w:val="22"/>
        </w:rPr>
        <w:t>-</w:t>
      </w:r>
      <w:r w:rsidRPr="001E5BE4">
        <w:rPr>
          <w:rFonts w:asciiTheme="minorHAnsi" w:eastAsiaTheme="minorHAnsi" w:hAnsiTheme="minorHAnsi" w:cstheme="minorHAnsi"/>
          <w:bCs/>
          <w:sz w:val="22"/>
          <w:szCs w:val="22"/>
        </w:rPr>
        <w:t>6437940</w:t>
      </w:r>
      <w:r>
        <w:rPr>
          <w:rFonts w:asciiTheme="minorHAnsi" w:eastAsiaTheme="minorHAnsi" w:hAnsiTheme="minorHAnsi" w:cstheme="minorHAnsi"/>
          <w:bCs/>
          <w:sz w:val="22"/>
          <w:szCs w:val="22"/>
        </w:rPr>
        <w:t xml:space="preserve">; </w:t>
      </w:r>
      <w:r w:rsidRPr="001E5BE4">
        <w:rPr>
          <w:rFonts w:asciiTheme="minorHAnsi" w:eastAsiaTheme="minorHAnsi" w:hAnsiTheme="minorHAnsi" w:cstheme="minorHAnsi"/>
          <w:bCs/>
          <w:sz w:val="22"/>
          <w:szCs w:val="22"/>
        </w:rPr>
        <w:t>Email: avivit@hadassah.org.il</w:t>
      </w:r>
    </w:p>
    <w:p w14:paraId="7B645A08" w14:textId="77777777" w:rsidR="000F325D" w:rsidRDefault="000F325D" w:rsidP="00F7650E">
      <w:pPr>
        <w:pStyle w:val="NormalWeb"/>
        <w:spacing w:before="0" w:beforeAutospacing="0" w:after="0" w:afterAutospacing="0" w:line="288" w:lineRule="auto"/>
        <w:rPr>
          <w:rFonts w:asciiTheme="minorHAnsi" w:eastAsiaTheme="minorHAnsi" w:hAnsiTheme="minorHAnsi" w:cstheme="minorHAnsi"/>
          <w:bCs/>
          <w:sz w:val="22"/>
          <w:szCs w:val="22"/>
        </w:rPr>
      </w:pPr>
    </w:p>
    <w:p w14:paraId="53DEDF1D" w14:textId="77777777" w:rsidR="000F325D" w:rsidRPr="004F5027" w:rsidRDefault="000F325D" w:rsidP="00F7650E">
      <w:pPr>
        <w:spacing w:after="120" w:line="288" w:lineRule="auto"/>
        <w:rPr>
          <w:lang w:val="en-CA"/>
        </w:rPr>
      </w:pPr>
      <w:r w:rsidRPr="004F5027">
        <w:rPr>
          <w:b/>
          <w:bCs/>
          <w:lang w:val="en-CA"/>
        </w:rPr>
        <w:t xml:space="preserve">Clinical </w:t>
      </w:r>
      <w:r w:rsidRPr="004F5027">
        <w:rPr>
          <w:b/>
          <w:bCs/>
        </w:rPr>
        <w:t>trial</w:t>
      </w:r>
      <w:r w:rsidRPr="004F5027">
        <w:rPr>
          <w:b/>
          <w:bCs/>
          <w:lang w:val="en-CA"/>
        </w:rPr>
        <w:t xml:space="preserve"> registration: </w:t>
      </w:r>
      <w:r w:rsidRPr="004F5027">
        <w:rPr>
          <w:lang w:val="en-CA"/>
        </w:rPr>
        <w:t>URL: https://clinicaltrials.gov Unique Identifier: NCT01730534</w:t>
      </w:r>
    </w:p>
    <w:p w14:paraId="1BDF2AC8" w14:textId="77777777" w:rsidR="00F7650E" w:rsidRDefault="00F7650E" w:rsidP="00F7650E">
      <w:pPr>
        <w:pStyle w:val="NormalWeb"/>
        <w:spacing w:before="0" w:beforeAutospacing="0" w:after="0" w:afterAutospacing="0" w:line="288" w:lineRule="auto"/>
        <w:rPr>
          <w:rFonts w:asciiTheme="minorHAnsi" w:eastAsiaTheme="minorHAnsi" w:hAnsiTheme="minorHAnsi" w:cstheme="minorHAnsi"/>
          <w:bCs/>
          <w:sz w:val="22"/>
          <w:szCs w:val="22"/>
          <w:rtl/>
        </w:rPr>
      </w:pPr>
    </w:p>
    <w:p w14:paraId="44E1E47A" w14:textId="50D08DB0" w:rsidR="000F325D" w:rsidRDefault="000F325D" w:rsidP="00F92D6D">
      <w:pPr>
        <w:pStyle w:val="NormalWeb"/>
        <w:spacing w:before="0" w:beforeAutospacing="0" w:after="0" w:afterAutospacing="0" w:line="288" w:lineRule="auto"/>
        <w:rPr>
          <w:rFonts w:asciiTheme="minorHAnsi" w:eastAsiaTheme="minorHAnsi" w:hAnsiTheme="minorHAnsi" w:cstheme="minorHAnsi"/>
          <w:bCs/>
          <w:sz w:val="22"/>
          <w:szCs w:val="22"/>
          <w:rtl/>
          <w:lang w:bidi="he-IL"/>
        </w:rPr>
      </w:pPr>
      <w:r>
        <w:rPr>
          <w:rFonts w:asciiTheme="minorHAnsi" w:eastAsiaTheme="minorHAnsi" w:hAnsiTheme="minorHAnsi" w:cstheme="minorHAnsi"/>
          <w:bCs/>
          <w:sz w:val="22"/>
          <w:szCs w:val="22"/>
        </w:rPr>
        <w:t xml:space="preserve">Abstract word count: </w:t>
      </w:r>
      <w:r w:rsidR="00F92D6D">
        <w:rPr>
          <w:rFonts w:asciiTheme="minorHAnsi" w:eastAsiaTheme="minorHAnsi" w:hAnsiTheme="minorHAnsi" w:cstheme="minorHAnsi"/>
          <w:bCs/>
          <w:sz w:val="22"/>
          <w:szCs w:val="22"/>
          <w:lang w:bidi="he-IL"/>
        </w:rPr>
        <w:t>249</w:t>
      </w:r>
    </w:p>
    <w:p w14:paraId="2906EED1" w14:textId="783CB0B1" w:rsidR="000F325D" w:rsidRPr="00F7650E" w:rsidRDefault="000F325D" w:rsidP="00D84913">
      <w:pPr>
        <w:pStyle w:val="NormalWeb"/>
        <w:spacing w:before="0" w:beforeAutospacing="0" w:after="0" w:afterAutospacing="0" w:line="288" w:lineRule="auto"/>
        <w:rPr>
          <w:rFonts w:asciiTheme="minorHAnsi" w:eastAsiaTheme="minorHAnsi" w:hAnsiTheme="minorHAnsi" w:cstheme="minorHAnsi"/>
          <w:bCs/>
          <w:sz w:val="22"/>
          <w:szCs w:val="22"/>
          <w:lang w:bidi="he-IL"/>
        </w:rPr>
      </w:pPr>
      <w:r>
        <w:rPr>
          <w:rFonts w:asciiTheme="minorHAnsi" w:eastAsiaTheme="minorHAnsi" w:hAnsiTheme="minorHAnsi" w:cstheme="minorHAnsi"/>
          <w:bCs/>
          <w:sz w:val="22"/>
          <w:szCs w:val="22"/>
        </w:rPr>
        <w:t xml:space="preserve">Main text word count: </w:t>
      </w:r>
      <w:r w:rsidR="00D84913">
        <w:rPr>
          <w:rFonts w:asciiTheme="minorHAnsi" w:eastAsiaTheme="minorHAnsi" w:hAnsiTheme="minorHAnsi" w:cstheme="minorHAnsi"/>
          <w:bCs/>
          <w:sz w:val="22"/>
          <w:szCs w:val="22"/>
          <w:lang w:bidi="he-IL"/>
        </w:rPr>
        <w:t>2541</w:t>
      </w:r>
    </w:p>
    <w:p w14:paraId="0A04A13E" w14:textId="140BB9CC" w:rsidR="000F325D" w:rsidRDefault="000F325D" w:rsidP="009A7515">
      <w:pPr>
        <w:pStyle w:val="NormalWeb"/>
        <w:spacing w:before="0" w:beforeAutospacing="0" w:after="0" w:afterAutospacing="0" w:line="288" w:lineRule="auto"/>
        <w:rPr>
          <w:rFonts w:asciiTheme="minorHAnsi" w:eastAsiaTheme="minorHAnsi" w:hAnsiTheme="minorHAnsi" w:cstheme="minorHAnsi"/>
          <w:bCs/>
          <w:sz w:val="22"/>
          <w:szCs w:val="22"/>
          <w:lang w:bidi="he-IL"/>
        </w:rPr>
      </w:pPr>
      <w:r>
        <w:rPr>
          <w:rFonts w:asciiTheme="minorHAnsi" w:eastAsiaTheme="minorHAnsi" w:hAnsiTheme="minorHAnsi" w:cstheme="minorHAnsi"/>
          <w:bCs/>
          <w:sz w:val="22"/>
          <w:szCs w:val="22"/>
        </w:rPr>
        <w:t>References:</w:t>
      </w:r>
      <w:r>
        <w:rPr>
          <w:rFonts w:asciiTheme="minorHAnsi" w:eastAsiaTheme="minorHAnsi" w:hAnsiTheme="minorHAnsi" w:cstheme="minorHAnsi"/>
          <w:bCs/>
          <w:sz w:val="22"/>
          <w:szCs w:val="22"/>
          <w:lang w:bidi="he-IL"/>
        </w:rPr>
        <w:t xml:space="preserve"> </w:t>
      </w:r>
      <w:r w:rsidR="009A7515">
        <w:rPr>
          <w:rFonts w:asciiTheme="minorHAnsi" w:eastAsiaTheme="minorHAnsi" w:hAnsiTheme="minorHAnsi" w:cstheme="minorHAnsi"/>
          <w:bCs/>
          <w:sz w:val="22"/>
          <w:szCs w:val="22"/>
          <w:lang w:bidi="he-IL"/>
        </w:rPr>
        <w:t>34</w:t>
      </w:r>
    </w:p>
    <w:p w14:paraId="6EAA8EC7" w14:textId="767B3F16" w:rsidR="000F325D" w:rsidRDefault="000F325D" w:rsidP="00F7650E">
      <w:pPr>
        <w:pStyle w:val="NormalWeb"/>
        <w:spacing w:before="0" w:beforeAutospacing="0" w:after="0" w:afterAutospacing="0" w:line="288" w:lineRule="auto"/>
        <w:rPr>
          <w:rFonts w:asciiTheme="minorHAnsi" w:eastAsiaTheme="minorHAnsi" w:hAnsiTheme="minorHAnsi" w:cstheme="minorHAnsi"/>
          <w:bCs/>
          <w:sz w:val="22"/>
          <w:szCs w:val="22"/>
        </w:rPr>
      </w:pPr>
      <w:r>
        <w:rPr>
          <w:rFonts w:asciiTheme="minorHAnsi" w:eastAsiaTheme="minorHAnsi" w:hAnsiTheme="minorHAnsi" w:cstheme="minorHAnsi"/>
          <w:bCs/>
          <w:sz w:val="22"/>
          <w:szCs w:val="22"/>
        </w:rPr>
        <w:t xml:space="preserve">Tables: </w:t>
      </w:r>
      <w:r w:rsidR="00D83954">
        <w:rPr>
          <w:rFonts w:asciiTheme="minorHAnsi" w:eastAsiaTheme="minorHAnsi" w:hAnsiTheme="minorHAnsi" w:cstheme="minorHAnsi"/>
          <w:bCs/>
          <w:sz w:val="22"/>
          <w:szCs w:val="22"/>
        </w:rPr>
        <w:t>1</w:t>
      </w:r>
    </w:p>
    <w:p w14:paraId="26908D86" w14:textId="77777777" w:rsidR="006816A2" w:rsidRDefault="000F325D" w:rsidP="006816A2">
      <w:pPr>
        <w:pStyle w:val="NormalWeb"/>
        <w:spacing w:before="0" w:beforeAutospacing="0" w:after="0" w:afterAutospacing="0" w:line="288" w:lineRule="auto"/>
        <w:rPr>
          <w:rFonts w:asciiTheme="minorHAnsi" w:eastAsiaTheme="minorHAnsi" w:hAnsiTheme="minorHAnsi" w:cstheme="minorHAnsi"/>
          <w:bCs/>
          <w:sz w:val="22"/>
          <w:szCs w:val="22"/>
        </w:rPr>
      </w:pPr>
      <w:r>
        <w:rPr>
          <w:rFonts w:asciiTheme="minorHAnsi" w:eastAsiaTheme="minorHAnsi" w:hAnsiTheme="minorHAnsi" w:cstheme="minorHAnsi"/>
          <w:bCs/>
          <w:sz w:val="22"/>
          <w:szCs w:val="22"/>
        </w:rPr>
        <w:t xml:space="preserve">Figures: </w:t>
      </w:r>
      <w:r w:rsidR="00F7650E">
        <w:rPr>
          <w:rFonts w:asciiTheme="minorHAnsi" w:eastAsiaTheme="minorHAnsi" w:hAnsiTheme="minorHAnsi" w:cstheme="minorHAnsi"/>
          <w:bCs/>
          <w:sz w:val="22"/>
          <w:szCs w:val="22"/>
        </w:rPr>
        <w:t>3</w:t>
      </w:r>
    </w:p>
    <w:p w14:paraId="75FFD313" w14:textId="547EFBD9" w:rsidR="006816A2" w:rsidRPr="006816A2" w:rsidRDefault="006816A2" w:rsidP="006816A2">
      <w:pPr>
        <w:pStyle w:val="NormalWeb"/>
        <w:spacing w:before="0" w:beforeAutospacing="0" w:after="0" w:afterAutospacing="0" w:line="288" w:lineRule="auto"/>
        <w:rPr>
          <w:rFonts w:cstheme="minorHAnsi"/>
          <w:b/>
          <w:bCs/>
          <w:caps/>
        </w:rPr>
      </w:pPr>
      <w:r>
        <w:rPr>
          <w:rFonts w:cstheme="minorHAnsi"/>
          <w:b/>
          <w:bCs/>
          <w:caps/>
        </w:rPr>
        <w:br w:type="page"/>
      </w:r>
    </w:p>
    <w:p w14:paraId="0A83D7EC" w14:textId="5C31DACF" w:rsidR="003F454A" w:rsidRDefault="003F454A" w:rsidP="00DE44F2">
      <w:pPr>
        <w:spacing w:after="0" w:line="360" w:lineRule="auto"/>
        <w:rPr>
          <w:rFonts w:cstheme="minorHAnsi"/>
          <w:b/>
          <w:bCs/>
          <w:caps/>
        </w:rPr>
      </w:pPr>
      <w:r w:rsidRPr="000449AC">
        <w:rPr>
          <w:rFonts w:cstheme="minorHAnsi"/>
          <w:b/>
          <w:bCs/>
          <w:caps/>
        </w:rPr>
        <w:lastRenderedPageBreak/>
        <w:t>Abstract</w:t>
      </w:r>
    </w:p>
    <w:p w14:paraId="048BF774" w14:textId="77777777" w:rsidR="00E152DE" w:rsidRPr="000449AC" w:rsidRDefault="00E152DE" w:rsidP="00DE44F2">
      <w:pPr>
        <w:spacing w:after="0" w:line="360" w:lineRule="auto"/>
        <w:rPr>
          <w:rFonts w:cstheme="minorHAnsi"/>
          <w:b/>
          <w:bCs/>
          <w:caps/>
        </w:rPr>
      </w:pPr>
    </w:p>
    <w:p w14:paraId="7EFF2982" w14:textId="72B67048" w:rsidR="00627FDC" w:rsidRDefault="00627FDC" w:rsidP="009543C7">
      <w:pPr>
        <w:spacing w:after="240" w:line="360" w:lineRule="auto"/>
      </w:pPr>
      <w:r>
        <w:rPr>
          <w:b/>
          <w:bCs/>
        </w:rPr>
        <w:t xml:space="preserve">Aims: </w:t>
      </w:r>
      <w:r w:rsidR="00821DA2">
        <w:t xml:space="preserve">International guidelines propose prescribing </w:t>
      </w:r>
      <w:r w:rsidR="006F0971">
        <w:t>SGLT</w:t>
      </w:r>
      <w:r w:rsidR="006958AC">
        <w:t>-</w:t>
      </w:r>
      <w:r w:rsidR="006F0971">
        <w:t xml:space="preserve">2 inhibitors </w:t>
      </w:r>
      <w:r w:rsidR="009543C7">
        <w:t xml:space="preserve">to patients with type-2 diabetes (T2D) </w:t>
      </w:r>
      <w:r w:rsidR="00BA7241">
        <w:t xml:space="preserve">as secondary prevention in patients with established atherosclerotic cardiovascular disease (ASCVD) or </w:t>
      </w:r>
      <w:r w:rsidR="00821DA2">
        <w:t>for</w:t>
      </w:r>
      <w:r w:rsidR="0012585A">
        <w:t xml:space="preserve"> </w:t>
      </w:r>
      <w:r w:rsidR="00AA7E4C">
        <w:t>primary prevention of cardiovascular events in high-risk patients</w:t>
      </w:r>
      <w:r w:rsidR="006506A8">
        <w:t>.</w:t>
      </w:r>
      <w:r w:rsidR="00BA7241">
        <w:t xml:space="preserve"> </w:t>
      </w:r>
      <w:r w:rsidR="00AE349B">
        <w:t xml:space="preserve">The current analyses expand on the </w:t>
      </w:r>
      <w:r w:rsidR="006958AC">
        <w:t>cardiovascular and renal</w:t>
      </w:r>
      <w:r w:rsidR="00AE349B">
        <w:t xml:space="preserve"> effects of SG</w:t>
      </w:r>
      <w:r w:rsidR="00B046F1">
        <w:t>LT</w:t>
      </w:r>
      <w:r w:rsidR="006958AC">
        <w:t>-</w:t>
      </w:r>
      <w:r w:rsidR="00B046F1">
        <w:t xml:space="preserve">2 inhibitors </w:t>
      </w:r>
      <w:r w:rsidR="00A0790E">
        <w:t xml:space="preserve">in </w:t>
      </w:r>
      <w:r w:rsidR="00AA7E4C">
        <w:t xml:space="preserve">high-risk </w:t>
      </w:r>
      <w:r w:rsidR="00A0790E">
        <w:t>population</w:t>
      </w:r>
      <w:r w:rsidR="00B1108A">
        <w:t>s</w:t>
      </w:r>
      <w:r w:rsidR="00A0790E">
        <w:t xml:space="preserve"> </w:t>
      </w:r>
      <w:r w:rsidR="00AA7E4C">
        <w:t xml:space="preserve">with multiple risk factors (MRF) </w:t>
      </w:r>
      <w:r w:rsidR="003A2F96">
        <w:t xml:space="preserve">for </w:t>
      </w:r>
      <w:r w:rsidR="00CD57AF">
        <w:t>ASCVD</w:t>
      </w:r>
      <w:r>
        <w:t>.</w:t>
      </w:r>
    </w:p>
    <w:p w14:paraId="1DE869F2" w14:textId="0D122562" w:rsidR="00627FDC" w:rsidRDefault="00627FDC" w:rsidP="00DE44F2">
      <w:pPr>
        <w:spacing w:after="240" w:line="360" w:lineRule="auto"/>
      </w:pPr>
      <w:r>
        <w:rPr>
          <w:b/>
          <w:bCs/>
        </w:rPr>
        <w:t>M</w:t>
      </w:r>
      <w:r w:rsidRPr="008A1C40">
        <w:rPr>
          <w:b/>
          <w:bCs/>
        </w:rPr>
        <w:t>ethods</w:t>
      </w:r>
      <w:r>
        <w:rPr>
          <w:b/>
          <w:bCs/>
        </w:rPr>
        <w:t xml:space="preserve">: </w:t>
      </w:r>
      <w:r>
        <w:t xml:space="preserve">The DECLARE-TIMI 58 </w:t>
      </w:r>
      <w:r w:rsidR="00CD57AF">
        <w:t xml:space="preserve">trial </w:t>
      </w:r>
      <w:r w:rsidR="00BA7241">
        <w:t>randomized</w:t>
      </w:r>
      <w:r>
        <w:t xml:space="preserve"> 17,160 patients with T2D and </w:t>
      </w:r>
      <w:r w:rsidR="00EF0E6C">
        <w:t xml:space="preserve">MRF (59.4%) or </w:t>
      </w:r>
      <w:r w:rsidR="009467B2">
        <w:t>e</w:t>
      </w:r>
      <w:r w:rsidR="00BA7241">
        <w:t xml:space="preserve">stablished </w:t>
      </w:r>
      <w:r>
        <w:t>ASCVD (40.6%) to dapagliflozin vs. placebo, followed for a median of 4.2 years.</w:t>
      </w:r>
      <w:r>
        <w:rPr>
          <w:rFonts w:hint="cs"/>
          <w:rtl/>
        </w:rPr>
        <w:t xml:space="preserve"> </w:t>
      </w:r>
      <w:r w:rsidR="00837EF1">
        <w:t>T</w:t>
      </w:r>
      <w:r w:rsidR="009467B2">
        <w:t xml:space="preserve">he </w:t>
      </w:r>
      <w:r w:rsidR="00EF0E6C">
        <w:t>cardiovascular and renal</w:t>
      </w:r>
      <w:r>
        <w:t xml:space="preserve"> outcomes in</w:t>
      </w:r>
      <w:r w:rsidRPr="008F6538">
        <w:t xml:space="preserve"> </w:t>
      </w:r>
      <w:r>
        <w:t xml:space="preserve">the MRF </w:t>
      </w:r>
      <w:r w:rsidR="00837EF1">
        <w:t>cohort</w:t>
      </w:r>
      <w:r>
        <w:t xml:space="preserve"> </w:t>
      </w:r>
      <w:r w:rsidR="0012585A">
        <w:t xml:space="preserve">were studied </w:t>
      </w:r>
      <w:r w:rsidR="00837EF1">
        <w:t xml:space="preserve">across </w:t>
      </w:r>
      <w:r w:rsidR="00D83404">
        <w:t>clinically relevant subgroups</w:t>
      </w:r>
      <w:r w:rsidR="0012585A">
        <w:t xml:space="preserve"> </w:t>
      </w:r>
      <w:r w:rsidRPr="008F6538">
        <w:t xml:space="preserve">for treatment effect and </w:t>
      </w:r>
      <w:r>
        <w:t>subgroup</w:t>
      </w:r>
      <w:r w:rsidRPr="008F6538">
        <w:t>-based treatment interaction.</w:t>
      </w:r>
      <w:r>
        <w:t xml:space="preserve"> </w:t>
      </w:r>
    </w:p>
    <w:p w14:paraId="78353D5B" w14:textId="408BEAE3" w:rsidR="00627FDC" w:rsidRDefault="00627FDC" w:rsidP="001C2929">
      <w:pPr>
        <w:spacing w:after="240" w:line="360" w:lineRule="auto"/>
      </w:pPr>
      <w:r w:rsidRPr="008A1C40">
        <w:rPr>
          <w:b/>
          <w:bCs/>
        </w:rPr>
        <w:t>Results</w:t>
      </w:r>
      <w:r>
        <w:rPr>
          <w:b/>
          <w:bCs/>
        </w:rPr>
        <w:t>:</w:t>
      </w:r>
      <w:r w:rsidR="009467B2">
        <w:t xml:space="preserve"> </w:t>
      </w:r>
      <w:r w:rsidR="00986D59">
        <w:t xml:space="preserve">Among patients with MRF, the </w:t>
      </w:r>
      <w:r w:rsidR="001C2929">
        <w:t xml:space="preserve">reduction with dapagliflozin in risk of CVD/HHF (HR 0.84, 95% CI 0.67-1.04) and the renal-specific outcome </w:t>
      </w:r>
      <w:r w:rsidR="00986D59">
        <w:t xml:space="preserve">(HR 0.51, 95% CI 0.37-0.69) </w:t>
      </w:r>
      <w:r w:rsidR="009B1841">
        <w:t>did not differ from</w:t>
      </w:r>
      <w:r w:rsidR="00986D59">
        <w:t xml:space="preserve"> patients with ASCVD (</w:t>
      </w:r>
      <w:proofErr w:type="spellStart"/>
      <w:r w:rsidR="00986D59">
        <w:t>P</w:t>
      </w:r>
      <w:r w:rsidR="00986D59">
        <w:rPr>
          <w:vertAlign w:val="subscript"/>
        </w:rPr>
        <w:t>interaction</w:t>
      </w:r>
      <w:proofErr w:type="spellEnd"/>
      <w:r w:rsidR="00986D59">
        <w:t xml:space="preserve"> 0.99 and 0.72 respectively). The effect on CVD/HHF was </w:t>
      </w:r>
      <w:r w:rsidR="006506A8">
        <w:t xml:space="preserve">entirely </w:t>
      </w:r>
      <w:r w:rsidR="00986D59">
        <w:t>driven by a reduction in HHF (HR 0.64, 95% CI 0.46-0.88). The benefit</w:t>
      </w:r>
      <w:r w:rsidR="00694324">
        <w:t>s</w:t>
      </w:r>
      <w:r w:rsidR="00986D59">
        <w:t xml:space="preserve"> </w:t>
      </w:r>
      <w:r w:rsidR="00694324">
        <w:t xml:space="preserve">of dapagliflozin </w:t>
      </w:r>
      <w:r w:rsidR="00986D59">
        <w:t xml:space="preserve">on HHF and </w:t>
      </w:r>
      <w:r w:rsidR="00694324">
        <w:t xml:space="preserve">on </w:t>
      </w:r>
      <w:r w:rsidR="00986D59">
        <w:t>the renal-specific outcome</w:t>
      </w:r>
      <w:r w:rsidR="00F92D6D">
        <w:t>,</w:t>
      </w:r>
      <w:r w:rsidR="00986D59">
        <w:t xml:space="preserve"> </w:t>
      </w:r>
      <w:r w:rsidR="003D5AAE">
        <w:t>among the subset with MRF</w:t>
      </w:r>
      <w:r w:rsidR="00F92D6D">
        <w:t>,</w:t>
      </w:r>
      <w:r w:rsidR="003D5AAE">
        <w:t xml:space="preserve"> </w:t>
      </w:r>
      <w:r w:rsidR="00986D59">
        <w:t>were consistent across all subgroups assessed (</w:t>
      </w:r>
      <w:proofErr w:type="spellStart"/>
      <w:r w:rsidR="00986D59">
        <w:t>P</w:t>
      </w:r>
      <w:r w:rsidR="00986D59">
        <w:rPr>
          <w:vertAlign w:val="subscript"/>
        </w:rPr>
        <w:t>interaction</w:t>
      </w:r>
      <w:proofErr w:type="spellEnd"/>
      <w:r w:rsidR="00986D59">
        <w:t xml:space="preserve"> &gt;0.05 for all). </w:t>
      </w:r>
      <w:r>
        <w:t>At 48 months</w:t>
      </w:r>
      <w:r w:rsidR="00D83404">
        <w:t>,</w:t>
      </w:r>
      <w:r>
        <w:t xml:space="preserve"> </w:t>
      </w:r>
      <w:r w:rsidR="0012585A">
        <w:t xml:space="preserve">HbA1c, weight, systolic blood pressure and urinary </w:t>
      </w:r>
      <w:proofErr w:type="spellStart"/>
      <w:r w:rsidR="0012585A">
        <w:t>albumin</w:t>
      </w:r>
      <w:r w:rsidR="003D5AAE">
        <w:t>:</w:t>
      </w:r>
      <w:r w:rsidR="0012585A">
        <w:t>creatinine</w:t>
      </w:r>
      <w:proofErr w:type="spellEnd"/>
      <w:r w:rsidR="00BA7241">
        <w:t xml:space="preserve"> ratio </w:t>
      </w:r>
      <w:r w:rsidR="0012585A">
        <w:t xml:space="preserve">were lower </w:t>
      </w:r>
      <w:r w:rsidR="00EF0E6C">
        <w:t>with</w:t>
      </w:r>
      <w:r>
        <w:t xml:space="preserve"> dapagliflo</w:t>
      </w:r>
      <w:r w:rsidR="0012585A">
        <w:t>zin vs. placebo and eGFR was higher (</w:t>
      </w:r>
      <w:r w:rsidRPr="00EC7551">
        <w:t>p&lt;0.05</w:t>
      </w:r>
      <w:r w:rsidR="0012585A">
        <w:t>).</w:t>
      </w:r>
      <w:r w:rsidRPr="00EC7551">
        <w:t xml:space="preserve"> </w:t>
      </w:r>
    </w:p>
    <w:p w14:paraId="73381110" w14:textId="77777777" w:rsidR="006816A2" w:rsidRDefault="00627FDC" w:rsidP="006816A2">
      <w:pPr>
        <w:spacing w:after="240" w:line="360" w:lineRule="auto"/>
      </w:pPr>
      <w:r w:rsidRPr="008A1C40">
        <w:rPr>
          <w:b/>
          <w:bCs/>
        </w:rPr>
        <w:t>Conclusion</w:t>
      </w:r>
      <w:r>
        <w:rPr>
          <w:b/>
          <w:bCs/>
        </w:rPr>
        <w:t xml:space="preserve">: </w:t>
      </w:r>
      <w:r w:rsidR="00D83404">
        <w:rPr>
          <w:bCs/>
        </w:rPr>
        <w:t xml:space="preserve">In patients with </w:t>
      </w:r>
      <w:r w:rsidR="00D5121E">
        <w:rPr>
          <w:bCs/>
        </w:rPr>
        <w:t xml:space="preserve">T2D and </w:t>
      </w:r>
      <w:r w:rsidR="00D83404">
        <w:t>MRF, dapagliflozin reduced the risk of HHF and adverse renal outcomes regardless of baseline characteristics.</w:t>
      </w:r>
      <w:r>
        <w:t xml:space="preserve"> These analyses support the benefit of dapagliflozin on important outcomes in </w:t>
      </w:r>
      <w:r w:rsidR="00821DA2">
        <w:t>a</w:t>
      </w:r>
      <w:r>
        <w:t xml:space="preserve"> </w:t>
      </w:r>
      <w:r w:rsidR="008B067B">
        <w:t>broad</w:t>
      </w:r>
      <w:r w:rsidR="005F02F7">
        <w:t xml:space="preserve"> </w:t>
      </w:r>
      <w:r>
        <w:t>primary prevention population.</w:t>
      </w:r>
    </w:p>
    <w:p w14:paraId="019BB67B" w14:textId="1082565E" w:rsidR="003F454A" w:rsidRPr="006816A2" w:rsidRDefault="003F454A" w:rsidP="006816A2">
      <w:pPr>
        <w:spacing w:after="240" w:line="360" w:lineRule="auto"/>
      </w:pPr>
      <w:r>
        <w:rPr>
          <w:rFonts w:cstheme="minorHAnsi"/>
        </w:rPr>
        <w:br w:type="page"/>
      </w:r>
    </w:p>
    <w:p w14:paraId="4DB44CE6" w14:textId="77777777" w:rsidR="000449AC" w:rsidRPr="000449AC" w:rsidRDefault="000449AC" w:rsidP="00DE44F2">
      <w:pPr>
        <w:spacing w:after="120" w:line="360" w:lineRule="auto"/>
        <w:rPr>
          <w:b/>
          <w:bCs/>
          <w:caps/>
          <w:color w:val="212121"/>
          <w:shd w:val="clear" w:color="auto" w:fill="FFFFFF"/>
        </w:rPr>
      </w:pPr>
      <w:r w:rsidRPr="000449AC">
        <w:rPr>
          <w:b/>
          <w:bCs/>
          <w:caps/>
          <w:color w:val="212121"/>
          <w:shd w:val="clear" w:color="auto" w:fill="FFFFFF"/>
        </w:rPr>
        <w:lastRenderedPageBreak/>
        <w:t>introduction</w:t>
      </w:r>
    </w:p>
    <w:p w14:paraId="18F6E096" w14:textId="0B77FC4D" w:rsidR="000449AC" w:rsidRDefault="000449AC" w:rsidP="00841AC5">
      <w:pPr>
        <w:spacing w:after="120" w:line="360" w:lineRule="auto"/>
        <w:rPr>
          <w:color w:val="212121"/>
          <w:shd w:val="clear" w:color="auto" w:fill="FFFFFF"/>
        </w:rPr>
      </w:pPr>
      <w:r>
        <w:rPr>
          <w:color w:val="212121"/>
          <w:shd w:val="clear" w:color="auto" w:fill="FFFFFF"/>
        </w:rPr>
        <w:t xml:space="preserve">Sodium glucose cotransporter 2 (SGLT2) inhibitors have been approved for the treatment of T2DM since 2012. Early clinical trials with these agents demonstrated their capacity not only for lowering glucose but also for reducing weight and blood pressure, thus addressing several important components of the metabolic syndrome (1). The EMPA-REG </w:t>
      </w:r>
      <w:r w:rsidR="002A75B8">
        <w:rPr>
          <w:color w:val="212121"/>
          <w:shd w:val="clear" w:color="auto" w:fill="FFFFFF"/>
        </w:rPr>
        <w:t>OUTCOME trial</w:t>
      </w:r>
      <w:r>
        <w:rPr>
          <w:color w:val="212121"/>
          <w:shd w:val="clear" w:color="auto" w:fill="FFFFFF"/>
        </w:rPr>
        <w:t xml:space="preserve">, the first published cardiovascular outcome trial (CVOT) of a drug in the class, revolutionized our view of </w:t>
      </w:r>
      <w:r w:rsidR="002A75B8">
        <w:rPr>
          <w:color w:val="212121"/>
          <w:shd w:val="clear" w:color="auto" w:fill="FFFFFF"/>
        </w:rPr>
        <w:t>management of T2D</w:t>
      </w:r>
      <w:r>
        <w:rPr>
          <w:color w:val="212121"/>
          <w:shd w:val="clear" w:color="auto" w:fill="FFFFFF"/>
        </w:rPr>
        <w:t xml:space="preserve"> </w:t>
      </w:r>
      <w:r w:rsidR="002A75B8">
        <w:rPr>
          <w:color w:val="212121"/>
          <w:shd w:val="clear" w:color="auto" w:fill="FFFFFF"/>
        </w:rPr>
        <w:t xml:space="preserve">by </w:t>
      </w:r>
      <w:r>
        <w:rPr>
          <w:color w:val="212121"/>
          <w:shd w:val="clear" w:color="auto" w:fill="FFFFFF"/>
        </w:rPr>
        <w:t xml:space="preserve">demonstrating </w:t>
      </w:r>
      <w:r w:rsidR="002A75B8">
        <w:rPr>
          <w:color w:val="212121"/>
          <w:shd w:val="clear" w:color="auto" w:fill="FFFFFF"/>
        </w:rPr>
        <w:t xml:space="preserve">significant </w:t>
      </w:r>
      <w:r>
        <w:rPr>
          <w:color w:val="212121"/>
          <w:shd w:val="clear" w:color="auto" w:fill="FFFFFF"/>
        </w:rPr>
        <w:t xml:space="preserve">reduction in </w:t>
      </w:r>
      <w:r w:rsidR="002A75B8">
        <w:rPr>
          <w:color w:val="212121"/>
          <w:shd w:val="clear" w:color="auto" w:fill="FFFFFF"/>
        </w:rPr>
        <w:t xml:space="preserve">risk for </w:t>
      </w:r>
      <w:r>
        <w:rPr>
          <w:color w:val="212121"/>
          <w:shd w:val="clear" w:color="auto" w:fill="FFFFFF"/>
        </w:rPr>
        <w:t>major adverse cardiovascular event</w:t>
      </w:r>
      <w:r w:rsidR="00841AC5">
        <w:rPr>
          <w:color w:val="212121"/>
          <w:shd w:val="clear" w:color="auto" w:fill="FFFFFF"/>
        </w:rPr>
        <w:t>s (MACE), cardiovascular death</w:t>
      </w:r>
      <w:r w:rsidR="00841AC5">
        <w:rPr>
          <w:rStyle w:val="CommentReference"/>
        </w:rPr>
        <w:t>,</w:t>
      </w:r>
      <w:r>
        <w:rPr>
          <w:color w:val="212121"/>
          <w:shd w:val="clear" w:color="auto" w:fill="FFFFFF"/>
        </w:rPr>
        <w:t xml:space="preserve"> hospitalization for heart failure (HHF), as well as </w:t>
      </w:r>
      <w:r w:rsidR="002A75B8">
        <w:rPr>
          <w:color w:val="212121"/>
          <w:shd w:val="clear" w:color="auto" w:fill="FFFFFF"/>
        </w:rPr>
        <w:t xml:space="preserve">significant </w:t>
      </w:r>
      <w:r>
        <w:rPr>
          <w:color w:val="212121"/>
          <w:shd w:val="clear" w:color="auto" w:fill="FFFFFF"/>
        </w:rPr>
        <w:t>reduction in the occurrence of adverse renal outcom</w:t>
      </w:r>
      <w:r w:rsidR="00A032F4">
        <w:rPr>
          <w:color w:val="212121"/>
          <w:shd w:val="clear" w:color="auto" w:fill="FFFFFF"/>
        </w:rPr>
        <w:t>es</w:t>
      </w:r>
      <w:r w:rsidR="00315F1D">
        <w:rPr>
          <w:color w:val="212121"/>
          <w:shd w:val="clear" w:color="auto" w:fill="FFFFFF"/>
        </w:rPr>
        <w:t xml:space="preserve"> (2, 3)</w:t>
      </w:r>
      <w:r w:rsidR="00A032F4">
        <w:rPr>
          <w:color w:val="212121"/>
          <w:shd w:val="clear" w:color="auto" w:fill="FFFFFF"/>
        </w:rPr>
        <w:t>. Subsequently</w:t>
      </w:r>
      <w:r w:rsidR="002A75B8">
        <w:rPr>
          <w:color w:val="212121"/>
          <w:shd w:val="clear" w:color="auto" w:fill="FFFFFF"/>
        </w:rPr>
        <w:t>,</w:t>
      </w:r>
      <w:r w:rsidR="00A032F4">
        <w:rPr>
          <w:color w:val="212121"/>
          <w:shd w:val="clear" w:color="auto" w:fill="FFFFFF"/>
        </w:rPr>
        <w:t xml:space="preserve"> published CVOT</w:t>
      </w:r>
      <w:r>
        <w:rPr>
          <w:color w:val="212121"/>
          <w:shd w:val="clear" w:color="auto" w:fill="FFFFFF"/>
        </w:rPr>
        <w:t xml:space="preserve">s demonstrated some heterogeneity with respect to </w:t>
      </w:r>
      <w:r w:rsidR="002A75B8">
        <w:rPr>
          <w:color w:val="212121"/>
          <w:shd w:val="clear" w:color="auto" w:fill="FFFFFF"/>
        </w:rPr>
        <w:t xml:space="preserve">SGLT2 inhibitor effects on </w:t>
      </w:r>
      <w:r>
        <w:rPr>
          <w:color w:val="212121"/>
          <w:shd w:val="clear" w:color="auto" w:fill="FFFFFF"/>
        </w:rPr>
        <w:t>M</w:t>
      </w:r>
      <w:r w:rsidR="008D7D6F">
        <w:rPr>
          <w:color w:val="212121"/>
          <w:shd w:val="clear" w:color="auto" w:fill="FFFFFF"/>
        </w:rPr>
        <w:t xml:space="preserve">ACE and </w:t>
      </w:r>
      <w:r w:rsidR="002A75B8">
        <w:rPr>
          <w:color w:val="212121"/>
          <w:shd w:val="clear" w:color="auto" w:fill="FFFFFF"/>
        </w:rPr>
        <w:t>cardiovascular death</w:t>
      </w:r>
      <w:r w:rsidR="008D7D6F">
        <w:rPr>
          <w:color w:val="212121"/>
          <w:shd w:val="clear" w:color="auto" w:fill="FFFFFF"/>
        </w:rPr>
        <w:t xml:space="preserve">, yet the effects on </w:t>
      </w:r>
      <w:r>
        <w:rPr>
          <w:color w:val="212121"/>
          <w:shd w:val="clear" w:color="auto" w:fill="FFFFFF"/>
        </w:rPr>
        <w:t xml:space="preserve">HHF and renal outcomes </w:t>
      </w:r>
      <w:r w:rsidR="008D7D6F">
        <w:rPr>
          <w:color w:val="212121"/>
          <w:shd w:val="clear" w:color="auto" w:fill="FFFFFF"/>
        </w:rPr>
        <w:t>were largely</w:t>
      </w:r>
      <w:r>
        <w:rPr>
          <w:color w:val="212121"/>
          <w:shd w:val="clear" w:color="auto" w:fill="FFFFFF"/>
        </w:rPr>
        <w:t xml:space="preserve"> consistent</w:t>
      </w:r>
      <w:r w:rsidR="00315F1D">
        <w:rPr>
          <w:color w:val="212121"/>
          <w:shd w:val="clear" w:color="auto" w:fill="FFFFFF"/>
        </w:rPr>
        <w:t xml:space="preserve"> (4-</w:t>
      </w:r>
      <w:r w:rsidR="00841AC5">
        <w:rPr>
          <w:color w:val="212121"/>
          <w:shd w:val="clear" w:color="auto" w:fill="FFFFFF"/>
        </w:rPr>
        <w:t>7).</w:t>
      </w:r>
      <w:r>
        <w:rPr>
          <w:color w:val="212121"/>
          <w:shd w:val="clear" w:color="auto" w:fill="FFFFFF"/>
        </w:rPr>
        <w:t xml:space="preserve"> Still, all patients included in the studies of empagliflozin, ertugliflozin and most of the patients included in the canagliflozin program had established atherosclerotic cardiovascular disease (ASCVD), thus limiting our ability to extrapolate the effects of </w:t>
      </w:r>
      <w:r w:rsidR="005F02F7">
        <w:rPr>
          <w:color w:val="212121"/>
          <w:shd w:val="clear" w:color="auto" w:fill="FFFFFF"/>
        </w:rPr>
        <w:t xml:space="preserve">these drugs on populations without established ASCVD, which include the majority </w:t>
      </w:r>
      <w:r>
        <w:rPr>
          <w:color w:val="212121"/>
          <w:shd w:val="clear" w:color="auto" w:fill="FFFFFF"/>
        </w:rPr>
        <w:t xml:space="preserve">of patients with </w:t>
      </w:r>
      <w:r w:rsidR="00622613">
        <w:rPr>
          <w:color w:val="212121"/>
          <w:shd w:val="clear" w:color="auto" w:fill="FFFFFF"/>
        </w:rPr>
        <w:t>T2D</w:t>
      </w:r>
      <w:r w:rsidR="00315F1D">
        <w:rPr>
          <w:color w:val="212121"/>
          <w:shd w:val="clear" w:color="auto" w:fill="FFFFFF"/>
        </w:rPr>
        <w:t xml:space="preserve"> (8-9)</w:t>
      </w:r>
      <w:r>
        <w:rPr>
          <w:color w:val="212121"/>
          <w:shd w:val="clear" w:color="auto" w:fill="FFFFFF"/>
        </w:rPr>
        <w:t>.</w:t>
      </w:r>
      <w:r w:rsidR="00BB4F64" w:rsidRPr="00BB4F64">
        <w:rPr>
          <w:color w:val="212121"/>
          <w:shd w:val="clear" w:color="auto" w:fill="FFFFFF"/>
        </w:rPr>
        <w:t xml:space="preserve"> </w:t>
      </w:r>
    </w:p>
    <w:p w14:paraId="52128EF1" w14:textId="70D37D77" w:rsidR="00BB4F64" w:rsidRDefault="00203E60" w:rsidP="00F92D6D">
      <w:pPr>
        <w:spacing w:after="120" w:line="360" w:lineRule="auto"/>
        <w:rPr>
          <w:color w:val="212121"/>
          <w:shd w:val="clear" w:color="auto" w:fill="FFFFFF"/>
        </w:rPr>
      </w:pPr>
      <w:r w:rsidRPr="00841AC5">
        <w:rPr>
          <w:color w:val="212121"/>
          <w:shd w:val="clear" w:color="auto" w:fill="FFFFFF"/>
        </w:rPr>
        <w:t xml:space="preserve">In the </w:t>
      </w:r>
      <w:r w:rsidR="000449AC" w:rsidRPr="00841AC5">
        <w:rPr>
          <w:color w:val="212121"/>
          <w:shd w:val="clear" w:color="auto" w:fill="FFFFFF"/>
        </w:rPr>
        <w:t>DECLARE</w:t>
      </w:r>
      <w:r w:rsidRPr="00841AC5">
        <w:rPr>
          <w:color w:val="212121"/>
          <w:shd w:val="clear" w:color="auto" w:fill="FFFFFF"/>
        </w:rPr>
        <w:t>-TIMI 58</w:t>
      </w:r>
      <w:r w:rsidR="000449AC" w:rsidRPr="00841AC5">
        <w:rPr>
          <w:color w:val="212121"/>
          <w:shd w:val="clear" w:color="auto" w:fill="FFFFFF"/>
        </w:rPr>
        <w:t xml:space="preserve"> </w:t>
      </w:r>
      <w:r w:rsidR="00A032F4" w:rsidRPr="00841AC5">
        <w:rPr>
          <w:color w:val="212121"/>
          <w:shd w:val="clear" w:color="auto" w:fill="FFFFFF"/>
        </w:rPr>
        <w:t>CVOT</w:t>
      </w:r>
      <w:r w:rsidR="000449AC" w:rsidRPr="00841AC5">
        <w:rPr>
          <w:color w:val="212121"/>
          <w:shd w:val="clear" w:color="auto" w:fill="FFFFFF"/>
        </w:rPr>
        <w:t xml:space="preserve"> </w:t>
      </w:r>
      <w:r w:rsidR="00167742" w:rsidRPr="00841AC5">
        <w:rPr>
          <w:color w:val="212121"/>
          <w:shd w:val="clear" w:color="auto" w:fill="FFFFFF"/>
        </w:rPr>
        <w:t>of dapagliflozin vs. placebo,</w:t>
      </w:r>
      <w:r w:rsidR="000449AC" w:rsidRPr="00841AC5">
        <w:rPr>
          <w:color w:val="212121"/>
          <w:shd w:val="clear" w:color="auto" w:fill="FFFFFF"/>
        </w:rPr>
        <w:t xml:space="preserve"> </w:t>
      </w:r>
      <w:r w:rsidR="009478D0" w:rsidRPr="00841AC5">
        <w:rPr>
          <w:color w:val="212121"/>
          <w:shd w:val="clear" w:color="auto" w:fill="FFFFFF"/>
        </w:rPr>
        <w:t>59.</w:t>
      </w:r>
      <w:r w:rsidR="008D7D6F" w:rsidRPr="00841AC5">
        <w:rPr>
          <w:color w:val="212121"/>
          <w:shd w:val="clear" w:color="auto" w:fill="FFFFFF"/>
        </w:rPr>
        <w:t>4</w:t>
      </w:r>
      <w:r w:rsidR="009478D0" w:rsidRPr="00841AC5">
        <w:rPr>
          <w:color w:val="212121"/>
          <w:shd w:val="clear" w:color="auto" w:fill="FFFFFF"/>
        </w:rPr>
        <w:t>% of the</w:t>
      </w:r>
      <w:r w:rsidRPr="00841AC5">
        <w:rPr>
          <w:color w:val="212121"/>
          <w:shd w:val="clear" w:color="auto" w:fill="FFFFFF"/>
        </w:rPr>
        <w:t xml:space="preserve"> patients had multiple </w:t>
      </w:r>
      <w:r w:rsidR="000449AC" w:rsidRPr="00841AC5">
        <w:rPr>
          <w:color w:val="212121"/>
          <w:shd w:val="clear" w:color="auto" w:fill="FFFFFF"/>
        </w:rPr>
        <w:t xml:space="preserve">risk factors </w:t>
      </w:r>
      <w:r w:rsidR="00F92D6D">
        <w:rPr>
          <w:color w:val="212121"/>
          <w:shd w:val="clear" w:color="auto" w:fill="FFFFFF"/>
        </w:rPr>
        <w:t xml:space="preserve">(MRF) </w:t>
      </w:r>
      <w:r w:rsidR="00154484" w:rsidRPr="00841AC5">
        <w:rPr>
          <w:color w:val="212121"/>
          <w:shd w:val="clear" w:color="auto" w:fill="FFFFFF"/>
        </w:rPr>
        <w:t xml:space="preserve">but </w:t>
      </w:r>
      <w:r w:rsidR="00F92D6D">
        <w:rPr>
          <w:color w:val="212121"/>
          <w:shd w:val="clear" w:color="auto" w:fill="FFFFFF"/>
        </w:rPr>
        <w:t>not</w:t>
      </w:r>
      <w:r w:rsidR="000449AC" w:rsidRPr="00841AC5">
        <w:rPr>
          <w:color w:val="212121"/>
          <w:shd w:val="clear" w:color="auto" w:fill="FFFFFF"/>
        </w:rPr>
        <w:t xml:space="preserve"> established ASCVD. </w:t>
      </w:r>
      <w:r w:rsidR="00BB4F64" w:rsidRPr="00841AC5">
        <w:rPr>
          <w:color w:val="212121"/>
          <w:shd w:val="clear" w:color="auto" w:fill="FFFFFF"/>
        </w:rPr>
        <w:t xml:space="preserve">This large primary prevention </w:t>
      </w:r>
      <w:r w:rsidR="00AE349B" w:rsidRPr="00841AC5">
        <w:rPr>
          <w:color w:val="212121"/>
          <w:shd w:val="clear" w:color="auto" w:fill="FFFFFF"/>
        </w:rPr>
        <w:t>cohort</w:t>
      </w:r>
      <w:r w:rsidR="00BC7ADA" w:rsidRPr="00841AC5">
        <w:rPr>
          <w:color w:val="212121"/>
          <w:shd w:val="clear" w:color="auto" w:fill="FFFFFF"/>
        </w:rPr>
        <w:t xml:space="preserve"> (N=10,146)</w:t>
      </w:r>
      <w:r w:rsidR="00BB4F64" w:rsidRPr="00841AC5">
        <w:rPr>
          <w:color w:val="212121"/>
          <w:shd w:val="clear" w:color="auto" w:fill="FFFFFF"/>
        </w:rPr>
        <w:t xml:space="preserve"> </w:t>
      </w:r>
      <w:r w:rsidR="00AE349B" w:rsidRPr="00841AC5">
        <w:rPr>
          <w:color w:val="212121"/>
          <w:shd w:val="clear" w:color="auto" w:fill="FFFFFF"/>
        </w:rPr>
        <w:t xml:space="preserve">represents a broad </w:t>
      </w:r>
      <w:r w:rsidR="00154484" w:rsidRPr="00841AC5">
        <w:rPr>
          <w:color w:val="212121"/>
          <w:shd w:val="clear" w:color="auto" w:fill="FFFFFF"/>
        </w:rPr>
        <w:t>T2D</w:t>
      </w:r>
      <w:r w:rsidR="00AE349B" w:rsidRPr="00841AC5">
        <w:rPr>
          <w:color w:val="212121"/>
          <w:shd w:val="clear" w:color="auto" w:fill="FFFFFF"/>
        </w:rPr>
        <w:t xml:space="preserve"> population</w:t>
      </w:r>
      <w:r w:rsidR="00BB4F64" w:rsidRPr="00841AC5">
        <w:rPr>
          <w:color w:val="212121"/>
          <w:shd w:val="clear" w:color="auto" w:fill="FFFFFF"/>
        </w:rPr>
        <w:t xml:space="preserve"> with respect to </w:t>
      </w:r>
      <w:r w:rsidR="00A032F4" w:rsidRPr="00841AC5">
        <w:rPr>
          <w:color w:val="212121"/>
          <w:shd w:val="clear" w:color="auto" w:fill="FFFFFF"/>
        </w:rPr>
        <w:t xml:space="preserve">the </w:t>
      </w:r>
      <w:r w:rsidR="00BB4F64" w:rsidRPr="00841AC5">
        <w:rPr>
          <w:color w:val="212121"/>
          <w:shd w:val="clear" w:color="auto" w:fill="FFFFFF"/>
        </w:rPr>
        <w:t>number of cardiovascular risk factors, age, disease duration and renal function. Thus, t</w:t>
      </w:r>
      <w:r w:rsidR="000449AC" w:rsidRPr="00841AC5">
        <w:rPr>
          <w:color w:val="212121"/>
          <w:shd w:val="clear" w:color="auto" w:fill="FFFFFF"/>
        </w:rPr>
        <w:t xml:space="preserve">his trial </w:t>
      </w:r>
      <w:r w:rsidR="00154484" w:rsidRPr="00841AC5">
        <w:rPr>
          <w:color w:val="212121"/>
          <w:shd w:val="clear" w:color="auto" w:fill="FFFFFF"/>
        </w:rPr>
        <w:t xml:space="preserve">affords </w:t>
      </w:r>
      <w:r w:rsidR="000449AC" w:rsidRPr="00841AC5">
        <w:rPr>
          <w:color w:val="212121"/>
          <w:shd w:val="clear" w:color="auto" w:fill="FFFFFF"/>
        </w:rPr>
        <w:t>a unique opportunity to assess the</w:t>
      </w:r>
      <w:r w:rsidR="00BB4F64" w:rsidRPr="00841AC5">
        <w:rPr>
          <w:color w:val="212121"/>
          <w:shd w:val="clear" w:color="auto" w:fill="FFFFFF"/>
        </w:rPr>
        <w:t xml:space="preserve"> </w:t>
      </w:r>
      <w:r w:rsidR="00154484" w:rsidRPr="00841AC5">
        <w:rPr>
          <w:color w:val="212121"/>
          <w:shd w:val="clear" w:color="auto" w:fill="FFFFFF"/>
        </w:rPr>
        <w:t xml:space="preserve">effects </w:t>
      </w:r>
      <w:r w:rsidR="000449AC" w:rsidRPr="00841AC5">
        <w:rPr>
          <w:color w:val="212121"/>
          <w:shd w:val="clear" w:color="auto" w:fill="FFFFFF"/>
        </w:rPr>
        <w:t xml:space="preserve">of an SGLT2 inhibitor </w:t>
      </w:r>
      <w:r w:rsidR="00BB4F64" w:rsidRPr="00841AC5">
        <w:rPr>
          <w:color w:val="212121"/>
          <w:shd w:val="clear" w:color="auto" w:fill="FFFFFF"/>
        </w:rPr>
        <w:t xml:space="preserve">in a </w:t>
      </w:r>
      <w:r w:rsidR="00A032F4" w:rsidRPr="00841AC5">
        <w:rPr>
          <w:color w:val="212121"/>
          <w:shd w:val="clear" w:color="auto" w:fill="FFFFFF"/>
        </w:rPr>
        <w:t>population with</w:t>
      </w:r>
      <w:r w:rsidR="00BB0587" w:rsidRPr="00841AC5">
        <w:rPr>
          <w:color w:val="212121"/>
          <w:shd w:val="clear" w:color="auto" w:fill="FFFFFF"/>
        </w:rPr>
        <w:t xml:space="preserve"> T2D without prevalent ASCVD.</w:t>
      </w:r>
      <w:r w:rsidR="00A032F4" w:rsidRPr="00841AC5">
        <w:rPr>
          <w:color w:val="212121"/>
          <w:shd w:val="clear" w:color="auto" w:fill="FFFFFF"/>
        </w:rPr>
        <w:t xml:space="preserve"> </w:t>
      </w:r>
      <w:r w:rsidR="000449AC" w:rsidRPr="00841AC5">
        <w:rPr>
          <w:color w:val="212121"/>
          <w:shd w:val="clear" w:color="auto" w:fill="FFFFFF"/>
        </w:rPr>
        <w:t>(6</w:t>
      </w:r>
      <w:r w:rsidR="003861EA" w:rsidRPr="00841AC5">
        <w:rPr>
          <w:color w:val="212121"/>
          <w:shd w:val="clear" w:color="auto" w:fill="FFFFFF"/>
        </w:rPr>
        <w:t>, 10</w:t>
      </w:r>
      <w:r w:rsidR="000449AC" w:rsidRPr="00841AC5">
        <w:rPr>
          <w:color w:val="212121"/>
          <w:shd w:val="clear" w:color="auto" w:fill="FFFFFF"/>
        </w:rPr>
        <w:t>).</w:t>
      </w:r>
      <w:r w:rsidR="000449AC">
        <w:rPr>
          <w:color w:val="212121"/>
          <w:shd w:val="clear" w:color="auto" w:fill="FFFFFF"/>
        </w:rPr>
        <w:t xml:space="preserve"> </w:t>
      </w:r>
    </w:p>
    <w:p w14:paraId="2D029316" w14:textId="5F078A41" w:rsidR="000449AC" w:rsidRDefault="00C52E4B" w:rsidP="000D3262">
      <w:pPr>
        <w:spacing w:after="120" w:line="360" w:lineRule="auto"/>
        <w:rPr>
          <w:color w:val="212121"/>
          <w:shd w:val="clear" w:color="auto" w:fill="FFFFFF"/>
        </w:rPr>
      </w:pPr>
      <w:r>
        <w:rPr>
          <w:color w:val="212121"/>
          <w:shd w:val="clear" w:color="auto" w:fill="FFFFFF"/>
        </w:rPr>
        <w:t>In the overall trial, d</w:t>
      </w:r>
      <w:r w:rsidR="000449AC">
        <w:rPr>
          <w:color w:val="212121"/>
          <w:shd w:val="clear" w:color="auto" w:fill="FFFFFF"/>
        </w:rPr>
        <w:t xml:space="preserve">apagliflozin demonstrated a reduction in </w:t>
      </w:r>
      <w:r w:rsidR="00BC7ADA">
        <w:rPr>
          <w:color w:val="212121"/>
          <w:shd w:val="clear" w:color="auto" w:fill="FFFFFF"/>
        </w:rPr>
        <w:t xml:space="preserve">one of the dual </w:t>
      </w:r>
      <w:r w:rsidR="000449AC">
        <w:rPr>
          <w:color w:val="212121"/>
          <w:shd w:val="clear" w:color="auto" w:fill="FFFFFF"/>
        </w:rPr>
        <w:t xml:space="preserve">primary composite </w:t>
      </w:r>
      <w:r w:rsidR="00841AC5">
        <w:rPr>
          <w:color w:val="212121"/>
          <w:shd w:val="clear" w:color="auto" w:fill="FFFFFF"/>
        </w:rPr>
        <w:t>outcomes</w:t>
      </w:r>
      <w:r w:rsidR="000449AC">
        <w:rPr>
          <w:color w:val="212121"/>
          <w:shd w:val="clear" w:color="auto" w:fill="FFFFFF"/>
        </w:rPr>
        <w:t xml:space="preserve"> of hospitalization for heart failure / cardiovascular death (HHF/CVD; HR </w:t>
      </w:r>
      <w:r w:rsidR="002373F4">
        <w:rPr>
          <w:color w:val="212121"/>
          <w:shd w:val="clear" w:color="auto" w:fill="FFFFFF"/>
        </w:rPr>
        <w:t>0.83, 95% CI 0.73-</w:t>
      </w:r>
      <w:r w:rsidR="000449AC">
        <w:rPr>
          <w:color w:val="212121"/>
          <w:shd w:val="clear" w:color="auto" w:fill="FFFFFF"/>
        </w:rPr>
        <w:t xml:space="preserve">0.95), </w:t>
      </w:r>
      <w:r w:rsidR="009478D0">
        <w:rPr>
          <w:color w:val="212121"/>
          <w:shd w:val="clear" w:color="auto" w:fill="FFFFFF"/>
        </w:rPr>
        <w:t xml:space="preserve">driven by a reduction in HHF, </w:t>
      </w:r>
      <w:r w:rsidR="00EA24D4">
        <w:rPr>
          <w:color w:val="212121"/>
          <w:shd w:val="clear" w:color="auto" w:fill="FFFFFF"/>
        </w:rPr>
        <w:t xml:space="preserve">and also </w:t>
      </w:r>
      <w:r w:rsidR="00EA24D4" w:rsidRPr="00654DC2">
        <w:rPr>
          <w:color w:val="212121"/>
          <w:shd w:val="clear" w:color="auto" w:fill="FFFFFF"/>
        </w:rPr>
        <w:t xml:space="preserve">met the prespecified criterion for noninferiority </w:t>
      </w:r>
      <w:r w:rsidR="00EA24D4">
        <w:rPr>
          <w:color w:val="212121"/>
          <w:shd w:val="clear" w:color="auto" w:fill="FFFFFF"/>
        </w:rPr>
        <w:t xml:space="preserve">but </w:t>
      </w:r>
      <w:r w:rsidR="000449AC">
        <w:rPr>
          <w:color w:val="212121"/>
          <w:shd w:val="clear" w:color="auto" w:fill="FFFFFF"/>
        </w:rPr>
        <w:t xml:space="preserve">did not achieve statistically significant superiority with respect to the second </w:t>
      </w:r>
      <w:r w:rsidR="00BC7ADA">
        <w:rPr>
          <w:color w:val="212121"/>
          <w:shd w:val="clear" w:color="auto" w:fill="FFFFFF"/>
        </w:rPr>
        <w:t xml:space="preserve">dual </w:t>
      </w:r>
      <w:r w:rsidR="000449AC">
        <w:rPr>
          <w:color w:val="212121"/>
          <w:shd w:val="clear" w:color="auto" w:fill="FFFFFF"/>
        </w:rPr>
        <w:t>primary outcome of MACE (H</w:t>
      </w:r>
      <w:r w:rsidR="00BB4F64">
        <w:rPr>
          <w:color w:val="212121"/>
          <w:shd w:val="clear" w:color="auto" w:fill="FFFFFF"/>
        </w:rPr>
        <w:t>R</w:t>
      </w:r>
      <w:r w:rsidR="002373F4">
        <w:rPr>
          <w:color w:val="212121"/>
          <w:shd w:val="clear" w:color="auto" w:fill="FFFFFF"/>
        </w:rPr>
        <w:t xml:space="preserve"> 0.93, </w:t>
      </w:r>
      <w:r w:rsidR="00BB4F64">
        <w:rPr>
          <w:color w:val="212121"/>
          <w:shd w:val="clear" w:color="auto" w:fill="FFFFFF"/>
        </w:rPr>
        <w:t>95% CI</w:t>
      </w:r>
      <w:r w:rsidR="002373F4">
        <w:rPr>
          <w:color w:val="212121"/>
          <w:shd w:val="clear" w:color="auto" w:fill="FFFFFF"/>
        </w:rPr>
        <w:t xml:space="preserve"> </w:t>
      </w:r>
      <w:r w:rsidR="00BB4F64">
        <w:rPr>
          <w:color w:val="212121"/>
          <w:shd w:val="clear" w:color="auto" w:fill="FFFFFF"/>
        </w:rPr>
        <w:t>0.84</w:t>
      </w:r>
      <w:r w:rsidR="002373F4">
        <w:rPr>
          <w:color w:val="212121"/>
          <w:shd w:val="clear" w:color="auto" w:fill="FFFFFF"/>
        </w:rPr>
        <w:t>-</w:t>
      </w:r>
      <w:r w:rsidR="00BB4F64">
        <w:rPr>
          <w:color w:val="212121"/>
          <w:shd w:val="clear" w:color="auto" w:fill="FFFFFF"/>
        </w:rPr>
        <w:t>1.03)</w:t>
      </w:r>
      <w:r w:rsidR="00FE7337">
        <w:rPr>
          <w:color w:val="212121"/>
          <w:shd w:val="clear" w:color="auto" w:fill="FFFFFF"/>
        </w:rPr>
        <w:t xml:space="preserve"> (6)</w:t>
      </w:r>
      <w:r w:rsidR="00BB4F64">
        <w:rPr>
          <w:color w:val="212121"/>
          <w:shd w:val="clear" w:color="auto" w:fill="FFFFFF"/>
        </w:rPr>
        <w:t xml:space="preserve">. </w:t>
      </w:r>
      <w:r w:rsidR="00EA24D4">
        <w:rPr>
          <w:color w:val="212121"/>
          <w:shd w:val="clear" w:color="auto" w:fill="FFFFFF"/>
        </w:rPr>
        <w:t xml:space="preserve">The renal-specific outcome was </w:t>
      </w:r>
      <w:r w:rsidR="00BB4F64">
        <w:rPr>
          <w:color w:val="212121"/>
          <w:shd w:val="clear" w:color="auto" w:fill="FFFFFF"/>
        </w:rPr>
        <w:t>significantly reduced with dapagliflozin</w:t>
      </w:r>
      <w:r w:rsidR="002373F4">
        <w:rPr>
          <w:color w:val="212121"/>
          <w:shd w:val="clear" w:color="auto" w:fill="FFFFFF"/>
        </w:rPr>
        <w:t xml:space="preserve"> (HR 0.53, 95% CI 0.43-0.66)</w:t>
      </w:r>
      <w:r w:rsidR="00BB4F64">
        <w:rPr>
          <w:color w:val="212121"/>
          <w:shd w:val="clear" w:color="auto" w:fill="FFFFFF"/>
        </w:rPr>
        <w:t xml:space="preserve"> </w:t>
      </w:r>
      <w:r w:rsidR="000449AC">
        <w:rPr>
          <w:color w:val="212121"/>
          <w:shd w:val="clear" w:color="auto" w:fill="FFFFFF"/>
        </w:rPr>
        <w:t>(</w:t>
      </w:r>
      <w:r w:rsidR="00FE7337">
        <w:rPr>
          <w:color w:val="212121"/>
          <w:shd w:val="clear" w:color="auto" w:fill="FFFFFF"/>
        </w:rPr>
        <w:t>11</w:t>
      </w:r>
      <w:r w:rsidR="000449AC">
        <w:rPr>
          <w:color w:val="212121"/>
          <w:shd w:val="clear" w:color="auto" w:fill="FFFFFF"/>
        </w:rPr>
        <w:t>).</w:t>
      </w:r>
      <w:r w:rsidR="00BB4F64">
        <w:rPr>
          <w:color w:val="212121"/>
          <w:shd w:val="clear" w:color="auto" w:fill="FFFFFF"/>
        </w:rPr>
        <w:t xml:space="preserve"> </w:t>
      </w:r>
      <w:r w:rsidR="00EA24D4">
        <w:rPr>
          <w:color w:val="212121"/>
          <w:shd w:val="clear" w:color="auto" w:fill="FFFFFF"/>
        </w:rPr>
        <w:t>All outcomes were directionally consistent in the established ASCVD and the MRF groups (</w:t>
      </w:r>
      <w:proofErr w:type="spellStart"/>
      <w:r w:rsidR="00EA24D4">
        <w:rPr>
          <w:color w:val="212121"/>
          <w:shd w:val="clear" w:color="auto" w:fill="FFFFFF"/>
        </w:rPr>
        <w:t>P</w:t>
      </w:r>
      <w:r w:rsidR="00EA24D4">
        <w:rPr>
          <w:color w:val="212121"/>
          <w:shd w:val="clear" w:color="auto" w:fill="FFFFFF"/>
          <w:vertAlign w:val="subscript"/>
        </w:rPr>
        <w:t>interaction</w:t>
      </w:r>
      <w:proofErr w:type="spellEnd"/>
      <w:r w:rsidR="00EA24D4">
        <w:rPr>
          <w:color w:val="212121"/>
          <w:shd w:val="clear" w:color="auto" w:fill="FFFFFF"/>
        </w:rPr>
        <w:t xml:space="preserve"> &gt;0.05) (6). </w:t>
      </w:r>
      <w:r w:rsidR="00BB4F64">
        <w:rPr>
          <w:color w:val="212121"/>
          <w:shd w:val="clear" w:color="auto" w:fill="FFFFFF"/>
        </w:rPr>
        <w:t xml:space="preserve">In the current </w:t>
      </w:r>
      <w:r w:rsidR="00954782">
        <w:rPr>
          <w:color w:val="212121"/>
          <w:shd w:val="clear" w:color="auto" w:fill="FFFFFF"/>
        </w:rPr>
        <w:t>analysis</w:t>
      </w:r>
      <w:r w:rsidR="000449AC">
        <w:rPr>
          <w:color w:val="212121"/>
          <w:shd w:val="clear" w:color="auto" w:fill="FFFFFF"/>
        </w:rPr>
        <w:t xml:space="preserve">, </w:t>
      </w:r>
      <w:r w:rsidR="00BB4F64">
        <w:rPr>
          <w:color w:val="212121"/>
          <w:shd w:val="clear" w:color="auto" w:fill="FFFFFF"/>
        </w:rPr>
        <w:t xml:space="preserve">we focus on the MRF </w:t>
      </w:r>
      <w:r w:rsidR="001C4FA7">
        <w:rPr>
          <w:color w:val="212121"/>
          <w:shd w:val="clear" w:color="auto" w:fill="FFFFFF"/>
        </w:rPr>
        <w:t>cohort</w:t>
      </w:r>
      <w:r w:rsidR="00BB4F64">
        <w:rPr>
          <w:color w:val="212121"/>
          <w:shd w:val="clear" w:color="auto" w:fill="FFFFFF"/>
        </w:rPr>
        <w:t xml:space="preserve"> </w:t>
      </w:r>
      <w:r w:rsidR="000449AC">
        <w:rPr>
          <w:color w:val="212121"/>
          <w:shd w:val="clear" w:color="auto" w:fill="FFFFFF"/>
        </w:rPr>
        <w:t xml:space="preserve">aiming to better characterize the </w:t>
      </w:r>
      <w:r w:rsidR="00EF0E6C">
        <w:rPr>
          <w:color w:val="212121"/>
          <w:shd w:val="clear" w:color="auto" w:fill="FFFFFF"/>
        </w:rPr>
        <w:t>cardiovascular, renal</w:t>
      </w:r>
      <w:r w:rsidR="000449AC">
        <w:rPr>
          <w:color w:val="212121"/>
          <w:shd w:val="clear" w:color="auto" w:fill="FFFFFF"/>
        </w:rPr>
        <w:t xml:space="preserve"> and metabolic benefits of dapagliflozin </w:t>
      </w:r>
      <w:r w:rsidR="001C4FA7">
        <w:rPr>
          <w:color w:val="212121"/>
          <w:shd w:val="clear" w:color="auto" w:fill="FFFFFF"/>
        </w:rPr>
        <w:t xml:space="preserve">on a broad population </w:t>
      </w:r>
      <w:r w:rsidR="00A032F4">
        <w:rPr>
          <w:color w:val="212121"/>
          <w:shd w:val="clear" w:color="auto" w:fill="FFFFFF"/>
        </w:rPr>
        <w:t xml:space="preserve">with varying </w:t>
      </w:r>
      <w:r w:rsidR="001C4FA7">
        <w:rPr>
          <w:color w:val="212121"/>
          <w:shd w:val="clear" w:color="auto" w:fill="FFFFFF"/>
        </w:rPr>
        <w:t>demographic, clinical and metabolic features.</w:t>
      </w:r>
    </w:p>
    <w:p w14:paraId="3DBBD415" w14:textId="6DDE9AF4" w:rsidR="000449AC" w:rsidRDefault="000449AC" w:rsidP="00DE44F2">
      <w:pPr>
        <w:spacing w:after="240" w:line="360" w:lineRule="auto"/>
        <w:rPr>
          <w:rFonts w:eastAsia="Times New Roman" w:cstheme="minorHAnsi"/>
          <w:b/>
          <w:bCs/>
          <w:caps/>
        </w:rPr>
      </w:pPr>
    </w:p>
    <w:p w14:paraId="1C8CE962" w14:textId="71812B58" w:rsidR="003F454A" w:rsidRPr="00461EAA" w:rsidRDefault="00886AA5" w:rsidP="00DE44F2">
      <w:pPr>
        <w:spacing w:line="360" w:lineRule="auto"/>
        <w:rPr>
          <w:rFonts w:eastAsia="Times New Roman" w:cstheme="minorHAnsi"/>
          <w:b/>
          <w:bCs/>
          <w:caps/>
        </w:rPr>
      </w:pPr>
      <w:r>
        <w:rPr>
          <w:rFonts w:eastAsia="Times New Roman" w:cstheme="minorHAnsi"/>
          <w:b/>
          <w:bCs/>
          <w:caps/>
        </w:rPr>
        <w:br w:type="page"/>
      </w:r>
      <w:r w:rsidR="003F454A" w:rsidRPr="00461EAA">
        <w:rPr>
          <w:rFonts w:eastAsia="Times New Roman" w:cstheme="minorHAnsi"/>
          <w:b/>
          <w:bCs/>
          <w:caps/>
        </w:rPr>
        <w:lastRenderedPageBreak/>
        <w:t>Materials and Methods</w:t>
      </w:r>
    </w:p>
    <w:p w14:paraId="64E22778" w14:textId="77777777" w:rsidR="003F454A" w:rsidRPr="001E5BE4" w:rsidRDefault="003F454A" w:rsidP="00DE44F2">
      <w:pPr>
        <w:spacing w:after="240" w:line="360" w:lineRule="auto"/>
        <w:rPr>
          <w:rFonts w:eastAsia="Times New Roman" w:cstheme="minorHAnsi"/>
          <w:b/>
          <w:bCs/>
          <w:i/>
          <w:iCs/>
          <w:color w:val="333333"/>
        </w:rPr>
      </w:pPr>
      <w:r w:rsidRPr="001E5BE4">
        <w:rPr>
          <w:rFonts w:eastAsia="Times New Roman" w:cstheme="minorHAnsi"/>
          <w:b/>
          <w:bCs/>
          <w:i/>
          <w:iCs/>
          <w:color w:val="333333"/>
        </w:rPr>
        <w:t>Study overview</w:t>
      </w:r>
    </w:p>
    <w:p w14:paraId="531122C0" w14:textId="09FE0917" w:rsidR="003F454A" w:rsidRPr="001E5BE4" w:rsidRDefault="003F454A" w:rsidP="008F0127">
      <w:pPr>
        <w:spacing w:after="240" w:line="360" w:lineRule="auto"/>
        <w:rPr>
          <w:rFonts w:eastAsia="Times New Roman" w:cstheme="minorHAnsi"/>
          <w:color w:val="333333"/>
        </w:rPr>
      </w:pPr>
      <w:r w:rsidRPr="001E5BE4">
        <w:rPr>
          <w:rFonts w:eastAsia="Times New Roman" w:cstheme="minorHAnsi"/>
          <w:color w:val="333333"/>
        </w:rPr>
        <w:t>In the DECLARE - TIMI 58 trial</w:t>
      </w:r>
      <w:r w:rsidR="00F117AD">
        <w:rPr>
          <w:rFonts w:eastAsia="Times New Roman" w:cstheme="minorHAnsi"/>
          <w:color w:val="333333"/>
        </w:rPr>
        <w:t>,</w:t>
      </w:r>
      <w:r w:rsidRPr="001E5BE4">
        <w:rPr>
          <w:rFonts w:eastAsia="Times New Roman" w:cstheme="minorHAnsi"/>
          <w:color w:val="333333"/>
        </w:rPr>
        <w:t xml:space="preserve"> a total of 17,160 patients </w:t>
      </w:r>
      <w:r w:rsidR="00FE7337" w:rsidRPr="00FE7337">
        <w:rPr>
          <w:rFonts w:eastAsia="Times New Roman" w:cstheme="minorHAnsi"/>
          <w:color w:val="333333"/>
        </w:rPr>
        <w:t xml:space="preserve">were </w:t>
      </w:r>
      <w:r w:rsidR="00FE7337" w:rsidRPr="001E5BE4">
        <w:rPr>
          <w:rFonts w:eastAsia="Times New Roman" w:cstheme="minorHAnsi"/>
          <w:color w:val="333333"/>
        </w:rPr>
        <w:t xml:space="preserve">randomly assigned to receive dapagliflozin 10 mg daily or placebo and followed for a median of 4.2 years. </w:t>
      </w:r>
      <w:r w:rsidR="00FE7337">
        <w:rPr>
          <w:rFonts w:eastAsia="Times New Roman" w:cstheme="minorHAnsi"/>
          <w:color w:val="333333"/>
        </w:rPr>
        <w:t>The trial included</w:t>
      </w:r>
      <w:r w:rsidRPr="001E5BE4">
        <w:rPr>
          <w:rFonts w:eastAsia="Times New Roman" w:cstheme="minorHAnsi"/>
          <w:color w:val="333333"/>
        </w:rPr>
        <w:t xml:space="preserve"> 6,974 </w:t>
      </w:r>
      <w:r w:rsidR="00FE7337">
        <w:rPr>
          <w:rFonts w:eastAsia="Times New Roman" w:cstheme="minorHAnsi"/>
          <w:color w:val="333333"/>
        </w:rPr>
        <w:t xml:space="preserve">patients </w:t>
      </w:r>
      <w:r w:rsidRPr="001E5BE4">
        <w:rPr>
          <w:rFonts w:eastAsia="Times New Roman" w:cstheme="minorHAnsi"/>
          <w:color w:val="333333"/>
        </w:rPr>
        <w:t xml:space="preserve">with </w:t>
      </w:r>
      <w:r w:rsidR="00FE7337">
        <w:rPr>
          <w:rFonts w:eastAsia="Times New Roman" w:cstheme="minorHAnsi"/>
          <w:color w:val="333333"/>
        </w:rPr>
        <w:t xml:space="preserve">established </w:t>
      </w:r>
      <w:r w:rsidRPr="001E5BE4">
        <w:rPr>
          <w:rFonts w:eastAsia="Times New Roman" w:cstheme="minorHAnsi"/>
          <w:color w:val="333333"/>
        </w:rPr>
        <w:t xml:space="preserve">ASCVD and 10,186 with </w:t>
      </w:r>
      <w:r w:rsidR="008F0127">
        <w:rPr>
          <w:rFonts w:eastAsia="Times New Roman" w:cstheme="minorHAnsi"/>
          <w:color w:val="333333"/>
        </w:rPr>
        <w:t>MRF</w:t>
      </w:r>
      <w:r w:rsidR="00FE7337">
        <w:rPr>
          <w:rFonts w:eastAsia="Times New Roman" w:cstheme="minorHAnsi"/>
          <w:color w:val="333333"/>
        </w:rPr>
        <w:t xml:space="preserve"> but without ASCVD. </w:t>
      </w:r>
      <w:r w:rsidR="00FE7337" w:rsidRPr="00FE7337">
        <w:rPr>
          <w:rFonts w:eastAsia="Times New Roman" w:cstheme="minorHAnsi"/>
          <w:color w:val="333333"/>
        </w:rPr>
        <w:t xml:space="preserve">MRF participants were men aged </w:t>
      </w:r>
      <w:r w:rsidR="00FE7337" w:rsidRPr="00FE7337">
        <w:rPr>
          <w:rFonts w:eastAsia="Times New Roman" w:cstheme="minorHAnsi"/>
          <w:color w:val="333333"/>
        </w:rPr>
        <w:sym w:font="Symbol" w:char="F0B3"/>
      </w:r>
      <w:r w:rsidR="00FE7337" w:rsidRPr="00FE7337">
        <w:rPr>
          <w:rFonts w:eastAsia="Times New Roman" w:cstheme="minorHAnsi"/>
          <w:color w:val="333333"/>
        </w:rPr>
        <w:t xml:space="preserve">55 and women aged </w:t>
      </w:r>
      <w:r w:rsidR="00FE7337" w:rsidRPr="00FE7337">
        <w:rPr>
          <w:rFonts w:eastAsia="Times New Roman" w:cstheme="minorHAnsi"/>
          <w:color w:val="333333"/>
        </w:rPr>
        <w:sym w:font="Symbol" w:char="F0B3"/>
      </w:r>
      <w:r w:rsidR="00FE7337" w:rsidRPr="00FE7337">
        <w:rPr>
          <w:rFonts w:eastAsia="Times New Roman" w:cstheme="minorHAnsi"/>
          <w:color w:val="333333"/>
        </w:rPr>
        <w:t>60 years with at least one additional cardiovascular risk factor including dyslipidemia, hypertension, or</w:t>
      </w:r>
      <w:r w:rsidR="00BA7241">
        <w:rPr>
          <w:rFonts w:eastAsia="Times New Roman" w:cstheme="minorHAnsi"/>
          <w:color w:val="333333"/>
        </w:rPr>
        <w:t xml:space="preserve"> current</w:t>
      </w:r>
      <w:r w:rsidR="00FE7337" w:rsidRPr="00FE7337">
        <w:rPr>
          <w:rFonts w:eastAsia="Times New Roman" w:cstheme="minorHAnsi"/>
          <w:color w:val="333333"/>
        </w:rPr>
        <w:t xml:space="preserve"> tobacco use. </w:t>
      </w:r>
      <w:r w:rsidR="00FA77B4">
        <w:rPr>
          <w:rFonts w:eastAsia="Times New Roman" w:cstheme="minorHAnsi"/>
          <w:color w:val="333333"/>
        </w:rPr>
        <w:t>Patients with a HbA1c of 6.5 - &lt;12.0% and a</w:t>
      </w:r>
      <w:r w:rsidR="00050D63">
        <w:rPr>
          <w:rFonts w:eastAsia="Times New Roman" w:cstheme="minorHAnsi"/>
          <w:color w:val="333333"/>
        </w:rPr>
        <w:t xml:space="preserve"> </w:t>
      </w:r>
      <w:r w:rsidR="005F02F7" w:rsidRPr="005F02F7">
        <w:rPr>
          <w:rFonts w:eastAsia="Times New Roman" w:cstheme="minorHAnsi"/>
          <w:color w:val="333333"/>
        </w:rPr>
        <w:t xml:space="preserve">creatinine clearance of </w:t>
      </w:r>
      <w:r w:rsidR="00F117AD">
        <w:rPr>
          <w:rFonts w:eastAsia="Times New Roman" w:cstheme="minorHAnsi"/>
          <w:color w:val="333333"/>
        </w:rPr>
        <w:t>≥</w:t>
      </w:r>
      <w:r w:rsidR="005F02F7" w:rsidRPr="005F02F7">
        <w:rPr>
          <w:rFonts w:eastAsia="Times New Roman" w:cstheme="minorHAnsi"/>
          <w:color w:val="333333"/>
        </w:rPr>
        <w:t xml:space="preserve">60 </w:t>
      </w:r>
      <w:r w:rsidR="00EF0E6C" w:rsidRPr="00FE7337">
        <w:rPr>
          <w:rFonts w:eastAsia="Times New Roman" w:cstheme="minorHAnsi"/>
          <w:color w:val="333333"/>
        </w:rPr>
        <w:t>ml/min/1.73 m</w:t>
      </w:r>
      <w:r w:rsidR="00EF0E6C" w:rsidRPr="008F0127">
        <w:rPr>
          <w:rFonts w:eastAsia="Times New Roman" w:cstheme="minorHAnsi"/>
          <w:color w:val="333333"/>
          <w:vertAlign w:val="superscript"/>
        </w:rPr>
        <w:t>2</w:t>
      </w:r>
      <w:r w:rsidR="00FA77B4">
        <w:rPr>
          <w:rFonts w:eastAsia="Times New Roman" w:cstheme="minorHAnsi"/>
          <w:color w:val="333333"/>
        </w:rPr>
        <w:t xml:space="preserve"> were eligible for inclusion. </w:t>
      </w:r>
      <w:r w:rsidR="00FE7337" w:rsidRPr="00FE7337">
        <w:rPr>
          <w:rFonts w:eastAsia="Times New Roman" w:cstheme="minorHAnsi"/>
          <w:color w:val="333333"/>
        </w:rPr>
        <w:t>All patients were treated according to</w:t>
      </w:r>
      <w:r w:rsidR="00AE349B">
        <w:rPr>
          <w:rFonts w:eastAsia="Times New Roman" w:cstheme="minorHAnsi"/>
          <w:color w:val="333333"/>
        </w:rPr>
        <w:t xml:space="preserve"> guidelines and</w:t>
      </w:r>
      <w:r w:rsidR="00FE7337" w:rsidRPr="00FE7337">
        <w:rPr>
          <w:rFonts w:eastAsia="Times New Roman" w:cstheme="minorHAnsi"/>
          <w:color w:val="333333"/>
        </w:rPr>
        <w:t xml:space="preserve"> regional standards of care for cardiovascular risk factors - blood pressure, lipids, antithrombotic treatment and HbA1c.</w:t>
      </w:r>
      <w:r w:rsidR="00FE7337">
        <w:rPr>
          <w:rFonts w:eastAsia="Times New Roman" w:cstheme="minorHAnsi"/>
          <w:color w:val="333333"/>
        </w:rPr>
        <w:t xml:space="preserve"> </w:t>
      </w:r>
      <w:r w:rsidR="000D3262" w:rsidRPr="00841AC5">
        <w:rPr>
          <w:rFonts w:eastAsia="Times New Roman" w:cstheme="minorHAnsi"/>
          <w:color w:val="333333"/>
        </w:rPr>
        <w:t>The trial protocol was approved by the institutional review board at each participating site, and all participants provided written informed consent.</w:t>
      </w:r>
      <w:r w:rsidR="000D3262">
        <w:rPr>
          <w:rFonts w:eastAsia="Times New Roman" w:cstheme="minorHAnsi" w:hint="cs"/>
          <w:color w:val="333333"/>
          <w:rtl/>
        </w:rPr>
        <w:t xml:space="preserve"> </w:t>
      </w:r>
      <w:r w:rsidRPr="001E5BE4">
        <w:rPr>
          <w:rFonts w:eastAsia="Times New Roman" w:cstheme="minorHAnsi"/>
          <w:color w:val="333333"/>
        </w:rPr>
        <w:t>The design, baseline characteristics and principal results of this study have been previously published</w:t>
      </w:r>
      <w:r>
        <w:rPr>
          <w:rFonts w:eastAsia="Times New Roman" w:cstheme="minorHAnsi"/>
          <w:color w:val="333333"/>
        </w:rPr>
        <w:t xml:space="preserve"> (</w:t>
      </w:r>
      <w:r w:rsidR="003861EA">
        <w:rPr>
          <w:rFonts w:eastAsia="Times New Roman" w:cstheme="minorHAnsi"/>
          <w:color w:val="333333"/>
        </w:rPr>
        <w:t>6, 10, 1</w:t>
      </w:r>
      <w:r w:rsidR="00BA7241">
        <w:rPr>
          <w:rFonts w:eastAsia="Times New Roman" w:cstheme="minorHAnsi"/>
          <w:color w:val="333333"/>
        </w:rPr>
        <w:t>2</w:t>
      </w:r>
      <w:r>
        <w:rPr>
          <w:rFonts w:eastAsia="Times New Roman" w:cstheme="minorHAnsi"/>
          <w:color w:val="333333"/>
        </w:rPr>
        <w:t>)</w:t>
      </w:r>
      <w:r w:rsidRPr="001E5BE4">
        <w:rPr>
          <w:rFonts w:eastAsia="Times New Roman" w:cstheme="minorHAnsi"/>
          <w:color w:val="333333"/>
        </w:rPr>
        <w:t xml:space="preserve">.  </w:t>
      </w:r>
    </w:p>
    <w:p w14:paraId="536EF8C4" w14:textId="77777777" w:rsidR="003F454A" w:rsidRDefault="003F454A" w:rsidP="00DE44F2">
      <w:pPr>
        <w:spacing w:after="240" w:line="360" w:lineRule="auto"/>
        <w:rPr>
          <w:rFonts w:eastAsia="Times New Roman" w:cstheme="minorHAnsi"/>
          <w:b/>
          <w:bCs/>
          <w:i/>
          <w:iCs/>
          <w:color w:val="333333"/>
          <w:rtl/>
        </w:rPr>
      </w:pPr>
    </w:p>
    <w:p w14:paraId="634A48F3" w14:textId="77777777" w:rsidR="003F454A" w:rsidRPr="001E5BE4" w:rsidRDefault="003F454A" w:rsidP="00DE44F2">
      <w:pPr>
        <w:spacing w:after="240" w:line="360" w:lineRule="auto"/>
        <w:rPr>
          <w:rFonts w:eastAsia="Times New Roman" w:cstheme="minorHAnsi"/>
          <w:b/>
          <w:bCs/>
          <w:i/>
          <w:iCs/>
          <w:color w:val="333333"/>
        </w:rPr>
      </w:pPr>
      <w:r w:rsidRPr="001E5BE4">
        <w:rPr>
          <w:rFonts w:eastAsia="Times New Roman" w:cstheme="minorHAnsi"/>
          <w:b/>
          <w:bCs/>
          <w:i/>
          <w:iCs/>
          <w:color w:val="333333"/>
        </w:rPr>
        <w:t>Assessment of outcomes</w:t>
      </w:r>
    </w:p>
    <w:p w14:paraId="33DD72A3" w14:textId="6195FCF2" w:rsidR="00FE7337" w:rsidRPr="00FE7337" w:rsidRDefault="00FE7337" w:rsidP="008F0127">
      <w:pPr>
        <w:spacing w:after="240" w:line="360" w:lineRule="auto"/>
        <w:rPr>
          <w:rFonts w:eastAsia="Times New Roman" w:cstheme="minorHAnsi"/>
          <w:color w:val="333333"/>
        </w:rPr>
      </w:pPr>
      <w:r w:rsidRPr="00FE7337">
        <w:rPr>
          <w:rFonts w:eastAsia="Times New Roman" w:cstheme="minorHAnsi"/>
          <w:color w:val="333333"/>
        </w:rPr>
        <w:t xml:space="preserve">The dual primary composite efficacy </w:t>
      </w:r>
      <w:r w:rsidR="00841AC5">
        <w:rPr>
          <w:rFonts w:eastAsia="Times New Roman" w:cstheme="minorHAnsi"/>
          <w:color w:val="333333"/>
        </w:rPr>
        <w:t>outcomes</w:t>
      </w:r>
      <w:r w:rsidRPr="00FE7337">
        <w:rPr>
          <w:rFonts w:eastAsia="Times New Roman" w:cstheme="minorHAnsi"/>
          <w:color w:val="333333"/>
        </w:rPr>
        <w:t xml:space="preserve"> were cardiovascular death or hospitalization for heart failure (CVD/HHF) and major adverse cardiovascular events</w:t>
      </w:r>
      <w:r w:rsidRPr="00FE7337">
        <w:rPr>
          <w:rFonts w:eastAsia="Times New Roman" w:cstheme="minorHAnsi"/>
          <w:color w:val="333333"/>
          <w:rtl/>
        </w:rPr>
        <w:t xml:space="preserve"> </w:t>
      </w:r>
      <w:r w:rsidRPr="00FE7337">
        <w:rPr>
          <w:rFonts w:eastAsia="Times New Roman" w:cstheme="minorHAnsi"/>
          <w:color w:val="333333"/>
        </w:rPr>
        <w:t xml:space="preserve">(MACE; the composite of </w:t>
      </w:r>
      <w:r w:rsidR="008F0127">
        <w:rPr>
          <w:rFonts w:eastAsia="Times New Roman" w:cstheme="minorHAnsi"/>
          <w:color w:val="333333"/>
        </w:rPr>
        <w:t>cardiovascular</w:t>
      </w:r>
      <w:r w:rsidRPr="00FE7337">
        <w:rPr>
          <w:rFonts w:eastAsia="Times New Roman" w:cstheme="minorHAnsi"/>
          <w:color w:val="333333"/>
        </w:rPr>
        <w:t xml:space="preserve"> death, </w:t>
      </w:r>
      <w:r w:rsidR="008F0127">
        <w:rPr>
          <w:rFonts w:eastAsia="Times New Roman" w:cstheme="minorHAnsi"/>
          <w:color w:val="333333"/>
        </w:rPr>
        <w:t>myocardial infarction</w:t>
      </w:r>
      <w:r w:rsidRPr="00FE7337">
        <w:rPr>
          <w:rFonts w:eastAsia="Times New Roman" w:cstheme="minorHAnsi"/>
          <w:color w:val="333333"/>
        </w:rPr>
        <w:t xml:space="preserve"> or ischemic stroke). A renal-specific composite outcome included </w:t>
      </w:r>
      <w:r w:rsidR="00924BFA">
        <w:rPr>
          <w:rFonts w:eastAsia="Times New Roman" w:cstheme="minorHAnsi"/>
          <w:color w:val="333333"/>
        </w:rPr>
        <w:t xml:space="preserve">a </w:t>
      </w:r>
      <w:r w:rsidR="00A23468">
        <w:rPr>
          <w:rFonts w:eastAsia="Times New Roman" w:cstheme="minorHAnsi"/>
          <w:color w:val="333333"/>
        </w:rPr>
        <w:t xml:space="preserve">sustained </w:t>
      </w:r>
      <w:r w:rsidRPr="00924BFA">
        <w:rPr>
          <w:rFonts w:eastAsia="Times New Roman" w:cstheme="minorHAnsi"/>
          <w:color w:val="333333"/>
        </w:rPr>
        <w:t>decrease</w:t>
      </w:r>
      <w:r w:rsidRPr="00FE7337">
        <w:rPr>
          <w:rFonts w:eastAsia="Times New Roman" w:cstheme="minorHAnsi"/>
          <w:color w:val="333333"/>
        </w:rPr>
        <w:t xml:space="preserve"> </w:t>
      </w:r>
      <w:r w:rsidR="00A23468">
        <w:rPr>
          <w:rFonts w:eastAsia="Times New Roman" w:cstheme="minorHAnsi"/>
          <w:color w:val="333333"/>
        </w:rPr>
        <w:t xml:space="preserve">of </w:t>
      </w:r>
      <w:r w:rsidR="00A23468" w:rsidRPr="00A23468">
        <w:rPr>
          <w:rFonts w:eastAsia="Times New Roman" w:cstheme="minorHAnsi"/>
          <w:color w:val="333333"/>
        </w:rPr>
        <w:t>40%</w:t>
      </w:r>
      <w:r w:rsidR="00924BFA">
        <w:rPr>
          <w:rFonts w:eastAsia="Times New Roman" w:cstheme="minorHAnsi"/>
          <w:color w:val="333333"/>
        </w:rPr>
        <w:t xml:space="preserve"> </w:t>
      </w:r>
      <w:r w:rsidR="000D3262">
        <w:rPr>
          <w:rFonts w:eastAsia="Times New Roman" w:cstheme="minorHAnsi"/>
          <w:color w:val="333333"/>
        </w:rPr>
        <w:t>or more</w:t>
      </w:r>
      <w:r w:rsidR="00A23468" w:rsidRPr="00A23468">
        <w:rPr>
          <w:rFonts w:eastAsia="Times New Roman" w:cstheme="minorHAnsi"/>
          <w:color w:val="333333"/>
        </w:rPr>
        <w:t xml:space="preserve"> </w:t>
      </w:r>
      <w:r w:rsidRPr="00FE7337">
        <w:rPr>
          <w:rFonts w:eastAsia="Times New Roman" w:cstheme="minorHAnsi"/>
          <w:color w:val="333333"/>
        </w:rPr>
        <w:t>in eGFR to &lt;60 ml/min/1.73 m</w:t>
      </w:r>
      <w:r w:rsidRPr="00FE7337">
        <w:rPr>
          <w:rFonts w:eastAsia="Times New Roman" w:cstheme="minorHAnsi"/>
          <w:color w:val="333333"/>
          <w:vertAlign w:val="superscript"/>
        </w:rPr>
        <w:t>2</w:t>
      </w:r>
      <w:r w:rsidRPr="00FE7337">
        <w:rPr>
          <w:rFonts w:eastAsia="Times New Roman" w:cstheme="minorHAnsi"/>
          <w:color w:val="333333"/>
        </w:rPr>
        <w:t xml:space="preserve">, </w:t>
      </w:r>
      <w:r w:rsidR="00C52478">
        <w:rPr>
          <w:rFonts w:eastAsia="Times New Roman" w:cstheme="minorHAnsi"/>
          <w:color w:val="333333"/>
        </w:rPr>
        <w:t>end stage renal disease (ESRD)</w:t>
      </w:r>
      <w:r w:rsidRPr="00FE7337">
        <w:rPr>
          <w:rFonts w:eastAsia="Times New Roman" w:cstheme="minorHAnsi"/>
          <w:color w:val="333333"/>
        </w:rPr>
        <w:t xml:space="preserve"> or death from renal cause. </w:t>
      </w:r>
      <w:r w:rsidR="00CD4666">
        <w:rPr>
          <w:rFonts w:eastAsia="Times New Roman" w:cstheme="minorHAnsi"/>
          <w:color w:val="333333"/>
        </w:rPr>
        <w:t>Additional outcomes included the components of the primary outcomes</w:t>
      </w:r>
      <w:r w:rsidR="00D45157">
        <w:rPr>
          <w:rFonts w:eastAsia="Times New Roman" w:cstheme="minorHAnsi"/>
          <w:color w:val="333333"/>
        </w:rPr>
        <w:t xml:space="preserve"> and all-cause mortality</w:t>
      </w:r>
      <w:r w:rsidR="00CD4666">
        <w:rPr>
          <w:rFonts w:eastAsia="Times New Roman" w:cstheme="minorHAnsi"/>
          <w:color w:val="333333"/>
        </w:rPr>
        <w:t>.</w:t>
      </w:r>
    </w:p>
    <w:p w14:paraId="5183A151" w14:textId="77777777" w:rsidR="003F454A" w:rsidRPr="00FE7337" w:rsidRDefault="003F454A" w:rsidP="00DE44F2">
      <w:pPr>
        <w:spacing w:after="240" w:line="360" w:lineRule="auto"/>
        <w:rPr>
          <w:rFonts w:eastAsia="Times New Roman" w:cstheme="minorHAnsi"/>
          <w:color w:val="333333"/>
          <w:rtl/>
        </w:rPr>
      </w:pPr>
    </w:p>
    <w:p w14:paraId="41D092EB" w14:textId="77777777" w:rsidR="003F454A" w:rsidRPr="001E5BE4" w:rsidRDefault="003F454A" w:rsidP="00DE44F2">
      <w:pPr>
        <w:spacing w:after="240" w:line="360" w:lineRule="auto"/>
        <w:rPr>
          <w:rFonts w:eastAsia="Times New Roman" w:cstheme="minorHAnsi"/>
          <w:b/>
          <w:bCs/>
          <w:i/>
          <w:iCs/>
          <w:color w:val="333333"/>
        </w:rPr>
      </w:pPr>
      <w:r w:rsidRPr="001E5BE4">
        <w:rPr>
          <w:rFonts w:eastAsia="Times New Roman" w:cstheme="minorHAnsi"/>
          <w:b/>
          <w:bCs/>
          <w:i/>
          <w:iCs/>
          <w:color w:val="333333"/>
        </w:rPr>
        <w:t>Statistical analysis</w:t>
      </w:r>
    </w:p>
    <w:p w14:paraId="597E2AD5" w14:textId="77777777" w:rsidR="000D3262" w:rsidRDefault="000D3262" w:rsidP="000D3262">
      <w:pPr>
        <w:spacing w:after="240" w:line="360" w:lineRule="auto"/>
        <w:rPr>
          <w:rFonts w:eastAsia="Times New Roman" w:cstheme="minorHAnsi"/>
          <w:color w:val="333333"/>
        </w:rPr>
      </w:pPr>
      <w:r w:rsidRPr="001E5BE4">
        <w:rPr>
          <w:rFonts w:eastAsia="Times New Roman" w:cstheme="minorHAnsi"/>
          <w:color w:val="333333"/>
        </w:rPr>
        <w:t>Baseline characteristics are</w:t>
      </w:r>
      <w:r w:rsidRPr="001E5BE4">
        <w:rPr>
          <w:rFonts w:cstheme="minorHAnsi"/>
          <w:color w:val="000000" w:themeColor="text1"/>
        </w:rPr>
        <w:t xml:space="preserve"> reported as </w:t>
      </w:r>
      <w:r w:rsidRPr="001E5BE4">
        <w:rPr>
          <w:rFonts w:cstheme="minorHAnsi"/>
        </w:rPr>
        <w:t xml:space="preserve">frequencies and percentages for categorical variables and as </w:t>
      </w:r>
      <w:r>
        <w:rPr>
          <w:rFonts w:cstheme="minorHAnsi"/>
        </w:rPr>
        <w:t>mean and standard deviation (SD</w:t>
      </w:r>
      <w:r w:rsidRPr="001E5BE4">
        <w:rPr>
          <w:rFonts w:cstheme="minorHAnsi"/>
        </w:rPr>
        <w:t xml:space="preserve">) </w:t>
      </w:r>
      <w:r>
        <w:rPr>
          <w:rFonts w:cstheme="minorHAnsi"/>
        </w:rPr>
        <w:t xml:space="preserve">or median (IQR) </w:t>
      </w:r>
      <w:r w:rsidRPr="001E5BE4">
        <w:rPr>
          <w:rFonts w:cstheme="minorHAnsi"/>
        </w:rPr>
        <w:t>for continuous variables.</w:t>
      </w:r>
      <w:r w:rsidRPr="001E5BE4">
        <w:rPr>
          <w:rFonts w:eastAsia="Times New Roman" w:cstheme="minorHAnsi"/>
          <w:color w:val="333333"/>
        </w:rPr>
        <w:t xml:space="preserve"> </w:t>
      </w:r>
      <w:r>
        <w:rPr>
          <w:rFonts w:eastAsia="Times New Roman" w:cstheme="minorHAnsi"/>
          <w:color w:val="333333"/>
        </w:rPr>
        <w:t>Baseline and efficacy a</w:t>
      </w:r>
      <w:r w:rsidRPr="001E5BE4">
        <w:rPr>
          <w:rFonts w:eastAsia="Times New Roman" w:cstheme="minorHAnsi"/>
          <w:color w:val="333333"/>
        </w:rPr>
        <w:t xml:space="preserve">nalyses were performed on an intention-to-treat basis. </w:t>
      </w:r>
      <w:r w:rsidRPr="00654DC2">
        <w:rPr>
          <w:rFonts w:eastAsia="Times New Roman" w:cstheme="minorHAnsi"/>
          <w:color w:val="333333"/>
        </w:rPr>
        <w:t xml:space="preserve">Safety analyses were performed using the on-treatment analysis set, as previously described, except for amputation, fracture and malignancy </w:t>
      </w:r>
      <w:r w:rsidRPr="00654DC2">
        <w:rPr>
          <w:rFonts w:eastAsia="Times New Roman" w:cstheme="minorHAnsi"/>
          <w:color w:val="333333"/>
        </w:rPr>
        <w:lastRenderedPageBreak/>
        <w:t xml:space="preserve">outcomes which included all events after first dose in all patients who were randomized and received at least one dose of study drug.  </w:t>
      </w:r>
    </w:p>
    <w:p w14:paraId="145BC7C1" w14:textId="77777777" w:rsidR="000C106F" w:rsidRPr="001E5BE4" w:rsidRDefault="000C106F" w:rsidP="00DE44F2">
      <w:pPr>
        <w:spacing w:after="240" w:line="360" w:lineRule="auto"/>
        <w:rPr>
          <w:rFonts w:eastAsia="Times New Roman" w:cstheme="minorHAnsi"/>
          <w:color w:val="333333"/>
        </w:rPr>
      </w:pPr>
      <w:r>
        <w:rPr>
          <w:rFonts w:cstheme="minorHAnsi"/>
        </w:rPr>
        <w:t>W</w:t>
      </w:r>
      <w:r w:rsidRPr="001E5BE4">
        <w:rPr>
          <w:rFonts w:cstheme="minorHAnsi"/>
        </w:rPr>
        <w:t xml:space="preserve">e calculated the effect of dapagliflozin on the incidence of the efficacy outcome </w:t>
      </w:r>
      <w:r>
        <w:rPr>
          <w:rFonts w:cstheme="minorHAnsi"/>
        </w:rPr>
        <w:t xml:space="preserve">within each subgroup </w:t>
      </w:r>
      <w:r w:rsidRPr="001E5BE4">
        <w:rPr>
          <w:rFonts w:cstheme="minorHAnsi"/>
        </w:rPr>
        <w:t xml:space="preserve">using </w:t>
      </w:r>
      <w:r w:rsidRPr="001E5BE4">
        <w:rPr>
          <w:rFonts w:eastAsia="Times New Roman" w:cstheme="minorHAnsi"/>
          <w:color w:val="333333"/>
        </w:rPr>
        <w:t>Cox regression models</w:t>
      </w:r>
      <w:r w:rsidRPr="00654DC2">
        <w:t xml:space="preserve"> </w:t>
      </w:r>
      <w:r w:rsidRPr="00654DC2">
        <w:rPr>
          <w:rFonts w:eastAsia="Times New Roman" w:cstheme="minorHAnsi"/>
          <w:color w:val="333333"/>
        </w:rPr>
        <w:t>that included the randomization stratification factor of baseline hematuria</w:t>
      </w:r>
      <w:r>
        <w:rPr>
          <w:rFonts w:eastAsia="Times New Roman" w:cstheme="minorHAnsi"/>
          <w:color w:val="333333"/>
        </w:rPr>
        <w:t xml:space="preserve">, and we report the </w:t>
      </w:r>
      <w:r w:rsidRPr="00654DC2">
        <w:rPr>
          <w:rFonts w:eastAsia="Times New Roman" w:cstheme="minorHAnsi"/>
          <w:color w:val="333333"/>
        </w:rPr>
        <w:t>hazard ratios (HRs) and 95% confidence intervals (CI)</w:t>
      </w:r>
      <w:r w:rsidRPr="001E5BE4">
        <w:rPr>
          <w:rFonts w:cstheme="minorHAnsi"/>
        </w:rPr>
        <w:t>.</w:t>
      </w:r>
      <w:r w:rsidRPr="001E5BE4">
        <w:rPr>
          <w:rFonts w:eastAsia="Times New Roman" w:cstheme="minorHAnsi"/>
          <w:color w:val="333333"/>
        </w:rPr>
        <w:t xml:space="preserve"> To test for </w:t>
      </w:r>
      <w:r>
        <w:rPr>
          <w:rFonts w:eastAsia="Times New Roman" w:cstheme="minorHAnsi"/>
          <w:color w:val="333333"/>
        </w:rPr>
        <w:t>heterogeneity of effect</w:t>
      </w:r>
      <w:r w:rsidRPr="001E5BE4">
        <w:rPr>
          <w:rFonts w:eastAsia="Times New Roman" w:cstheme="minorHAnsi"/>
          <w:color w:val="333333"/>
        </w:rPr>
        <w:t xml:space="preserve">, </w:t>
      </w:r>
      <w:r w:rsidRPr="00654DC2">
        <w:rPr>
          <w:rFonts w:eastAsia="Times New Roman" w:cstheme="minorHAnsi"/>
          <w:color w:val="333333"/>
        </w:rPr>
        <w:t xml:space="preserve">an interaction term </w:t>
      </w:r>
      <w:r>
        <w:rPr>
          <w:rFonts w:eastAsia="Times New Roman" w:cstheme="minorHAnsi"/>
          <w:color w:val="333333"/>
        </w:rPr>
        <w:t xml:space="preserve">was included in the </w:t>
      </w:r>
      <w:r w:rsidRPr="001E5BE4">
        <w:rPr>
          <w:rFonts w:eastAsia="Times New Roman" w:cstheme="minorHAnsi"/>
          <w:color w:val="333333"/>
        </w:rPr>
        <w:t xml:space="preserve">Cox regression model. </w:t>
      </w:r>
    </w:p>
    <w:p w14:paraId="05F265A5" w14:textId="5219EA2A" w:rsidR="000D3262" w:rsidRPr="001E5BE4" w:rsidRDefault="000D3262" w:rsidP="00A45B15">
      <w:pPr>
        <w:spacing w:after="240" w:line="360" w:lineRule="auto"/>
        <w:rPr>
          <w:rFonts w:eastAsia="Times New Roman" w:cstheme="minorHAnsi"/>
          <w:color w:val="333333"/>
        </w:rPr>
      </w:pPr>
      <w:r>
        <w:rPr>
          <w:rFonts w:eastAsia="Times New Roman" w:cstheme="minorHAnsi"/>
          <w:color w:val="333333"/>
        </w:rPr>
        <w:t>T</w:t>
      </w:r>
      <w:r w:rsidRPr="00FA77B4">
        <w:rPr>
          <w:rFonts w:eastAsia="Times New Roman" w:cstheme="minorHAnsi"/>
          <w:color w:val="333333"/>
        </w:rPr>
        <w:t>he mean</w:t>
      </w:r>
      <w:r>
        <w:rPr>
          <w:rFonts w:eastAsia="Times New Roman" w:cstheme="minorHAnsi"/>
          <w:color w:val="333333"/>
        </w:rPr>
        <w:t xml:space="preserve"> </w:t>
      </w:r>
      <w:r w:rsidRPr="00FA77B4">
        <w:rPr>
          <w:rFonts w:eastAsia="Times New Roman" w:cstheme="minorHAnsi"/>
          <w:color w:val="333333"/>
        </w:rPr>
        <w:t>±</w:t>
      </w:r>
      <w:r>
        <w:rPr>
          <w:rFonts w:eastAsia="Times New Roman" w:cstheme="minorHAnsi"/>
          <w:color w:val="333333"/>
        </w:rPr>
        <w:t xml:space="preserve"> </w:t>
      </w:r>
      <w:r w:rsidRPr="00FA77B4">
        <w:rPr>
          <w:rFonts w:eastAsia="Times New Roman" w:cstheme="minorHAnsi"/>
          <w:color w:val="333333"/>
        </w:rPr>
        <w:t>S</w:t>
      </w:r>
      <w:r w:rsidR="00274969">
        <w:rPr>
          <w:rFonts w:eastAsia="Times New Roman" w:cstheme="minorHAnsi"/>
          <w:color w:val="333333"/>
        </w:rPr>
        <w:t>D</w:t>
      </w:r>
      <w:r w:rsidRPr="00FA77B4">
        <w:rPr>
          <w:rFonts w:eastAsia="Times New Roman" w:cstheme="minorHAnsi"/>
          <w:color w:val="333333"/>
        </w:rPr>
        <w:t xml:space="preserve"> values of HbA1c, weight, systolic blood pressure (SBP), eGFR and </w:t>
      </w:r>
      <w:r>
        <w:rPr>
          <w:rFonts w:eastAsia="Times New Roman" w:cstheme="minorHAnsi"/>
          <w:color w:val="333333"/>
        </w:rPr>
        <w:t>urinary albumin creatinine ratio (</w:t>
      </w:r>
      <w:r w:rsidRPr="00FA77B4">
        <w:rPr>
          <w:rFonts w:eastAsia="Times New Roman" w:cstheme="minorHAnsi"/>
          <w:color w:val="333333"/>
        </w:rPr>
        <w:t>UACR</w:t>
      </w:r>
      <w:r>
        <w:rPr>
          <w:rFonts w:eastAsia="Times New Roman" w:cstheme="minorHAnsi"/>
          <w:color w:val="333333"/>
        </w:rPr>
        <w:t>)</w:t>
      </w:r>
      <w:r w:rsidRPr="00FA77B4">
        <w:rPr>
          <w:rFonts w:eastAsia="Times New Roman" w:cstheme="minorHAnsi"/>
          <w:color w:val="333333"/>
        </w:rPr>
        <w:t> with dapagliflozin vs. placebo during the trial in the MRF group</w:t>
      </w:r>
      <w:r>
        <w:rPr>
          <w:rFonts w:eastAsia="Times New Roman" w:cstheme="minorHAnsi"/>
          <w:color w:val="333333"/>
        </w:rPr>
        <w:t xml:space="preserve"> are shown</w:t>
      </w:r>
      <w:r w:rsidRPr="00FA77B4">
        <w:rPr>
          <w:rFonts w:eastAsia="Times New Roman" w:cstheme="minorHAnsi"/>
          <w:color w:val="333333"/>
        </w:rPr>
        <w:t>. </w:t>
      </w:r>
      <w:r>
        <w:rPr>
          <w:rFonts w:eastAsia="Times New Roman" w:cstheme="minorHAnsi"/>
          <w:color w:val="333333"/>
        </w:rPr>
        <w:t>M</w:t>
      </w:r>
      <w:r w:rsidRPr="001E5BE4">
        <w:rPr>
          <w:rFonts w:eastAsia="Times New Roman" w:cstheme="minorHAnsi"/>
          <w:color w:val="333333"/>
        </w:rPr>
        <w:t xml:space="preserve">ixed models for repeated measures were analyzed to </w:t>
      </w:r>
      <w:r>
        <w:rPr>
          <w:rFonts w:eastAsia="Times New Roman" w:cstheme="minorHAnsi"/>
          <w:color w:val="333333"/>
        </w:rPr>
        <w:t>compare change from baseline</w:t>
      </w:r>
      <w:r w:rsidRPr="001E5BE4">
        <w:rPr>
          <w:rFonts w:eastAsia="Times New Roman" w:cstheme="minorHAnsi"/>
          <w:color w:val="333333"/>
        </w:rPr>
        <w:t xml:space="preserve"> </w:t>
      </w:r>
      <w:r>
        <w:rPr>
          <w:rFonts w:eastAsia="Times New Roman" w:cstheme="minorHAnsi"/>
          <w:color w:val="333333"/>
        </w:rPr>
        <w:t xml:space="preserve">by </w:t>
      </w:r>
      <w:r w:rsidRPr="001E5BE4">
        <w:rPr>
          <w:rFonts w:eastAsia="Times New Roman" w:cstheme="minorHAnsi"/>
          <w:color w:val="333333"/>
        </w:rPr>
        <w:t>treatment</w:t>
      </w:r>
      <w:r>
        <w:rPr>
          <w:rFonts w:eastAsia="Times New Roman" w:cstheme="minorHAnsi"/>
          <w:color w:val="333333"/>
        </w:rPr>
        <w:t xml:space="preserve"> group at month 48. Undetectable UACR va</w:t>
      </w:r>
      <w:r w:rsidR="00A45B15">
        <w:rPr>
          <w:rFonts w:eastAsia="Times New Roman" w:cstheme="minorHAnsi"/>
          <w:color w:val="333333"/>
        </w:rPr>
        <w:t>lues were imputed to be 7.0 mg/g</w:t>
      </w:r>
      <w:r>
        <w:rPr>
          <w:rFonts w:eastAsia="Times New Roman" w:cstheme="minorHAnsi"/>
          <w:color w:val="333333"/>
        </w:rPr>
        <w:t xml:space="preserve"> which was the lowest detectable level of the assay used in the latter part of the trial. </w:t>
      </w:r>
    </w:p>
    <w:p w14:paraId="0BF4045C" w14:textId="77777777" w:rsidR="003F454A" w:rsidRPr="001E5BE4" w:rsidRDefault="003F454A" w:rsidP="00DE44F2">
      <w:pPr>
        <w:spacing w:after="120" w:line="360" w:lineRule="auto"/>
        <w:rPr>
          <w:rFonts w:eastAsia="Times New Roman" w:cstheme="minorHAnsi"/>
          <w:color w:val="333333"/>
        </w:rPr>
      </w:pPr>
      <w:r w:rsidRPr="001E5BE4">
        <w:rPr>
          <w:rFonts w:eastAsia="Times New Roman" w:cstheme="minorHAnsi"/>
          <w:color w:val="333333"/>
        </w:rPr>
        <w:t>There was no statistical adjustment for multiple comparisons.</w:t>
      </w:r>
      <w:r>
        <w:rPr>
          <w:rFonts w:eastAsia="Times New Roman" w:cstheme="minorHAnsi"/>
          <w:color w:val="333333"/>
        </w:rPr>
        <w:t xml:space="preserve"> A p-value &lt;0.05 was considered statistically significant.</w:t>
      </w:r>
    </w:p>
    <w:p w14:paraId="6CCD1C9A" w14:textId="77777777" w:rsidR="005224E6" w:rsidRPr="001E5BE4" w:rsidRDefault="005224E6" w:rsidP="00DE44F2">
      <w:pPr>
        <w:spacing w:after="120" w:line="360" w:lineRule="auto"/>
        <w:rPr>
          <w:rFonts w:eastAsia="Times New Roman" w:cstheme="minorHAnsi"/>
          <w:color w:val="333333"/>
        </w:rPr>
      </w:pPr>
      <w:r w:rsidRPr="001E5BE4">
        <w:rPr>
          <w:rFonts w:eastAsia="Times New Roman" w:cstheme="minorHAnsi"/>
          <w:color w:val="333333"/>
        </w:rPr>
        <w:t>All analyses were performed using SAS software, version 9.4 (SAS Institute Inc., Cary, NC, USA) and Stata version 1</w:t>
      </w:r>
      <w:r>
        <w:rPr>
          <w:rFonts w:eastAsia="Times New Roman" w:cstheme="minorHAnsi"/>
          <w:color w:val="333333"/>
        </w:rPr>
        <w:t>6.1</w:t>
      </w:r>
      <w:r w:rsidRPr="001E5BE4">
        <w:rPr>
          <w:rFonts w:eastAsia="Times New Roman" w:cstheme="minorHAnsi"/>
          <w:color w:val="333333"/>
        </w:rPr>
        <w:t xml:space="preserve"> (College Station, T</w:t>
      </w:r>
      <w:r>
        <w:rPr>
          <w:rFonts w:eastAsia="Times New Roman" w:cstheme="minorHAnsi"/>
          <w:color w:val="333333"/>
        </w:rPr>
        <w:t>X</w:t>
      </w:r>
      <w:r w:rsidRPr="001E5BE4">
        <w:rPr>
          <w:rFonts w:eastAsia="Times New Roman" w:cstheme="minorHAnsi"/>
          <w:color w:val="333333"/>
        </w:rPr>
        <w:t xml:space="preserve">, USA). </w:t>
      </w:r>
    </w:p>
    <w:p w14:paraId="661DCC1B" w14:textId="77777777" w:rsidR="003F454A" w:rsidRPr="001E5BE4" w:rsidRDefault="003F454A" w:rsidP="00DE44F2">
      <w:pPr>
        <w:tabs>
          <w:tab w:val="left" w:pos="2600"/>
        </w:tabs>
        <w:spacing w:after="240" w:line="360" w:lineRule="auto"/>
        <w:rPr>
          <w:rFonts w:cstheme="minorHAnsi"/>
          <w:rtl/>
        </w:rPr>
      </w:pPr>
    </w:p>
    <w:p w14:paraId="202C1B6D" w14:textId="77777777" w:rsidR="003F454A" w:rsidRPr="00461EAA" w:rsidRDefault="003F454A" w:rsidP="00DE44F2">
      <w:pPr>
        <w:tabs>
          <w:tab w:val="left" w:pos="2600"/>
        </w:tabs>
        <w:spacing w:after="240" w:line="360" w:lineRule="auto"/>
        <w:rPr>
          <w:rFonts w:cstheme="minorHAnsi"/>
          <w:b/>
          <w:bCs/>
          <w:caps/>
        </w:rPr>
      </w:pPr>
      <w:r w:rsidRPr="00461EAA">
        <w:rPr>
          <w:rFonts w:cstheme="minorHAnsi"/>
          <w:b/>
          <w:bCs/>
          <w:caps/>
        </w:rPr>
        <w:t>Results</w:t>
      </w:r>
    </w:p>
    <w:p w14:paraId="5724E27D" w14:textId="77777777" w:rsidR="00627FDC" w:rsidRPr="00627FDC" w:rsidRDefault="00627FDC" w:rsidP="00DE44F2">
      <w:pPr>
        <w:autoSpaceDE w:val="0"/>
        <w:autoSpaceDN w:val="0"/>
        <w:adjustRightInd w:val="0"/>
        <w:spacing w:after="240" w:line="360" w:lineRule="auto"/>
        <w:rPr>
          <w:b/>
          <w:bCs/>
          <w:i/>
          <w:iCs/>
          <w:rtl/>
        </w:rPr>
      </w:pPr>
      <w:r w:rsidRPr="00627FDC">
        <w:rPr>
          <w:b/>
          <w:bCs/>
          <w:i/>
          <w:iCs/>
        </w:rPr>
        <w:t>Baseline characteristics</w:t>
      </w:r>
    </w:p>
    <w:p w14:paraId="707606DE" w14:textId="77777777" w:rsidR="000D3262" w:rsidRDefault="000D3262" w:rsidP="000D3262">
      <w:pPr>
        <w:autoSpaceDE w:val="0"/>
        <w:autoSpaceDN w:val="0"/>
        <w:adjustRightInd w:val="0"/>
        <w:spacing w:after="240" w:line="360" w:lineRule="auto"/>
      </w:pPr>
      <w:r>
        <w:t xml:space="preserve">10,186 MRF patients were included in these analyses. Their baseline characteristics are shown in table 1. There were 5713 (56.1%) males, the mean </w:t>
      </w:r>
      <w:r w:rsidRPr="00243511">
        <w:t>±</w:t>
      </w:r>
      <w:r>
        <w:t xml:space="preserve"> SD age was 64.8</w:t>
      </w:r>
      <w:r w:rsidRPr="009D6E34">
        <w:t>±</w:t>
      </w:r>
      <w:r>
        <w:t>5.6 years, BMI 32.0</w:t>
      </w:r>
      <w:r w:rsidRPr="009D6E34">
        <w:t>±</w:t>
      </w:r>
      <w:r>
        <w:t>6.0 kg/m</w:t>
      </w:r>
      <w:r>
        <w:rPr>
          <w:vertAlign w:val="superscript"/>
        </w:rPr>
        <w:t xml:space="preserve">2 </w:t>
      </w:r>
      <w:r>
        <w:t>and baseline HbA1c was 8.3</w:t>
      </w:r>
      <w:r w:rsidRPr="009D6E34">
        <w:t>±</w:t>
      </w:r>
      <w:r>
        <w:t xml:space="preserve">1.2%. Heart failure at baseline was noted in 568 (5.6%) patients and 622 (6.1%) had an eGFR </w:t>
      </w:r>
      <w:r w:rsidRPr="00627FDC">
        <w:t>&lt;60 mL/min/1.73 m</w:t>
      </w:r>
      <w:r w:rsidRPr="00627FDC">
        <w:rPr>
          <w:vertAlign w:val="superscript"/>
        </w:rPr>
        <w:t>2</w:t>
      </w:r>
      <w:r>
        <w:t>.</w:t>
      </w:r>
    </w:p>
    <w:p w14:paraId="6AB0B997" w14:textId="77777777" w:rsidR="00627FDC" w:rsidRDefault="00627FDC" w:rsidP="00DE44F2">
      <w:pPr>
        <w:autoSpaceDE w:val="0"/>
        <w:autoSpaceDN w:val="0"/>
        <w:adjustRightInd w:val="0"/>
        <w:spacing w:after="240" w:line="360" w:lineRule="auto"/>
      </w:pPr>
    </w:p>
    <w:p w14:paraId="18CCD829" w14:textId="2ED5874D" w:rsidR="00627FDC" w:rsidRPr="00627FDC" w:rsidRDefault="0034226A" w:rsidP="00DE44F2">
      <w:pPr>
        <w:autoSpaceDE w:val="0"/>
        <w:autoSpaceDN w:val="0"/>
        <w:adjustRightInd w:val="0"/>
        <w:spacing w:after="240" w:line="360" w:lineRule="auto"/>
        <w:rPr>
          <w:b/>
          <w:bCs/>
          <w:i/>
          <w:iCs/>
          <w:rtl/>
        </w:rPr>
      </w:pPr>
      <w:r>
        <w:rPr>
          <w:b/>
          <w:bCs/>
          <w:i/>
          <w:iCs/>
        </w:rPr>
        <w:t>Cardiovascular and renal outcomes</w:t>
      </w:r>
    </w:p>
    <w:p w14:paraId="026ACE79" w14:textId="7531ACCC" w:rsidR="00A4209A" w:rsidRPr="005224E6" w:rsidRDefault="00E152DE" w:rsidP="00274969">
      <w:pPr>
        <w:autoSpaceDE w:val="0"/>
        <w:autoSpaceDN w:val="0"/>
        <w:adjustRightInd w:val="0"/>
        <w:spacing w:after="240" w:line="360" w:lineRule="auto"/>
      </w:pPr>
      <w:r>
        <w:t xml:space="preserve">Among patients with MRF, the reduction with dapagliflozin in risk of CVD/HHF (HR 0.84, 95% CI 0.67-1.04) </w:t>
      </w:r>
      <w:r w:rsidR="00BF54AE">
        <w:t>did not differ from</w:t>
      </w:r>
      <w:r>
        <w:t xml:space="preserve"> that seen in patients with ASCVD (</w:t>
      </w:r>
      <w:proofErr w:type="spellStart"/>
      <w:r>
        <w:t>P</w:t>
      </w:r>
      <w:r>
        <w:rPr>
          <w:vertAlign w:val="subscript"/>
        </w:rPr>
        <w:t>interaction</w:t>
      </w:r>
      <w:proofErr w:type="spellEnd"/>
      <w:r>
        <w:t xml:space="preserve"> 0.99). The effect on CVD/HHF was </w:t>
      </w:r>
      <w:r>
        <w:lastRenderedPageBreak/>
        <w:t xml:space="preserve">entirely driven by a reduction in HHF (HR 0.64, 95% CI 0.46-0.88, figure 1A). HHF was reduced with dapagliflozin vs. placebo </w:t>
      </w:r>
      <w:r w:rsidR="00D45157">
        <w:t xml:space="preserve">in MRF patients </w:t>
      </w:r>
      <w:r>
        <w:t>with no heterogeneity across subgroups assessed (</w:t>
      </w:r>
      <w:proofErr w:type="spellStart"/>
      <w:r>
        <w:t>P</w:t>
      </w:r>
      <w:r w:rsidRPr="00077F01">
        <w:rPr>
          <w:vertAlign w:val="subscript"/>
        </w:rPr>
        <w:t>interaction</w:t>
      </w:r>
      <w:proofErr w:type="spellEnd"/>
      <w:r>
        <w:t xml:space="preserve"> &gt;0.05, figure 2A).</w:t>
      </w:r>
      <w:r w:rsidR="005224E6">
        <w:t xml:space="preserve"> MACE was balanced with dapagliflozin vs. placebo in the MRF patients (HR 1.01, 95% CI 0.86</w:t>
      </w:r>
      <w:r w:rsidR="00274969">
        <w:t>-</w:t>
      </w:r>
      <w:r w:rsidR="005224E6">
        <w:t>1.20), in line with that observed in the established ASCVD cohort (</w:t>
      </w:r>
      <w:proofErr w:type="spellStart"/>
      <w:r w:rsidR="005224E6">
        <w:t>P</w:t>
      </w:r>
      <w:r w:rsidR="005224E6">
        <w:rPr>
          <w:vertAlign w:val="subscript"/>
        </w:rPr>
        <w:t>interaction</w:t>
      </w:r>
      <w:proofErr w:type="spellEnd"/>
      <w:r w:rsidR="005224E6">
        <w:rPr>
          <w:vertAlign w:val="subscript"/>
        </w:rPr>
        <w:t xml:space="preserve"> </w:t>
      </w:r>
      <w:r w:rsidR="005224E6">
        <w:t>0.25).</w:t>
      </w:r>
    </w:p>
    <w:p w14:paraId="07296268" w14:textId="3BA5A4E7" w:rsidR="00122324" w:rsidRDefault="00D45157" w:rsidP="00DE44F2">
      <w:pPr>
        <w:autoSpaceDE w:val="0"/>
        <w:autoSpaceDN w:val="0"/>
        <w:adjustRightInd w:val="0"/>
        <w:spacing w:after="240" w:line="360" w:lineRule="auto"/>
        <w:rPr>
          <w:rtl/>
        </w:rPr>
      </w:pPr>
      <w:r>
        <w:t>T</w:t>
      </w:r>
      <w:r w:rsidR="00E152DE">
        <w:t>he</w:t>
      </w:r>
      <w:r w:rsidR="00122324">
        <w:t xml:space="preserve"> renal-specific outcome</w:t>
      </w:r>
      <w:r w:rsidR="00276D60">
        <w:t xml:space="preserve"> </w:t>
      </w:r>
      <w:r>
        <w:t xml:space="preserve">was reduced with dapagliflozin vs. placebo in the MRF group </w:t>
      </w:r>
      <w:r w:rsidR="00122324">
        <w:t>(</w:t>
      </w:r>
      <w:r>
        <w:t xml:space="preserve">HR 0.51, </w:t>
      </w:r>
      <w:r w:rsidR="00122324">
        <w:t>95% CI</w:t>
      </w:r>
      <w:r>
        <w:t xml:space="preserve"> </w:t>
      </w:r>
      <w:r w:rsidR="00122324" w:rsidRPr="002E356B">
        <w:t>0.37-0.69</w:t>
      </w:r>
      <w:r>
        <w:t>, figure 1B</w:t>
      </w:r>
      <w:r w:rsidR="00122324" w:rsidRPr="002E356B">
        <w:t>)</w:t>
      </w:r>
      <w:r>
        <w:t xml:space="preserve"> </w:t>
      </w:r>
      <w:r w:rsidR="00BF54AE">
        <w:t>and did not differ from those</w:t>
      </w:r>
      <w:r>
        <w:t xml:space="preserve"> with ASCVD (</w:t>
      </w:r>
      <w:proofErr w:type="spellStart"/>
      <w:r w:rsidRPr="00D45157">
        <w:t>Pi</w:t>
      </w:r>
      <w:r>
        <w:rPr>
          <w:vertAlign w:val="subscript"/>
        </w:rPr>
        <w:t>nteraction</w:t>
      </w:r>
      <w:proofErr w:type="spellEnd"/>
      <w:r>
        <w:rPr>
          <w:vertAlign w:val="subscript"/>
        </w:rPr>
        <w:t xml:space="preserve"> </w:t>
      </w:r>
      <w:r>
        <w:t>0.72). This observed reduction was consistent</w:t>
      </w:r>
      <w:r w:rsidR="00F35262">
        <w:t xml:space="preserve"> across all subgroups assessed (</w:t>
      </w:r>
      <w:proofErr w:type="spellStart"/>
      <w:r w:rsidR="00F7200A">
        <w:t>P</w:t>
      </w:r>
      <w:r w:rsidR="00F7200A" w:rsidRPr="00077F01">
        <w:rPr>
          <w:vertAlign w:val="subscript"/>
        </w:rPr>
        <w:t>interaction</w:t>
      </w:r>
      <w:proofErr w:type="spellEnd"/>
      <w:r w:rsidR="00F7200A">
        <w:t xml:space="preserve"> &gt;0.05, </w:t>
      </w:r>
      <w:r w:rsidR="00F35262">
        <w:t xml:space="preserve">figure </w:t>
      </w:r>
      <w:r w:rsidR="00B2464D">
        <w:t>2B</w:t>
      </w:r>
      <w:r w:rsidR="00F35262">
        <w:t xml:space="preserve">).  </w:t>
      </w:r>
    </w:p>
    <w:p w14:paraId="7A8EA542" w14:textId="77777777" w:rsidR="00A4209A" w:rsidRDefault="00A4209A" w:rsidP="00DE44F2">
      <w:pPr>
        <w:spacing w:line="360" w:lineRule="auto"/>
        <w:rPr>
          <w:rFonts w:cstheme="minorHAnsi"/>
          <w:b/>
          <w:bCs/>
          <w:i/>
          <w:iCs/>
        </w:rPr>
      </w:pPr>
    </w:p>
    <w:p w14:paraId="581EE792" w14:textId="6940EB45" w:rsidR="00627FDC" w:rsidRPr="00627FDC" w:rsidRDefault="00627FDC" w:rsidP="00DE44F2">
      <w:pPr>
        <w:spacing w:line="360" w:lineRule="auto"/>
        <w:rPr>
          <w:rFonts w:cstheme="minorHAnsi"/>
          <w:b/>
          <w:bCs/>
          <w:i/>
          <w:iCs/>
        </w:rPr>
      </w:pPr>
      <w:r>
        <w:rPr>
          <w:rFonts w:cstheme="minorHAnsi"/>
          <w:b/>
          <w:bCs/>
          <w:i/>
          <w:iCs/>
        </w:rPr>
        <w:t>Metabolic outcomes</w:t>
      </w:r>
    </w:p>
    <w:p w14:paraId="34A6A847" w14:textId="6A26456D" w:rsidR="00150E75" w:rsidRPr="000F6768" w:rsidRDefault="00627FDC" w:rsidP="00DE44F2">
      <w:pPr>
        <w:autoSpaceDE w:val="0"/>
        <w:autoSpaceDN w:val="0"/>
        <w:adjustRightInd w:val="0"/>
        <w:spacing w:after="240" w:line="360" w:lineRule="auto"/>
      </w:pPr>
      <w:r>
        <w:t>At 48 months, patients randomized to dapagliflozin vs. placebo had lower HbA1c (7.8</w:t>
      </w:r>
      <w:r w:rsidRPr="000F6768">
        <w:t>±</w:t>
      </w:r>
      <w:r>
        <w:t>1.2 vs. 8.0</w:t>
      </w:r>
      <w:r w:rsidRPr="000F6768">
        <w:t>±1.4%), weight (86.8±19.7 vs. 88.4±20.4 kg), systolic blood pressure (132.8±14.6 vs. 135.1±15.0 mmHg)</w:t>
      </w:r>
      <w:r w:rsidR="00243511">
        <w:t>,</w:t>
      </w:r>
      <w:r w:rsidR="00243511">
        <w:rPr>
          <w:rFonts w:cstheme="minorHAnsi"/>
        </w:rPr>
        <w:t xml:space="preserve"> </w:t>
      </w:r>
      <w:r w:rsidR="00150E75" w:rsidRPr="000F6768">
        <w:t>and urinary albumin creatinine ratio (</w:t>
      </w:r>
      <w:r w:rsidR="00A4209A" w:rsidRPr="00A4209A">
        <w:t>93.0±437.4 vs. 130.2±483.6</w:t>
      </w:r>
      <w:r w:rsidR="000D3262">
        <w:t xml:space="preserve"> mg/g</w:t>
      </w:r>
      <w:r w:rsidR="00150E75" w:rsidRPr="00A4209A">
        <w:t>)</w:t>
      </w:r>
      <w:r w:rsidR="00150E75" w:rsidRPr="000F6768">
        <w:t>, and had higher eGFR (77.7±16.8 vs. 76.8±17.3 mL/min/1.73m</w:t>
      </w:r>
      <w:r w:rsidR="00150E75" w:rsidRPr="00A23468">
        <w:rPr>
          <w:vertAlign w:val="superscript"/>
        </w:rPr>
        <w:t>2</w:t>
      </w:r>
      <w:r w:rsidR="00BF54AE">
        <w:t xml:space="preserve">; </w:t>
      </w:r>
      <w:r w:rsidR="00243511" w:rsidRPr="00EC7551">
        <w:t xml:space="preserve">p&lt;0.05 for difference in change from baseline </w:t>
      </w:r>
      <w:r w:rsidR="00243511">
        <w:t>for</w:t>
      </w:r>
      <w:r w:rsidR="00243511" w:rsidRPr="00EC7551">
        <w:t xml:space="preserve"> dapagliflozin vs. placebo</w:t>
      </w:r>
      <w:r w:rsidR="00243511">
        <w:t xml:space="preserve"> for all parameters</w:t>
      </w:r>
      <w:r w:rsidR="00BF54AE">
        <w:t>; F</w:t>
      </w:r>
      <w:r w:rsidR="003861EA">
        <w:t xml:space="preserve">igure </w:t>
      </w:r>
      <w:r w:rsidR="00B2464D">
        <w:t>3</w:t>
      </w:r>
      <w:r w:rsidR="003861EA">
        <w:t>)</w:t>
      </w:r>
      <w:r w:rsidR="00243511" w:rsidRPr="00EC7551">
        <w:t>.</w:t>
      </w:r>
    </w:p>
    <w:p w14:paraId="78927645" w14:textId="77777777" w:rsidR="00150E75" w:rsidRDefault="00150E75" w:rsidP="00DE44F2">
      <w:pPr>
        <w:spacing w:line="360" w:lineRule="auto"/>
        <w:rPr>
          <w:rFonts w:cstheme="minorHAnsi"/>
        </w:rPr>
      </w:pPr>
    </w:p>
    <w:p w14:paraId="25D0240A" w14:textId="77777777" w:rsidR="00150E75" w:rsidRDefault="00150E75" w:rsidP="00DE44F2">
      <w:pPr>
        <w:autoSpaceDE w:val="0"/>
        <w:autoSpaceDN w:val="0"/>
        <w:adjustRightInd w:val="0"/>
        <w:spacing w:after="240" w:line="360" w:lineRule="auto"/>
        <w:rPr>
          <w:b/>
          <w:bCs/>
          <w:i/>
          <w:iCs/>
        </w:rPr>
      </w:pPr>
      <w:r w:rsidRPr="00150E75">
        <w:rPr>
          <w:b/>
          <w:bCs/>
          <w:i/>
          <w:iCs/>
        </w:rPr>
        <w:t>Safety outcomes</w:t>
      </w:r>
    </w:p>
    <w:p w14:paraId="41DD0E11" w14:textId="6AC2F7AD" w:rsidR="008D7D6F" w:rsidRPr="00243511" w:rsidRDefault="00F37CDC" w:rsidP="006816A2">
      <w:pPr>
        <w:autoSpaceDE w:val="0"/>
        <w:autoSpaceDN w:val="0"/>
        <w:adjustRightInd w:val="0"/>
        <w:spacing w:after="240" w:line="360" w:lineRule="auto"/>
        <w:rPr>
          <w:rtl/>
        </w:rPr>
      </w:pPr>
      <w:r>
        <w:t>In the MRF group, t</w:t>
      </w:r>
      <w:r w:rsidR="00CB2350">
        <w:t>here were fewer patients with a serious adverse event or with major hypoglycemia with dapagliflozin vs. placebo.</w:t>
      </w:r>
      <w:r w:rsidR="007F3592">
        <w:t xml:space="preserve"> </w:t>
      </w:r>
      <w:r w:rsidR="00CB2350">
        <w:t xml:space="preserve">Genital infections and </w:t>
      </w:r>
      <w:r w:rsidR="008D61A1">
        <w:t>diabetic ketoacidosis</w:t>
      </w:r>
      <w:r w:rsidR="00CB2350">
        <w:t xml:space="preserve"> were increased consistent with the known safety profile of the class. </w:t>
      </w:r>
      <w:r w:rsidR="008D7D6F">
        <w:t xml:space="preserve">Additional safety outcomes including amputations, fractures, volume depletion, </w:t>
      </w:r>
      <w:r w:rsidR="001C49BE">
        <w:t>acute kidney injury</w:t>
      </w:r>
      <w:r w:rsidR="008D7D6F">
        <w:t xml:space="preserve">, </w:t>
      </w:r>
      <w:r w:rsidR="005474B3">
        <w:t xml:space="preserve">urinary tract infection </w:t>
      </w:r>
      <w:r w:rsidR="008D7D6F">
        <w:t>and cancer were balanced</w:t>
      </w:r>
      <w:r w:rsidR="00DB6A43">
        <w:t xml:space="preserve"> with dapagliflozin vs. placebo</w:t>
      </w:r>
      <w:r w:rsidR="003861EA">
        <w:t xml:space="preserve"> (</w:t>
      </w:r>
      <w:r w:rsidR="00722304">
        <w:t>supplementary table 1</w:t>
      </w:r>
      <w:r w:rsidR="003861EA">
        <w:t>)</w:t>
      </w:r>
      <w:r w:rsidR="00DB6A43">
        <w:t>.</w:t>
      </w:r>
      <w:r w:rsidR="002E3948">
        <w:t xml:space="preserve"> </w:t>
      </w:r>
    </w:p>
    <w:p w14:paraId="58718933" w14:textId="77777777" w:rsidR="003F454A" w:rsidRPr="000F6768" w:rsidRDefault="003F454A" w:rsidP="00DE44F2">
      <w:pPr>
        <w:autoSpaceDE w:val="0"/>
        <w:autoSpaceDN w:val="0"/>
        <w:adjustRightInd w:val="0"/>
        <w:spacing w:after="240" w:line="360" w:lineRule="auto"/>
      </w:pPr>
      <w:r w:rsidRPr="000F6768">
        <w:br w:type="page"/>
      </w:r>
    </w:p>
    <w:p w14:paraId="16A9605E" w14:textId="77777777" w:rsidR="00447920" w:rsidRPr="000449AC" w:rsidRDefault="000449AC" w:rsidP="00DE44F2">
      <w:pPr>
        <w:tabs>
          <w:tab w:val="left" w:pos="2600"/>
        </w:tabs>
        <w:spacing w:after="240" w:line="360" w:lineRule="auto"/>
        <w:rPr>
          <w:rFonts w:cstheme="minorHAnsi"/>
          <w:b/>
          <w:bCs/>
          <w:caps/>
        </w:rPr>
      </w:pPr>
      <w:r w:rsidRPr="000449AC">
        <w:rPr>
          <w:rFonts w:cstheme="minorHAnsi"/>
          <w:b/>
          <w:bCs/>
          <w:caps/>
        </w:rPr>
        <w:lastRenderedPageBreak/>
        <w:t>Discussion</w:t>
      </w:r>
      <w:r w:rsidR="003F454A" w:rsidRPr="000449AC">
        <w:rPr>
          <w:rFonts w:cstheme="minorHAnsi"/>
          <w:b/>
          <w:bCs/>
          <w:caps/>
        </w:rPr>
        <w:t xml:space="preserve">  </w:t>
      </w:r>
    </w:p>
    <w:p w14:paraId="7AE2ACC5" w14:textId="5D711039" w:rsidR="002E3948" w:rsidRDefault="002E3948" w:rsidP="00DE44F2">
      <w:pPr>
        <w:spacing w:after="120" w:line="360" w:lineRule="auto"/>
        <w:rPr>
          <w:color w:val="212121"/>
          <w:shd w:val="clear" w:color="auto" w:fill="FFFFFF"/>
        </w:rPr>
      </w:pPr>
      <w:r>
        <w:rPr>
          <w:color w:val="212121"/>
          <w:shd w:val="clear" w:color="auto" w:fill="FFFFFF"/>
        </w:rPr>
        <w:t xml:space="preserve">This post-hoc analysis of the large primary prevention cohort </w:t>
      </w:r>
      <w:r w:rsidR="00F206FD">
        <w:rPr>
          <w:color w:val="212121"/>
          <w:shd w:val="clear" w:color="auto" w:fill="FFFFFF"/>
        </w:rPr>
        <w:t xml:space="preserve">(MRF) </w:t>
      </w:r>
      <w:r w:rsidR="003861EA">
        <w:rPr>
          <w:color w:val="212121"/>
          <w:shd w:val="clear" w:color="auto" w:fill="FFFFFF"/>
        </w:rPr>
        <w:t>in</w:t>
      </w:r>
      <w:r>
        <w:rPr>
          <w:color w:val="212121"/>
          <w:shd w:val="clear" w:color="auto" w:fill="FFFFFF"/>
        </w:rPr>
        <w:t xml:space="preserve"> the DECLARE-TIMI 58 </w:t>
      </w:r>
      <w:r w:rsidR="003B0E96">
        <w:rPr>
          <w:color w:val="212121"/>
          <w:shd w:val="clear" w:color="auto" w:fill="FFFFFF"/>
        </w:rPr>
        <w:t xml:space="preserve">trial </w:t>
      </w:r>
      <w:r>
        <w:rPr>
          <w:color w:val="212121"/>
          <w:shd w:val="clear" w:color="auto" w:fill="FFFFFF"/>
        </w:rPr>
        <w:t xml:space="preserve">delineates the benefits of dapagliflozin in patients without established ASCVD. The reduction in HHF and in adverse renal outcomes </w:t>
      </w:r>
      <w:r w:rsidR="003B0E96">
        <w:rPr>
          <w:color w:val="212121"/>
          <w:shd w:val="clear" w:color="auto" w:fill="FFFFFF"/>
        </w:rPr>
        <w:t xml:space="preserve">that </w:t>
      </w:r>
      <w:r>
        <w:rPr>
          <w:color w:val="212121"/>
          <w:shd w:val="clear" w:color="auto" w:fill="FFFFFF"/>
        </w:rPr>
        <w:t xml:space="preserve">was observed in the overall study population was consistently observed in the MRF group irrespective of age, </w:t>
      </w:r>
      <w:r w:rsidR="003B0E96">
        <w:rPr>
          <w:color w:val="212121"/>
          <w:shd w:val="clear" w:color="auto" w:fill="FFFFFF"/>
        </w:rPr>
        <w:t>sex</w:t>
      </w:r>
      <w:r w:rsidR="00234C64">
        <w:rPr>
          <w:color w:val="212121"/>
          <w:shd w:val="clear" w:color="auto" w:fill="FFFFFF"/>
        </w:rPr>
        <w:t xml:space="preserve">, </w:t>
      </w:r>
      <w:r w:rsidR="00A85C24">
        <w:rPr>
          <w:color w:val="212121"/>
          <w:shd w:val="clear" w:color="auto" w:fill="FFFFFF"/>
        </w:rPr>
        <w:t xml:space="preserve">diabetes duration, HbA1c, </w:t>
      </w:r>
      <w:r w:rsidR="00234C64">
        <w:rPr>
          <w:color w:val="212121"/>
          <w:shd w:val="clear" w:color="auto" w:fill="FFFFFF"/>
        </w:rPr>
        <w:t xml:space="preserve">eGFR, history of heart failure or number of </w:t>
      </w:r>
      <w:r w:rsidR="007E3840">
        <w:rPr>
          <w:color w:val="212121"/>
          <w:shd w:val="clear" w:color="auto" w:fill="FFFFFF"/>
        </w:rPr>
        <w:t xml:space="preserve">additional </w:t>
      </w:r>
      <w:r w:rsidR="00234C64">
        <w:rPr>
          <w:color w:val="212121"/>
          <w:shd w:val="clear" w:color="auto" w:fill="FFFFFF"/>
        </w:rPr>
        <w:t xml:space="preserve">cardiovascular </w:t>
      </w:r>
      <w:r>
        <w:rPr>
          <w:color w:val="212121"/>
          <w:shd w:val="clear" w:color="auto" w:fill="FFFFFF"/>
        </w:rPr>
        <w:t xml:space="preserve">risk factors. </w:t>
      </w:r>
      <w:r w:rsidR="00234C64">
        <w:rPr>
          <w:color w:val="212121"/>
          <w:shd w:val="clear" w:color="auto" w:fill="FFFFFF"/>
        </w:rPr>
        <w:t xml:space="preserve">Moreover, </w:t>
      </w:r>
      <w:r w:rsidR="00DE791B">
        <w:rPr>
          <w:color w:val="212121"/>
          <w:shd w:val="clear" w:color="auto" w:fill="FFFFFF"/>
        </w:rPr>
        <w:t>in line</w:t>
      </w:r>
      <w:r w:rsidR="00AE17BD">
        <w:rPr>
          <w:color w:val="212121"/>
          <w:shd w:val="clear" w:color="auto" w:fill="FFFFFF"/>
        </w:rPr>
        <w:t xml:space="preserve"> with the overall study data, </w:t>
      </w:r>
      <w:r w:rsidR="00234C64">
        <w:rPr>
          <w:color w:val="212121"/>
          <w:shd w:val="clear" w:color="auto" w:fill="FFFFFF"/>
        </w:rPr>
        <w:t>n</w:t>
      </w:r>
      <w:r>
        <w:rPr>
          <w:color w:val="212121"/>
          <w:shd w:val="clear" w:color="auto" w:fill="FFFFFF"/>
        </w:rPr>
        <w:t xml:space="preserve">o </w:t>
      </w:r>
      <w:r w:rsidR="0052206D">
        <w:rPr>
          <w:color w:val="212121"/>
          <w:shd w:val="clear" w:color="auto" w:fill="FFFFFF"/>
        </w:rPr>
        <w:t xml:space="preserve">new </w:t>
      </w:r>
      <w:r>
        <w:rPr>
          <w:color w:val="212121"/>
          <w:shd w:val="clear" w:color="auto" w:fill="FFFFFF"/>
        </w:rPr>
        <w:t xml:space="preserve">safety signals emerged in this cohort, and the metabolic benefits </w:t>
      </w:r>
      <w:r w:rsidR="00234C64">
        <w:rPr>
          <w:color w:val="212121"/>
          <w:shd w:val="clear" w:color="auto" w:fill="FFFFFF"/>
        </w:rPr>
        <w:t xml:space="preserve">known </w:t>
      </w:r>
      <w:r w:rsidR="003B0E96">
        <w:rPr>
          <w:color w:val="212121"/>
          <w:shd w:val="clear" w:color="auto" w:fill="FFFFFF"/>
        </w:rPr>
        <w:t xml:space="preserve">for </w:t>
      </w:r>
      <w:r w:rsidR="00234C64">
        <w:rPr>
          <w:color w:val="212121"/>
          <w:shd w:val="clear" w:color="auto" w:fill="FFFFFF"/>
        </w:rPr>
        <w:t xml:space="preserve">the class </w:t>
      </w:r>
      <w:r>
        <w:rPr>
          <w:color w:val="212121"/>
          <w:shd w:val="clear" w:color="auto" w:fill="FFFFFF"/>
        </w:rPr>
        <w:t xml:space="preserve">were </w:t>
      </w:r>
      <w:r w:rsidR="00234C64">
        <w:rPr>
          <w:color w:val="212121"/>
          <w:shd w:val="clear" w:color="auto" w:fill="FFFFFF"/>
        </w:rPr>
        <w:t>observed</w:t>
      </w:r>
      <w:r>
        <w:rPr>
          <w:color w:val="212121"/>
          <w:shd w:val="clear" w:color="auto" w:fill="FFFFFF"/>
        </w:rPr>
        <w:t xml:space="preserve"> as well.  </w:t>
      </w:r>
    </w:p>
    <w:p w14:paraId="650AEB5D" w14:textId="5CF2657D" w:rsidR="00234C64" w:rsidRDefault="00234C64" w:rsidP="00DE44F2">
      <w:pPr>
        <w:spacing w:after="120" w:line="360" w:lineRule="auto"/>
        <w:rPr>
          <w:color w:val="212121"/>
          <w:shd w:val="clear" w:color="auto" w:fill="FFFFFF"/>
          <w:rtl/>
        </w:rPr>
      </w:pPr>
      <w:r>
        <w:rPr>
          <w:color w:val="212121"/>
          <w:shd w:val="clear" w:color="auto" w:fill="FFFFFF"/>
        </w:rPr>
        <w:t>In recent years, with accumulating</w:t>
      </w:r>
      <w:r w:rsidR="008E1DD8">
        <w:rPr>
          <w:color w:val="212121"/>
          <w:shd w:val="clear" w:color="auto" w:fill="FFFFFF"/>
        </w:rPr>
        <w:t xml:space="preserve"> data from</w:t>
      </w:r>
      <w:r>
        <w:rPr>
          <w:color w:val="212121"/>
          <w:shd w:val="clear" w:color="auto" w:fill="FFFFFF"/>
        </w:rPr>
        <w:t xml:space="preserve"> cardiovascular and renal outcome </w:t>
      </w:r>
      <w:r w:rsidR="003B0E96">
        <w:rPr>
          <w:color w:val="212121"/>
          <w:shd w:val="clear" w:color="auto" w:fill="FFFFFF"/>
        </w:rPr>
        <w:t xml:space="preserve">trials </w:t>
      </w:r>
      <w:r>
        <w:rPr>
          <w:color w:val="212121"/>
          <w:shd w:val="clear" w:color="auto" w:fill="FFFFFF"/>
        </w:rPr>
        <w:t xml:space="preserve">of SGLT-2 inhibitors, the </w:t>
      </w:r>
      <w:r w:rsidR="003861EA">
        <w:rPr>
          <w:color w:val="212121"/>
          <w:shd w:val="clear" w:color="auto" w:fill="FFFFFF"/>
        </w:rPr>
        <w:t>position</w:t>
      </w:r>
      <w:r>
        <w:rPr>
          <w:color w:val="212121"/>
          <w:shd w:val="clear" w:color="auto" w:fill="FFFFFF"/>
        </w:rPr>
        <w:t xml:space="preserve"> of these agents in the treatment algorithm of patients with </w:t>
      </w:r>
      <w:r w:rsidR="003B0E96">
        <w:rPr>
          <w:color w:val="212121"/>
          <w:shd w:val="clear" w:color="auto" w:fill="FFFFFF"/>
        </w:rPr>
        <w:t>T2D</w:t>
      </w:r>
      <w:r>
        <w:rPr>
          <w:color w:val="212121"/>
          <w:shd w:val="clear" w:color="auto" w:fill="FFFFFF"/>
        </w:rPr>
        <w:t xml:space="preserve"> has been under extensive discussion</w:t>
      </w:r>
      <w:r w:rsidR="003861EA">
        <w:rPr>
          <w:color w:val="212121"/>
          <w:shd w:val="clear" w:color="auto" w:fill="FFFFFF"/>
        </w:rPr>
        <w:t xml:space="preserve"> (</w:t>
      </w:r>
      <w:r w:rsidR="00EE48CC">
        <w:rPr>
          <w:color w:val="212121"/>
          <w:shd w:val="clear" w:color="auto" w:fill="FFFFFF"/>
        </w:rPr>
        <w:t>13-15</w:t>
      </w:r>
      <w:r w:rsidR="003861EA">
        <w:rPr>
          <w:color w:val="212121"/>
          <w:shd w:val="clear" w:color="auto" w:fill="FFFFFF"/>
        </w:rPr>
        <w:t>)</w:t>
      </w:r>
      <w:r>
        <w:rPr>
          <w:color w:val="212121"/>
          <w:shd w:val="clear" w:color="auto" w:fill="FFFFFF"/>
        </w:rPr>
        <w:t xml:space="preserve">. </w:t>
      </w:r>
      <w:r w:rsidR="003B0E96">
        <w:rPr>
          <w:color w:val="212121"/>
          <w:shd w:val="clear" w:color="auto" w:fill="FFFFFF"/>
        </w:rPr>
        <w:t xml:space="preserve">Trials of </w:t>
      </w:r>
      <w:r w:rsidR="00AE349B">
        <w:rPr>
          <w:color w:val="212121"/>
          <w:shd w:val="clear" w:color="auto" w:fill="FFFFFF"/>
        </w:rPr>
        <w:t xml:space="preserve">SGLT2 inhibitors </w:t>
      </w:r>
      <w:r w:rsidR="003B0E96">
        <w:rPr>
          <w:color w:val="212121"/>
          <w:shd w:val="clear" w:color="auto" w:fill="FFFFFF"/>
        </w:rPr>
        <w:t xml:space="preserve">have </w:t>
      </w:r>
      <w:r w:rsidR="00AE349B">
        <w:rPr>
          <w:color w:val="212121"/>
          <w:shd w:val="clear" w:color="auto" w:fill="FFFFFF"/>
        </w:rPr>
        <w:t xml:space="preserve">demonstrated </w:t>
      </w:r>
      <w:r w:rsidR="003B0E96">
        <w:rPr>
          <w:color w:val="212121"/>
          <w:shd w:val="clear" w:color="auto" w:fill="FFFFFF"/>
        </w:rPr>
        <w:t xml:space="preserve">consistent </w:t>
      </w:r>
      <w:r w:rsidR="00AE349B">
        <w:rPr>
          <w:color w:val="212121"/>
          <w:shd w:val="clear" w:color="auto" w:fill="FFFFFF"/>
        </w:rPr>
        <w:t xml:space="preserve">metabolic benefits in patients with </w:t>
      </w:r>
      <w:r w:rsidR="003B0E96">
        <w:rPr>
          <w:color w:val="212121"/>
          <w:shd w:val="clear" w:color="auto" w:fill="FFFFFF"/>
        </w:rPr>
        <w:t>T2D</w:t>
      </w:r>
      <w:r w:rsidR="00AE349B">
        <w:rPr>
          <w:color w:val="212121"/>
          <w:shd w:val="clear" w:color="auto" w:fill="FFFFFF"/>
        </w:rPr>
        <w:t xml:space="preserve"> with clinically significant reductions in HbA1c, blood pressure and weight</w:t>
      </w:r>
      <w:r w:rsidR="005203F8">
        <w:rPr>
          <w:color w:val="212121"/>
          <w:shd w:val="clear" w:color="auto" w:fill="FFFFFF"/>
        </w:rPr>
        <w:t>, irrespective of baseline cardiovascular risk</w:t>
      </w:r>
      <w:r w:rsidR="00AE349B">
        <w:rPr>
          <w:color w:val="212121"/>
          <w:shd w:val="clear" w:color="auto" w:fill="FFFFFF"/>
        </w:rPr>
        <w:t xml:space="preserve">. The </w:t>
      </w:r>
      <w:r w:rsidR="007E3840">
        <w:rPr>
          <w:color w:val="212121"/>
          <w:shd w:val="clear" w:color="auto" w:fill="FFFFFF"/>
        </w:rPr>
        <w:t>cardiovascular and renal</w:t>
      </w:r>
      <w:r w:rsidR="00AE349B">
        <w:rPr>
          <w:color w:val="212121"/>
          <w:shd w:val="clear" w:color="auto" w:fill="FFFFFF"/>
        </w:rPr>
        <w:t xml:space="preserve"> benefits of the class were initially assessed in </w:t>
      </w:r>
      <w:r>
        <w:rPr>
          <w:color w:val="212121"/>
          <w:shd w:val="clear" w:color="auto" w:fill="FFFFFF"/>
        </w:rPr>
        <w:t xml:space="preserve">a mostly secondary prevention population, </w:t>
      </w:r>
      <w:r w:rsidR="00AE349B">
        <w:rPr>
          <w:color w:val="212121"/>
          <w:shd w:val="clear" w:color="auto" w:fill="FFFFFF"/>
        </w:rPr>
        <w:t xml:space="preserve">however, </w:t>
      </w:r>
      <w:r>
        <w:rPr>
          <w:color w:val="212121"/>
          <w:shd w:val="clear" w:color="auto" w:fill="FFFFFF"/>
        </w:rPr>
        <w:t xml:space="preserve">the large primary prevention population in the DECLARE-TIMI 58 </w:t>
      </w:r>
      <w:r w:rsidR="003B0E96">
        <w:rPr>
          <w:color w:val="212121"/>
          <w:shd w:val="clear" w:color="auto" w:fill="FFFFFF"/>
        </w:rPr>
        <w:t xml:space="preserve">trial </w:t>
      </w:r>
      <w:r>
        <w:rPr>
          <w:color w:val="212121"/>
          <w:shd w:val="clear" w:color="auto" w:fill="FFFFFF"/>
        </w:rPr>
        <w:t xml:space="preserve">has enabled closer scrutiny of </w:t>
      </w:r>
      <w:r w:rsidR="00A85C24">
        <w:rPr>
          <w:color w:val="212121"/>
          <w:shd w:val="clear" w:color="auto" w:fill="FFFFFF"/>
        </w:rPr>
        <w:t>the benefit</w:t>
      </w:r>
      <w:r w:rsidR="005203F8">
        <w:rPr>
          <w:color w:val="212121"/>
          <w:shd w:val="clear" w:color="auto" w:fill="FFFFFF"/>
        </w:rPr>
        <w:t>s</w:t>
      </w:r>
      <w:r w:rsidR="00A85C24">
        <w:rPr>
          <w:color w:val="212121"/>
          <w:shd w:val="clear" w:color="auto" w:fill="FFFFFF"/>
        </w:rPr>
        <w:t xml:space="preserve"> of dapagliflozin </w:t>
      </w:r>
      <w:r w:rsidR="00F206FD">
        <w:rPr>
          <w:color w:val="212121"/>
          <w:shd w:val="clear" w:color="auto" w:fill="FFFFFF"/>
        </w:rPr>
        <w:t>in</w:t>
      </w:r>
      <w:r>
        <w:rPr>
          <w:color w:val="212121"/>
          <w:shd w:val="clear" w:color="auto" w:fill="FFFFFF"/>
        </w:rPr>
        <w:t xml:space="preserve"> this patient cohort. </w:t>
      </w:r>
    </w:p>
    <w:p w14:paraId="6EF43AE7" w14:textId="57427CBE" w:rsidR="00C72A8D" w:rsidRDefault="00B244D9" w:rsidP="00A23468">
      <w:pPr>
        <w:spacing w:after="120" w:line="360" w:lineRule="auto"/>
        <w:rPr>
          <w:color w:val="212121"/>
          <w:shd w:val="clear" w:color="auto" w:fill="FFFFFF"/>
        </w:rPr>
      </w:pPr>
      <w:r>
        <w:rPr>
          <w:color w:val="212121"/>
          <w:shd w:val="clear" w:color="auto" w:fill="FFFFFF"/>
        </w:rPr>
        <w:t xml:space="preserve">When </w:t>
      </w:r>
      <w:r w:rsidR="00C87B0D">
        <w:rPr>
          <w:color w:val="212121"/>
          <w:shd w:val="clear" w:color="auto" w:fill="FFFFFF"/>
        </w:rPr>
        <w:t>determining the treatment regimen</w:t>
      </w:r>
      <w:r>
        <w:rPr>
          <w:color w:val="212121"/>
          <w:shd w:val="clear" w:color="auto" w:fill="FFFFFF"/>
        </w:rPr>
        <w:t xml:space="preserve"> for patients with </w:t>
      </w:r>
      <w:r w:rsidR="00EF4E9B">
        <w:rPr>
          <w:color w:val="212121"/>
          <w:shd w:val="clear" w:color="auto" w:fill="FFFFFF"/>
        </w:rPr>
        <w:t>T2D</w:t>
      </w:r>
      <w:r>
        <w:rPr>
          <w:color w:val="212121"/>
          <w:shd w:val="clear" w:color="auto" w:fill="FFFFFF"/>
        </w:rPr>
        <w:t>, particularly in the case of lower risk patients without established ASCVD, several factors should be considered. Type 2 diabetes usually occurs in the constellation of the metabolic syndrome with obesity, hypertension and dyslipidemia being important comorbidities.</w:t>
      </w:r>
      <w:r w:rsidR="00AE17BD">
        <w:rPr>
          <w:color w:val="212121"/>
          <w:shd w:val="clear" w:color="auto" w:fill="FFFFFF"/>
        </w:rPr>
        <w:t xml:space="preserve"> M</w:t>
      </w:r>
      <w:r w:rsidR="00807863">
        <w:rPr>
          <w:color w:val="212121"/>
          <w:shd w:val="clear" w:color="auto" w:fill="FFFFFF"/>
        </w:rPr>
        <w:t xml:space="preserve">ultifactorial intervention targeting </w:t>
      </w:r>
      <w:r w:rsidR="00F206FD">
        <w:rPr>
          <w:color w:val="212121"/>
          <w:shd w:val="clear" w:color="auto" w:fill="FFFFFF"/>
        </w:rPr>
        <w:t>several</w:t>
      </w:r>
      <w:r w:rsidR="00807863">
        <w:rPr>
          <w:color w:val="212121"/>
          <w:shd w:val="clear" w:color="auto" w:fill="FFFFFF"/>
        </w:rPr>
        <w:t xml:space="preserve"> cardiovascular risk factors, particularly when implemented in the early stages of </w:t>
      </w:r>
      <w:r w:rsidR="00EF4E9B">
        <w:rPr>
          <w:color w:val="212121"/>
          <w:shd w:val="clear" w:color="auto" w:fill="FFFFFF"/>
        </w:rPr>
        <w:t>T2D</w:t>
      </w:r>
      <w:r w:rsidR="00F206FD">
        <w:rPr>
          <w:color w:val="212121"/>
          <w:shd w:val="clear" w:color="auto" w:fill="FFFFFF"/>
        </w:rPr>
        <w:t>,</w:t>
      </w:r>
      <w:r>
        <w:rPr>
          <w:color w:val="212121"/>
          <w:shd w:val="clear" w:color="auto" w:fill="FFFFFF"/>
        </w:rPr>
        <w:t xml:space="preserve"> is </w:t>
      </w:r>
      <w:r w:rsidR="007E3840">
        <w:rPr>
          <w:color w:val="212121"/>
          <w:shd w:val="clear" w:color="auto" w:fill="FFFFFF"/>
        </w:rPr>
        <w:t xml:space="preserve">thus </w:t>
      </w:r>
      <w:r>
        <w:rPr>
          <w:color w:val="212121"/>
          <w:shd w:val="clear" w:color="auto" w:fill="FFFFFF"/>
        </w:rPr>
        <w:t>of paramount importance</w:t>
      </w:r>
      <w:r w:rsidR="003861EA">
        <w:rPr>
          <w:color w:val="212121"/>
          <w:shd w:val="clear" w:color="auto" w:fill="FFFFFF"/>
        </w:rPr>
        <w:t xml:space="preserve"> (1</w:t>
      </w:r>
      <w:r w:rsidR="006C6453">
        <w:rPr>
          <w:color w:val="212121"/>
          <w:shd w:val="clear" w:color="auto" w:fill="FFFFFF"/>
        </w:rPr>
        <w:t>6</w:t>
      </w:r>
      <w:r w:rsidR="003861EA">
        <w:rPr>
          <w:color w:val="212121"/>
          <w:shd w:val="clear" w:color="auto" w:fill="FFFFFF"/>
        </w:rPr>
        <w:t>)</w:t>
      </w:r>
      <w:r w:rsidR="00F206FD">
        <w:rPr>
          <w:color w:val="212121"/>
          <w:shd w:val="clear" w:color="auto" w:fill="FFFFFF"/>
        </w:rPr>
        <w:t xml:space="preserve">. </w:t>
      </w:r>
      <w:r w:rsidR="00EF4E9B">
        <w:rPr>
          <w:color w:val="212121"/>
          <w:shd w:val="clear" w:color="auto" w:fill="FFFFFF"/>
        </w:rPr>
        <w:t xml:space="preserve">The unique mode of action of </w:t>
      </w:r>
      <w:r w:rsidR="005203F8">
        <w:rPr>
          <w:color w:val="212121"/>
          <w:shd w:val="clear" w:color="auto" w:fill="FFFFFF"/>
        </w:rPr>
        <w:t>SGLT2 inhibitors, which is insulin independent, yield</w:t>
      </w:r>
      <w:r w:rsidR="007E3840">
        <w:rPr>
          <w:color w:val="212121"/>
          <w:shd w:val="clear" w:color="auto" w:fill="FFFFFF"/>
        </w:rPr>
        <w:t>s</w:t>
      </w:r>
      <w:r w:rsidR="005203F8">
        <w:rPr>
          <w:color w:val="212121"/>
          <w:shd w:val="clear" w:color="auto" w:fill="FFFFFF"/>
        </w:rPr>
        <w:t xml:space="preserve"> metabolic advantages in early as well as progressive </w:t>
      </w:r>
      <w:r w:rsidR="00EF4E9B">
        <w:rPr>
          <w:color w:val="212121"/>
          <w:shd w:val="clear" w:color="auto" w:fill="FFFFFF"/>
        </w:rPr>
        <w:t xml:space="preserve">T2D </w:t>
      </w:r>
      <w:r w:rsidR="005203F8" w:rsidRPr="00A23468">
        <w:rPr>
          <w:color w:val="212121"/>
          <w:shd w:val="clear" w:color="auto" w:fill="FFFFFF"/>
        </w:rPr>
        <w:t xml:space="preserve">when endogenous insulin reserves may have diminished. </w:t>
      </w:r>
      <w:r w:rsidR="00EF4E9B" w:rsidRPr="00A23468">
        <w:rPr>
          <w:color w:val="212121"/>
          <w:shd w:val="clear" w:color="auto" w:fill="FFFFFF"/>
        </w:rPr>
        <w:t>Long-term b</w:t>
      </w:r>
      <w:r w:rsidR="00F206FD" w:rsidRPr="00A23468">
        <w:rPr>
          <w:color w:val="212121"/>
          <w:shd w:val="clear" w:color="auto" w:fill="FFFFFF"/>
        </w:rPr>
        <w:t>enefit</w:t>
      </w:r>
      <w:r w:rsidR="00EF4E9B" w:rsidRPr="00A23468">
        <w:rPr>
          <w:color w:val="212121"/>
          <w:shd w:val="clear" w:color="auto" w:fill="FFFFFF"/>
        </w:rPr>
        <w:t>s</w:t>
      </w:r>
      <w:r w:rsidR="00F206FD" w:rsidRPr="00A23468">
        <w:rPr>
          <w:color w:val="212121"/>
          <w:shd w:val="clear" w:color="auto" w:fill="FFFFFF"/>
        </w:rPr>
        <w:t xml:space="preserve"> can be expected </w:t>
      </w:r>
      <w:r w:rsidRPr="00A23468">
        <w:rPr>
          <w:color w:val="212121"/>
          <w:shd w:val="clear" w:color="auto" w:fill="FFFFFF"/>
        </w:rPr>
        <w:t xml:space="preserve">in </w:t>
      </w:r>
      <w:r w:rsidR="00807863" w:rsidRPr="00A23468">
        <w:rPr>
          <w:color w:val="212121"/>
          <w:shd w:val="clear" w:color="auto" w:fill="FFFFFF"/>
        </w:rPr>
        <w:t xml:space="preserve">slowing </w:t>
      </w:r>
      <w:r w:rsidR="00AE17BD" w:rsidRPr="00A23468">
        <w:rPr>
          <w:color w:val="212121"/>
          <w:shd w:val="clear" w:color="auto" w:fill="FFFFFF"/>
        </w:rPr>
        <w:t>diabetes</w:t>
      </w:r>
      <w:r w:rsidR="00807863" w:rsidRPr="00A23468">
        <w:rPr>
          <w:color w:val="212121"/>
          <w:shd w:val="clear" w:color="auto" w:fill="FFFFFF"/>
        </w:rPr>
        <w:t xml:space="preserve"> progression</w:t>
      </w:r>
      <w:r w:rsidR="00A23468" w:rsidRPr="00A23468">
        <w:rPr>
          <w:color w:val="212121"/>
          <w:shd w:val="clear" w:color="auto" w:fill="FFFFFF"/>
        </w:rPr>
        <w:t xml:space="preserve"> by</w:t>
      </w:r>
      <w:r w:rsidR="00A23468">
        <w:rPr>
          <w:color w:val="212121"/>
          <w:shd w:val="clear" w:color="auto" w:fill="FFFFFF"/>
        </w:rPr>
        <w:t xml:space="preserve"> maintaining HbA1c reduction</w:t>
      </w:r>
      <w:r w:rsidR="00807863">
        <w:rPr>
          <w:color w:val="212121"/>
          <w:shd w:val="clear" w:color="auto" w:fill="FFFFFF"/>
        </w:rPr>
        <w:t xml:space="preserve">, </w:t>
      </w:r>
      <w:r>
        <w:rPr>
          <w:color w:val="212121"/>
          <w:shd w:val="clear" w:color="auto" w:fill="FFFFFF"/>
        </w:rPr>
        <w:t>reduci</w:t>
      </w:r>
      <w:r w:rsidR="00807863">
        <w:rPr>
          <w:color w:val="212121"/>
          <w:shd w:val="clear" w:color="auto" w:fill="FFFFFF"/>
        </w:rPr>
        <w:t xml:space="preserve">ng microvascular complications as well as </w:t>
      </w:r>
      <w:r w:rsidR="00F206FD">
        <w:rPr>
          <w:color w:val="212121"/>
          <w:shd w:val="clear" w:color="auto" w:fill="FFFFFF"/>
        </w:rPr>
        <w:t>decreasing</w:t>
      </w:r>
      <w:r w:rsidR="00807863">
        <w:rPr>
          <w:color w:val="212121"/>
          <w:shd w:val="clear" w:color="auto" w:fill="FFFFFF"/>
        </w:rPr>
        <w:t xml:space="preserve"> </w:t>
      </w:r>
      <w:r>
        <w:rPr>
          <w:color w:val="212121"/>
          <w:shd w:val="clear" w:color="auto" w:fill="FFFFFF"/>
        </w:rPr>
        <w:t xml:space="preserve">cardiovascular complications </w:t>
      </w:r>
      <w:r w:rsidR="003861EA">
        <w:rPr>
          <w:color w:val="212121"/>
          <w:shd w:val="clear" w:color="auto" w:fill="FFFFFF"/>
        </w:rPr>
        <w:t>(</w:t>
      </w:r>
      <w:r w:rsidR="006C6453">
        <w:rPr>
          <w:color w:val="212121"/>
          <w:shd w:val="clear" w:color="auto" w:fill="FFFFFF"/>
        </w:rPr>
        <w:t>17-20</w:t>
      </w:r>
      <w:r w:rsidR="003861EA">
        <w:rPr>
          <w:color w:val="212121"/>
          <w:shd w:val="clear" w:color="auto" w:fill="FFFFFF"/>
        </w:rPr>
        <w:t>)</w:t>
      </w:r>
      <w:r>
        <w:rPr>
          <w:color w:val="212121"/>
          <w:shd w:val="clear" w:color="auto" w:fill="FFFFFF"/>
        </w:rPr>
        <w:t xml:space="preserve">. </w:t>
      </w:r>
    </w:p>
    <w:p w14:paraId="2A84B43E" w14:textId="64C86E50" w:rsidR="00C72A8D" w:rsidRDefault="00C72A8D" w:rsidP="00542725">
      <w:pPr>
        <w:spacing w:after="120" w:line="360" w:lineRule="auto"/>
        <w:rPr>
          <w:color w:val="212121"/>
          <w:shd w:val="clear" w:color="auto" w:fill="FFFFFF"/>
        </w:rPr>
      </w:pPr>
      <w:r>
        <w:rPr>
          <w:color w:val="212121"/>
          <w:shd w:val="clear" w:color="auto" w:fill="FFFFFF"/>
        </w:rPr>
        <w:t>Besides control of the “standard” cardiovascular risk factors (</w:t>
      </w:r>
      <w:r w:rsidR="00951AF0">
        <w:rPr>
          <w:color w:val="212121"/>
          <w:shd w:val="clear" w:color="auto" w:fill="FFFFFF"/>
        </w:rPr>
        <w:t xml:space="preserve">obesity, </w:t>
      </w:r>
      <w:r>
        <w:rPr>
          <w:color w:val="212121"/>
          <w:shd w:val="clear" w:color="auto" w:fill="FFFFFF"/>
        </w:rPr>
        <w:t xml:space="preserve">hypertension, dyslipidemia, </w:t>
      </w:r>
      <w:proofErr w:type="spellStart"/>
      <w:r>
        <w:rPr>
          <w:color w:val="212121"/>
          <w:shd w:val="clear" w:color="auto" w:fill="FFFFFF"/>
        </w:rPr>
        <w:t>dysglycemia</w:t>
      </w:r>
      <w:proofErr w:type="spellEnd"/>
      <w:r>
        <w:rPr>
          <w:color w:val="212121"/>
          <w:shd w:val="clear" w:color="auto" w:fill="FFFFFF"/>
        </w:rPr>
        <w:t>)</w:t>
      </w:r>
      <w:r w:rsidR="000F7770">
        <w:rPr>
          <w:color w:val="212121"/>
          <w:shd w:val="clear" w:color="auto" w:fill="FFFFFF"/>
        </w:rPr>
        <w:t>,</w:t>
      </w:r>
      <w:r>
        <w:rPr>
          <w:color w:val="212121"/>
          <w:shd w:val="clear" w:color="auto" w:fill="FFFFFF"/>
        </w:rPr>
        <w:t xml:space="preserve"> the clinical relevance of the cardio-renal axis is becoming increasing apparent</w:t>
      </w:r>
      <w:r w:rsidR="00542725">
        <w:rPr>
          <w:color w:val="212121"/>
          <w:shd w:val="clear" w:color="auto" w:fill="FFFFFF"/>
        </w:rPr>
        <w:t xml:space="preserve"> (21)</w:t>
      </w:r>
      <w:r>
        <w:rPr>
          <w:color w:val="212121"/>
          <w:shd w:val="clear" w:color="auto" w:fill="FFFFFF"/>
        </w:rPr>
        <w:t xml:space="preserve">. </w:t>
      </w:r>
      <w:r w:rsidR="00C87B0D">
        <w:rPr>
          <w:color w:val="212121"/>
          <w:shd w:val="clear" w:color="auto" w:fill="FFFFFF"/>
        </w:rPr>
        <w:t xml:space="preserve">Reduced eGFR as well as increased albuminuria </w:t>
      </w:r>
      <w:r w:rsidR="00A85C24">
        <w:rPr>
          <w:color w:val="212121"/>
          <w:shd w:val="clear" w:color="auto" w:fill="FFFFFF"/>
        </w:rPr>
        <w:t>lead to</w:t>
      </w:r>
      <w:r w:rsidR="00C87B0D">
        <w:rPr>
          <w:color w:val="212121"/>
          <w:shd w:val="clear" w:color="auto" w:fill="FFFFFF"/>
        </w:rPr>
        <w:t xml:space="preserve"> a synergistic increase in </w:t>
      </w:r>
      <w:r w:rsidR="00A85C24">
        <w:rPr>
          <w:color w:val="212121"/>
          <w:shd w:val="clear" w:color="auto" w:fill="FFFFFF"/>
        </w:rPr>
        <w:t xml:space="preserve">the risk of </w:t>
      </w:r>
      <w:r w:rsidR="00C87B0D">
        <w:rPr>
          <w:color w:val="212121"/>
          <w:shd w:val="clear" w:color="auto" w:fill="FFFFFF"/>
        </w:rPr>
        <w:t xml:space="preserve">cardiovascular </w:t>
      </w:r>
      <w:r w:rsidR="00A85C24">
        <w:rPr>
          <w:color w:val="212121"/>
          <w:shd w:val="clear" w:color="auto" w:fill="FFFFFF"/>
        </w:rPr>
        <w:t>events</w:t>
      </w:r>
      <w:r w:rsidR="003861EA">
        <w:rPr>
          <w:color w:val="212121"/>
          <w:shd w:val="clear" w:color="auto" w:fill="FFFFFF"/>
        </w:rPr>
        <w:t xml:space="preserve"> (</w:t>
      </w:r>
      <w:r w:rsidR="001A6A46">
        <w:rPr>
          <w:color w:val="212121"/>
          <w:shd w:val="clear" w:color="auto" w:fill="FFFFFF"/>
        </w:rPr>
        <w:t>2</w:t>
      </w:r>
      <w:r w:rsidR="00542725">
        <w:rPr>
          <w:color w:val="212121"/>
          <w:shd w:val="clear" w:color="auto" w:fill="FFFFFF"/>
        </w:rPr>
        <w:t>2</w:t>
      </w:r>
      <w:r w:rsidR="001A6A46">
        <w:rPr>
          <w:color w:val="212121"/>
          <w:shd w:val="clear" w:color="auto" w:fill="FFFFFF"/>
        </w:rPr>
        <w:t>, 2</w:t>
      </w:r>
      <w:r w:rsidR="00542725">
        <w:rPr>
          <w:color w:val="212121"/>
          <w:shd w:val="clear" w:color="auto" w:fill="FFFFFF"/>
        </w:rPr>
        <w:t>3</w:t>
      </w:r>
      <w:r w:rsidR="003861EA">
        <w:rPr>
          <w:color w:val="212121"/>
          <w:shd w:val="clear" w:color="auto" w:fill="FFFFFF"/>
        </w:rPr>
        <w:t>)</w:t>
      </w:r>
      <w:r w:rsidR="00C87B0D">
        <w:rPr>
          <w:color w:val="212121"/>
          <w:shd w:val="clear" w:color="auto" w:fill="FFFFFF"/>
        </w:rPr>
        <w:t xml:space="preserve">. </w:t>
      </w:r>
      <w:r>
        <w:rPr>
          <w:color w:val="212121"/>
          <w:shd w:val="clear" w:color="auto" w:fill="FFFFFF"/>
        </w:rPr>
        <w:t xml:space="preserve">SGLT2 inhibitors have consistently demonstrated improvements in renal outcomes. </w:t>
      </w:r>
      <w:r w:rsidR="00A85C24">
        <w:rPr>
          <w:color w:val="212121"/>
          <w:shd w:val="clear" w:color="auto" w:fill="FFFFFF"/>
        </w:rPr>
        <w:t>These include</w:t>
      </w:r>
      <w:r>
        <w:rPr>
          <w:color w:val="212121"/>
          <w:shd w:val="clear" w:color="auto" w:fill="FFFFFF"/>
        </w:rPr>
        <w:t xml:space="preserve"> both reversal of pre-existing albuminuria, as well as reduced conversion from normo- to micro- or macro-albuminuria. Moreover, SGLT2 inhibitors have been shown to slow the decline in eGFR </w:t>
      </w:r>
      <w:r>
        <w:rPr>
          <w:color w:val="212121"/>
          <w:shd w:val="clear" w:color="auto" w:fill="FFFFFF"/>
        </w:rPr>
        <w:lastRenderedPageBreak/>
        <w:t>and lead to a significant reduction in end stage renal disease (</w:t>
      </w:r>
      <w:r w:rsidR="00E80A66">
        <w:rPr>
          <w:color w:val="212121"/>
          <w:shd w:val="clear" w:color="auto" w:fill="FFFFFF"/>
        </w:rPr>
        <w:t xml:space="preserve">3, </w:t>
      </w:r>
      <w:r w:rsidR="00863200">
        <w:rPr>
          <w:color w:val="212121"/>
          <w:shd w:val="clear" w:color="auto" w:fill="FFFFFF"/>
        </w:rPr>
        <w:t xml:space="preserve">9, </w:t>
      </w:r>
      <w:r w:rsidR="00E80A66">
        <w:rPr>
          <w:color w:val="212121"/>
          <w:shd w:val="clear" w:color="auto" w:fill="FFFFFF"/>
        </w:rPr>
        <w:t xml:space="preserve">11, </w:t>
      </w:r>
      <w:r w:rsidR="001A6A46">
        <w:rPr>
          <w:color w:val="212121"/>
          <w:shd w:val="clear" w:color="auto" w:fill="FFFFFF"/>
        </w:rPr>
        <w:t>2</w:t>
      </w:r>
      <w:r w:rsidR="00542725">
        <w:rPr>
          <w:color w:val="212121"/>
          <w:shd w:val="clear" w:color="auto" w:fill="FFFFFF"/>
        </w:rPr>
        <w:t>4</w:t>
      </w:r>
      <w:r w:rsidR="001A6A46">
        <w:rPr>
          <w:color w:val="212121"/>
          <w:shd w:val="clear" w:color="auto" w:fill="FFFFFF"/>
        </w:rPr>
        <w:t>, 2</w:t>
      </w:r>
      <w:r w:rsidR="00542725">
        <w:rPr>
          <w:color w:val="212121"/>
          <w:shd w:val="clear" w:color="auto" w:fill="FFFFFF"/>
        </w:rPr>
        <w:t>5</w:t>
      </w:r>
      <w:r>
        <w:rPr>
          <w:color w:val="212121"/>
          <w:shd w:val="clear" w:color="auto" w:fill="FFFFFF"/>
        </w:rPr>
        <w:t xml:space="preserve">). These benefits have been observed in those with and without baseline </w:t>
      </w:r>
      <w:r w:rsidR="007E3840">
        <w:rPr>
          <w:color w:val="212121"/>
          <w:shd w:val="clear" w:color="auto" w:fill="FFFFFF"/>
        </w:rPr>
        <w:t>chronic kidney disease (CKD)</w:t>
      </w:r>
      <w:r>
        <w:rPr>
          <w:color w:val="212121"/>
          <w:shd w:val="clear" w:color="auto" w:fill="FFFFFF"/>
        </w:rPr>
        <w:t xml:space="preserve">, and regardless of established ASCVD (5). </w:t>
      </w:r>
    </w:p>
    <w:p w14:paraId="615137F1" w14:textId="55F9A2A7" w:rsidR="00C72A8D" w:rsidRDefault="00D45FD7" w:rsidP="00841AC5">
      <w:pPr>
        <w:spacing w:after="120" w:line="360" w:lineRule="auto"/>
        <w:rPr>
          <w:color w:val="212121"/>
          <w:shd w:val="clear" w:color="auto" w:fill="FFFFFF"/>
        </w:rPr>
      </w:pPr>
      <w:r>
        <w:rPr>
          <w:color w:val="212121"/>
          <w:shd w:val="clear" w:color="auto" w:fill="FFFFFF"/>
        </w:rPr>
        <w:t xml:space="preserve">Adverse renal outcomes have been markedly reduced with </w:t>
      </w:r>
      <w:r w:rsidR="00A85C24">
        <w:rPr>
          <w:color w:val="212121"/>
          <w:shd w:val="clear" w:color="auto" w:fill="FFFFFF"/>
        </w:rPr>
        <w:t>dapagliflozin</w:t>
      </w:r>
      <w:r>
        <w:rPr>
          <w:color w:val="212121"/>
          <w:shd w:val="clear" w:color="auto" w:fill="FFFFFF"/>
        </w:rPr>
        <w:t xml:space="preserve">. </w:t>
      </w:r>
      <w:r w:rsidR="00A85C24">
        <w:rPr>
          <w:color w:val="212121"/>
          <w:shd w:val="clear" w:color="auto" w:fill="FFFFFF"/>
        </w:rPr>
        <w:t>A</w:t>
      </w:r>
      <w:r w:rsidR="00807863">
        <w:rPr>
          <w:color w:val="212121"/>
          <w:shd w:val="clear" w:color="auto" w:fill="FFFFFF"/>
        </w:rPr>
        <w:t xml:space="preserve"> reduction in</w:t>
      </w:r>
      <w:r w:rsidR="00C72A8D">
        <w:rPr>
          <w:color w:val="212121"/>
          <w:shd w:val="clear" w:color="auto" w:fill="FFFFFF"/>
        </w:rPr>
        <w:t xml:space="preserve"> adverse renal </w:t>
      </w:r>
      <w:r w:rsidR="00841AC5">
        <w:rPr>
          <w:color w:val="212121"/>
          <w:shd w:val="clear" w:color="auto" w:fill="FFFFFF"/>
        </w:rPr>
        <w:t>outcome</w:t>
      </w:r>
      <w:r w:rsidR="00C72A8D">
        <w:rPr>
          <w:color w:val="212121"/>
          <w:shd w:val="clear" w:color="auto" w:fill="FFFFFF"/>
        </w:rPr>
        <w:t xml:space="preserve">s, as well as a marked </w:t>
      </w:r>
      <w:r w:rsidR="009D6366">
        <w:rPr>
          <w:color w:val="212121"/>
          <w:shd w:val="clear" w:color="auto" w:fill="FFFFFF"/>
        </w:rPr>
        <w:t>decline</w:t>
      </w:r>
      <w:r w:rsidR="00C72A8D">
        <w:rPr>
          <w:color w:val="212121"/>
          <w:shd w:val="clear" w:color="auto" w:fill="FFFFFF"/>
        </w:rPr>
        <w:t xml:space="preserve"> in albuminuria</w:t>
      </w:r>
      <w:r w:rsidR="009D6366">
        <w:rPr>
          <w:color w:val="212121"/>
          <w:shd w:val="clear" w:color="auto" w:fill="FFFFFF"/>
        </w:rPr>
        <w:t>, were observed</w:t>
      </w:r>
      <w:r w:rsidR="00C72A8D">
        <w:rPr>
          <w:color w:val="212121"/>
          <w:shd w:val="clear" w:color="auto" w:fill="FFFFFF"/>
        </w:rPr>
        <w:t xml:space="preserve"> irrespective of baseline cardiovascular or renal risk</w:t>
      </w:r>
      <w:r>
        <w:rPr>
          <w:color w:val="212121"/>
          <w:shd w:val="clear" w:color="auto" w:fill="FFFFFF"/>
        </w:rPr>
        <w:t>, and consistently across all risk categories in the MRF population</w:t>
      </w:r>
      <w:r w:rsidR="009D6366">
        <w:rPr>
          <w:color w:val="212121"/>
          <w:shd w:val="clear" w:color="auto" w:fill="FFFFFF"/>
        </w:rPr>
        <w:t xml:space="preserve">. These data </w:t>
      </w:r>
      <w:r w:rsidR="00C72A8D">
        <w:rPr>
          <w:color w:val="212121"/>
          <w:shd w:val="clear" w:color="auto" w:fill="FFFFFF"/>
        </w:rPr>
        <w:t xml:space="preserve">further </w:t>
      </w:r>
      <w:r w:rsidR="00807863">
        <w:rPr>
          <w:color w:val="212121"/>
          <w:shd w:val="clear" w:color="auto" w:fill="FFFFFF"/>
        </w:rPr>
        <w:t xml:space="preserve">support the role of </w:t>
      </w:r>
      <w:r w:rsidR="00CC25E1">
        <w:rPr>
          <w:color w:val="212121"/>
          <w:shd w:val="clear" w:color="auto" w:fill="FFFFFF"/>
        </w:rPr>
        <w:t>dapagliflozin in early, primary prevention, of adverse renal outcomes</w:t>
      </w:r>
      <w:r w:rsidR="007417B0">
        <w:rPr>
          <w:color w:val="212121"/>
          <w:shd w:val="clear" w:color="auto" w:fill="FFFFFF"/>
        </w:rPr>
        <w:t xml:space="preserve"> (1</w:t>
      </w:r>
      <w:r w:rsidR="00E80A66">
        <w:rPr>
          <w:color w:val="212121"/>
          <w:shd w:val="clear" w:color="auto" w:fill="FFFFFF"/>
        </w:rPr>
        <w:t>1</w:t>
      </w:r>
      <w:r w:rsidR="007417B0">
        <w:rPr>
          <w:color w:val="212121"/>
          <w:shd w:val="clear" w:color="auto" w:fill="FFFFFF"/>
        </w:rPr>
        <w:t>)</w:t>
      </w:r>
      <w:r w:rsidR="00C72A8D">
        <w:rPr>
          <w:color w:val="212121"/>
          <w:shd w:val="clear" w:color="auto" w:fill="FFFFFF"/>
        </w:rPr>
        <w:t>.</w:t>
      </w:r>
    </w:p>
    <w:p w14:paraId="03DBF325" w14:textId="74E3D2AE" w:rsidR="00807863" w:rsidRDefault="00807863" w:rsidP="00AB6B05">
      <w:pPr>
        <w:spacing w:after="120" w:line="360" w:lineRule="auto"/>
        <w:rPr>
          <w:color w:val="212121"/>
          <w:shd w:val="clear" w:color="auto" w:fill="FFFFFF"/>
        </w:rPr>
      </w:pPr>
      <w:r>
        <w:rPr>
          <w:color w:val="212121"/>
          <w:shd w:val="clear" w:color="auto" w:fill="FFFFFF"/>
        </w:rPr>
        <w:t xml:space="preserve">HHF was </w:t>
      </w:r>
      <w:r w:rsidR="00A85C24">
        <w:rPr>
          <w:color w:val="212121"/>
          <w:shd w:val="clear" w:color="auto" w:fill="FFFFFF"/>
        </w:rPr>
        <w:t xml:space="preserve">also </w:t>
      </w:r>
      <w:r>
        <w:rPr>
          <w:color w:val="212121"/>
          <w:shd w:val="clear" w:color="auto" w:fill="FFFFFF"/>
        </w:rPr>
        <w:t xml:space="preserve">significantly reduced with </w:t>
      </w:r>
      <w:r w:rsidR="00A85C24">
        <w:rPr>
          <w:color w:val="212121"/>
          <w:shd w:val="clear" w:color="auto" w:fill="FFFFFF"/>
        </w:rPr>
        <w:t>dapagliflozin</w:t>
      </w:r>
      <w:r>
        <w:rPr>
          <w:color w:val="212121"/>
          <w:shd w:val="clear" w:color="auto" w:fill="FFFFFF"/>
        </w:rPr>
        <w:t>, and in the present analys</w:t>
      </w:r>
      <w:r w:rsidR="00D21029">
        <w:rPr>
          <w:color w:val="212121"/>
          <w:shd w:val="clear" w:color="auto" w:fill="FFFFFF"/>
        </w:rPr>
        <w:t>e</w:t>
      </w:r>
      <w:r>
        <w:rPr>
          <w:color w:val="212121"/>
          <w:shd w:val="clear" w:color="auto" w:fill="FFFFFF"/>
        </w:rPr>
        <w:t xml:space="preserve">s – also in lower risk patients </w:t>
      </w:r>
      <w:r w:rsidR="00B93426">
        <w:rPr>
          <w:color w:val="212121"/>
          <w:shd w:val="clear" w:color="auto" w:fill="FFFFFF"/>
        </w:rPr>
        <w:t>with no heterogeneity based on</w:t>
      </w:r>
      <w:r>
        <w:rPr>
          <w:color w:val="212121"/>
          <w:shd w:val="clear" w:color="auto" w:fill="FFFFFF"/>
        </w:rPr>
        <w:t xml:space="preserve"> age, </w:t>
      </w:r>
      <w:r w:rsidR="00D21029">
        <w:rPr>
          <w:color w:val="212121"/>
          <w:shd w:val="clear" w:color="auto" w:fill="FFFFFF"/>
        </w:rPr>
        <w:t>sex</w:t>
      </w:r>
      <w:r w:rsidR="00A85C24">
        <w:rPr>
          <w:color w:val="212121"/>
          <w:shd w:val="clear" w:color="auto" w:fill="FFFFFF"/>
        </w:rPr>
        <w:t xml:space="preserve">, BMI, diabetes duration, HbA1c, </w:t>
      </w:r>
      <w:r w:rsidR="007E3840">
        <w:rPr>
          <w:color w:val="212121"/>
          <w:shd w:val="clear" w:color="auto" w:fill="FFFFFF"/>
        </w:rPr>
        <w:t>eGFR</w:t>
      </w:r>
      <w:r>
        <w:rPr>
          <w:color w:val="212121"/>
          <w:shd w:val="clear" w:color="auto" w:fill="FFFFFF"/>
        </w:rPr>
        <w:t xml:space="preserve">, history of heart failure or number of additional risk factors. </w:t>
      </w:r>
      <w:r w:rsidR="00A85C24">
        <w:rPr>
          <w:color w:val="212121"/>
          <w:shd w:val="clear" w:color="auto" w:fill="FFFFFF"/>
        </w:rPr>
        <w:t xml:space="preserve">The pivotal role of </w:t>
      </w:r>
      <w:r w:rsidR="007E3840">
        <w:rPr>
          <w:color w:val="212121"/>
          <w:shd w:val="clear" w:color="auto" w:fill="FFFFFF"/>
        </w:rPr>
        <w:t>heart failure</w:t>
      </w:r>
      <w:r>
        <w:rPr>
          <w:color w:val="212121"/>
          <w:shd w:val="clear" w:color="auto" w:fill="FFFFFF"/>
        </w:rPr>
        <w:t xml:space="preserve"> </w:t>
      </w:r>
      <w:r w:rsidR="00A85C24">
        <w:rPr>
          <w:color w:val="212121"/>
          <w:shd w:val="clear" w:color="auto" w:fill="FFFFFF"/>
        </w:rPr>
        <w:t>in the prognosis of patients with diabetes is becoming increasingly apparent</w:t>
      </w:r>
      <w:r>
        <w:rPr>
          <w:color w:val="212121"/>
          <w:shd w:val="clear" w:color="auto" w:fill="FFFFFF"/>
        </w:rPr>
        <w:t xml:space="preserve">, and the role of dapagliflozin in the primary prevention of HHF in patients with T2DM is </w:t>
      </w:r>
      <w:r w:rsidR="00CC25E1">
        <w:rPr>
          <w:color w:val="212121"/>
          <w:shd w:val="clear" w:color="auto" w:fill="FFFFFF"/>
        </w:rPr>
        <w:t>of utmost importance</w:t>
      </w:r>
      <w:r w:rsidR="007417B0">
        <w:rPr>
          <w:color w:val="212121"/>
          <w:shd w:val="clear" w:color="auto" w:fill="FFFFFF"/>
        </w:rPr>
        <w:t xml:space="preserve"> (2</w:t>
      </w:r>
      <w:r w:rsidR="00542725">
        <w:rPr>
          <w:color w:val="212121"/>
          <w:shd w:val="clear" w:color="auto" w:fill="FFFFFF"/>
        </w:rPr>
        <w:t>6</w:t>
      </w:r>
      <w:r w:rsidR="007D38B1">
        <w:rPr>
          <w:color w:val="212121"/>
          <w:shd w:val="clear" w:color="auto" w:fill="FFFFFF"/>
        </w:rPr>
        <w:t>, 27</w:t>
      </w:r>
      <w:r w:rsidR="007417B0">
        <w:rPr>
          <w:color w:val="212121"/>
          <w:shd w:val="clear" w:color="auto" w:fill="FFFFFF"/>
        </w:rPr>
        <w:t>)</w:t>
      </w:r>
      <w:r w:rsidR="00CC25E1">
        <w:rPr>
          <w:color w:val="212121"/>
          <w:shd w:val="clear" w:color="auto" w:fill="FFFFFF"/>
        </w:rPr>
        <w:t>.</w:t>
      </w:r>
    </w:p>
    <w:p w14:paraId="06B18402" w14:textId="272071B0" w:rsidR="006C6453" w:rsidRDefault="006C6453" w:rsidP="00DE44F2">
      <w:pPr>
        <w:spacing w:after="120" w:line="360" w:lineRule="auto"/>
        <w:rPr>
          <w:color w:val="212121"/>
          <w:shd w:val="clear" w:color="auto" w:fill="FFFFFF"/>
        </w:rPr>
      </w:pPr>
      <w:r>
        <w:rPr>
          <w:color w:val="212121"/>
          <w:shd w:val="clear" w:color="auto" w:fill="FFFFFF"/>
        </w:rPr>
        <w:t xml:space="preserve">The ADA 2020 </w:t>
      </w:r>
      <w:r w:rsidR="00D21029">
        <w:rPr>
          <w:color w:val="212121"/>
          <w:shd w:val="clear" w:color="auto" w:fill="FFFFFF"/>
        </w:rPr>
        <w:t xml:space="preserve">Standards of Medical Care </w:t>
      </w:r>
      <w:r>
        <w:rPr>
          <w:color w:val="212121"/>
          <w:shd w:val="clear" w:color="auto" w:fill="FFFFFF"/>
        </w:rPr>
        <w:t xml:space="preserve">propose prescribing SGLT2 inhibitors with evidence of reducing heart failure and / or CKD progression, independently of HbA1c levels, to patients in whom heart failure or CKD predominate (14).  Yet, these benefits were observed in our study irrespective of pre-existing heart failure or CKD, and consistently across risk categories – </w:t>
      </w:r>
      <w:r w:rsidR="00D56638">
        <w:rPr>
          <w:color w:val="212121"/>
          <w:shd w:val="clear" w:color="auto" w:fill="FFFFFF"/>
        </w:rPr>
        <w:t>suggesting</w:t>
      </w:r>
      <w:r>
        <w:rPr>
          <w:color w:val="212121"/>
          <w:shd w:val="clear" w:color="auto" w:fill="FFFFFF"/>
        </w:rPr>
        <w:t xml:space="preserve"> these recommendations may be expanded to a broader population of T2D.</w:t>
      </w:r>
    </w:p>
    <w:p w14:paraId="2C9EC798" w14:textId="4543C8FD" w:rsidR="006C6453" w:rsidRDefault="006C6453" w:rsidP="00DE44F2">
      <w:pPr>
        <w:spacing w:after="120" w:line="360" w:lineRule="auto"/>
        <w:rPr>
          <w:color w:val="212121"/>
          <w:shd w:val="clear" w:color="auto" w:fill="FFFFFF"/>
        </w:rPr>
      </w:pPr>
      <w:r>
        <w:rPr>
          <w:color w:val="212121"/>
          <w:shd w:val="clear" w:color="auto" w:fill="FFFFFF"/>
        </w:rPr>
        <w:t>T</w:t>
      </w:r>
      <w:r w:rsidR="006A48E9">
        <w:rPr>
          <w:color w:val="212121"/>
          <w:shd w:val="clear" w:color="auto" w:fill="FFFFFF"/>
        </w:rPr>
        <w:t xml:space="preserve">he </w:t>
      </w:r>
      <w:r w:rsidR="00715DB0">
        <w:rPr>
          <w:color w:val="212121"/>
          <w:shd w:val="clear" w:color="auto" w:fill="FFFFFF"/>
        </w:rPr>
        <w:t xml:space="preserve">ESC </w:t>
      </w:r>
      <w:r w:rsidR="006A48E9">
        <w:rPr>
          <w:color w:val="212121"/>
          <w:shd w:val="clear" w:color="auto" w:fill="FFFFFF"/>
        </w:rPr>
        <w:t xml:space="preserve">2019 </w:t>
      </w:r>
      <w:r w:rsidR="00715DB0">
        <w:rPr>
          <w:color w:val="212121"/>
          <w:shd w:val="clear" w:color="auto" w:fill="FFFFFF"/>
        </w:rPr>
        <w:t xml:space="preserve">guidelines propose prescribing SGLT2 inhibitors to patients </w:t>
      </w:r>
      <w:r w:rsidR="00715DB0" w:rsidRPr="00715DB0">
        <w:rPr>
          <w:color w:val="212121"/>
          <w:shd w:val="clear" w:color="auto" w:fill="FFFFFF"/>
        </w:rPr>
        <w:t xml:space="preserve">with T2D and </w:t>
      </w:r>
      <w:r w:rsidR="00715DB0">
        <w:rPr>
          <w:color w:val="212121"/>
          <w:shd w:val="clear" w:color="auto" w:fill="FFFFFF"/>
        </w:rPr>
        <w:t>cardiovascular disease</w:t>
      </w:r>
      <w:r w:rsidR="00715DB0" w:rsidRPr="00715DB0">
        <w:rPr>
          <w:color w:val="212121"/>
          <w:shd w:val="clear" w:color="auto" w:fill="FFFFFF"/>
        </w:rPr>
        <w:t xml:space="preserve">, or at </w:t>
      </w:r>
      <w:r w:rsidR="00CC25E1">
        <w:rPr>
          <w:color w:val="212121"/>
          <w:shd w:val="clear" w:color="auto" w:fill="FFFFFF"/>
        </w:rPr>
        <w:t>high or very high</w:t>
      </w:r>
      <w:r w:rsidR="00715DB0" w:rsidRPr="00715DB0">
        <w:rPr>
          <w:color w:val="212121"/>
          <w:shd w:val="clear" w:color="auto" w:fill="FFFFFF"/>
        </w:rPr>
        <w:t xml:space="preserve"> </w:t>
      </w:r>
      <w:r w:rsidR="00715DB0">
        <w:rPr>
          <w:color w:val="212121"/>
          <w:shd w:val="clear" w:color="auto" w:fill="FFFFFF"/>
        </w:rPr>
        <w:t>cardiovascular</w:t>
      </w:r>
      <w:r w:rsidR="00715DB0" w:rsidRPr="00715DB0">
        <w:rPr>
          <w:color w:val="212121"/>
          <w:shd w:val="clear" w:color="auto" w:fill="FFFFFF"/>
        </w:rPr>
        <w:t xml:space="preserve"> risk</w:t>
      </w:r>
      <w:r w:rsidR="00F7200A">
        <w:rPr>
          <w:color w:val="212121"/>
          <w:shd w:val="clear" w:color="auto" w:fill="FFFFFF"/>
        </w:rPr>
        <w:t xml:space="preserve"> (13)</w:t>
      </w:r>
      <w:r w:rsidR="00715DB0">
        <w:rPr>
          <w:color w:val="212121"/>
          <w:shd w:val="clear" w:color="auto" w:fill="FFFFFF"/>
        </w:rPr>
        <w:t xml:space="preserve">. </w:t>
      </w:r>
      <w:r>
        <w:rPr>
          <w:color w:val="212121"/>
          <w:shd w:val="clear" w:color="auto" w:fill="FFFFFF"/>
        </w:rPr>
        <w:t>Additionally, t</w:t>
      </w:r>
      <w:r w:rsidR="00EE48CC">
        <w:rPr>
          <w:color w:val="212121"/>
          <w:shd w:val="clear" w:color="auto" w:fill="FFFFFF"/>
        </w:rPr>
        <w:t xml:space="preserve">he </w:t>
      </w:r>
      <w:r w:rsidR="00EE48CC">
        <w:t>2019 American College of Cardiology/American Heart Association Guideline on the primary prevention of cardiovascular disease</w:t>
      </w:r>
      <w:r w:rsidR="00EE48CC">
        <w:rPr>
          <w:color w:val="212121"/>
          <w:shd w:val="clear" w:color="auto" w:fill="FFFFFF"/>
        </w:rPr>
        <w:t xml:space="preserve"> propose initiating SGLT2 inhibitors or </w:t>
      </w:r>
      <w:r w:rsidR="00951AF0">
        <w:rPr>
          <w:color w:val="212121"/>
          <w:shd w:val="clear" w:color="auto" w:fill="FFFFFF"/>
        </w:rPr>
        <w:t>glucagon like peptide-1</w:t>
      </w:r>
      <w:r w:rsidR="00EE48CC">
        <w:rPr>
          <w:color w:val="212121"/>
          <w:shd w:val="clear" w:color="auto" w:fill="FFFFFF"/>
        </w:rPr>
        <w:t xml:space="preserve"> receptor agonists </w:t>
      </w:r>
      <w:r w:rsidR="00951AF0">
        <w:rPr>
          <w:color w:val="212121"/>
          <w:shd w:val="clear" w:color="auto" w:fill="FFFFFF"/>
        </w:rPr>
        <w:t xml:space="preserve">(GLP-1 RA) </w:t>
      </w:r>
      <w:r w:rsidR="00EE48CC">
        <w:rPr>
          <w:color w:val="212121"/>
          <w:shd w:val="clear" w:color="auto" w:fill="FFFFFF"/>
        </w:rPr>
        <w:t>in patients with T2D and additional cardiovascular risk factors (15). This definition is</w:t>
      </w:r>
      <w:r w:rsidR="00CC25E1">
        <w:rPr>
          <w:color w:val="212121"/>
          <w:shd w:val="clear" w:color="auto" w:fill="FFFFFF"/>
        </w:rPr>
        <w:t xml:space="preserve"> </w:t>
      </w:r>
      <w:r w:rsidR="00D45FD7">
        <w:rPr>
          <w:color w:val="212121"/>
          <w:shd w:val="clear" w:color="auto" w:fill="FFFFFF"/>
        </w:rPr>
        <w:t>reflective of the broad inclusion criteria of the DECLARE-TIMI 58 study.</w:t>
      </w:r>
      <w:r>
        <w:rPr>
          <w:color w:val="212121"/>
          <w:shd w:val="clear" w:color="auto" w:fill="FFFFFF"/>
        </w:rPr>
        <w:t xml:space="preserve"> </w:t>
      </w:r>
    </w:p>
    <w:p w14:paraId="5AD5D44B" w14:textId="495D0BB4" w:rsidR="00A049E2" w:rsidRDefault="006C6453" w:rsidP="007D38B1">
      <w:pPr>
        <w:spacing w:after="120" w:line="360" w:lineRule="auto"/>
        <w:rPr>
          <w:color w:val="212121"/>
          <w:shd w:val="clear" w:color="auto" w:fill="FFFFFF"/>
        </w:rPr>
      </w:pPr>
      <w:r>
        <w:rPr>
          <w:color w:val="212121"/>
          <w:shd w:val="clear" w:color="auto" w:fill="FFFFFF"/>
        </w:rPr>
        <w:t xml:space="preserve">A meta-analysis of SGLT2 inhibitors CVOTs – showed no evidence of heterogeneity on the effects on MACE in patients with and without ASCVD, supporting the use of SGLT-2 inhibitors in primary prevention populations as well </w:t>
      </w:r>
      <w:r w:rsidRPr="00542725">
        <w:rPr>
          <w:color w:val="212121"/>
          <w:shd w:val="clear" w:color="auto" w:fill="FFFFFF"/>
        </w:rPr>
        <w:t>(8).</w:t>
      </w:r>
      <w:r>
        <w:rPr>
          <w:color w:val="212121"/>
          <w:shd w:val="clear" w:color="auto" w:fill="FFFFFF"/>
        </w:rPr>
        <w:t xml:space="preserve"> Notably, MACE reduction was noted for GLP-1 RA as well, with no heterogeneity in primary vs. secondary </w:t>
      </w:r>
      <w:r w:rsidR="00D148E4">
        <w:rPr>
          <w:color w:val="212121"/>
          <w:shd w:val="clear" w:color="auto" w:fill="FFFFFF"/>
        </w:rPr>
        <w:t>prevention</w:t>
      </w:r>
      <w:r>
        <w:rPr>
          <w:color w:val="212121"/>
          <w:shd w:val="clear" w:color="auto" w:fill="FFFFFF"/>
        </w:rPr>
        <w:t xml:space="preserve"> populations</w:t>
      </w:r>
      <w:r w:rsidR="00250734">
        <w:rPr>
          <w:color w:val="212121"/>
          <w:shd w:val="clear" w:color="auto" w:fill="FFFFFF"/>
        </w:rPr>
        <w:t xml:space="preserve"> (2</w:t>
      </w:r>
      <w:r w:rsidR="00542725">
        <w:rPr>
          <w:color w:val="212121"/>
          <w:shd w:val="clear" w:color="auto" w:fill="FFFFFF"/>
        </w:rPr>
        <w:t>8</w:t>
      </w:r>
      <w:r w:rsidR="007D38B1">
        <w:rPr>
          <w:color w:val="212121"/>
          <w:shd w:val="clear" w:color="auto" w:fill="FFFFFF"/>
        </w:rPr>
        <w:t>, 29</w:t>
      </w:r>
      <w:r w:rsidR="00250734">
        <w:rPr>
          <w:color w:val="212121"/>
          <w:shd w:val="clear" w:color="auto" w:fill="FFFFFF"/>
        </w:rPr>
        <w:t>)</w:t>
      </w:r>
      <w:r>
        <w:rPr>
          <w:color w:val="212121"/>
          <w:shd w:val="clear" w:color="auto" w:fill="FFFFFF"/>
        </w:rPr>
        <w:t>. These results were mainly driven by data from the REWIND CVOT of dulaglutide, which included a large primary prevention population</w:t>
      </w:r>
      <w:r w:rsidR="00250734">
        <w:rPr>
          <w:color w:val="212121"/>
          <w:shd w:val="clear" w:color="auto" w:fill="FFFFFF"/>
        </w:rPr>
        <w:t xml:space="preserve"> (</w:t>
      </w:r>
      <w:r w:rsidR="007D38B1">
        <w:rPr>
          <w:color w:val="212121"/>
          <w:shd w:val="clear" w:color="auto" w:fill="FFFFFF"/>
        </w:rPr>
        <w:t>30</w:t>
      </w:r>
      <w:r w:rsidR="00250734">
        <w:rPr>
          <w:color w:val="212121"/>
          <w:shd w:val="clear" w:color="auto" w:fill="FFFFFF"/>
        </w:rPr>
        <w:t>)</w:t>
      </w:r>
      <w:r>
        <w:rPr>
          <w:color w:val="212121"/>
          <w:shd w:val="clear" w:color="auto" w:fill="FFFFFF"/>
        </w:rPr>
        <w:t xml:space="preserve">. </w:t>
      </w:r>
      <w:r w:rsidR="009D6366">
        <w:rPr>
          <w:color w:val="212121"/>
          <w:shd w:val="clear" w:color="auto" w:fill="FFFFFF"/>
        </w:rPr>
        <w:t>However</w:t>
      </w:r>
      <w:r w:rsidR="00A049E2">
        <w:rPr>
          <w:color w:val="212121"/>
          <w:shd w:val="clear" w:color="auto" w:fill="FFFFFF"/>
        </w:rPr>
        <w:t xml:space="preserve">, </w:t>
      </w:r>
      <w:r w:rsidR="00E15F23">
        <w:rPr>
          <w:color w:val="212121"/>
          <w:shd w:val="clear" w:color="auto" w:fill="FFFFFF"/>
        </w:rPr>
        <w:t>though relative risk reduction was consistent</w:t>
      </w:r>
      <w:r w:rsidR="00951AF0">
        <w:rPr>
          <w:color w:val="212121"/>
          <w:shd w:val="clear" w:color="auto" w:fill="FFFFFF"/>
        </w:rPr>
        <w:t xml:space="preserve"> in both classes in primary and secondary prevention populations</w:t>
      </w:r>
      <w:r w:rsidR="009D6366">
        <w:rPr>
          <w:color w:val="212121"/>
          <w:shd w:val="clear" w:color="auto" w:fill="FFFFFF"/>
        </w:rPr>
        <w:t xml:space="preserve">, </w:t>
      </w:r>
      <w:r w:rsidR="00867FDB">
        <w:rPr>
          <w:color w:val="212121"/>
          <w:shd w:val="clear" w:color="auto" w:fill="FFFFFF"/>
        </w:rPr>
        <w:t xml:space="preserve">absolute risk reduction </w:t>
      </w:r>
      <w:r w:rsidR="00E15F23">
        <w:rPr>
          <w:color w:val="212121"/>
          <w:shd w:val="clear" w:color="auto" w:fill="FFFFFF"/>
        </w:rPr>
        <w:t>was</w:t>
      </w:r>
      <w:r w:rsidR="00867FDB">
        <w:rPr>
          <w:color w:val="212121"/>
          <w:shd w:val="clear" w:color="auto" w:fill="FFFFFF"/>
        </w:rPr>
        <w:t xml:space="preserve"> smaller </w:t>
      </w:r>
      <w:r w:rsidR="00A85C24">
        <w:rPr>
          <w:color w:val="212121"/>
          <w:shd w:val="clear" w:color="auto" w:fill="FFFFFF"/>
        </w:rPr>
        <w:t>in the lower risk populations</w:t>
      </w:r>
      <w:r w:rsidR="00E15F23">
        <w:rPr>
          <w:color w:val="212121"/>
          <w:shd w:val="clear" w:color="auto" w:fill="FFFFFF"/>
        </w:rPr>
        <w:t>, and individualized decision making is recommended</w:t>
      </w:r>
      <w:r w:rsidR="00A049E2">
        <w:rPr>
          <w:color w:val="212121"/>
          <w:shd w:val="clear" w:color="auto" w:fill="FFFFFF"/>
        </w:rPr>
        <w:t>.</w:t>
      </w:r>
    </w:p>
    <w:p w14:paraId="583E3994" w14:textId="3AC36E3E" w:rsidR="00AE17BD" w:rsidRDefault="00AE17BD" w:rsidP="007D38B1">
      <w:pPr>
        <w:spacing w:after="120" w:line="360" w:lineRule="auto"/>
        <w:rPr>
          <w:color w:val="212121"/>
          <w:shd w:val="clear" w:color="auto" w:fill="FFFFFF"/>
        </w:rPr>
      </w:pPr>
      <w:bookmarkStart w:id="0" w:name="_GoBack"/>
      <w:bookmarkEnd w:id="0"/>
      <w:r>
        <w:rPr>
          <w:color w:val="212121"/>
          <w:shd w:val="clear" w:color="auto" w:fill="FFFFFF"/>
        </w:rPr>
        <w:lastRenderedPageBreak/>
        <w:t>Safety is an important consideration for a drug intended for use early in the disease</w:t>
      </w:r>
      <w:r w:rsidR="007E3840">
        <w:rPr>
          <w:color w:val="212121"/>
          <w:shd w:val="clear" w:color="auto" w:fill="FFFFFF"/>
        </w:rPr>
        <w:t>,</w:t>
      </w:r>
      <w:r>
        <w:rPr>
          <w:color w:val="212121"/>
          <w:shd w:val="clear" w:color="auto" w:fill="FFFFFF"/>
        </w:rPr>
        <w:t xml:space="preserve"> as </w:t>
      </w:r>
      <w:r w:rsidR="008B680C">
        <w:rPr>
          <w:color w:val="212121"/>
          <w:shd w:val="clear" w:color="auto" w:fill="FFFFFF"/>
        </w:rPr>
        <w:t>long-term exposure is expected</w:t>
      </w:r>
      <w:r>
        <w:rPr>
          <w:color w:val="212121"/>
          <w:shd w:val="clear" w:color="auto" w:fill="FFFFFF"/>
        </w:rPr>
        <w:t xml:space="preserve">. In that respect, the safety profile of dapagliflozin, which had been extensively reviewed in </w:t>
      </w:r>
      <w:r w:rsidR="00CC25E1">
        <w:rPr>
          <w:color w:val="212121"/>
          <w:shd w:val="clear" w:color="auto" w:fill="FFFFFF"/>
        </w:rPr>
        <w:t>our</w:t>
      </w:r>
      <w:r>
        <w:rPr>
          <w:color w:val="212121"/>
          <w:shd w:val="clear" w:color="auto" w:fill="FFFFFF"/>
        </w:rPr>
        <w:t xml:space="preserve"> previous analysis, was consistently observed in the MRF population, providing further reassurance to the early use of this agent</w:t>
      </w:r>
      <w:r w:rsidR="007417B0">
        <w:rPr>
          <w:color w:val="212121"/>
          <w:shd w:val="clear" w:color="auto" w:fill="FFFFFF"/>
        </w:rPr>
        <w:t xml:space="preserve"> (</w:t>
      </w:r>
      <w:r w:rsidR="007D38B1">
        <w:rPr>
          <w:color w:val="212121"/>
          <w:shd w:val="clear" w:color="auto" w:fill="FFFFFF"/>
        </w:rPr>
        <w:t>31</w:t>
      </w:r>
      <w:r w:rsidR="007417B0">
        <w:rPr>
          <w:color w:val="212121"/>
          <w:shd w:val="clear" w:color="auto" w:fill="FFFFFF"/>
        </w:rPr>
        <w:t>)</w:t>
      </w:r>
      <w:r>
        <w:rPr>
          <w:color w:val="212121"/>
          <w:shd w:val="clear" w:color="auto" w:fill="FFFFFF"/>
        </w:rPr>
        <w:t xml:space="preserve">. </w:t>
      </w:r>
    </w:p>
    <w:p w14:paraId="1E893ADC" w14:textId="65676F45" w:rsidR="00F7200A" w:rsidRDefault="00581244" w:rsidP="0027755B">
      <w:pPr>
        <w:spacing w:after="120" w:line="360" w:lineRule="auto"/>
        <w:rPr>
          <w:color w:val="212121"/>
          <w:shd w:val="clear" w:color="auto" w:fill="FFFFFF"/>
        </w:rPr>
      </w:pPr>
      <w:r>
        <w:rPr>
          <w:color w:val="212121"/>
          <w:shd w:val="clear" w:color="auto" w:fill="FFFFFF"/>
        </w:rPr>
        <w:t>R</w:t>
      </w:r>
      <w:r w:rsidR="00F7200A">
        <w:rPr>
          <w:color w:val="212121"/>
          <w:shd w:val="clear" w:color="auto" w:fill="FFFFFF"/>
        </w:rPr>
        <w:t>ecent data ha</w:t>
      </w:r>
      <w:r w:rsidR="00AB317D">
        <w:rPr>
          <w:color w:val="212121"/>
          <w:shd w:val="clear" w:color="auto" w:fill="FFFFFF"/>
        </w:rPr>
        <w:t>ve</w:t>
      </w:r>
      <w:r w:rsidR="00F7200A">
        <w:rPr>
          <w:color w:val="212121"/>
          <w:shd w:val="clear" w:color="auto" w:fill="FFFFFF"/>
        </w:rPr>
        <w:t xml:space="preserve"> </w:t>
      </w:r>
      <w:r>
        <w:rPr>
          <w:color w:val="212121"/>
          <w:shd w:val="clear" w:color="auto" w:fill="FFFFFF"/>
        </w:rPr>
        <w:t xml:space="preserve">expanded the role of dapagliflozin from the prevention of HHF and adverse renal outcomes to the treatment of these conditions once established. The DAPA-HF </w:t>
      </w:r>
      <w:r w:rsidR="00AB1CEA">
        <w:rPr>
          <w:color w:val="212121"/>
          <w:shd w:val="clear" w:color="auto" w:fill="FFFFFF"/>
        </w:rPr>
        <w:t xml:space="preserve">trial </w:t>
      </w:r>
      <w:r>
        <w:rPr>
          <w:color w:val="212121"/>
          <w:shd w:val="clear" w:color="auto" w:fill="FFFFFF"/>
        </w:rPr>
        <w:t xml:space="preserve">demonstrated a reduction in </w:t>
      </w:r>
      <w:r w:rsidR="00F7200A">
        <w:rPr>
          <w:color w:val="212121"/>
          <w:shd w:val="clear" w:color="auto" w:fill="FFFFFF"/>
        </w:rPr>
        <w:t xml:space="preserve">HHF in patients with heart failure </w:t>
      </w:r>
      <w:r w:rsidR="0027755B">
        <w:rPr>
          <w:color w:val="212121"/>
          <w:shd w:val="clear" w:color="auto" w:fill="FFFFFF"/>
        </w:rPr>
        <w:t>and reduced ejection fracture wi</w:t>
      </w:r>
      <w:r w:rsidR="00F7200A">
        <w:rPr>
          <w:color w:val="212121"/>
          <w:shd w:val="clear" w:color="auto" w:fill="FFFFFF"/>
        </w:rPr>
        <w:t>th or without diabetes (</w:t>
      </w:r>
      <w:r w:rsidR="007D38B1">
        <w:rPr>
          <w:color w:val="212121"/>
          <w:shd w:val="clear" w:color="auto" w:fill="FFFFFF"/>
        </w:rPr>
        <w:t>32</w:t>
      </w:r>
      <w:r w:rsidR="00F7200A">
        <w:rPr>
          <w:color w:val="212121"/>
          <w:shd w:val="clear" w:color="auto" w:fill="FFFFFF"/>
        </w:rPr>
        <w:t xml:space="preserve">). </w:t>
      </w:r>
      <w:r w:rsidR="0027755B">
        <w:rPr>
          <w:color w:val="212121"/>
          <w:shd w:val="clear" w:color="auto" w:fill="FFFFFF"/>
        </w:rPr>
        <w:t>Notably, a reduction in HHF in patients with heart failure and reduced ejection fracture was also observed with empagliflozin, and was likewise unrelated to baseline diabetes status (33). Moreover, a reduction in adverse renal outcomes with dapagliflozin in patients with established chronic kidney disease has been shown in the DAPA-CKD study, and the benefit was observed irrespective of pre-existing diabetes (34).</w:t>
      </w:r>
      <w:r w:rsidR="00542725">
        <w:rPr>
          <w:color w:val="212121"/>
          <w:shd w:val="clear" w:color="auto" w:fill="FFFFFF"/>
        </w:rPr>
        <w:t xml:space="preserve">  </w:t>
      </w:r>
    </w:p>
    <w:p w14:paraId="54C23260" w14:textId="7C51E7CA" w:rsidR="00E81649" w:rsidRPr="006816A2" w:rsidRDefault="00867FDB" w:rsidP="006816A2">
      <w:pPr>
        <w:spacing w:after="120" w:line="360" w:lineRule="auto"/>
        <w:rPr>
          <w:color w:val="212121"/>
          <w:shd w:val="clear" w:color="auto" w:fill="FFFFFF"/>
        </w:rPr>
      </w:pPr>
      <w:r>
        <w:rPr>
          <w:color w:val="212121"/>
          <w:shd w:val="clear" w:color="auto" w:fill="FFFFFF"/>
        </w:rPr>
        <w:t xml:space="preserve">In conclusion, </w:t>
      </w:r>
      <w:r w:rsidR="006160C9">
        <w:rPr>
          <w:color w:val="212121"/>
          <w:shd w:val="clear" w:color="auto" w:fill="FFFFFF"/>
        </w:rPr>
        <w:t xml:space="preserve">extensive </w:t>
      </w:r>
      <w:r w:rsidR="00924BFA">
        <w:rPr>
          <w:color w:val="212121"/>
          <w:shd w:val="clear" w:color="auto" w:fill="FFFFFF"/>
        </w:rPr>
        <w:t xml:space="preserve">early clinical </w:t>
      </w:r>
      <w:r w:rsidR="006160C9">
        <w:rPr>
          <w:color w:val="212121"/>
          <w:shd w:val="clear" w:color="auto" w:fill="FFFFFF"/>
        </w:rPr>
        <w:t>data show the beneficial glucose</w:t>
      </w:r>
      <w:r w:rsidR="0027755B">
        <w:rPr>
          <w:color w:val="212121"/>
          <w:shd w:val="clear" w:color="auto" w:fill="FFFFFF"/>
        </w:rPr>
        <w:t>, weight and blood pressure</w:t>
      </w:r>
      <w:r w:rsidR="006160C9">
        <w:rPr>
          <w:color w:val="212121"/>
          <w:shd w:val="clear" w:color="auto" w:fill="FFFFFF"/>
        </w:rPr>
        <w:t xml:space="preserve"> lowering effect</w:t>
      </w:r>
      <w:r w:rsidR="0027755B">
        <w:rPr>
          <w:color w:val="212121"/>
          <w:shd w:val="clear" w:color="auto" w:fill="FFFFFF"/>
        </w:rPr>
        <w:t>s</w:t>
      </w:r>
      <w:r w:rsidR="006160C9">
        <w:rPr>
          <w:color w:val="212121"/>
          <w:shd w:val="clear" w:color="auto" w:fill="FFFFFF"/>
        </w:rPr>
        <w:t xml:space="preserve"> of dapa</w:t>
      </w:r>
      <w:r w:rsidR="00516BB0">
        <w:rPr>
          <w:color w:val="212121"/>
          <w:shd w:val="clear" w:color="auto" w:fill="FFFFFF"/>
        </w:rPr>
        <w:t>gliflozin</w:t>
      </w:r>
      <w:r w:rsidR="006160C9">
        <w:rPr>
          <w:color w:val="212121"/>
          <w:shd w:val="clear" w:color="auto" w:fill="FFFFFF"/>
        </w:rPr>
        <w:t xml:space="preserve"> in patients at all stages of T2D. </w:t>
      </w:r>
      <w:r w:rsidR="00516BB0">
        <w:rPr>
          <w:color w:val="212121"/>
          <w:shd w:val="clear" w:color="auto" w:fill="FFFFFF"/>
        </w:rPr>
        <w:t xml:space="preserve">The current analyses highlight the benefits of </w:t>
      </w:r>
      <w:r>
        <w:rPr>
          <w:color w:val="212121"/>
          <w:shd w:val="clear" w:color="auto" w:fill="FFFFFF"/>
        </w:rPr>
        <w:t>dapagliflozin in</w:t>
      </w:r>
      <w:r w:rsidR="00516BB0">
        <w:rPr>
          <w:color w:val="212121"/>
          <w:shd w:val="clear" w:color="auto" w:fill="FFFFFF"/>
        </w:rPr>
        <w:t xml:space="preserve"> the prevention of HHF and adverse renal outcomes across a</w:t>
      </w:r>
      <w:r>
        <w:rPr>
          <w:color w:val="212121"/>
          <w:shd w:val="clear" w:color="auto" w:fill="FFFFFF"/>
        </w:rPr>
        <w:t xml:space="preserve"> </w:t>
      </w:r>
      <w:r w:rsidR="00516BB0">
        <w:rPr>
          <w:color w:val="212121"/>
          <w:shd w:val="clear" w:color="auto" w:fill="FFFFFF"/>
        </w:rPr>
        <w:t xml:space="preserve">broad risk continuum of </w:t>
      </w:r>
      <w:r>
        <w:rPr>
          <w:color w:val="212121"/>
          <w:shd w:val="clear" w:color="auto" w:fill="FFFFFF"/>
        </w:rPr>
        <w:t xml:space="preserve">a primary prevention </w:t>
      </w:r>
      <w:r w:rsidR="00516BB0">
        <w:rPr>
          <w:color w:val="212121"/>
          <w:shd w:val="clear" w:color="auto" w:fill="FFFFFF"/>
        </w:rPr>
        <w:t>population</w:t>
      </w:r>
      <w:r w:rsidR="00D47A6C">
        <w:rPr>
          <w:color w:val="212121"/>
          <w:shd w:val="clear" w:color="auto" w:fill="FFFFFF"/>
        </w:rPr>
        <w:t xml:space="preserve"> with T2D</w:t>
      </w:r>
      <w:r w:rsidR="00516BB0">
        <w:rPr>
          <w:color w:val="212121"/>
          <w:shd w:val="clear" w:color="auto" w:fill="FFFFFF"/>
        </w:rPr>
        <w:t xml:space="preserve">. </w:t>
      </w:r>
      <w:r>
        <w:rPr>
          <w:color w:val="212121"/>
          <w:shd w:val="clear" w:color="auto" w:fill="FFFFFF"/>
        </w:rPr>
        <w:t xml:space="preserve">Expected outcomes </w:t>
      </w:r>
      <w:r w:rsidR="006160C9">
        <w:rPr>
          <w:color w:val="212121"/>
          <w:shd w:val="clear" w:color="auto" w:fill="FFFFFF"/>
        </w:rPr>
        <w:t xml:space="preserve">of dapagliflozin treatment </w:t>
      </w:r>
      <w:r>
        <w:rPr>
          <w:color w:val="212121"/>
          <w:shd w:val="clear" w:color="auto" w:fill="FFFFFF"/>
        </w:rPr>
        <w:t xml:space="preserve">include – long term metabolic benefits (glucose, weight, blood pressure and albuminuria) as well as primary prevention of HHF and </w:t>
      </w:r>
      <w:r w:rsidR="00F7200A">
        <w:rPr>
          <w:color w:val="212121"/>
          <w:shd w:val="clear" w:color="auto" w:fill="FFFFFF"/>
        </w:rPr>
        <w:t>adverse renal outcomes</w:t>
      </w:r>
      <w:r>
        <w:rPr>
          <w:color w:val="212121"/>
          <w:shd w:val="clear" w:color="auto" w:fill="FFFFFF"/>
        </w:rPr>
        <w:t xml:space="preserve">. Moreover, </w:t>
      </w:r>
      <w:r w:rsidR="0001235D">
        <w:rPr>
          <w:color w:val="212121"/>
          <w:shd w:val="clear" w:color="auto" w:fill="FFFFFF"/>
        </w:rPr>
        <w:t>dapagliflozin’s</w:t>
      </w:r>
      <w:r>
        <w:rPr>
          <w:color w:val="212121"/>
          <w:shd w:val="clear" w:color="auto" w:fill="FFFFFF"/>
        </w:rPr>
        <w:t xml:space="preserve"> overall favorable safety profile places </w:t>
      </w:r>
      <w:r w:rsidR="0001235D">
        <w:rPr>
          <w:color w:val="212121"/>
          <w:shd w:val="clear" w:color="auto" w:fill="FFFFFF"/>
        </w:rPr>
        <w:t>it</w:t>
      </w:r>
      <w:r w:rsidR="00B93426">
        <w:rPr>
          <w:color w:val="212121"/>
          <w:shd w:val="clear" w:color="auto" w:fill="FFFFFF"/>
        </w:rPr>
        <w:t xml:space="preserve"> as an appropriate </w:t>
      </w:r>
      <w:r w:rsidR="008579AC">
        <w:rPr>
          <w:color w:val="212121"/>
          <w:shd w:val="clear" w:color="auto" w:fill="FFFFFF"/>
        </w:rPr>
        <w:t>option</w:t>
      </w:r>
      <w:r>
        <w:rPr>
          <w:color w:val="212121"/>
          <w:shd w:val="clear" w:color="auto" w:fill="FFFFFF"/>
        </w:rPr>
        <w:t xml:space="preserve"> </w:t>
      </w:r>
      <w:r w:rsidR="00D45FD7">
        <w:rPr>
          <w:color w:val="212121"/>
          <w:shd w:val="clear" w:color="auto" w:fill="FFFFFF"/>
        </w:rPr>
        <w:t>early in the disease fo</w:t>
      </w:r>
      <w:r w:rsidR="00516BB0">
        <w:rPr>
          <w:color w:val="212121"/>
          <w:shd w:val="clear" w:color="auto" w:fill="FFFFFF"/>
        </w:rPr>
        <w:t>r</w:t>
      </w:r>
      <w:r>
        <w:rPr>
          <w:color w:val="212121"/>
          <w:shd w:val="clear" w:color="auto" w:fill="FFFFFF"/>
        </w:rPr>
        <w:t xml:space="preserve"> patients with T2D.</w:t>
      </w:r>
    </w:p>
    <w:p w14:paraId="42CB4AB9" w14:textId="77777777" w:rsidR="00470018" w:rsidRDefault="00470018">
      <w:pPr>
        <w:spacing w:line="259" w:lineRule="auto"/>
        <w:rPr>
          <w:rFonts w:cstheme="minorHAnsi"/>
          <w:b/>
          <w:bCs/>
          <w:caps/>
        </w:rPr>
      </w:pPr>
      <w:r>
        <w:rPr>
          <w:rFonts w:cstheme="minorHAnsi"/>
          <w:b/>
          <w:bCs/>
          <w:caps/>
        </w:rPr>
        <w:br w:type="page"/>
      </w:r>
    </w:p>
    <w:p w14:paraId="6059E810" w14:textId="77777777" w:rsidR="00470018" w:rsidRPr="00846248" w:rsidRDefault="00470018" w:rsidP="00470018">
      <w:pPr>
        <w:autoSpaceDE w:val="0"/>
        <w:autoSpaceDN w:val="0"/>
        <w:adjustRightInd w:val="0"/>
        <w:spacing w:before="100" w:beforeAutospacing="1" w:after="120" w:line="360" w:lineRule="auto"/>
        <w:rPr>
          <w:rFonts w:eastAsia="Times New Roman" w:cstheme="minorHAnsi"/>
          <w:b/>
          <w:bCs/>
          <w:caps/>
        </w:rPr>
      </w:pPr>
      <w:r w:rsidRPr="00846248">
        <w:rPr>
          <w:rFonts w:eastAsia="Times New Roman" w:cstheme="minorHAnsi"/>
          <w:b/>
          <w:bCs/>
          <w:caps/>
        </w:rPr>
        <w:lastRenderedPageBreak/>
        <w:t>Funding</w:t>
      </w:r>
    </w:p>
    <w:p w14:paraId="74288913" w14:textId="65FEDC5E" w:rsidR="00470018" w:rsidRPr="00152812" w:rsidRDefault="00470018" w:rsidP="00D55CCE">
      <w:pPr>
        <w:autoSpaceDE w:val="0"/>
        <w:autoSpaceDN w:val="0"/>
        <w:adjustRightInd w:val="0"/>
        <w:spacing w:before="100" w:beforeAutospacing="1" w:after="120" w:line="360" w:lineRule="auto"/>
        <w:rPr>
          <w:rFonts w:eastAsia="Times New Roman" w:cstheme="minorHAnsi"/>
          <w:color w:val="333333"/>
        </w:rPr>
      </w:pPr>
      <w:r w:rsidRPr="00152812">
        <w:rPr>
          <w:rFonts w:eastAsia="Times New Roman" w:cstheme="minorHAnsi"/>
          <w:color w:val="333333"/>
        </w:rPr>
        <w:t>The sponsor of the DECLARE - TIMI 58 study was initially AstraZeneca and Bristol-Myers Squibb and AstraZeneca later became the sole sponsor of the study. The DECLARE–TIMI 58 trial was a collaboration between the funder and two academic research organizations (TIMI Study Group and Hadassah Medical Organization). The funder was involved in the study design, data collection, data analysis, interpretation, and</w:t>
      </w:r>
      <w:r w:rsidR="00D55CCE">
        <w:rPr>
          <w:rFonts w:eastAsia="Times New Roman" w:cstheme="minorHAnsi"/>
          <w:color w:val="333333"/>
        </w:rPr>
        <w:t xml:space="preserve"> writing of this report. IAMG-N and</w:t>
      </w:r>
      <w:r w:rsidRPr="00152812">
        <w:rPr>
          <w:rFonts w:eastAsia="Times New Roman" w:cstheme="minorHAnsi"/>
          <w:color w:val="333333"/>
        </w:rPr>
        <w:t xml:space="preserve"> AML are employed by the study funder. Data analyses were done by the academic TIMI Study Group, which has access to the complete study database, allowing independent analyses of the results; any discrepancies were resolved by discussion. The DECLARE–TIMI 58 publication committee made the decision to submit for publication.</w:t>
      </w:r>
    </w:p>
    <w:p w14:paraId="2C924769" w14:textId="77777777" w:rsidR="00470018" w:rsidRDefault="00470018" w:rsidP="00DE44F2">
      <w:pPr>
        <w:tabs>
          <w:tab w:val="left" w:pos="2600"/>
        </w:tabs>
        <w:spacing w:after="240" w:line="360" w:lineRule="auto"/>
        <w:rPr>
          <w:rFonts w:cstheme="minorHAnsi"/>
          <w:b/>
          <w:bCs/>
          <w:caps/>
        </w:rPr>
      </w:pPr>
    </w:p>
    <w:p w14:paraId="75FC0A23" w14:textId="5F49C833" w:rsidR="00DE44F2" w:rsidRPr="00A82CC5" w:rsidRDefault="00DE44F2" w:rsidP="00DE44F2">
      <w:pPr>
        <w:tabs>
          <w:tab w:val="left" w:pos="2600"/>
        </w:tabs>
        <w:spacing w:after="240" w:line="360" w:lineRule="auto"/>
        <w:rPr>
          <w:rFonts w:cstheme="minorHAnsi"/>
          <w:b/>
          <w:bCs/>
          <w:caps/>
        </w:rPr>
      </w:pPr>
      <w:r>
        <w:rPr>
          <w:rFonts w:cstheme="minorHAnsi"/>
          <w:b/>
          <w:bCs/>
          <w:caps/>
        </w:rPr>
        <w:t>conflict</w:t>
      </w:r>
      <w:r w:rsidRPr="00A82CC5">
        <w:rPr>
          <w:rFonts w:cstheme="minorHAnsi"/>
          <w:b/>
          <w:bCs/>
          <w:caps/>
        </w:rPr>
        <w:t xml:space="preserve"> of interest </w:t>
      </w:r>
    </w:p>
    <w:p w14:paraId="01A141F8" w14:textId="7F655797" w:rsidR="007B0DAE" w:rsidRPr="00E81649" w:rsidRDefault="007B0DAE" w:rsidP="00DE44F2">
      <w:pPr>
        <w:spacing w:after="0" w:line="360" w:lineRule="auto"/>
        <w:rPr>
          <w:color w:val="212121"/>
          <w:shd w:val="clear" w:color="auto" w:fill="FFFFFF"/>
        </w:rPr>
      </w:pPr>
      <w:r w:rsidRPr="00B34BD5">
        <w:rPr>
          <w:b/>
          <w:bCs/>
        </w:rPr>
        <w:t>AC</w:t>
      </w:r>
      <w:r w:rsidRPr="004F5027">
        <w:t xml:space="preserve"> reports grants and personal fees from AstraZeneca and Novo Nordisk and personal fees from Abbott, Eli Lilly, Sanofi, Boehringer Ingelheim, Merck Sharp &amp; Dohme, Medial Early-Sign and </w:t>
      </w:r>
      <w:proofErr w:type="spellStart"/>
      <w:r w:rsidRPr="004F5027">
        <w:t>GlucoMe</w:t>
      </w:r>
      <w:proofErr w:type="spellEnd"/>
      <w:r>
        <w:t xml:space="preserve">. </w:t>
      </w:r>
      <w:r w:rsidRPr="00B34BD5">
        <w:rPr>
          <w:b/>
          <w:bCs/>
        </w:rPr>
        <w:t>IR</w:t>
      </w:r>
      <w:r w:rsidRPr="004F5027">
        <w:t xml:space="preserve"> reports personal fees from AstraZeneca, Bristol-Myers Squibb, Boehringer Ingelheim, Concenter </w:t>
      </w:r>
      <w:proofErr w:type="spellStart"/>
      <w:r w:rsidRPr="004F5027">
        <w:t>BioPhar</w:t>
      </w:r>
      <w:r>
        <w:t>ma</w:t>
      </w:r>
      <w:proofErr w:type="spellEnd"/>
      <w:r>
        <w:t xml:space="preserve"> and </w:t>
      </w:r>
      <w:proofErr w:type="spellStart"/>
      <w:r>
        <w:t>Silkim</w:t>
      </w:r>
      <w:proofErr w:type="spellEnd"/>
      <w:r>
        <w:t>, Eli Lilly, Merck</w:t>
      </w:r>
      <w:r w:rsidRPr="004F5027">
        <w:t xml:space="preserve"> Sharp &amp; Dohme, Novo Nordisk, </w:t>
      </w:r>
      <w:proofErr w:type="spellStart"/>
      <w:r w:rsidRPr="004F5027">
        <w:t>Orgenesis</w:t>
      </w:r>
      <w:proofErr w:type="spellEnd"/>
      <w:r w:rsidRPr="004F5027">
        <w:t xml:space="preserve">, Pfizer, Sanofi, </w:t>
      </w:r>
      <w:proofErr w:type="spellStart"/>
      <w:r w:rsidRPr="004F5027">
        <w:t>SmartZyme</w:t>
      </w:r>
      <w:proofErr w:type="spellEnd"/>
      <w:r w:rsidRPr="004F5027">
        <w:t xml:space="preserve"> Innovation, </w:t>
      </w:r>
      <w:proofErr w:type="spellStart"/>
      <w:r w:rsidRPr="004F5027">
        <w:t>Panaxia</w:t>
      </w:r>
      <w:proofErr w:type="spellEnd"/>
      <w:r w:rsidRPr="004F5027">
        <w:t xml:space="preserve">, </w:t>
      </w:r>
      <w:proofErr w:type="spellStart"/>
      <w:r w:rsidRPr="004F5027">
        <w:t>FuturRx</w:t>
      </w:r>
      <w:proofErr w:type="spellEnd"/>
      <w:r w:rsidRPr="004F5027">
        <w:t xml:space="preserve">, </w:t>
      </w:r>
      <w:proofErr w:type="spellStart"/>
      <w:r w:rsidRPr="004F5027">
        <w:t>Insu</w:t>
      </w:r>
      <w:r>
        <w:t>line</w:t>
      </w:r>
      <w:proofErr w:type="spellEnd"/>
      <w:r>
        <w:t xml:space="preserve"> Medical, Medial </w:t>
      </w:r>
      <w:proofErr w:type="spellStart"/>
      <w:r>
        <w:t>EarlySign</w:t>
      </w:r>
      <w:proofErr w:type="spellEnd"/>
      <w:r>
        <w:t>,</w:t>
      </w:r>
      <w:r w:rsidRPr="004F5027">
        <w:t xml:space="preserve"> </w:t>
      </w:r>
      <w:proofErr w:type="spellStart"/>
      <w:r w:rsidRPr="004F5027">
        <w:t>CameraEyes</w:t>
      </w:r>
      <w:proofErr w:type="spellEnd"/>
      <w:r w:rsidRPr="004F5027">
        <w:t xml:space="preserve">, </w:t>
      </w:r>
      <w:proofErr w:type="spellStart"/>
      <w:r w:rsidRPr="004F5027">
        <w:t>Exscopia</w:t>
      </w:r>
      <w:proofErr w:type="spellEnd"/>
      <w:r w:rsidRPr="004F5027">
        <w:t xml:space="preserve">, Dermal </w:t>
      </w:r>
      <w:proofErr w:type="spellStart"/>
      <w:r w:rsidRPr="004F5027">
        <w:t>Biomic</w:t>
      </w:r>
      <w:r>
        <w:t>s</w:t>
      </w:r>
      <w:proofErr w:type="spellEnd"/>
      <w:r>
        <w:t>, Johnson &amp; Johnson, Novartis,</w:t>
      </w:r>
      <w:r w:rsidRPr="004F5027">
        <w:t xml:space="preserve"> Teva, </w:t>
      </w:r>
      <w:proofErr w:type="spellStart"/>
      <w:r w:rsidRPr="004F5027">
        <w:t>GlucoMe</w:t>
      </w:r>
      <w:proofErr w:type="spellEnd"/>
      <w:r w:rsidRPr="004F5027">
        <w:t xml:space="preserve">, and </w:t>
      </w:r>
      <w:proofErr w:type="spellStart"/>
      <w:r w:rsidRPr="004F5027">
        <w:t>DarioHealth</w:t>
      </w:r>
      <w:proofErr w:type="spellEnd"/>
      <w:r w:rsidRPr="004F5027">
        <w:t>.</w:t>
      </w:r>
      <w:r>
        <w:t xml:space="preserve"> </w:t>
      </w:r>
      <w:r w:rsidRPr="00B34BD5">
        <w:rPr>
          <w:b/>
          <w:bCs/>
        </w:rPr>
        <w:t>LAL</w:t>
      </w:r>
      <w:r w:rsidRPr="003A3613">
        <w:t xml:space="preserve"> </w:t>
      </w:r>
      <w:r w:rsidRPr="004F5027">
        <w:t xml:space="preserve">reports grants and personal fees from AstraZeneca, Boehringer Ingelheim, Eli Lilly, Janssen, Novo Nordisk, and Sanofi; personal fees from Merck and </w:t>
      </w:r>
      <w:proofErr w:type="spellStart"/>
      <w:r w:rsidRPr="004F5027">
        <w:t>Servier</w:t>
      </w:r>
      <w:proofErr w:type="spellEnd"/>
      <w:r w:rsidRPr="004F5027">
        <w:t>; and grants from GlaxoSmithKline</w:t>
      </w:r>
      <w:r>
        <w:t xml:space="preserve"> and Lexicon.</w:t>
      </w:r>
      <w:r w:rsidRPr="00B34BD5">
        <w:rPr>
          <w:b/>
          <w:bCs/>
        </w:rPr>
        <w:t xml:space="preserve"> OM</w:t>
      </w:r>
      <w:r w:rsidRPr="004F5027">
        <w:t xml:space="preserve"> reports grants and personal fees from AstraZeneca, Bristol-Myers Squibb, and Novo Nordisk and personal fees from Eli Lilly, Sanofi, Merck Sharp &amp; Dohme, Boehringer Ingelheim, Johnson &amp; Johnson, and Novartis</w:t>
      </w:r>
      <w:r>
        <w:t xml:space="preserve">. </w:t>
      </w:r>
      <w:r w:rsidRPr="00B34BD5">
        <w:rPr>
          <w:b/>
          <w:bCs/>
        </w:rPr>
        <w:t>SAM</w:t>
      </w:r>
      <w:r w:rsidRPr="004F5027">
        <w:t xml:space="preserve"> </w:t>
      </w:r>
      <w:r>
        <w:t xml:space="preserve">and </w:t>
      </w:r>
      <w:r w:rsidRPr="00B34BD5">
        <w:rPr>
          <w:rFonts w:ascii="Calibri" w:hAnsi="Calibri" w:cs="Calibri"/>
          <w:b/>
          <w:bCs/>
          <w:color w:val="212121"/>
          <w:shd w:val="clear" w:color="auto" w:fill="FFFFFF"/>
        </w:rPr>
        <w:t>ELG</w:t>
      </w:r>
      <w:r>
        <w:rPr>
          <w:rFonts w:ascii="Calibri" w:hAnsi="Calibri" w:cs="Calibri"/>
          <w:color w:val="212121"/>
          <w:shd w:val="clear" w:color="auto" w:fill="FFFFFF"/>
        </w:rPr>
        <w:t xml:space="preserve"> </w:t>
      </w:r>
      <w:r w:rsidRPr="00683070">
        <w:t xml:space="preserve">report research grant support through Brigham and Women’s Hospital from </w:t>
      </w:r>
      <w:r w:rsidRPr="003A3613">
        <w:t xml:space="preserve">Abbott, Amgen, </w:t>
      </w:r>
      <w:proofErr w:type="spellStart"/>
      <w:r w:rsidRPr="003A3613">
        <w:t>Aralez</w:t>
      </w:r>
      <w:proofErr w:type="spellEnd"/>
      <w:r w:rsidRPr="003A3613">
        <w:t xml:space="preserve">, AstraZeneca, Bayer HealthCare Pharmaceuticals, Inc., Daiichi-Sankyo, Eisai, GlaxoSmithKline, </w:t>
      </w:r>
      <w:proofErr w:type="spellStart"/>
      <w:r w:rsidRPr="003A3613">
        <w:t>Intarcia</w:t>
      </w:r>
      <w:proofErr w:type="spellEnd"/>
      <w:r w:rsidRPr="003A3613">
        <w:t xml:space="preserve">, Janssen, </w:t>
      </w:r>
      <w:proofErr w:type="spellStart"/>
      <w:r w:rsidRPr="003A3613">
        <w:t>MedImmune</w:t>
      </w:r>
      <w:proofErr w:type="spellEnd"/>
      <w:r w:rsidRPr="003A3613">
        <w:t xml:space="preserve">, Merck, Novartis, Pfizer, </w:t>
      </w:r>
      <w:proofErr w:type="spellStart"/>
      <w:r w:rsidRPr="003A3613">
        <w:t>Poxel</w:t>
      </w:r>
      <w:proofErr w:type="spellEnd"/>
      <w:r w:rsidRPr="003A3613">
        <w:t>, Quark Pharmaceuticals, Roche, Takeda, The Medicines Company, Zora Biosciences</w:t>
      </w:r>
      <w:r>
        <w:t>.</w:t>
      </w:r>
      <w:r>
        <w:rPr>
          <w:rFonts w:ascii="Calibri" w:hAnsi="Calibri" w:cs="Calibri"/>
          <w:color w:val="212121"/>
          <w:shd w:val="clear" w:color="auto" w:fill="FFFFFF"/>
        </w:rPr>
        <w:t xml:space="preserve"> </w:t>
      </w:r>
      <w:r w:rsidRPr="00B34BD5">
        <w:rPr>
          <w:b/>
          <w:bCs/>
        </w:rPr>
        <w:t>IY</w:t>
      </w:r>
      <w:r w:rsidRPr="004F5027">
        <w:t xml:space="preserve"> and </w:t>
      </w:r>
      <w:r w:rsidRPr="00B34BD5">
        <w:rPr>
          <w:b/>
          <w:bCs/>
        </w:rPr>
        <w:t>AR</w:t>
      </w:r>
      <w:r w:rsidRPr="004F5027">
        <w:t xml:space="preserve"> declare no competing interests</w:t>
      </w:r>
      <w:r>
        <w:t xml:space="preserve">. </w:t>
      </w:r>
      <w:r w:rsidRPr="007B0DAE">
        <w:rPr>
          <w:b/>
          <w:bCs/>
          <w:color w:val="212121"/>
          <w:shd w:val="clear" w:color="auto" w:fill="FFFFFF"/>
        </w:rPr>
        <w:t>DLB</w:t>
      </w:r>
      <w:r w:rsidRPr="00E81649">
        <w:rPr>
          <w:color w:val="212121"/>
          <w:shd w:val="clear" w:color="auto" w:fill="FFFFFF"/>
        </w:rPr>
        <w:t xml:space="preserve"> discloses the following relationships - Advisory Board: </w:t>
      </w:r>
      <w:proofErr w:type="spellStart"/>
      <w:r w:rsidRPr="00E81649">
        <w:rPr>
          <w:color w:val="212121"/>
          <w:shd w:val="clear" w:color="auto" w:fill="FFFFFF"/>
        </w:rPr>
        <w:t>Cardax</w:t>
      </w:r>
      <w:proofErr w:type="spellEnd"/>
      <w:r w:rsidRPr="00E81649">
        <w:rPr>
          <w:color w:val="212121"/>
          <w:shd w:val="clear" w:color="auto" w:fill="FFFFFF"/>
        </w:rPr>
        <w:t xml:space="preserve">, </w:t>
      </w:r>
      <w:proofErr w:type="spellStart"/>
      <w:r w:rsidRPr="00E81649">
        <w:rPr>
          <w:color w:val="212121"/>
          <w:shd w:val="clear" w:color="auto" w:fill="FFFFFF"/>
        </w:rPr>
        <w:t>CellProthera</w:t>
      </w:r>
      <w:proofErr w:type="spellEnd"/>
      <w:r w:rsidRPr="00E81649">
        <w:rPr>
          <w:color w:val="212121"/>
          <w:shd w:val="clear" w:color="auto" w:fill="FFFFFF"/>
        </w:rPr>
        <w:t xml:space="preserve">, Cereno Scientific, Elsevier Practice Update Cardiology, Level Ex, Medscape Cardiology, </w:t>
      </w:r>
      <w:proofErr w:type="spellStart"/>
      <w:r w:rsidRPr="00E81649">
        <w:rPr>
          <w:color w:val="212121"/>
          <w:shd w:val="clear" w:color="auto" w:fill="FFFFFF"/>
        </w:rPr>
        <w:t>PhaseBio</w:t>
      </w:r>
      <w:proofErr w:type="spellEnd"/>
      <w:r w:rsidRPr="00E81649">
        <w:rPr>
          <w:color w:val="212121"/>
          <w:shd w:val="clear" w:color="auto" w:fill="FFFFFF"/>
        </w:rPr>
        <w:t xml:space="preserve">, </w:t>
      </w:r>
      <w:proofErr w:type="spellStart"/>
      <w:r w:rsidRPr="00E81649">
        <w:rPr>
          <w:color w:val="212121"/>
          <w:shd w:val="clear" w:color="auto" w:fill="FFFFFF"/>
        </w:rPr>
        <w:t>PLx</w:t>
      </w:r>
      <w:proofErr w:type="spellEnd"/>
      <w:r w:rsidRPr="00E81649">
        <w:rPr>
          <w:color w:val="212121"/>
          <w:shd w:val="clear" w:color="auto" w:fill="FFFFFF"/>
        </w:rPr>
        <w:t xml:space="preserve"> Pharma, </w:t>
      </w:r>
      <w:proofErr w:type="spellStart"/>
      <w:r w:rsidRPr="00E81649">
        <w:rPr>
          <w:color w:val="212121"/>
          <w:shd w:val="clear" w:color="auto" w:fill="FFFFFF"/>
        </w:rPr>
        <w:t>Regado</w:t>
      </w:r>
      <w:proofErr w:type="spellEnd"/>
      <w:r w:rsidRPr="00E81649">
        <w:rPr>
          <w:color w:val="212121"/>
          <w:shd w:val="clear" w:color="auto" w:fill="FFFFFF"/>
        </w:rPr>
        <w:t xml:space="preserve"> Biosciences; Board of Directors: Boston VA Research Institute, Society of Cardiovascular Patient Care, </w:t>
      </w:r>
      <w:proofErr w:type="spellStart"/>
      <w:r w:rsidRPr="00E81649">
        <w:rPr>
          <w:color w:val="212121"/>
          <w:shd w:val="clear" w:color="auto" w:fill="FFFFFF"/>
        </w:rPr>
        <w:t>TobeSoft</w:t>
      </w:r>
      <w:proofErr w:type="spellEnd"/>
      <w:r w:rsidRPr="00E81649">
        <w:rPr>
          <w:color w:val="212121"/>
          <w:shd w:val="clear" w:color="auto" w:fill="FFFFFF"/>
        </w:rPr>
        <w:t xml:space="preserve">; Chair: American Heart Association Quality Oversight Committee; Data Monitoring Committees: </w:t>
      </w:r>
      <w:proofErr w:type="spellStart"/>
      <w:r w:rsidRPr="00E81649">
        <w:rPr>
          <w:color w:val="212121"/>
          <w:shd w:val="clear" w:color="auto" w:fill="FFFFFF"/>
        </w:rPr>
        <w:t>Baim</w:t>
      </w:r>
      <w:proofErr w:type="spellEnd"/>
      <w:r w:rsidRPr="00E81649">
        <w:rPr>
          <w:color w:val="212121"/>
          <w:shd w:val="clear" w:color="auto" w:fill="FFFFFF"/>
        </w:rPr>
        <w:t xml:space="preserve"> Institute for Clinical Research (formerly Harvard Clinical Research Institute, for the PORTICO trial, funded by St. </w:t>
      </w:r>
      <w:r w:rsidRPr="00E81649">
        <w:rPr>
          <w:color w:val="212121"/>
          <w:shd w:val="clear" w:color="auto" w:fill="FFFFFF"/>
        </w:rPr>
        <w:lastRenderedPageBreak/>
        <w:t xml:space="preserve">Jude Medical, now Abbott), Cleveland Clinic (including for the </w:t>
      </w:r>
      <w:proofErr w:type="spellStart"/>
      <w:r w:rsidRPr="00E81649">
        <w:rPr>
          <w:color w:val="212121"/>
          <w:shd w:val="clear" w:color="auto" w:fill="FFFFFF"/>
        </w:rPr>
        <w:t>ExCEED</w:t>
      </w:r>
      <w:proofErr w:type="spellEnd"/>
      <w:r w:rsidRPr="00E81649">
        <w:rPr>
          <w:color w:val="212121"/>
          <w:shd w:val="clear" w:color="auto" w:fill="FFFFFF"/>
        </w:rPr>
        <w:t xml:space="preserve"> trial, funded by Edwards), </w:t>
      </w:r>
      <w:proofErr w:type="spellStart"/>
      <w:r w:rsidRPr="00E81649">
        <w:rPr>
          <w:color w:val="212121"/>
          <w:shd w:val="clear" w:color="auto" w:fill="FFFFFF"/>
        </w:rPr>
        <w:t>Contego</w:t>
      </w:r>
      <w:proofErr w:type="spellEnd"/>
      <w:r w:rsidRPr="00E81649">
        <w:rPr>
          <w:color w:val="212121"/>
          <w:shd w:val="clear" w:color="auto" w:fill="FFFFFF"/>
        </w:rPr>
        <w:t xml:space="preserve"> Medical (Chair, PERFORMANCE 2), Duke Clinical Research Institute, Mayo Clinic, Mount Sinai School of Medicine (for the ENVISAGE trial, funded by Daiichi Sankyo), Population Health Research Institute; Honoraria: American College of Cardiology (Senior Associate Editor, Clinical Trials and News, ACC.org; Vice-Chair, ACC Accreditation Committee), </w:t>
      </w:r>
      <w:proofErr w:type="spellStart"/>
      <w:r w:rsidRPr="00E81649">
        <w:rPr>
          <w:color w:val="212121"/>
          <w:shd w:val="clear" w:color="auto" w:fill="FFFFFF"/>
        </w:rPr>
        <w:t>Baim</w:t>
      </w:r>
      <w:proofErr w:type="spellEnd"/>
      <w:r w:rsidRPr="00E81649">
        <w:rPr>
          <w:color w:val="212121"/>
          <w:shd w:val="clear" w:color="auto" w:fill="FFFFFF"/>
        </w:rPr>
        <w:t xml:space="preserve"> Institute for Clinical Research (formerly Harvard Clinical Research Institute; RE-DUAL PCI clinical trial steering committee funded by Boehringer Ingelheim; AEGIS-II executive committee funded by CSL Behring), Belvoir Publications (Editor in Chief, Harvard Heart Letter), Duke Clinical Research Institute (clinical trial steering committees, including for the PRONOUNCE trial, funded by Ferring Pharmaceuticals), HMP Global (Editor in Chief, Journal of Invasive Cardiology), Journal of the American College of Cardiology (Guest Editor; Associate Editor), K2P (Co-Chair, interdisciplinary curriculum), Level Ex, </w:t>
      </w:r>
      <w:proofErr w:type="spellStart"/>
      <w:r w:rsidRPr="00E81649">
        <w:rPr>
          <w:color w:val="212121"/>
          <w:shd w:val="clear" w:color="auto" w:fill="FFFFFF"/>
        </w:rPr>
        <w:t>Medtelligence</w:t>
      </w:r>
      <w:proofErr w:type="spellEnd"/>
      <w:r w:rsidRPr="00E81649">
        <w:rPr>
          <w:color w:val="212121"/>
          <w:shd w:val="clear" w:color="auto" w:fill="FFFFFF"/>
        </w:rPr>
        <w:t>/</w:t>
      </w:r>
      <w:proofErr w:type="spellStart"/>
      <w:r w:rsidRPr="00E81649">
        <w:rPr>
          <w:color w:val="212121"/>
          <w:shd w:val="clear" w:color="auto" w:fill="FFFFFF"/>
        </w:rPr>
        <w:t>ReachMD</w:t>
      </w:r>
      <w:proofErr w:type="spellEnd"/>
      <w:r w:rsidRPr="00E81649">
        <w:rPr>
          <w:color w:val="212121"/>
          <w:shd w:val="clear" w:color="auto" w:fill="FFFFFF"/>
        </w:rPr>
        <w:t xml:space="preserve"> (CME steering committees), MJH Life Sciences, Population Health Research Institute (for the COMPASS operations committee, publications committee, steering committee, and USA national co-leader, funded by Bayer), Slack Publications (Chief Medical Editor, Cardiology Today’s Intervention), Society of Cardiovascular Patient Care (Secretary/Treasurer), WebMD (CME steering committees); Other: Clinical Cardiology (Deputy Editor), NCDR-ACTION Registry Steering Committee (Chair), VA CART Research and Publications Committee (Chair); Research Funding: Abbott, </w:t>
      </w:r>
      <w:proofErr w:type="spellStart"/>
      <w:r w:rsidRPr="00E81649">
        <w:rPr>
          <w:color w:val="212121"/>
          <w:shd w:val="clear" w:color="auto" w:fill="FFFFFF"/>
        </w:rPr>
        <w:t>Afimmune</w:t>
      </w:r>
      <w:proofErr w:type="spellEnd"/>
      <w:r w:rsidRPr="00E81649">
        <w:rPr>
          <w:color w:val="212121"/>
          <w:shd w:val="clear" w:color="auto" w:fill="FFFFFF"/>
        </w:rPr>
        <w:t xml:space="preserve">, </w:t>
      </w:r>
      <w:proofErr w:type="spellStart"/>
      <w:r w:rsidRPr="00E81649">
        <w:rPr>
          <w:color w:val="212121"/>
          <w:shd w:val="clear" w:color="auto" w:fill="FFFFFF"/>
        </w:rPr>
        <w:t>Amarin</w:t>
      </w:r>
      <w:proofErr w:type="spellEnd"/>
      <w:r w:rsidRPr="00E81649">
        <w:rPr>
          <w:color w:val="212121"/>
          <w:shd w:val="clear" w:color="auto" w:fill="FFFFFF"/>
        </w:rPr>
        <w:t xml:space="preserve">, Amgen, AstraZeneca, Bayer, Boehringer Ingelheim, Bristol-Myers Squibb, </w:t>
      </w:r>
      <w:proofErr w:type="spellStart"/>
      <w:r w:rsidRPr="00E81649">
        <w:rPr>
          <w:color w:val="212121"/>
          <w:shd w:val="clear" w:color="auto" w:fill="FFFFFF"/>
        </w:rPr>
        <w:t>Cardax</w:t>
      </w:r>
      <w:proofErr w:type="spellEnd"/>
      <w:r w:rsidRPr="00E81649">
        <w:rPr>
          <w:color w:val="212121"/>
          <w:shd w:val="clear" w:color="auto" w:fill="FFFFFF"/>
        </w:rPr>
        <w:t xml:space="preserve">, </w:t>
      </w:r>
      <w:proofErr w:type="spellStart"/>
      <w:r w:rsidRPr="00E81649">
        <w:rPr>
          <w:color w:val="212121"/>
          <w:shd w:val="clear" w:color="auto" w:fill="FFFFFF"/>
        </w:rPr>
        <w:t>Chiesi</w:t>
      </w:r>
      <w:proofErr w:type="spellEnd"/>
      <w:r w:rsidRPr="00E81649">
        <w:rPr>
          <w:color w:val="212121"/>
          <w:shd w:val="clear" w:color="auto" w:fill="FFFFFF"/>
        </w:rPr>
        <w:t xml:space="preserve">, CSL Behring, Eisai, Ethicon, Ferring Pharmaceuticals, Forest Laboratories, </w:t>
      </w:r>
      <w:proofErr w:type="spellStart"/>
      <w:r w:rsidRPr="00E81649">
        <w:rPr>
          <w:color w:val="212121"/>
          <w:shd w:val="clear" w:color="auto" w:fill="FFFFFF"/>
        </w:rPr>
        <w:t>Fractyl</w:t>
      </w:r>
      <w:proofErr w:type="spellEnd"/>
      <w:r w:rsidRPr="00E81649">
        <w:rPr>
          <w:color w:val="212121"/>
          <w:shd w:val="clear" w:color="auto" w:fill="FFFFFF"/>
        </w:rPr>
        <w:t xml:space="preserve">, </w:t>
      </w:r>
      <w:proofErr w:type="spellStart"/>
      <w:r w:rsidRPr="00E81649">
        <w:rPr>
          <w:color w:val="212121"/>
          <w:shd w:val="clear" w:color="auto" w:fill="FFFFFF"/>
        </w:rPr>
        <w:t>Idorsia</w:t>
      </w:r>
      <w:proofErr w:type="spellEnd"/>
      <w:r w:rsidRPr="00E81649">
        <w:rPr>
          <w:color w:val="212121"/>
          <w:shd w:val="clear" w:color="auto" w:fill="FFFFFF"/>
        </w:rPr>
        <w:t xml:space="preserve">, Ironwood, </w:t>
      </w:r>
      <w:proofErr w:type="spellStart"/>
      <w:r w:rsidRPr="00E81649">
        <w:rPr>
          <w:color w:val="212121"/>
          <w:shd w:val="clear" w:color="auto" w:fill="FFFFFF"/>
        </w:rPr>
        <w:t>Ischemix</w:t>
      </w:r>
      <w:proofErr w:type="spellEnd"/>
      <w:r w:rsidRPr="00E81649">
        <w:rPr>
          <w:color w:val="212121"/>
          <w:shd w:val="clear" w:color="auto" w:fill="FFFFFF"/>
        </w:rPr>
        <w:t xml:space="preserve">, Lexicon, Lilly, Medtronic, Pfizer, </w:t>
      </w:r>
      <w:proofErr w:type="spellStart"/>
      <w:r w:rsidRPr="00E81649">
        <w:rPr>
          <w:color w:val="212121"/>
          <w:shd w:val="clear" w:color="auto" w:fill="FFFFFF"/>
        </w:rPr>
        <w:t>PhaseBio</w:t>
      </w:r>
      <w:proofErr w:type="spellEnd"/>
      <w:r w:rsidRPr="00E81649">
        <w:rPr>
          <w:color w:val="212121"/>
          <w:shd w:val="clear" w:color="auto" w:fill="FFFFFF"/>
        </w:rPr>
        <w:t xml:space="preserve">, </w:t>
      </w:r>
      <w:proofErr w:type="spellStart"/>
      <w:r w:rsidRPr="00E81649">
        <w:rPr>
          <w:color w:val="212121"/>
          <w:shd w:val="clear" w:color="auto" w:fill="FFFFFF"/>
        </w:rPr>
        <w:t>PLx</w:t>
      </w:r>
      <w:proofErr w:type="spellEnd"/>
      <w:r w:rsidRPr="00E81649">
        <w:rPr>
          <w:color w:val="212121"/>
          <w:shd w:val="clear" w:color="auto" w:fill="FFFFFF"/>
        </w:rPr>
        <w:t xml:space="preserve"> Pharma, Regeneron, Roche, Sanofi Aventis, Synaptic, The Medicines Company; Royalties: Elsevier (Editor, Cardiovascular Intervention: A Companion to </w:t>
      </w:r>
      <w:proofErr w:type="spellStart"/>
      <w:r w:rsidRPr="00E81649">
        <w:rPr>
          <w:color w:val="212121"/>
          <w:shd w:val="clear" w:color="auto" w:fill="FFFFFF"/>
        </w:rPr>
        <w:t>Braunwald’s</w:t>
      </w:r>
      <w:proofErr w:type="spellEnd"/>
      <w:r w:rsidRPr="00E81649">
        <w:rPr>
          <w:color w:val="212121"/>
          <w:shd w:val="clear" w:color="auto" w:fill="FFFFFF"/>
        </w:rPr>
        <w:t xml:space="preserve"> Heart Disease); Site Co-Investigator: </w:t>
      </w:r>
      <w:proofErr w:type="spellStart"/>
      <w:r w:rsidRPr="00E81649">
        <w:rPr>
          <w:color w:val="212121"/>
          <w:shd w:val="clear" w:color="auto" w:fill="FFFFFF"/>
        </w:rPr>
        <w:t>Biotronik</w:t>
      </w:r>
      <w:proofErr w:type="spellEnd"/>
      <w:r w:rsidRPr="00E81649">
        <w:rPr>
          <w:color w:val="212121"/>
          <w:shd w:val="clear" w:color="auto" w:fill="FFFFFF"/>
        </w:rPr>
        <w:t xml:space="preserve">, Boston Scientific, CSI, St. Jude Medical (now Abbott), Svelte; Trustee: American College of Cardiology; Unfunded Research: </w:t>
      </w:r>
      <w:proofErr w:type="spellStart"/>
      <w:r w:rsidRPr="00E81649">
        <w:rPr>
          <w:color w:val="212121"/>
          <w:shd w:val="clear" w:color="auto" w:fill="FFFFFF"/>
        </w:rPr>
        <w:t>FlowCo</w:t>
      </w:r>
      <w:proofErr w:type="spellEnd"/>
      <w:r w:rsidRPr="00E81649">
        <w:rPr>
          <w:color w:val="212121"/>
          <w:shd w:val="clear" w:color="auto" w:fill="FFFFFF"/>
        </w:rPr>
        <w:t>, Merck, Novo Nordisk, Takeda.</w:t>
      </w:r>
      <w:r>
        <w:rPr>
          <w:color w:val="212121"/>
          <w:shd w:val="clear" w:color="auto" w:fill="FFFFFF"/>
        </w:rPr>
        <w:t xml:space="preserve"> </w:t>
      </w:r>
      <w:r w:rsidRPr="00B34BD5">
        <w:rPr>
          <w:b/>
          <w:bCs/>
        </w:rPr>
        <w:t>DKM</w:t>
      </w:r>
      <w:r w:rsidRPr="004F5027">
        <w:t xml:space="preserve"> discloses the following relationships: personal fees for clinical trial leadership from GlaxoSmithKline, Janssen, Lexicon</w:t>
      </w:r>
      <w:r w:rsidR="00D47A6C">
        <w:t>,</w:t>
      </w:r>
      <w:r w:rsidRPr="004F5027">
        <w:t xml:space="preserve"> AstraZeneca, Sanofi, Boehringer Ingelheim, Merck &amp; Co, Pfizer, Novo Nordisk, Eisai Inc., Esperion, Lilly USA; and personal fees for consultancy from AstraZeneca, Lilly USA, Boehringer Ingelheim, Merck &amp; Co, Novo Nordisk, </w:t>
      </w:r>
      <w:proofErr w:type="spellStart"/>
      <w:r w:rsidRPr="004F5027">
        <w:t>Metavant</w:t>
      </w:r>
      <w:proofErr w:type="spellEnd"/>
      <w:r w:rsidRPr="004F5027">
        <w:t xml:space="preserve">, Applied Therapeutics, Sanofi, </w:t>
      </w:r>
      <w:proofErr w:type="spellStart"/>
      <w:r w:rsidRPr="004F5027">
        <w:t>Afimmune</w:t>
      </w:r>
      <w:proofErr w:type="spellEnd"/>
      <w:r>
        <w:t>.</w:t>
      </w:r>
    </w:p>
    <w:p w14:paraId="47755DE8" w14:textId="008FA430" w:rsidR="007B0DAE" w:rsidRPr="006816A2" w:rsidRDefault="007B0DAE" w:rsidP="006816A2">
      <w:pPr>
        <w:shd w:val="clear" w:color="auto" w:fill="FFFFFF"/>
        <w:spacing w:after="0" w:line="360" w:lineRule="auto"/>
      </w:pPr>
      <w:r w:rsidRPr="00B34BD5">
        <w:rPr>
          <w:b/>
          <w:bCs/>
        </w:rPr>
        <w:t>JPHW</w:t>
      </w:r>
      <w:r w:rsidRPr="003A3613">
        <w:t xml:space="preserve">, outside the submitted work, has grants, personal fees for lectures and consultancy fees (paid to his institution) from AstraZeneca and Novo Nordisk; personal fees for lectures and consultancy fees (paid to his institution) from Boehringer Ingelheim, Janssen, Lilly, Mundipharma, Napp, Sanofi and Takeda; and consultancy fees (paid to his institution) from Rhythm Pharmaceuticals and Wilmington Healthcare. </w:t>
      </w:r>
      <w:r w:rsidRPr="0001794F">
        <w:rPr>
          <w:b/>
          <w:bCs/>
        </w:rPr>
        <w:t xml:space="preserve">IAMG-N, </w:t>
      </w:r>
      <w:r w:rsidRPr="0001794F">
        <w:t xml:space="preserve">and </w:t>
      </w:r>
      <w:r w:rsidRPr="0001794F">
        <w:rPr>
          <w:b/>
          <w:bCs/>
        </w:rPr>
        <w:t>AML</w:t>
      </w:r>
      <w:r>
        <w:t xml:space="preserve"> are </w:t>
      </w:r>
      <w:r w:rsidRPr="003A3613">
        <w:t>employee</w:t>
      </w:r>
      <w:r>
        <w:t>s</w:t>
      </w:r>
      <w:r w:rsidRPr="003A3613">
        <w:t xml:space="preserve"> of AstraZeneca.</w:t>
      </w:r>
      <w:r>
        <w:t xml:space="preserve"> </w:t>
      </w:r>
      <w:r w:rsidRPr="002F3F77">
        <w:rPr>
          <w:b/>
          <w:bCs/>
        </w:rPr>
        <w:t>MSS</w:t>
      </w:r>
      <w:r w:rsidRPr="003A3613">
        <w:t xml:space="preserve"> reports grants and consulting fees </w:t>
      </w:r>
      <w:r w:rsidRPr="003A3613">
        <w:lastRenderedPageBreak/>
        <w:t xml:space="preserve">from Amgen, consulting fees from Anthos Therapeutics, grants and consulting fees from AstraZeneca, grants from Bayer, consulting fees from Bristol-Myers Squibb, consulting fees from CVS Caremark, grants from Daiichi-Sankyo, consulting fees from </w:t>
      </w:r>
      <w:proofErr w:type="spellStart"/>
      <w:r w:rsidRPr="003A3613">
        <w:t>DalCor</w:t>
      </w:r>
      <w:proofErr w:type="spellEnd"/>
      <w:r w:rsidRPr="003A3613">
        <w:t xml:space="preserve">, consulting fees from </w:t>
      </w:r>
      <w:proofErr w:type="spellStart"/>
      <w:r w:rsidRPr="003A3613">
        <w:t>Dyrnamix</w:t>
      </w:r>
      <w:proofErr w:type="spellEnd"/>
      <w:r w:rsidRPr="003A3613">
        <w:t xml:space="preserve">, grants from Eisai, consulting fees from Esperion, grants from GlaxoSmithKline, consulting fees from IFM Therapeutics, grants and consulting fees from </w:t>
      </w:r>
      <w:proofErr w:type="spellStart"/>
      <w:r w:rsidRPr="003A3613">
        <w:t>Intarcia</w:t>
      </w:r>
      <w:proofErr w:type="spellEnd"/>
      <w:r w:rsidRPr="003A3613">
        <w:t xml:space="preserve">, consulting fees from Ionis, grants and consulting fees from Janssen Research and Development, grants and consulting fees from Medicines Company, grants and consulting fees from </w:t>
      </w:r>
      <w:proofErr w:type="spellStart"/>
      <w:r w:rsidRPr="003A3613">
        <w:t>MedImmune</w:t>
      </w:r>
      <w:proofErr w:type="spellEnd"/>
      <w:r w:rsidRPr="003A3613">
        <w:t xml:space="preserve">, grants and consulting fees from Merck, grants and consulting fees from Novartis, grants from Pfizer, grants from </w:t>
      </w:r>
      <w:proofErr w:type="spellStart"/>
      <w:r w:rsidRPr="003A3613">
        <w:t>Poxel</w:t>
      </w:r>
      <w:proofErr w:type="spellEnd"/>
      <w:r w:rsidRPr="003A3613">
        <w:t xml:space="preserve">, grants from Quark Pharmaceuticals, grants from Takeda, and is a member of the TIMI Study Group, which has also received institutional research grant support through Brigham and Women’s Hospital from: Abbott, </w:t>
      </w:r>
      <w:proofErr w:type="spellStart"/>
      <w:r w:rsidRPr="003A3613">
        <w:t>Aralez</w:t>
      </w:r>
      <w:proofErr w:type="spellEnd"/>
      <w:r w:rsidRPr="003A3613">
        <w:t xml:space="preserve">, Roche, and Zora Biosciences. </w:t>
      </w:r>
      <w:r w:rsidRPr="00B34BD5">
        <w:rPr>
          <w:b/>
          <w:bCs/>
        </w:rPr>
        <w:t>SDW</w:t>
      </w:r>
      <w:r>
        <w:t xml:space="preserve"> </w:t>
      </w:r>
      <w:r w:rsidRPr="003A3613">
        <w:t xml:space="preserve">discloses grants from AstraZeneca, Bristol-Myers Squibb, Sanofi Aventis, and Amgen; grants and personal fees from Arena, Daiichi Sankyo, Eisai, Eli Lilly, and Janssen; grants and consulting fees from Merck (additionally his spouse is employed by Merck); and personal fees from Aegerion, Allergan, </w:t>
      </w:r>
      <w:proofErr w:type="spellStart"/>
      <w:r w:rsidRPr="003A3613">
        <w:t>AngelMed</w:t>
      </w:r>
      <w:proofErr w:type="spellEnd"/>
      <w:r w:rsidRPr="003A3613">
        <w:t xml:space="preserve">, Boehringer Ingelheim, Boston Clinical Research Institute, Icon Clinical, Lexicon, St Jude Medical, </w:t>
      </w:r>
      <w:proofErr w:type="spellStart"/>
      <w:r w:rsidRPr="003A3613">
        <w:t>Xoma</w:t>
      </w:r>
      <w:proofErr w:type="spellEnd"/>
      <w:r w:rsidRPr="003A3613">
        <w:t xml:space="preserve">, </w:t>
      </w:r>
      <w:proofErr w:type="spellStart"/>
      <w:r w:rsidRPr="003A3613">
        <w:t>Servier</w:t>
      </w:r>
      <w:proofErr w:type="spellEnd"/>
      <w:r w:rsidRPr="003A3613">
        <w:t>, AstraZeneca, and Bristol-Myers Squibb.</w:t>
      </w:r>
    </w:p>
    <w:p w14:paraId="6DF368A5" w14:textId="41CC669E" w:rsidR="002878F4" w:rsidRPr="00E81649" w:rsidRDefault="002878F4" w:rsidP="00DE44F2">
      <w:pPr>
        <w:spacing w:after="120" w:line="360" w:lineRule="auto"/>
        <w:rPr>
          <w:color w:val="212121"/>
          <w:shd w:val="clear" w:color="auto" w:fill="FFFFFF"/>
          <w:rtl/>
        </w:rPr>
      </w:pPr>
      <w:r w:rsidRPr="00E81649">
        <w:rPr>
          <w:color w:val="212121"/>
          <w:shd w:val="clear" w:color="auto" w:fill="FFFFFF"/>
        </w:rPr>
        <w:br w:type="page"/>
      </w:r>
    </w:p>
    <w:p w14:paraId="2E02758F" w14:textId="77777777" w:rsidR="00E71F41" w:rsidRPr="00E71F41" w:rsidRDefault="00E71F41" w:rsidP="00DE44F2">
      <w:pPr>
        <w:tabs>
          <w:tab w:val="left" w:pos="2600"/>
        </w:tabs>
        <w:spacing w:after="240" w:line="360" w:lineRule="auto"/>
        <w:rPr>
          <w:rFonts w:cstheme="minorHAnsi"/>
          <w:b/>
          <w:bCs/>
          <w:caps/>
        </w:rPr>
      </w:pPr>
      <w:r w:rsidRPr="00E71F41">
        <w:rPr>
          <w:rFonts w:cstheme="minorHAnsi"/>
          <w:b/>
          <w:bCs/>
          <w:caps/>
        </w:rPr>
        <w:lastRenderedPageBreak/>
        <w:t>References</w:t>
      </w:r>
    </w:p>
    <w:p w14:paraId="2F64ACEB" w14:textId="77777777" w:rsidR="002878F4" w:rsidRDefault="002878F4" w:rsidP="00DE44F2">
      <w:pPr>
        <w:pStyle w:val="ListParagraph"/>
        <w:numPr>
          <w:ilvl w:val="0"/>
          <w:numId w:val="1"/>
        </w:numPr>
        <w:spacing w:after="120" w:line="360" w:lineRule="auto"/>
        <w:rPr>
          <w:rFonts w:ascii="Calibri" w:hAnsi="Calibri" w:cs="Calibri"/>
        </w:rPr>
      </w:pPr>
      <w:proofErr w:type="spellStart"/>
      <w:r>
        <w:rPr>
          <w:rFonts w:ascii="Calibri" w:hAnsi="Calibri" w:cs="Calibri"/>
        </w:rPr>
        <w:t>Scheen</w:t>
      </w:r>
      <w:proofErr w:type="spellEnd"/>
      <w:r>
        <w:rPr>
          <w:rFonts w:ascii="Calibri" w:hAnsi="Calibri" w:cs="Calibri"/>
        </w:rPr>
        <w:t xml:space="preserve"> AJ. Pharmacodynamics, efficacy and safety of sodium-glucose co-transporter type 2 (SGLT2) inhibitors for the treatment of type 2 diabetes mellitus. Drugs </w:t>
      </w:r>
      <w:proofErr w:type="gramStart"/>
      <w:r>
        <w:rPr>
          <w:rFonts w:ascii="Calibri" w:hAnsi="Calibri" w:cs="Calibri"/>
        </w:rPr>
        <w:t>2015;75:33</w:t>
      </w:r>
      <w:proofErr w:type="gramEnd"/>
      <w:r>
        <w:rPr>
          <w:rFonts w:ascii="Calibri" w:hAnsi="Calibri" w:cs="Calibri"/>
        </w:rPr>
        <w:t>-59.</w:t>
      </w:r>
    </w:p>
    <w:p w14:paraId="444A6F2A" w14:textId="77777777" w:rsidR="002878F4" w:rsidRDefault="002878F4" w:rsidP="00DE44F2">
      <w:pPr>
        <w:pStyle w:val="ListParagraph"/>
        <w:numPr>
          <w:ilvl w:val="0"/>
          <w:numId w:val="1"/>
        </w:numPr>
        <w:spacing w:after="120" w:line="360" w:lineRule="auto"/>
        <w:rPr>
          <w:rFonts w:ascii="Calibri" w:hAnsi="Calibri" w:cs="Calibri"/>
        </w:rPr>
      </w:pPr>
      <w:proofErr w:type="spellStart"/>
      <w:r>
        <w:rPr>
          <w:rFonts w:ascii="Calibri" w:hAnsi="Calibri" w:cs="Calibri"/>
        </w:rPr>
        <w:t>Zinman</w:t>
      </w:r>
      <w:proofErr w:type="spellEnd"/>
      <w:r>
        <w:rPr>
          <w:rFonts w:ascii="Calibri" w:hAnsi="Calibri" w:cs="Calibri"/>
        </w:rPr>
        <w:t xml:space="preserve"> B, </w:t>
      </w:r>
      <w:proofErr w:type="spellStart"/>
      <w:r>
        <w:rPr>
          <w:rFonts w:ascii="Calibri" w:hAnsi="Calibri" w:cs="Calibri"/>
        </w:rPr>
        <w:t>Wanner</w:t>
      </w:r>
      <w:proofErr w:type="spellEnd"/>
      <w:r>
        <w:rPr>
          <w:rFonts w:ascii="Calibri" w:hAnsi="Calibri" w:cs="Calibri"/>
        </w:rPr>
        <w:t xml:space="preserve"> C, </w:t>
      </w:r>
      <w:proofErr w:type="spellStart"/>
      <w:r>
        <w:rPr>
          <w:rFonts w:ascii="Calibri" w:hAnsi="Calibri" w:cs="Calibri"/>
        </w:rPr>
        <w:t>Lachin</w:t>
      </w:r>
      <w:proofErr w:type="spellEnd"/>
      <w:r>
        <w:rPr>
          <w:rFonts w:ascii="Calibri" w:hAnsi="Calibri" w:cs="Calibri"/>
        </w:rPr>
        <w:t xml:space="preserve"> JM, Fitchett D, </w:t>
      </w:r>
      <w:proofErr w:type="spellStart"/>
      <w:r>
        <w:rPr>
          <w:rFonts w:ascii="Calibri" w:hAnsi="Calibri" w:cs="Calibri"/>
        </w:rPr>
        <w:t>Bluhmki</w:t>
      </w:r>
      <w:proofErr w:type="spellEnd"/>
      <w:r>
        <w:rPr>
          <w:rFonts w:ascii="Calibri" w:hAnsi="Calibri" w:cs="Calibri"/>
        </w:rPr>
        <w:t xml:space="preserve"> E, </w:t>
      </w:r>
      <w:proofErr w:type="spellStart"/>
      <w:r>
        <w:rPr>
          <w:rFonts w:ascii="Calibri" w:hAnsi="Calibri" w:cs="Calibri"/>
        </w:rPr>
        <w:t>Hantel</w:t>
      </w:r>
      <w:proofErr w:type="spellEnd"/>
      <w:r>
        <w:rPr>
          <w:rFonts w:ascii="Calibri" w:hAnsi="Calibri" w:cs="Calibri"/>
        </w:rPr>
        <w:t xml:space="preserve"> S, </w:t>
      </w:r>
      <w:proofErr w:type="spellStart"/>
      <w:r>
        <w:rPr>
          <w:rFonts w:ascii="Calibri" w:hAnsi="Calibri" w:cs="Calibri"/>
        </w:rPr>
        <w:t>Mattheus</w:t>
      </w:r>
      <w:proofErr w:type="spellEnd"/>
      <w:r>
        <w:rPr>
          <w:rFonts w:ascii="Calibri" w:hAnsi="Calibri" w:cs="Calibri"/>
        </w:rPr>
        <w:t xml:space="preserve"> M, </w:t>
      </w:r>
      <w:proofErr w:type="spellStart"/>
      <w:r>
        <w:rPr>
          <w:rFonts w:ascii="Calibri" w:hAnsi="Calibri" w:cs="Calibri"/>
        </w:rPr>
        <w:t>Devins</w:t>
      </w:r>
      <w:proofErr w:type="spellEnd"/>
      <w:r>
        <w:rPr>
          <w:rFonts w:ascii="Calibri" w:hAnsi="Calibri" w:cs="Calibri"/>
        </w:rPr>
        <w:t xml:space="preserve"> T, Johansen OE, </w:t>
      </w:r>
      <w:proofErr w:type="spellStart"/>
      <w:r>
        <w:rPr>
          <w:rFonts w:ascii="Calibri" w:hAnsi="Calibri" w:cs="Calibri"/>
        </w:rPr>
        <w:t>Woerle</w:t>
      </w:r>
      <w:proofErr w:type="spellEnd"/>
      <w:r>
        <w:rPr>
          <w:rFonts w:ascii="Calibri" w:hAnsi="Calibri" w:cs="Calibri"/>
        </w:rPr>
        <w:t xml:space="preserve"> HJ, </w:t>
      </w:r>
      <w:proofErr w:type="spellStart"/>
      <w:r>
        <w:rPr>
          <w:rFonts w:ascii="Calibri" w:hAnsi="Calibri" w:cs="Calibri"/>
        </w:rPr>
        <w:t>Broedl</w:t>
      </w:r>
      <w:proofErr w:type="spellEnd"/>
      <w:r>
        <w:rPr>
          <w:rFonts w:ascii="Calibri" w:hAnsi="Calibri" w:cs="Calibri"/>
        </w:rPr>
        <w:t xml:space="preserve"> UC, </w:t>
      </w:r>
      <w:proofErr w:type="spellStart"/>
      <w:r>
        <w:rPr>
          <w:rFonts w:ascii="Calibri" w:hAnsi="Calibri" w:cs="Calibri"/>
        </w:rPr>
        <w:t>Inzucchi</w:t>
      </w:r>
      <w:proofErr w:type="spellEnd"/>
      <w:r>
        <w:rPr>
          <w:rFonts w:ascii="Calibri" w:hAnsi="Calibri" w:cs="Calibri"/>
        </w:rPr>
        <w:t xml:space="preserve"> SE; EMPA-REG OUTCOME Investigators. Empagliflozin, Cardiovascular Outcomes, and Mortality in Type 2 Diabetes. N </w:t>
      </w:r>
      <w:proofErr w:type="spellStart"/>
      <w:r>
        <w:rPr>
          <w:rFonts w:ascii="Calibri" w:hAnsi="Calibri" w:cs="Calibri"/>
        </w:rPr>
        <w:t>Engl</w:t>
      </w:r>
      <w:proofErr w:type="spellEnd"/>
      <w:r>
        <w:rPr>
          <w:rFonts w:ascii="Calibri" w:hAnsi="Calibri" w:cs="Calibri"/>
        </w:rPr>
        <w:t xml:space="preserve"> J Med. 2015;373(22):2117-28</w:t>
      </w:r>
    </w:p>
    <w:p w14:paraId="76977625" w14:textId="77777777" w:rsidR="002878F4" w:rsidRDefault="002878F4" w:rsidP="00DE44F2">
      <w:pPr>
        <w:pStyle w:val="ListParagraph"/>
        <w:numPr>
          <w:ilvl w:val="0"/>
          <w:numId w:val="1"/>
        </w:numPr>
        <w:spacing w:after="120" w:line="360" w:lineRule="auto"/>
      </w:pPr>
      <w:proofErr w:type="spellStart"/>
      <w:r>
        <w:t>Wanner</w:t>
      </w:r>
      <w:proofErr w:type="spellEnd"/>
      <w:r>
        <w:t xml:space="preserve"> C, </w:t>
      </w:r>
      <w:proofErr w:type="spellStart"/>
      <w:r>
        <w:t>Inzucchi</w:t>
      </w:r>
      <w:proofErr w:type="spellEnd"/>
      <w:r>
        <w:t xml:space="preserve"> SE, </w:t>
      </w:r>
      <w:proofErr w:type="spellStart"/>
      <w:r>
        <w:t>Lachin</w:t>
      </w:r>
      <w:proofErr w:type="spellEnd"/>
      <w:r>
        <w:t xml:space="preserve"> JM, et al. EMPA-REG OUTCOME Investigators. Empagliflozin and Progression of Kidney Disease in Type 2 Diabetes. N </w:t>
      </w:r>
      <w:proofErr w:type="spellStart"/>
      <w:r>
        <w:t>Engl</w:t>
      </w:r>
      <w:proofErr w:type="spellEnd"/>
      <w:r>
        <w:t xml:space="preserve"> J Med. 2016;375(4):323-34</w:t>
      </w:r>
    </w:p>
    <w:p w14:paraId="2B9C6C1E" w14:textId="77777777" w:rsidR="002878F4" w:rsidRDefault="002878F4" w:rsidP="00DE44F2">
      <w:pPr>
        <w:pStyle w:val="ListParagraph"/>
        <w:numPr>
          <w:ilvl w:val="0"/>
          <w:numId w:val="1"/>
        </w:numPr>
        <w:spacing w:after="120" w:line="360" w:lineRule="auto"/>
        <w:rPr>
          <w:rFonts w:ascii="Calibri" w:hAnsi="Calibri" w:cs="Calibri"/>
        </w:rPr>
      </w:pPr>
      <w:r>
        <w:rPr>
          <w:rFonts w:ascii="Calibri" w:hAnsi="Calibri" w:cs="Calibri"/>
        </w:rPr>
        <w:t xml:space="preserve">Neal B, Perkovic V, Mahaffey KW, de </w:t>
      </w:r>
      <w:proofErr w:type="spellStart"/>
      <w:r>
        <w:rPr>
          <w:rFonts w:ascii="Calibri" w:hAnsi="Calibri" w:cs="Calibri"/>
        </w:rPr>
        <w:t>Zeeuw</w:t>
      </w:r>
      <w:proofErr w:type="spellEnd"/>
      <w:r>
        <w:rPr>
          <w:rFonts w:ascii="Calibri" w:hAnsi="Calibri" w:cs="Calibri"/>
        </w:rPr>
        <w:t xml:space="preserve"> D, Fulcher G, </w:t>
      </w:r>
      <w:proofErr w:type="spellStart"/>
      <w:r>
        <w:rPr>
          <w:rFonts w:ascii="Calibri" w:hAnsi="Calibri" w:cs="Calibri"/>
        </w:rPr>
        <w:t>Erondu</w:t>
      </w:r>
      <w:proofErr w:type="spellEnd"/>
      <w:r>
        <w:rPr>
          <w:rFonts w:ascii="Calibri" w:hAnsi="Calibri" w:cs="Calibri"/>
        </w:rPr>
        <w:t xml:space="preserve"> N, Shaw W, Law G, Desai M, Matthews DR; CANVAS Program Collaborative Group. Canagliflozin and Cardiovascular and Renal Events in Type 2 Diabetes. N </w:t>
      </w:r>
      <w:proofErr w:type="spellStart"/>
      <w:r>
        <w:rPr>
          <w:rFonts w:ascii="Calibri" w:hAnsi="Calibri" w:cs="Calibri"/>
        </w:rPr>
        <w:t>Engl</w:t>
      </w:r>
      <w:proofErr w:type="spellEnd"/>
      <w:r>
        <w:rPr>
          <w:rFonts w:ascii="Calibri" w:hAnsi="Calibri" w:cs="Calibri"/>
        </w:rPr>
        <w:t xml:space="preserve"> J Med. 2017;377(7):644-657</w:t>
      </w:r>
    </w:p>
    <w:p w14:paraId="2AEC8C59" w14:textId="77777777" w:rsidR="002878F4" w:rsidRDefault="002878F4" w:rsidP="00DE44F2">
      <w:pPr>
        <w:pStyle w:val="ListParagraph"/>
        <w:numPr>
          <w:ilvl w:val="0"/>
          <w:numId w:val="1"/>
        </w:numPr>
        <w:spacing w:after="120" w:line="360" w:lineRule="auto"/>
        <w:rPr>
          <w:rFonts w:ascii="Calibri" w:hAnsi="Calibri" w:cs="Calibri"/>
        </w:rPr>
      </w:pPr>
      <w:r>
        <w:rPr>
          <w:rFonts w:ascii="Calibri" w:hAnsi="Calibri" w:cs="Calibri"/>
        </w:rPr>
        <w:t xml:space="preserve">Zelniker TA, Wiviott SD, Raz I, Im K, Goodrich EL, Bonaca MP, Mosenzon O, Kato ET, Cahn A, Furtado RHM, Bhatt DL, Leiter LA, McGuire DK, Wilding JPH, Sabatine MS. SGLT2 inhibitors for primary and secondary prevention of cardiovascular and renal outcomes in type 2 diabetes: a systematic review and meta-analysis of cardiovascular outcome trials. Lancet. 2019;393(10166):31-39. </w:t>
      </w:r>
    </w:p>
    <w:p w14:paraId="4FD0F6D1" w14:textId="77777777" w:rsidR="007417B0" w:rsidRDefault="007417B0" w:rsidP="00DE44F2">
      <w:pPr>
        <w:pStyle w:val="ListParagraph"/>
        <w:numPr>
          <w:ilvl w:val="0"/>
          <w:numId w:val="1"/>
        </w:numPr>
        <w:spacing w:after="120" w:line="360" w:lineRule="auto"/>
        <w:rPr>
          <w:rFonts w:ascii="Calibri" w:hAnsi="Calibri" w:cs="Calibri"/>
        </w:rPr>
      </w:pPr>
      <w:r>
        <w:rPr>
          <w:rFonts w:ascii="Calibri" w:hAnsi="Calibri" w:cs="Calibri"/>
        </w:rPr>
        <w:t xml:space="preserve">Wiviott SD, Raz I, Bonaca MP, Mosenzon O, Kato ET, Cahn A, Silverman MG, Zelniker TA, Kuder JF, Murphy SA, Bhatt DL, Leiter LA, McGuire DK, Wilding JPH, Ruff CT, Gause-Nilsson IAM, Fredriksson M, Johansson PA, Langkilde AM, Sabatine MS; DECLARE–TIMI 58 Investigators. Dapagliflozin and Cardiovascular Outcomes in Type 2 Diabetes. N </w:t>
      </w:r>
      <w:proofErr w:type="spellStart"/>
      <w:r>
        <w:rPr>
          <w:rFonts w:ascii="Calibri" w:hAnsi="Calibri" w:cs="Calibri"/>
        </w:rPr>
        <w:t>Engl</w:t>
      </w:r>
      <w:proofErr w:type="spellEnd"/>
      <w:r>
        <w:rPr>
          <w:rFonts w:ascii="Calibri" w:hAnsi="Calibri" w:cs="Calibri"/>
        </w:rPr>
        <w:t xml:space="preserve"> J Med. 2019;380(4):347-357. </w:t>
      </w:r>
    </w:p>
    <w:p w14:paraId="7998F84D" w14:textId="5D68FEF9" w:rsidR="00DE44F2" w:rsidRPr="00DE44F2" w:rsidRDefault="00A255C9" w:rsidP="00DE44F2">
      <w:pPr>
        <w:pStyle w:val="ListParagraph"/>
        <w:numPr>
          <w:ilvl w:val="0"/>
          <w:numId w:val="1"/>
        </w:numPr>
        <w:spacing w:after="120" w:line="360" w:lineRule="auto"/>
        <w:rPr>
          <w:rFonts w:ascii="Calibri" w:hAnsi="Calibri" w:cs="Calibri"/>
        </w:rPr>
      </w:pPr>
      <w:r w:rsidRPr="00A255C9">
        <w:rPr>
          <w:rFonts w:ascii="Calibri" w:hAnsi="Calibri" w:cs="Calibri"/>
        </w:rPr>
        <w:t xml:space="preserve">Cannon CP, Pratley R, </w:t>
      </w:r>
      <w:proofErr w:type="spellStart"/>
      <w:r w:rsidRPr="00A255C9">
        <w:rPr>
          <w:rFonts w:ascii="Calibri" w:hAnsi="Calibri" w:cs="Calibri"/>
        </w:rPr>
        <w:t>Dagogo</w:t>
      </w:r>
      <w:proofErr w:type="spellEnd"/>
      <w:r w:rsidRPr="00A255C9">
        <w:rPr>
          <w:rFonts w:ascii="Calibri" w:hAnsi="Calibri" w:cs="Calibri"/>
        </w:rPr>
        <w:t xml:space="preserve">-Jack S, Mancuso J, </w:t>
      </w:r>
      <w:proofErr w:type="spellStart"/>
      <w:r w:rsidRPr="00A255C9">
        <w:rPr>
          <w:rFonts w:ascii="Calibri" w:hAnsi="Calibri" w:cs="Calibri"/>
        </w:rPr>
        <w:t>Huyck</w:t>
      </w:r>
      <w:proofErr w:type="spellEnd"/>
      <w:r w:rsidRPr="00A255C9">
        <w:rPr>
          <w:rFonts w:ascii="Calibri" w:hAnsi="Calibri" w:cs="Calibri"/>
        </w:rPr>
        <w:t xml:space="preserve"> S, </w:t>
      </w:r>
      <w:proofErr w:type="spellStart"/>
      <w:r w:rsidRPr="00A255C9">
        <w:rPr>
          <w:rFonts w:ascii="Calibri" w:hAnsi="Calibri" w:cs="Calibri"/>
        </w:rPr>
        <w:t>Masiukiewicz</w:t>
      </w:r>
      <w:proofErr w:type="spellEnd"/>
      <w:r w:rsidRPr="00A255C9">
        <w:rPr>
          <w:rFonts w:ascii="Calibri" w:hAnsi="Calibri" w:cs="Calibri"/>
        </w:rPr>
        <w:t xml:space="preserve"> U, </w:t>
      </w:r>
      <w:proofErr w:type="spellStart"/>
      <w:r w:rsidRPr="00A255C9">
        <w:rPr>
          <w:rFonts w:ascii="Calibri" w:hAnsi="Calibri" w:cs="Calibri"/>
        </w:rPr>
        <w:t>Charbonnel</w:t>
      </w:r>
      <w:proofErr w:type="spellEnd"/>
      <w:r w:rsidRPr="00A255C9">
        <w:rPr>
          <w:rFonts w:ascii="Calibri" w:hAnsi="Calibri" w:cs="Calibri"/>
        </w:rPr>
        <w:t xml:space="preserve"> B, </w:t>
      </w:r>
      <w:proofErr w:type="spellStart"/>
      <w:r w:rsidRPr="00A255C9">
        <w:rPr>
          <w:rFonts w:ascii="Calibri" w:hAnsi="Calibri" w:cs="Calibri"/>
        </w:rPr>
        <w:t>Frederich</w:t>
      </w:r>
      <w:proofErr w:type="spellEnd"/>
      <w:r w:rsidRPr="00A255C9">
        <w:rPr>
          <w:rFonts w:ascii="Calibri" w:hAnsi="Calibri" w:cs="Calibri"/>
        </w:rPr>
        <w:t xml:space="preserve"> R, Gallo S, </w:t>
      </w:r>
      <w:proofErr w:type="spellStart"/>
      <w:r w:rsidRPr="00A255C9">
        <w:rPr>
          <w:rFonts w:ascii="Calibri" w:hAnsi="Calibri" w:cs="Calibri"/>
        </w:rPr>
        <w:t>Cosentino</w:t>
      </w:r>
      <w:proofErr w:type="spellEnd"/>
      <w:r w:rsidRPr="00A255C9">
        <w:rPr>
          <w:rFonts w:ascii="Calibri" w:hAnsi="Calibri" w:cs="Calibri"/>
        </w:rPr>
        <w:t xml:space="preserve"> F, Shih WJ, </w:t>
      </w:r>
      <w:proofErr w:type="spellStart"/>
      <w:r w:rsidRPr="00A255C9">
        <w:rPr>
          <w:rFonts w:ascii="Calibri" w:hAnsi="Calibri" w:cs="Calibri"/>
        </w:rPr>
        <w:t>Gantz</w:t>
      </w:r>
      <w:proofErr w:type="spellEnd"/>
      <w:r w:rsidRPr="00A255C9">
        <w:rPr>
          <w:rFonts w:ascii="Calibri" w:hAnsi="Calibri" w:cs="Calibri"/>
        </w:rPr>
        <w:t xml:space="preserve"> I, Terra SG, Cherney DZI, McGuire DK; VERTIS CV Investigators. Cardiovascular Outcomes with Ertugliflozin in Type 2 Diabetes. N </w:t>
      </w:r>
      <w:proofErr w:type="spellStart"/>
      <w:r w:rsidRPr="00A255C9">
        <w:rPr>
          <w:rFonts w:ascii="Calibri" w:hAnsi="Calibri" w:cs="Calibri"/>
        </w:rPr>
        <w:t>Engl</w:t>
      </w:r>
      <w:proofErr w:type="spellEnd"/>
      <w:r w:rsidRPr="00A255C9">
        <w:rPr>
          <w:rFonts w:ascii="Calibri" w:hAnsi="Calibri" w:cs="Calibri"/>
        </w:rPr>
        <w:t xml:space="preserve"> J Med. 2020 Sep 23</w:t>
      </w:r>
      <w:r w:rsidR="00DE44F2" w:rsidRPr="00DE44F2">
        <w:rPr>
          <w:rFonts w:ascii="Calibri" w:hAnsi="Calibri" w:cs="Calibri"/>
        </w:rPr>
        <w:t xml:space="preserve">. </w:t>
      </w:r>
    </w:p>
    <w:p w14:paraId="0363B496" w14:textId="6DCCB9FC" w:rsidR="00276953" w:rsidRDefault="00A255C9" w:rsidP="00DE44F2">
      <w:pPr>
        <w:pStyle w:val="ListParagraph"/>
        <w:numPr>
          <w:ilvl w:val="0"/>
          <w:numId w:val="1"/>
        </w:numPr>
        <w:spacing w:after="120" w:line="360" w:lineRule="auto"/>
        <w:rPr>
          <w:rFonts w:ascii="Calibri" w:hAnsi="Calibri" w:cs="Calibri"/>
        </w:rPr>
      </w:pPr>
      <w:r w:rsidRPr="00A255C9">
        <w:rPr>
          <w:rFonts w:ascii="Calibri" w:hAnsi="Calibri" w:cs="Calibri"/>
        </w:rPr>
        <w:t xml:space="preserve">McGuire DK, Shih WJ, </w:t>
      </w:r>
      <w:proofErr w:type="spellStart"/>
      <w:r w:rsidRPr="00A255C9">
        <w:rPr>
          <w:rFonts w:ascii="Calibri" w:hAnsi="Calibri" w:cs="Calibri"/>
        </w:rPr>
        <w:t>Cosentino</w:t>
      </w:r>
      <w:proofErr w:type="spellEnd"/>
      <w:r w:rsidRPr="00A255C9">
        <w:rPr>
          <w:rFonts w:ascii="Calibri" w:hAnsi="Calibri" w:cs="Calibri"/>
        </w:rPr>
        <w:t xml:space="preserve"> F, </w:t>
      </w:r>
      <w:proofErr w:type="spellStart"/>
      <w:r w:rsidRPr="00A255C9">
        <w:rPr>
          <w:rFonts w:ascii="Calibri" w:hAnsi="Calibri" w:cs="Calibri"/>
        </w:rPr>
        <w:t>Charbonnel</w:t>
      </w:r>
      <w:proofErr w:type="spellEnd"/>
      <w:r w:rsidRPr="00A255C9">
        <w:rPr>
          <w:rFonts w:ascii="Calibri" w:hAnsi="Calibri" w:cs="Calibri"/>
        </w:rPr>
        <w:t xml:space="preserve"> B, Cherney DZI, </w:t>
      </w:r>
      <w:proofErr w:type="spellStart"/>
      <w:r w:rsidRPr="00A255C9">
        <w:rPr>
          <w:rFonts w:ascii="Calibri" w:hAnsi="Calibri" w:cs="Calibri"/>
        </w:rPr>
        <w:t>Dagogo</w:t>
      </w:r>
      <w:proofErr w:type="spellEnd"/>
      <w:r w:rsidRPr="00A255C9">
        <w:rPr>
          <w:rFonts w:ascii="Calibri" w:hAnsi="Calibri" w:cs="Calibri"/>
        </w:rPr>
        <w:t xml:space="preserve">-Jack S, Greenberg M, Wang S, </w:t>
      </w:r>
      <w:proofErr w:type="spellStart"/>
      <w:r w:rsidRPr="00A255C9">
        <w:rPr>
          <w:rFonts w:ascii="Calibri" w:hAnsi="Calibri" w:cs="Calibri"/>
        </w:rPr>
        <w:t>Huyck</w:t>
      </w:r>
      <w:proofErr w:type="spellEnd"/>
      <w:r w:rsidRPr="00A255C9">
        <w:rPr>
          <w:rFonts w:ascii="Calibri" w:hAnsi="Calibri" w:cs="Calibri"/>
        </w:rPr>
        <w:t xml:space="preserve"> S, </w:t>
      </w:r>
      <w:proofErr w:type="spellStart"/>
      <w:r w:rsidRPr="00A255C9">
        <w:rPr>
          <w:rFonts w:ascii="Calibri" w:hAnsi="Calibri" w:cs="Calibri"/>
        </w:rPr>
        <w:t>Gantz</w:t>
      </w:r>
      <w:proofErr w:type="spellEnd"/>
      <w:r w:rsidRPr="00A255C9">
        <w:rPr>
          <w:rFonts w:ascii="Calibri" w:hAnsi="Calibri" w:cs="Calibri"/>
        </w:rPr>
        <w:t xml:space="preserve"> I, Terra SG, </w:t>
      </w:r>
      <w:proofErr w:type="spellStart"/>
      <w:r w:rsidRPr="00A255C9">
        <w:rPr>
          <w:rFonts w:ascii="Calibri" w:hAnsi="Calibri" w:cs="Calibri"/>
        </w:rPr>
        <w:t>Masiukiewicz</w:t>
      </w:r>
      <w:proofErr w:type="spellEnd"/>
      <w:r w:rsidRPr="00A255C9">
        <w:rPr>
          <w:rFonts w:ascii="Calibri" w:hAnsi="Calibri" w:cs="Calibri"/>
        </w:rPr>
        <w:t xml:space="preserve"> U, Cannon CP.</w:t>
      </w:r>
      <w:r w:rsidR="00841AC5">
        <w:rPr>
          <w:rFonts w:ascii="Calibri" w:hAnsi="Calibri" w:cs="Calibri"/>
        </w:rPr>
        <w:t xml:space="preserve"> </w:t>
      </w:r>
      <w:r w:rsidRPr="00A255C9">
        <w:rPr>
          <w:rFonts w:ascii="Calibri" w:hAnsi="Calibri" w:cs="Calibri"/>
        </w:rPr>
        <w:t xml:space="preserve">Sodium-Glucose Cotransporter 2 Inhibitors, Cardiovascular and Kidney Outcomes in Patients with Type 2 Diabetes: A Systematic Review and Meta-Analysis of Outcomes Trials. JAMA </w:t>
      </w:r>
      <w:proofErr w:type="spellStart"/>
      <w:r w:rsidRPr="00A255C9">
        <w:rPr>
          <w:rFonts w:ascii="Calibri" w:hAnsi="Calibri" w:cs="Calibri"/>
        </w:rPr>
        <w:t>Cardiol</w:t>
      </w:r>
      <w:proofErr w:type="spellEnd"/>
      <w:r w:rsidRPr="00A255C9">
        <w:rPr>
          <w:rFonts w:ascii="Calibri" w:hAnsi="Calibri" w:cs="Calibri"/>
        </w:rPr>
        <w:t xml:space="preserve"> 2020; In press</w:t>
      </w:r>
      <w:r w:rsidR="00276953" w:rsidRPr="00276953">
        <w:rPr>
          <w:rFonts w:ascii="Calibri" w:hAnsi="Calibri" w:cs="Calibri"/>
        </w:rPr>
        <w:t xml:space="preserve">. </w:t>
      </w:r>
    </w:p>
    <w:p w14:paraId="23138EAC" w14:textId="77777777" w:rsidR="007417B0" w:rsidRDefault="007417B0" w:rsidP="00DE44F2">
      <w:pPr>
        <w:pStyle w:val="ListParagraph"/>
        <w:numPr>
          <w:ilvl w:val="0"/>
          <w:numId w:val="1"/>
        </w:numPr>
        <w:spacing w:after="120" w:line="360" w:lineRule="auto"/>
        <w:rPr>
          <w:rFonts w:ascii="Calibri" w:hAnsi="Calibri" w:cs="Calibri"/>
        </w:rPr>
      </w:pPr>
      <w:r>
        <w:rPr>
          <w:rFonts w:ascii="Calibri" w:hAnsi="Calibri" w:cs="Calibri"/>
        </w:rPr>
        <w:lastRenderedPageBreak/>
        <w:t xml:space="preserve">Perkovic V, Jardine MJ, Neal B, </w:t>
      </w:r>
      <w:proofErr w:type="spellStart"/>
      <w:r>
        <w:rPr>
          <w:rFonts w:ascii="Calibri" w:hAnsi="Calibri" w:cs="Calibri"/>
        </w:rPr>
        <w:t>Bompoint</w:t>
      </w:r>
      <w:proofErr w:type="spellEnd"/>
      <w:r>
        <w:rPr>
          <w:rFonts w:ascii="Calibri" w:hAnsi="Calibri" w:cs="Calibri"/>
        </w:rPr>
        <w:t xml:space="preserve"> S, Heerspink HJL, </w:t>
      </w:r>
      <w:proofErr w:type="spellStart"/>
      <w:r>
        <w:rPr>
          <w:rFonts w:ascii="Calibri" w:hAnsi="Calibri" w:cs="Calibri"/>
        </w:rPr>
        <w:t>Charytan</w:t>
      </w:r>
      <w:proofErr w:type="spellEnd"/>
      <w:r>
        <w:rPr>
          <w:rFonts w:ascii="Calibri" w:hAnsi="Calibri" w:cs="Calibri"/>
        </w:rPr>
        <w:t xml:space="preserve"> DM, Edwards R, Agarwal R, Bakris G, Bull S, Cannon CP, Capuano G, Chu PL, de </w:t>
      </w:r>
      <w:proofErr w:type="spellStart"/>
      <w:r>
        <w:rPr>
          <w:rFonts w:ascii="Calibri" w:hAnsi="Calibri" w:cs="Calibri"/>
        </w:rPr>
        <w:t>Zeeuw</w:t>
      </w:r>
      <w:proofErr w:type="spellEnd"/>
      <w:r>
        <w:rPr>
          <w:rFonts w:ascii="Calibri" w:hAnsi="Calibri" w:cs="Calibri"/>
        </w:rPr>
        <w:t xml:space="preserve"> D, Greene T, Levin A, Pollock C, Wheeler DC, </w:t>
      </w:r>
      <w:proofErr w:type="spellStart"/>
      <w:r>
        <w:rPr>
          <w:rFonts w:ascii="Calibri" w:hAnsi="Calibri" w:cs="Calibri"/>
        </w:rPr>
        <w:t>Yavin</w:t>
      </w:r>
      <w:proofErr w:type="spellEnd"/>
      <w:r>
        <w:rPr>
          <w:rFonts w:ascii="Calibri" w:hAnsi="Calibri" w:cs="Calibri"/>
        </w:rPr>
        <w:t xml:space="preserve"> Y, Zhang H, </w:t>
      </w:r>
      <w:proofErr w:type="spellStart"/>
      <w:r>
        <w:rPr>
          <w:rFonts w:ascii="Calibri" w:hAnsi="Calibri" w:cs="Calibri"/>
        </w:rPr>
        <w:t>Zinman</w:t>
      </w:r>
      <w:proofErr w:type="spellEnd"/>
      <w:r>
        <w:rPr>
          <w:rFonts w:ascii="Calibri" w:hAnsi="Calibri" w:cs="Calibri"/>
        </w:rPr>
        <w:t xml:space="preserve"> B, Meininger G, Brenner BM, Mahaffey KW; CREDENCE Trial Investigators. Canagliflozin and Renal Outcomes in Type 2 Diabetes and Nephropathy. N </w:t>
      </w:r>
      <w:proofErr w:type="spellStart"/>
      <w:r>
        <w:rPr>
          <w:rFonts w:ascii="Calibri" w:hAnsi="Calibri" w:cs="Calibri"/>
        </w:rPr>
        <w:t>Engl</w:t>
      </w:r>
      <w:proofErr w:type="spellEnd"/>
      <w:r>
        <w:rPr>
          <w:rFonts w:ascii="Calibri" w:hAnsi="Calibri" w:cs="Calibri"/>
        </w:rPr>
        <w:t xml:space="preserve"> J Med. 2019;380(24):2295-2306</w:t>
      </w:r>
    </w:p>
    <w:p w14:paraId="40552E75" w14:textId="77777777" w:rsidR="002878F4" w:rsidRDefault="002878F4" w:rsidP="00DE44F2">
      <w:pPr>
        <w:pStyle w:val="ListParagraph"/>
        <w:numPr>
          <w:ilvl w:val="0"/>
          <w:numId w:val="1"/>
        </w:numPr>
        <w:spacing w:after="120" w:line="360" w:lineRule="auto"/>
        <w:rPr>
          <w:rFonts w:ascii="Calibri" w:hAnsi="Calibri" w:cs="Calibri"/>
        </w:rPr>
      </w:pPr>
      <w:r>
        <w:rPr>
          <w:rFonts w:ascii="Calibri" w:hAnsi="Calibri" w:cs="Calibri"/>
        </w:rPr>
        <w:t xml:space="preserve">Raz I, Mosenzon O, Bonaca MP, Cahn A, Kato ET, Silverman MG, Bhatt DL, Leiter LA, McGuire DK, Wilding JPH, Gause-Nilsson IAM, Langkilde AM, Johansson PA, Sabatine MS, Wiviott SD. DECLARE-TIMI 58: Participants' baseline characteristics. Diabetes </w:t>
      </w:r>
      <w:proofErr w:type="spellStart"/>
      <w:r>
        <w:rPr>
          <w:rFonts w:ascii="Calibri" w:hAnsi="Calibri" w:cs="Calibri"/>
        </w:rPr>
        <w:t>Obes</w:t>
      </w:r>
      <w:proofErr w:type="spellEnd"/>
      <w:r>
        <w:rPr>
          <w:rFonts w:ascii="Calibri" w:hAnsi="Calibri" w:cs="Calibri"/>
        </w:rPr>
        <w:t xml:space="preserve"> </w:t>
      </w:r>
      <w:proofErr w:type="spellStart"/>
      <w:r>
        <w:rPr>
          <w:rFonts w:ascii="Calibri" w:hAnsi="Calibri" w:cs="Calibri"/>
        </w:rPr>
        <w:t>Metab</w:t>
      </w:r>
      <w:proofErr w:type="spellEnd"/>
      <w:r>
        <w:rPr>
          <w:rFonts w:ascii="Calibri" w:hAnsi="Calibri" w:cs="Calibri"/>
        </w:rPr>
        <w:t xml:space="preserve">. 2018;20(5):1102-1110. </w:t>
      </w:r>
    </w:p>
    <w:p w14:paraId="1EE40D68" w14:textId="77777777" w:rsidR="00EF585E" w:rsidRDefault="00EF585E" w:rsidP="00DE44F2">
      <w:pPr>
        <w:pStyle w:val="ListParagraph"/>
        <w:numPr>
          <w:ilvl w:val="0"/>
          <w:numId w:val="1"/>
        </w:numPr>
        <w:spacing w:after="120" w:line="360" w:lineRule="auto"/>
        <w:rPr>
          <w:rFonts w:ascii="Calibri" w:hAnsi="Calibri" w:cs="Calibri"/>
        </w:rPr>
      </w:pPr>
      <w:r>
        <w:rPr>
          <w:rFonts w:ascii="Calibri" w:hAnsi="Calibri" w:cs="Calibri"/>
        </w:rPr>
        <w:t xml:space="preserve">Mosenzon O, Wiviott SD, Cahn A, Rozenberg A, </w:t>
      </w:r>
      <w:proofErr w:type="spellStart"/>
      <w:r>
        <w:rPr>
          <w:rFonts w:ascii="Calibri" w:hAnsi="Calibri" w:cs="Calibri"/>
        </w:rPr>
        <w:t>Yanuv</w:t>
      </w:r>
      <w:proofErr w:type="spellEnd"/>
      <w:r>
        <w:rPr>
          <w:rFonts w:ascii="Calibri" w:hAnsi="Calibri" w:cs="Calibri"/>
        </w:rPr>
        <w:t xml:space="preserve"> I, Goodrich EL, Murphy </w:t>
      </w:r>
      <w:proofErr w:type="gramStart"/>
      <w:r>
        <w:rPr>
          <w:rFonts w:ascii="Calibri" w:hAnsi="Calibri" w:cs="Calibri"/>
        </w:rPr>
        <w:t>SA,  Heerspink</w:t>
      </w:r>
      <w:proofErr w:type="gramEnd"/>
      <w:r>
        <w:rPr>
          <w:rFonts w:ascii="Calibri" w:hAnsi="Calibri" w:cs="Calibri"/>
        </w:rPr>
        <w:t xml:space="preserve"> HJL, </w:t>
      </w:r>
      <w:proofErr w:type="spellStart"/>
      <w:r>
        <w:rPr>
          <w:rFonts w:ascii="Calibri" w:hAnsi="Calibri" w:cs="Calibri"/>
        </w:rPr>
        <w:t>ZelniSker</w:t>
      </w:r>
      <w:proofErr w:type="spellEnd"/>
      <w:r>
        <w:rPr>
          <w:rFonts w:ascii="Calibri" w:hAnsi="Calibri" w:cs="Calibri"/>
        </w:rPr>
        <w:t xml:space="preserve"> TA, Dwyer JP, Bhatt DL, Leiter LA, McGuire DK, Wilding JPH, Kato ET, Gause-Nilsson IAM, Fredriksson M, Johansson PA, Langkilde AM, Sabatine MS, Raz I. Effects of dapagliflozin on development and progression of kidney disease in patients with type 2 diabetes: an analysis from the DECLARE-TIMI 58 </w:t>
      </w:r>
      <w:proofErr w:type="spellStart"/>
      <w:r>
        <w:rPr>
          <w:rFonts w:ascii="Calibri" w:hAnsi="Calibri" w:cs="Calibri"/>
        </w:rPr>
        <w:t>randomised</w:t>
      </w:r>
      <w:proofErr w:type="spellEnd"/>
      <w:r>
        <w:rPr>
          <w:rFonts w:ascii="Calibri" w:hAnsi="Calibri" w:cs="Calibri"/>
        </w:rPr>
        <w:t xml:space="preserve"> trial. Lancet Diabetes Endocrinol. 2019 Jun 10. </w:t>
      </w:r>
      <w:proofErr w:type="spellStart"/>
      <w:r>
        <w:rPr>
          <w:rFonts w:ascii="Calibri" w:hAnsi="Calibri" w:cs="Calibri"/>
        </w:rPr>
        <w:t>pii</w:t>
      </w:r>
      <w:proofErr w:type="spellEnd"/>
      <w:r>
        <w:rPr>
          <w:rFonts w:ascii="Calibri" w:hAnsi="Calibri" w:cs="Calibri"/>
        </w:rPr>
        <w:t xml:space="preserve">: S2213-8587(19)30180-9. </w:t>
      </w:r>
    </w:p>
    <w:p w14:paraId="2DE30C86" w14:textId="3BF2148D" w:rsidR="00B713AA" w:rsidRPr="00B713AA" w:rsidRDefault="00B713AA" w:rsidP="00131005">
      <w:pPr>
        <w:pStyle w:val="ListParagraph"/>
        <w:numPr>
          <w:ilvl w:val="0"/>
          <w:numId w:val="1"/>
        </w:numPr>
        <w:spacing w:after="120" w:line="360" w:lineRule="auto"/>
        <w:rPr>
          <w:rFonts w:ascii="Calibri" w:hAnsi="Calibri" w:cs="Calibri"/>
        </w:rPr>
      </w:pPr>
      <w:r w:rsidRPr="00B713AA">
        <w:rPr>
          <w:rFonts w:ascii="Calibri" w:hAnsi="Calibri" w:cs="Calibri"/>
        </w:rPr>
        <w:t xml:space="preserve">Wiviott SD, Raz I, Bonaca MP, Mosenzon O, Kato ET, Cahn A, Silverman MG, </w:t>
      </w:r>
      <w:proofErr w:type="spellStart"/>
      <w:r w:rsidRPr="00B713AA">
        <w:rPr>
          <w:rFonts w:ascii="Calibri" w:hAnsi="Calibri" w:cs="Calibri"/>
        </w:rPr>
        <w:t>Bansilal</w:t>
      </w:r>
      <w:proofErr w:type="spellEnd"/>
      <w:r w:rsidRPr="00B713AA">
        <w:rPr>
          <w:rFonts w:ascii="Calibri" w:hAnsi="Calibri" w:cs="Calibri"/>
        </w:rPr>
        <w:t xml:space="preserve"> S, Bhatt DL, Leiter LA, McGuire DK, Wilding JP, Gause-Nilsson IA, Langkilde AM, Johansson PA, Sabatine MS. The design and rationale for the Dapagliflozin Effect on Cardiovascular Events (DECLARE)-TIMI 58 Trial. Am Heart J. </w:t>
      </w:r>
      <w:proofErr w:type="gramStart"/>
      <w:r w:rsidRPr="00B713AA">
        <w:rPr>
          <w:rFonts w:ascii="Calibri" w:hAnsi="Calibri" w:cs="Calibri"/>
        </w:rPr>
        <w:t>2018;200:83</w:t>
      </w:r>
      <w:proofErr w:type="gramEnd"/>
      <w:r w:rsidRPr="00B713AA">
        <w:rPr>
          <w:rFonts w:ascii="Calibri" w:hAnsi="Calibri" w:cs="Calibri"/>
        </w:rPr>
        <w:t>-89</w:t>
      </w:r>
    </w:p>
    <w:p w14:paraId="7A643DED" w14:textId="273A39E3" w:rsidR="007417B0" w:rsidRDefault="007417B0" w:rsidP="00DE44F2">
      <w:pPr>
        <w:pStyle w:val="ListParagraph"/>
        <w:numPr>
          <w:ilvl w:val="0"/>
          <w:numId w:val="1"/>
        </w:numPr>
        <w:spacing w:after="120" w:line="360" w:lineRule="auto"/>
      </w:pPr>
      <w:proofErr w:type="spellStart"/>
      <w:r>
        <w:t>Cosentino</w:t>
      </w:r>
      <w:proofErr w:type="spellEnd"/>
      <w:r>
        <w:t xml:space="preserve"> F, Grant PJ, </w:t>
      </w:r>
      <w:proofErr w:type="spellStart"/>
      <w:r>
        <w:t>Aboyans</w:t>
      </w:r>
      <w:proofErr w:type="spellEnd"/>
      <w:r>
        <w:t xml:space="preserve"> V, Bailey CJ, Ceriello A, Delgado V, Federici M, </w:t>
      </w:r>
      <w:proofErr w:type="spellStart"/>
      <w:r>
        <w:t>Filippatos</w:t>
      </w:r>
      <w:proofErr w:type="spellEnd"/>
      <w:r>
        <w:t xml:space="preserve"> G, </w:t>
      </w:r>
      <w:proofErr w:type="spellStart"/>
      <w:r>
        <w:t>Grobbee</w:t>
      </w:r>
      <w:proofErr w:type="spellEnd"/>
      <w:r>
        <w:t xml:space="preserve"> DE, Hansen TB, </w:t>
      </w:r>
      <w:proofErr w:type="spellStart"/>
      <w:r>
        <w:t>Huikuri</w:t>
      </w:r>
      <w:proofErr w:type="spellEnd"/>
      <w:r>
        <w:t xml:space="preserve"> H</w:t>
      </w:r>
      <w:r w:rsidR="00131005">
        <w:t xml:space="preserve">V, Johansson I, </w:t>
      </w:r>
      <w:proofErr w:type="spellStart"/>
      <w:r w:rsidR="00131005">
        <w:t>Jüni</w:t>
      </w:r>
      <w:proofErr w:type="spellEnd"/>
      <w:r w:rsidR="00131005">
        <w:t xml:space="preserve"> P, </w:t>
      </w:r>
      <w:proofErr w:type="spellStart"/>
      <w:r w:rsidR="00131005">
        <w:t>Lettino</w:t>
      </w:r>
      <w:proofErr w:type="spellEnd"/>
      <w:r>
        <w:t xml:space="preserve"> M, Marx N, </w:t>
      </w:r>
      <w:proofErr w:type="spellStart"/>
      <w:r>
        <w:t>Mellbin</w:t>
      </w:r>
      <w:proofErr w:type="spellEnd"/>
      <w:r>
        <w:t xml:space="preserve"> LG, </w:t>
      </w:r>
      <w:proofErr w:type="spellStart"/>
      <w:r>
        <w:t>Östgren</w:t>
      </w:r>
      <w:proofErr w:type="spellEnd"/>
      <w:r>
        <w:t xml:space="preserve"> CJ, Rocca B, </w:t>
      </w:r>
      <w:proofErr w:type="spellStart"/>
      <w:r>
        <w:t>Roffi</w:t>
      </w:r>
      <w:proofErr w:type="spellEnd"/>
      <w:r>
        <w:t xml:space="preserve"> M, Sattar N, </w:t>
      </w:r>
      <w:proofErr w:type="spellStart"/>
      <w:r>
        <w:t>Seferović</w:t>
      </w:r>
      <w:proofErr w:type="spellEnd"/>
      <w:r>
        <w:t xml:space="preserve"> PM, Sousa-</w:t>
      </w:r>
      <w:proofErr w:type="spellStart"/>
      <w:r>
        <w:t>Uva</w:t>
      </w:r>
      <w:proofErr w:type="spellEnd"/>
      <w:r>
        <w:t xml:space="preserve"> M, </w:t>
      </w:r>
      <w:proofErr w:type="spellStart"/>
      <w:r>
        <w:t>Valensi</w:t>
      </w:r>
      <w:proofErr w:type="spellEnd"/>
      <w:r>
        <w:t xml:space="preserve"> P, Wheeler DC; ESC Scientific Document </w:t>
      </w:r>
      <w:proofErr w:type="gramStart"/>
      <w:r>
        <w:t>Group .</w:t>
      </w:r>
      <w:proofErr w:type="gramEnd"/>
      <w:r>
        <w:t xml:space="preserve"> 2019 ESC Guidelines on diabetes, pre-diabetes, and cardiovascular diseases developed in collaboration with the EASD. Eur Heart J. 2019 Aug 31</w:t>
      </w:r>
    </w:p>
    <w:p w14:paraId="72A8B7B6" w14:textId="77777777" w:rsidR="00A20148" w:rsidRPr="00A20148" w:rsidRDefault="00A20148" w:rsidP="00DE44F2">
      <w:pPr>
        <w:pStyle w:val="ListParagraph"/>
        <w:numPr>
          <w:ilvl w:val="0"/>
          <w:numId w:val="1"/>
        </w:numPr>
        <w:spacing w:after="120" w:line="360" w:lineRule="auto"/>
        <w:rPr>
          <w:rFonts w:ascii="Calibri" w:hAnsi="Calibri" w:cs="Calibri"/>
        </w:rPr>
      </w:pPr>
      <w:r w:rsidRPr="00A20148">
        <w:rPr>
          <w:rFonts w:ascii="Calibri" w:hAnsi="Calibri" w:cs="Calibri"/>
        </w:rPr>
        <w:t>American Diabetes Association. 9. Pharmacologic Approaches to Glycemic Treatment: Standards of Medical Care in Diabetes-2020. Diabetes Care. 2020;43(Suppl 1</w:t>
      </w:r>
      <w:proofErr w:type="gramStart"/>
      <w:r w:rsidRPr="00A20148">
        <w:rPr>
          <w:rFonts w:ascii="Calibri" w:hAnsi="Calibri" w:cs="Calibri"/>
        </w:rPr>
        <w:t>):S</w:t>
      </w:r>
      <w:proofErr w:type="gramEnd"/>
      <w:r w:rsidRPr="00A20148">
        <w:rPr>
          <w:rFonts w:ascii="Calibri" w:hAnsi="Calibri" w:cs="Calibri"/>
        </w:rPr>
        <w:t>98-S110</w:t>
      </w:r>
    </w:p>
    <w:p w14:paraId="7035BE2F" w14:textId="0FF38243" w:rsidR="00EE48CC" w:rsidRDefault="00EE48CC" w:rsidP="00131005">
      <w:pPr>
        <w:pStyle w:val="ListParagraph"/>
        <w:numPr>
          <w:ilvl w:val="0"/>
          <w:numId w:val="1"/>
        </w:numPr>
        <w:spacing w:after="120" w:line="360" w:lineRule="auto"/>
      </w:pPr>
      <w:r w:rsidRPr="00EE48CC">
        <w:t xml:space="preserve">Arnett DK, Blumenthal RS, Albert MA, </w:t>
      </w:r>
      <w:proofErr w:type="spellStart"/>
      <w:r w:rsidRPr="00EE48CC">
        <w:t>Buroker</w:t>
      </w:r>
      <w:proofErr w:type="spellEnd"/>
      <w:r w:rsidRPr="00EE48CC">
        <w:t xml:space="preserve"> AB, Goldberger ZD, Hahn EJ, Himmelfarb CD, </w:t>
      </w:r>
      <w:proofErr w:type="spellStart"/>
      <w:r w:rsidRPr="00EE48CC">
        <w:t>Khera</w:t>
      </w:r>
      <w:proofErr w:type="spellEnd"/>
      <w:r w:rsidRPr="00EE48CC">
        <w:t xml:space="preserve"> A, Lloyd-Jones D, McEvoy JW, </w:t>
      </w:r>
      <w:proofErr w:type="spellStart"/>
      <w:r w:rsidRPr="00EE48CC">
        <w:t>Michos</w:t>
      </w:r>
      <w:proofErr w:type="spellEnd"/>
      <w:r w:rsidRPr="00EE48CC">
        <w:t xml:space="preserve"> ED, </w:t>
      </w:r>
      <w:proofErr w:type="spellStart"/>
      <w:r w:rsidRPr="00EE48CC">
        <w:t>Miedema</w:t>
      </w:r>
      <w:proofErr w:type="spellEnd"/>
      <w:r w:rsidRPr="00EE48CC">
        <w:t xml:space="preserve"> MD, Muñoz D, Smith SC Jr, Virani SS, Williams KA Sr, Yeboah J, </w:t>
      </w:r>
      <w:proofErr w:type="spellStart"/>
      <w:r w:rsidRPr="00EE48CC">
        <w:t>Ziaeian</w:t>
      </w:r>
      <w:proofErr w:type="spellEnd"/>
      <w:r w:rsidRPr="00EE48CC">
        <w:t xml:space="preserve"> B. 2019 ACC/AHA Guideline on the Primary Prevention of Cardiovascular Disease: A Report of the American College of Cardiology/American Heart Association Task Force on Clinical Practice Guid</w:t>
      </w:r>
      <w:r w:rsidR="00131005">
        <w:t xml:space="preserve">elines. J Am Coll </w:t>
      </w:r>
      <w:proofErr w:type="spellStart"/>
      <w:r w:rsidR="00131005">
        <w:t>Cardiol</w:t>
      </w:r>
      <w:proofErr w:type="spellEnd"/>
      <w:r w:rsidR="00131005">
        <w:t>. 2019</w:t>
      </w:r>
      <w:r w:rsidRPr="00EE48CC">
        <w:t>;74(10</w:t>
      </w:r>
      <w:proofErr w:type="gramStart"/>
      <w:r w:rsidRPr="00EE48CC">
        <w:t>):e</w:t>
      </w:r>
      <w:proofErr w:type="gramEnd"/>
      <w:r w:rsidRPr="00EE48CC">
        <w:t xml:space="preserve">177-e232. </w:t>
      </w:r>
    </w:p>
    <w:p w14:paraId="4D9CC2D1" w14:textId="1CD69C45" w:rsidR="007417B0" w:rsidRPr="00EE48CC" w:rsidRDefault="007417B0" w:rsidP="00DE44F2">
      <w:pPr>
        <w:pStyle w:val="ListParagraph"/>
        <w:numPr>
          <w:ilvl w:val="0"/>
          <w:numId w:val="1"/>
        </w:numPr>
        <w:spacing w:after="120" w:line="360" w:lineRule="auto"/>
      </w:pPr>
      <w:r w:rsidRPr="00EE48CC">
        <w:lastRenderedPageBreak/>
        <w:t xml:space="preserve">Gaede P, Lund-Andersen H, </w:t>
      </w:r>
      <w:proofErr w:type="spellStart"/>
      <w:r w:rsidRPr="00EE48CC">
        <w:t>Parving</w:t>
      </w:r>
      <w:proofErr w:type="spellEnd"/>
      <w:r w:rsidRPr="00EE48CC">
        <w:t xml:space="preserve"> HH, Pedersen O. Effect of a multifactorial intervention on mortality in type 2 diabetes. N </w:t>
      </w:r>
      <w:proofErr w:type="spellStart"/>
      <w:r w:rsidRPr="00EE48CC">
        <w:t>Engl</w:t>
      </w:r>
      <w:proofErr w:type="spellEnd"/>
      <w:r w:rsidRPr="00EE48CC">
        <w:t xml:space="preserve"> J Med. 2008;358(6):580-91</w:t>
      </w:r>
    </w:p>
    <w:p w14:paraId="11EAB5F4" w14:textId="77777777" w:rsidR="00A20148" w:rsidRPr="00A20148" w:rsidRDefault="00A20148" w:rsidP="00DE44F2">
      <w:pPr>
        <w:pStyle w:val="ListParagraph"/>
        <w:numPr>
          <w:ilvl w:val="0"/>
          <w:numId w:val="1"/>
        </w:numPr>
        <w:spacing w:after="120" w:line="360" w:lineRule="auto"/>
        <w:rPr>
          <w:rFonts w:ascii="Calibri" w:hAnsi="Calibri" w:cs="Calibri"/>
        </w:rPr>
      </w:pPr>
      <w:proofErr w:type="spellStart"/>
      <w:r w:rsidRPr="00A20148">
        <w:t>Zoungas</w:t>
      </w:r>
      <w:proofErr w:type="spellEnd"/>
      <w:r w:rsidRPr="00A20148">
        <w:t xml:space="preserve"> S, Arima H, Gerstein HC, Holman RR, Woodward M, </w:t>
      </w:r>
      <w:proofErr w:type="spellStart"/>
      <w:r w:rsidRPr="00A20148">
        <w:t>Reaven</w:t>
      </w:r>
      <w:proofErr w:type="spellEnd"/>
      <w:r w:rsidRPr="00A20148">
        <w:t xml:space="preserve"> P, Hayward RA, Craven T, Coleman RL, Chalmers J; Collaborators on Trials of Lowering Glucose (CONTROL) group. Effects of intensive glucose control on microvascular outcomes in patients with type 2 diabetes: a meta-analysis of individual participant data from </w:t>
      </w:r>
      <w:proofErr w:type="spellStart"/>
      <w:r w:rsidRPr="00A20148">
        <w:t>randomised</w:t>
      </w:r>
      <w:proofErr w:type="spellEnd"/>
      <w:r w:rsidRPr="00A20148">
        <w:t xml:space="preserve"> controlled trials. Lancet Diabetes Endocrinol. 2017 Jun;5(6):431-437</w:t>
      </w:r>
    </w:p>
    <w:p w14:paraId="745305F0" w14:textId="77777777" w:rsidR="002878F4" w:rsidRDefault="002878F4" w:rsidP="00DE44F2">
      <w:pPr>
        <w:pStyle w:val="ListParagraph"/>
        <w:numPr>
          <w:ilvl w:val="0"/>
          <w:numId w:val="1"/>
        </w:numPr>
        <w:spacing w:after="120" w:line="360" w:lineRule="auto"/>
        <w:rPr>
          <w:rFonts w:ascii="Calibri" w:hAnsi="Calibri" w:cs="Calibri"/>
        </w:rPr>
      </w:pPr>
      <w:proofErr w:type="spellStart"/>
      <w:r w:rsidRPr="00A20148">
        <w:t>Rawshani</w:t>
      </w:r>
      <w:proofErr w:type="spellEnd"/>
      <w:r>
        <w:rPr>
          <w:rFonts w:ascii="Calibri" w:hAnsi="Calibri" w:cs="Calibri"/>
        </w:rPr>
        <w:t xml:space="preserve"> A, </w:t>
      </w:r>
      <w:proofErr w:type="spellStart"/>
      <w:r>
        <w:rPr>
          <w:rFonts w:ascii="Calibri" w:hAnsi="Calibri" w:cs="Calibri"/>
        </w:rPr>
        <w:t>Rawshani</w:t>
      </w:r>
      <w:proofErr w:type="spellEnd"/>
      <w:r>
        <w:rPr>
          <w:rFonts w:ascii="Calibri" w:hAnsi="Calibri" w:cs="Calibri"/>
        </w:rPr>
        <w:t xml:space="preserve"> A, </w:t>
      </w:r>
      <w:proofErr w:type="spellStart"/>
      <w:r>
        <w:rPr>
          <w:rFonts w:ascii="Calibri" w:hAnsi="Calibri" w:cs="Calibri"/>
        </w:rPr>
        <w:t>Franzén</w:t>
      </w:r>
      <w:proofErr w:type="spellEnd"/>
      <w:r>
        <w:rPr>
          <w:rFonts w:ascii="Calibri" w:hAnsi="Calibri" w:cs="Calibri"/>
        </w:rPr>
        <w:t xml:space="preserve"> S, Sattar N, Eliasson B, </w:t>
      </w:r>
      <w:proofErr w:type="spellStart"/>
      <w:r>
        <w:rPr>
          <w:rFonts w:ascii="Calibri" w:hAnsi="Calibri" w:cs="Calibri"/>
        </w:rPr>
        <w:t>Svensson</w:t>
      </w:r>
      <w:proofErr w:type="spellEnd"/>
      <w:r>
        <w:rPr>
          <w:rFonts w:ascii="Calibri" w:hAnsi="Calibri" w:cs="Calibri"/>
        </w:rPr>
        <w:t xml:space="preserve"> AM, </w:t>
      </w:r>
      <w:proofErr w:type="spellStart"/>
      <w:r>
        <w:rPr>
          <w:rFonts w:ascii="Calibri" w:hAnsi="Calibri" w:cs="Calibri"/>
        </w:rPr>
        <w:t>Zethelius</w:t>
      </w:r>
      <w:proofErr w:type="spellEnd"/>
      <w:r>
        <w:rPr>
          <w:rFonts w:ascii="Calibri" w:hAnsi="Calibri" w:cs="Calibri"/>
        </w:rPr>
        <w:t xml:space="preserve"> B, </w:t>
      </w:r>
      <w:proofErr w:type="spellStart"/>
      <w:r>
        <w:rPr>
          <w:rFonts w:ascii="Calibri" w:hAnsi="Calibri" w:cs="Calibri"/>
        </w:rPr>
        <w:t>Miftaraj</w:t>
      </w:r>
      <w:proofErr w:type="spellEnd"/>
      <w:r>
        <w:rPr>
          <w:rFonts w:ascii="Calibri" w:hAnsi="Calibri" w:cs="Calibri"/>
        </w:rPr>
        <w:t xml:space="preserve"> M, McGuire DK, Rosengren A, </w:t>
      </w:r>
      <w:proofErr w:type="spellStart"/>
      <w:r>
        <w:rPr>
          <w:rFonts w:ascii="Calibri" w:hAnsi="Calibri" w:cs="Calibri"/>
        </w:rPr>
        <w:t>Gudbjörnsdottir</w:t>
      </w:r>
      <w:proofErr w:type="spellEnd"/>
      <w:r>
        <w:rPr>
          <w:rFonts w:ascii="Calibri" w:hAnsi="Calibri" w:cs="Calibri"/>
        </w:rPr>
        <w:t xml:space="preserve"> S. Risk Factors, Mortality, and Cardiovascular Outcomes in Patients with Type 2 Diabetes. N </w:t>
      </w:r>
      <w:proofErr w:type="spellStart"/>
      <w:r>
        <w:rPr>
          <w:rFonts w:ascii="Calibri" w:hAnsi="Calibri" w:cs="Calibri"/>
        </w:rPr>
        <w:t>Engl</w:t>
      </w:r>
      <w:proofErr w:type="spellEnd"/>
      <w:r>
        <w:rPr>
          <w:rFonts w:ascii="Calibri" w:hAnsi="Calibri" w:cs="Calibri"/>
        </w:rPr>
        <w:t xml:space="preserve"> J Med. 2018;379(7):633-644</w:t>
      </w:r>
    </w:p>
    <w:p w14:paraId="3017C026" w14:textId="205EB8C4" w:rsidR="007F3592" w:rsidRPr="007F3592" w:rsidRDefault="007F3592" w:rsidP="00542725">
      <w:pPr>
        <w:pStyle w:val="ListParagraph"/>
        <w:numPr>
          <w:ilvl w:val="0"/>
          <w:numId w:val="1"/>
        </w:numPr>
        <w:spacing w:after="120" w:line="360" w:lineRule="auto"/>
      </w:pPr>
      <w:r w:rsidRPr="007F3592">
        <w:t xml:space="preserve">Holman RR, Paul SK, Bethel MA, Matthews DR, Neil HA. 10-year follow-up of intensive glucose control in type 2 diabetes. N </w:t>
      </w:r>
      <w:proofErr w:type="spellStart"/>
      <w:r w:rsidRPr="007F3592">
        <w:t>Engl</w:t>
      </w:r>
      <w:proofErr w:type="spellEnd"/>
      <w:r w:rsidRPr="007F3592">
        <w:t xml:space="preserve"> J Med. 2008;359(15):1577-89</w:t>
      </w:r>
    </w:p>
    <w:p w14:paraId="1A33444E" w14:textId="738AAA77" w:rsidR="00276953" w:rsidRPr="007F3592" w:rsidRDefault="00276953" w:rsidP="00542725">
      <w:pPr>
        <w:pStyle w:val="ListParagraph"/>
        <w:numPr>
          <w:ilvl w:val="0"/>
          <w:numId w:val="1"/>
        </w:numPr>
        <w:spacing w:after="120" w:line="360" w:lineRule="auto"/>
      </w:pPr>
      <w:r w:rsidRPr="007F3592">
        <w:t xml:space="preserve">Ray KK, </w:t>
      </w:r>
      <w:proofErr w:type="spellStart"/>
      <w:r w:rsidRPr="007F3592">
        <w:t>Seshasai</w:t>
      </w:r>
      <w:proofErr w:type="spellEnd"/>
      <w:r w:rsidRPr="007F3592">
        <w:t xml:space="preserve"> SR, </w:t>
      </w:r>
      <w:proofErr w:type="spellStart"/>
      <w:r w:rsidRPr="007F3592">
        <w:t>Wijesuriya</w:t>
      </w:r>
      <w:proofErr w:type="spellEnd"/>
      <w:r w:rsidRPr="007F3592">
        <w:t xml:space="preserve"> S, </w:t>
      </w:r>
      <w:proofErr w:type="spellStart"/>
      <w:r w:rsidRPr="007F3592">
        <w:t>Sivakumaran</w:t>
      </w:r>
      <w:proofErr w:type="spellEnd"/>
      <w:r w:rsidRPr="007F3592">
        <w:t xml:space="preserve"> R, Nethercott S, Preiss D, </w:t>
      </w:r>
      <w:proofErr w:type="spellStart"/>
      <w:r w:rsidRPr="007F3592">
        <w:t>Erqou</w:t>
      </w:r>
      <w:proofErr w:type="spellEnd"/>
      <w:r w:rsidRPr="007F3592">
        <w:t xml:space="preserve"> S, Sattar N. Effect of intensive control of glucose on cardiovascular outcomes and death in patients with diabetes mellitus: a meta-analysis of </w:t>
      </w:r>
      <w:proofErr w:type="spellStart"/>
      <w:r w:rsidRPr="007F3592">
        <w:t>randomised</w:t>
      </w:r>
      <w:proofErr w:type="spellEnd"/>
      <w:r w:rsidRPr="007F3592">
        <w:t xml:space="preserve"> controlled trials. Lancet. 2009 23;373(9677):1765-72</w:t>
      </w:r>
    </w:p>
    <w:p w14:paraId="2F66661F" w14:textId="38DB9292" w:rsidR="00542725" w:rsidRPr="00542725" w:rsidRDefault="00542725" w:rsidP="00542725">
      <w:pPr>
        <w:pStyle w:val="ListParagraph"/>
        <w:numPr>
          <w:ilvl w:val="0"/>
          <w:numId w:val="1"/>
        </w:numPr>
        <w:spacing w:after="120" w:line="360" w:lineRule="auto"/>
      </w:pPr>
      <w:r w:rsidRPr="00542725">
        <w:t>Sattar N, McGuire DK. Pathways to Cardiorenal Complications in Type 2 Diabetes Mellitus: A Need to Rethink. Circulation. 2018;138(1):7-9</w:t>
      </w:r>
    </w:p>
    <w:p w14:paraId="3BD0174A" w14:textId="3EF525CC" w:rsidR="001A6A46" w:rsidRPr="00542725" w:rsidRDefault="001A6A46" w:rsidP="00542725">
      <w:pPr>
        <w:pStyle w:val="ListParagraph"/>
        <w:numPr>
          <w:ilvl w:val="0"/>
          <w:numId w:val="1"/>
        </w:numPr>
        <w:spacing w:after="120" w:line="360" w:lineRule="auto"/>
      </w:pPr>
      <w:proofErr w:type="spellStart"/>
      <w:r w:rsidRPr="00542725">
        <w:t>Afkarian</w:t>
      </w:r>
      <w:proofErr w:type="spellEnd"/>
      <w:r w:rsidRPr="00542725">
        <w:t xml:space="preserve"> M, Sachs MC, Kestenbaum B, Hirsch IB, Tuttle KR, Himmelfarb J, de Boer IH. Kidney disease and increased mortality risk in type 2 diabetes. J Am Soc </w:t>
      </w:r>
      <w:proofErr w:type="spellStart"/>
      <w:r w:rsidRPr="00542725">
        <w:t>Nephrol</w:t>
      </w:r>
      <w:proofErr w:type="spellEnd"/>
      <w:r w:rsidRPr="00542725">
        <w:t xml:space="preserve">. 2013;24(2):302-8 </w:t>
      </w:r>
    </w:p>
    <w:p w14:paraId="391A3924" w14:textId="35B56F5C" w:rsidR="002878F4" w:rsidRDefault="002878F4" w:rsidP="00542725">
      <w:pPr>
        <w:pStyle w:val="ListParagraph"/>
        <w:numPr>
          <w:ilvl w:val="0"/>
          <w:numId w:val="1"/>
        </w:numPr>
        <w:spacing w:after="120" w:line="360" w:lineRule="auto"/>
        <w:rPr>
          <w:rFonts w:ascii="Calibri" w:hAnsi="Calibri" w:cs="Calibri"/>
        </w:rPr>
      </w:pPr>
      <w:r>
        <w:rPr>
          <w:rFonts w:ascii="Calibri" w:hAnsi="Calibri" w:cs="Calibri"/>
        </w:rPr>
        <w:t xml:space="preserve">Scirica BM, Mosenzon O, Bhatt DL, </w:t>
      </w:r>
      <w:proofErr w:type="spellStart"/>
      <w:r>
        <w:rPr>
          <w:rFonts w:ascii="Calibri" w:hAnsi="Calibri" w:cs="Calibri"/>
        </w:rPr>
        <w:t>Udell</w:t>
      </w:r>
      <w:proofErr w:type="spellEnd"/>
      <w:r>
        <w:rPr>
          <w:rFonts w:ascii="Calibri" w:hAnsi="Calibri" w:cs="Calibri"/>
        </w:rPr>
        <w:t xml:space="preserve"> JA, Steg PG, McGuire DK, Im K, </w:t>
      </w:r>
      <w:proofErr w:type="spellStart"/>
      <w:r>
        <w:rPr>
          <w:rFonts w:ascii="Calibri" w:hAnsi="Calibri" w:cs="Calibri"/>
        </w:rPr>
        <w:t>Kanevsky</w:t>
      </w:r>
      <w:proofErr w:type="spellEnd"/>
      <w:r>
        <w:rPr>
          <w:rFonts w:ascii="Calibri" w:hAnsi="Calibri" w:cs="Calibri"/>
        </w:rPr>
        <w:t xml:space="preserve"> E, </w:t>
      </w:r>
      <w:proofErr w:type="spellStart"/>
      <w:r>
        <w:rPr>
          <w:rFonts w:ascii="Calibri" w:hAnsi="Calibri" w:cs="Calibri"/>
        </w:rPr>
        <w:t>Stahre</w:t>
      </w:r>
      <w:proofErr w:type="spellEnd"/>
      <w:r>
        <w:rPr>
          <w:rFonts w:ascii="Calibri" w:hAnsi="Calibri" w:cs="Calibri"/>
        </w:rPr>
        <w:t xml:space="preserve"> C, </w:t>
      </w:r>
      <w:proofErr w:type="spellStart"/>
      <w:r>
        <w:rPr>
          <w:rFonts w:ascii="Calibri" w:hAnsi="Calibri" w:cs="Calibri"/>
        </w:rPr>
        <w:t>Sjöstrand</w:t>
      </w:r>
      <w:proofErr w:type="spellEnd"/>
      <w:r>
        <w:rPr>
          <w:rFonts w:ascii="Calibri" w:hAnsi="Calibri" w:cs="Calibri"/>
        </w:rPr>
        <w:t xml:space="preserve"> M, Raz I, Braunwald E. Cardiovascular Outcomes According to Urinary Albumin and Kidney Disease in Patients </w:t>
      </w:r>
      <w:proofErr w:type="gramStart"/>
      <w:r>
        <w:rPr>
          <w:rFonts w:ascii="Calibri" w:hAnsi="Calibri" w:cs="Calibri"/>
        </w:rPr>
        <w:t>With</w:t>
      </w:r>
      <w:proofErr w:type="gramEnd"/>
      <w:r>
        <w:rPr>
          <w:rFonts w:ascii="Calibri" w:hAnsi="Calibri" w:cs="Calibri"/>
        </w:rPr>
        <w:t xml:space="preserve"> Type 2 Diabetes at High Cardiovascular Risk: Observations From the SAVOR-TIMI 53 Trial. JAMA </w:t>
      </w:r>
      <w:proofErr w:type="spellStart"/>
      <w:r>
        <w:rPr>
          <w:rFonts w:ascii="Calibri" w:hAnsi="Calibri" w:cs="Calibri"/>
        </w:rPr>
        <w:t>Cardiol</w:t>
      </w:r>
      <w:proofErr w:type="spellEnd"/>
      <w:r>
        <w:rPr>
          <w:rFonts w:ascii="Calibri" w:hAnsi="Calibri" w:cs="Calibri"/>
        </w:rPr>
        <w:t>. 2018;3(2):155-163</w:t>
      </w:r>
    </w:p>
    <w:p w14:paraId="3E0EE9F4" w14:textId="77777777" w:rsidR="002878F4" w:rsidRDefault="002878F4" w:rsidP="00DE44F2">
      <w:pPr>
        <w:pStyle w:val="ListParagraph"/>
        <w:numPr>
          <w:ilvl w:val="0"/>
          <w:numId w:val="1"/>
        </w:numPr>
        <w:spacing w:after="120" w:line="360" w:lineRule="auto"/>
      </w:pPr>
      <w:r>
        <w:t xml:space="preserve">Perkovic V, de </w:t>
      </w:r>
      <w:proofErr w:type="spellStart"/>
      <w:r>
        <w:t>Zeeuw</w:t>
      </w:r>
      <w:proofErr w:type="spellEnd"/>
      <w:r>
        <w:t xml:space="preserve"> D, Mahaffey KW, et al. Canagliflozin and renal outcomes in type 2 diabetes: results from the CANVAS Program </w:t>
      </w:r>
      <w:proofErr w:type="spellStart"/>
      <w:r>
        <w:t>randomised</w:t>
      </w:r>
      <w:proofErr w:type="spellEnd"/>
      <w:r>
        <w:t xml:space="preserve"> clinical trials. Lancet Diabetes Endocrinol. 2018 Sep;6(9):691-704.</w:t>
      </w:r>
    </w:p>
    <w:p w14:paraId="5D32013E" w14:textId="77777777" w:rsidR="002878F4" w:rsidRDefault="002878F4" w:rsidP="00DE44F2">
      <w:pPr>
        <w:pStyle w:val="ListParagraph"/>
        <w:numPr>
          <w:ilvl w:val="0"/>
          <w:numId w:val="1"/>
        </w:numPr>
        <w:spacing w:after="120" w:line="360" w:lineRule="auto"/>
      </w:pPr>
      <w:proofErr w:type="spellStart"/>
      <w:r>
        <w:t>Giugliano</w:t>
      </w:r>
      <w:proofErr w:type="spellEnd"/>
      <w:r>
        <w:t xml:space="preserve"> D, De Nicola L, </w:t>
      </w:r>
      <w:proofErr w:type="spellStart"/>
      <w:r>
        <w:t>Maiorino</w:t>
      </w:r>
      <w:proofErr w:type="spellEnd"/>
      <w:r>
        <w:t xml:space="preserve"> MI, et al. Type 2 diabetes and the kidney: Insights from cardiovascular outcome trials. Diabetes </w:t>
      </w:r>
      <w:proofErr w:type="spellStart"/>
      <w:r>
        <w:t>Obes</w:t>
      </w:r>
      <w:proofErr w:type="spellEnd"/>
      <w:r>
        <w:t xml:space="preserve"> </w:t>
      </w:r>
      <w:proofErr w:type="spellStart"/>
      <w:r>
        <w:t>Metab</w:t>
      </w:r>
      <w:proofErr w:type="spellEnd"/>
      <w:r>
        <w:t>. 2019 Aug;21(8):1790-1800</w:t>
      </w:r>
    </w:p>
    <w:p w14:paraId="1312EC3A" w14:textId="149271B0" w:rsidR="002878F4" w:rsidRDefault="002878F4" w:rsidP="00DE44F2">
      <w:pPr>
        <w:pStyle w:val="ListParagraph"/>
        <w:numPr>
          <w:ilvl w:val="0"/>
          <w:numId w:val="1"/>
        </w:numPr>
        <w:spacing w:after="120" w:line="360" w:lineRule="auto"/>
      </w:pPr>
      <w:r w:rsidRPr="00F57B80">
        <w:rPr>
          <w:rFonts w:ascii="Calibri" w:hAnsi="Calibri" w:cs="Calibri"/>
          <w:lang w:val="sv-SE"/>
        </w:rPr>
        <w:t xml:space="preserve">Lytvyn Y, Bjornstad P, Udell JA, Lovshin JA, Cherney DZI. </w:t>
      </w:r>
      <w:r w:rsidRPr="00B713AA">
        <w:rPr>
          <w:rFonts w:ascii="Calibri" w:hAnsi="Calibri" w:cs="Calibri"/>
        </w:rPr>
        <w:t>Sodium Glucose Cotransporter-2 Inhibition in Heart Failure: Potential Mechanisms, Clinical Applications, and Summary of Clinical</w:t>
      </w:r>
      <w:r>
        <w:t xml:space="preserve"> Trials. Circulation. 2017;136(17):1643-1658</w:t>
      </w:r>
      <w:r w:rsidR="00AB6B05">
        <w:t>.</w:t>
      </w:r>
    </w:p>
    <w:p w14:paraId="51201FF7" w14:textId="3B5B52CB" w:rsidR="00AB6B05" w:rsidRPr="00AB6B05" w:rsidRDefault="00AB6B05" w:rsidP="00AB6B05">
      <w:pPr>
        <w:pStyle w:val="ListParagraph"/>
        <w:numPr>
          <w:ilvl w:val="0"/>
          <w:numId w:val="1"/>
        </w:numPr>
        <w:spacing w:after="120" w:line="360" w:lineRule="auto"/>
        <w:rPr>
          <w:rFonts w:ascii="Calibri" w:hAnsi="Calibri" w:cs="Calibri"/>
        </w:rPr>
      </w:pPr>
      <w:r w:rsidRPr="00542725">
        <w:rPr>
          <w:rFonts w:ascii="Calibri" w:hAnsi="Calibri" w:cs="Calibri"/>
        </w:rPr>
        <w:lastRenderedPageBreak/>
        <w:t>Standl E, Schnell O, McGuire DK. Heart Failure Considerations of Antihyperglycemic Medications for Type 2 Diabetes. Circ Res. 2016 May 27;118(11):1830-43</w:t>
      </w:r>
    </w:p>
    <w:p w14:paraId="4DBDDD95" w14:textId="72A80365" w:rsidR="00593FE8" w:rsidRDefault="00593FE8" w:rsidP="00DE44F2">
      <w:pPr>
        <w:pStyle w:val="ListParagraph"/>
        <w:numPr>
          <w:ilvl w:val="0"/>
          <w:numId w:val="1"/>
        </w:numPr>
        <w:spacing w:after="120" w:line="360" w:lineRule="auto"/>
        <w:rPr>
          <w:rFonts w:ascii="Calibri" w:hAnsi="Calibri" w:cs="Calibri"/>
        </w:rPr>
      </w:pPr>
      <w:proofErr w:type="spellStart"/>
      <w:r w:rsidRPr="00250734">
        <w:rPr>
          <w:rFonts w:ascii="Calibri" w:hAnsi="Calibri" w:cs="Calibri"/>
        </w:rPr>
        <w:t>Giugliano</w:t>
      </w:r>
      <w:proofErr w:type="spellEnd"/>
      <w:r w:rsidRPr="00250734">
        <w:rPr>
          <w:rFonts w:ascii="Calibri" w:hAnsi="Calibri" w:cs="Calibri"/>
        </w:rPr>
        <w:t xml:space="preserve"> D, </w:t>
      </w:r>
      <w:proofErr w:type="spellStart"/>
      <w:r w:rsidRPr="00250734">
        <w:rPr>
          <w:rFonts w:ascii="Calibri" w:hAnsi="Calibri" w:cs="Calibri"/>
        </w:rPr>
        <w:t>Maiorino</w:t>
      </w:r>
      <w:proofErr w:type="spellEnd"/>
      <w:r w:rsidRPr="00250734">
        <w:rPr>
          <w:rFonts w:ascii="Calibri" w:hAnsi="Calibri" w:cs="Calibri"/>
        </w:rPr>
        <w:t xml:space="preserve"> MI, </w:t>
      </w:r>
      <w:proofErr w:type="spellStart"/>
      <w:r w:rsidRPr="00250734">
        <w:rPr>
          <w:rFonts w:ascii="Calibri" w:hAnsi="Calibri" w:cs="Calibri"/>
        </w:rPr>
        <w:t>Bellastella</w:t>
      </w:r>
      <w:proofErr w:type="spellEnd"/>
      <w:r w:rsidRPr="00250734">
        <w:rPr>
          <w:rFonts w:ascii="Calibri" w:hAnsi="Calibri" w:cs="Calibri"/>
        </w:rPr>
        <w:t xml:space="preserve"> G, Longo M, </w:t>
      </w:r>
      <w:proofErr w:type="spellStart"/>
      <w:r w:rsidRPr="00250734">
        <w:rPr>
          <w:rFonts w:ascii="Calibri" w:hAnsi="Calibri" w:cs="Calibri"/>
        </w:rPr>
        <w:t>Chiodini</w:t>
      </w:r>
      <w:proofErr w:type="spellEnd"/>
      <w:r w:rsidRPr="00250734">
        <w:rPr>
          <w:rFonts w:ascii="Calibri" w:hAnsi="Calibri" w:cs="Calibri"/>
        </w:rPr>
        <w:t xml:space="preserve"> P, Esposito K. GLP-1 receptor agonists for prevention of cardiorenal outcomes in type 2 diabetes: An updated meta-analysis including the REWIND and PIONEER 6 trials. Diabetes </w:t>
      </w:r>
      <w:proofErr w:type="spellStart"/>
      <w:r w:rsidRPr="00250734">
        <w:rPr>
          <w:rFonts w:ascii="Calibri" w:hAnsi="Calibri" w:cs="Calibri"/>
        </w:rPr>
        <w:t>Obes</w:t>
      </w:r>
      <w:proofErr w:type="spellEnd"/>
      <w:r w:rsidRPr="00250734">
        <w:rPr>
          <w:rFonts w:ascii="Calibri" w:hAnsi="Calibri" w:cs="Calibri"/>
        </w:rPr>
        <w:t xml:space="preserve"> </w:t>
      </w:r>
      <w:proofErr w:type="spellStart"/>
      <w:r w:rsidRPr="00250734">
        <w:rPr>
          <w:rFonts w:ascii="Calibri" w:hAnsi="Calibri" w:cs="Calibri"/>
        </w:rPr>
        <w:t>Metab</w:t>
      </w:r>
      <w:proofErr w:type="spellEnd"/>
      <w:r w:rsidRPr="00250734">
        <w:rPr>
          <w:rFonts w:ascii="Calibri" w:hAnsi="Calibri" w:cs="Calibri"/>
        </w:rPr>
        <w:t xml:space="preserve">. 2019 Nov;21(11):2576-2580. </w:t>
      </w:r>
    </w:p>
    <w:p w14:paraId="5BCEF35A" w14:textId="01B0793A" w:rsidR="00131005" w:rsidRPr="00131005" w:rsidRDefault="00131005" w:rsidP="00131005">
      <w:pPr>
        <w:pStyle w:val="ListParagraph"/>
        <w:numPr>
          <w:ilvl w:val="0"/>
          <w:numId w:val="1"/>
        </w:numPr>
        <w:spacing w:after="120" w:line="360" w:lineRule="auto"/>
        <w:rPr>
          <w:rFonts w:ascii="Calibri" w:hAnsi="Calibri" w:cs="Calibri"/>
        </w:rPr>
      </w:pPr>
      <w:r w:rsidRPr="00131005">
        <w:rPr>
          <w:rFonts w:ascii="Calibri" w:hAnsi="Calibri" w:cs="Calibri"/>
        </w:rPr>
        <w:t>Zelniker TA, Wiviott SD, Raz I, Im K, Goodrich EL, Furtado RHM, Bonaca MP, Mosenzon O, Kato ET, Cahn A, Bhatt DL, Leiter LA, McGuire DK, Wilding JPH, Sabatine MS. Comparison of the Effects of Glucagon-Like Peptide Receptor Agonists and Sodium-Glucose Cotransporter 2 Inhibitors for Prevention of Major Adverse Cardiovascular and Renal Outcomes in Type 2 Diabetes Mellitus. Circulation. 2019;139(17):2022-2031</w:t>
      </w:r>
    </w:p>
    <w:p w14:paraId="5D7FADF3" w14:textId="442ECB61" w:rsidR="00593FE8" w:rsidRPr="00593FE8" w:rsidRDefault="00593FE8" w:rsidP="00DE44F2">
      <w:pPr>
        <w:pStyle w:val="ListParagraph"/>
        <w:numPr>
          <w:ilvl w:val="0"/>
          <w:numId w:val="1"/>
        </w:numPr>
        <w:spacing w:after="120" w:line="360" w:lineRule="auto"/>
        <w:rPr>
          <w:rFonts w:ascii="Calibri" w:hAnsi="Calibri" w:cs="Calibri"/>
        </w:rPr>
      </w:pPr>
      <w:r w:rsidRPr="00593FE8">
        <w:rPr>
          <w:rFonts w:ascii="Calibri" w:hAnsi="Calibri" w:cs="Calibri"/>
        </w:rPr>
        <w:t xml:space="preserve">Gerstein HC, Colhoun HM, </w:t>
      </w:r>
      <w:proofErr w:type="spellStart"/>
      <w:r w:rsidRPr="00593FE8">
        <w:rPr>
          <w:rFonts w:ascii="Calibri" w:hAnsi="Calibri" w:cs="Calibri"/>
        </w:rPr>
        <w:t>Dagenais</w:t>
      </w:r>
      <w:proofErr w:type="spellEnd"/>
      <w:r w:rsidRPr="00593FE8">
        <w:rPr>
          <w:rFonts w:ascii="Calibri" w:hAnsi="Calibri" w:cs="Calibri"/>
        </w:rPr>
        <w:t xml:space="preserve"> GR, Diaz R, Lakshmanan M, </w:t>
      </w:r>
      <w:proofErr w:type="spellStart"/>
      <w:r w:rsidRPr="00593FE8">
        <w:rPr>
          <w:rFonts w:ascii="Calibri" w:hAnsi="Calibri" w:cs="Calibri"/>
        </w:rPr>
        <w:t>Pais</w:t>
      </w:r>
      <w:proofErr w:type="spellEnd"/>
      <w:r w:rsidRPr="00593FE8">
        <w:rPr>
          <w:rFonts w:ascii="Calibri" w:hAnsi="Calibri" w:cs="Calibri"/>
        </w:rPr>
        <w:t xml:space="preserve"> P, </w:t>
      </w:r>
      <w:proofErr w:type="spellStart"/>
      <w:r w:rsidRPr="00593FE8">
        <w:rPr>
          <w:rFonts w:ascii="Calibri" w:hAnsi="Calibri" w:cs="Calibri"/>
        </w:rPr>
        <w:t>Probstfield</w:t>
      </w:r>
      <w:proofErr w:type="spellEnd"/>
      <w:r w:rsidRPr="00593FE8">
        <w:rPr>
          <w:rFonts w:ascii="Calibri" w:hAnsi="Calibri" w:cs="Calibri"/>
        </w:rPr>
        <w:t xml:space="preserve"> J, </w:t>
      </w:r>
      <w:proofErr w:type="spellStart"/>
      <w:r w:rsidRPr="00593FE8">
        <w:rPr>
          <w:rFonts w:ascii="Calibri" w:hAnsi="Calibri" w:cs="Calibri"/>
        </w:rPr>
        <w:t>Riesmeyer</w:t>
      </w:r>
      <w:proofErr w:type="spellEnd"/>
      <w:r w:rsidRPr="00593FE8">
        <w:rPr>
          <w:rFonts w:ascii="Calibri" w:hAnsi="Calibri" w:cs="Calibri"/>
        </w:rPr>
        <w:t xml:space="preserve"> JS, Riddle MC, Rydén L, Xavier D, </w:t>
      </w:r>
      <w:proofErr w:type="spellStart"/>
      <w:r w:rsidRPr="00593FE8">
        <w:rPr>
          <w:rFonts w:ascii="Calibri" w:hAnsi="Calibri" w:cs="Calibri"/>
        </w:rPr>
        <w:t>Atisso</w:t>
      </w:r>
      <w:proofErr w:type="spellEnd"/>
      <w:r w:rsidRPr="00593FE8">
        <w:rPr>
          <w:rFonts w:ascii="Calibri" w:hAnsi="Calibri" w:cs="Calibri"/>
        </w:rPr>
        <w:t xml:space="preserve"> CM, </w:t>
      </w:r>
      <w:proofErr w:type="spellStart"/>
      <w:r w:rsidRPr="00593FE8">
        <w:rPr>
          <w:rFonts w:ascii="Calibri" w:hAnsi="Calibri" w:cs="Calibri"/>
        </w:rPr>
        <w:t>Dyal</w:t>
      </w:r>
      <w:proofErr w:type="spellEnd"/>
      <w:r w:rsidRPr="00593FE8">
        <w:rPr>
          <w:rFonts w:ascii="Calibri" w:hAnsi="Calibri" w:cs="Calibri"/>
        </w:rPr>
        <w:t xml:space="preserve"> L, Hall S, Rao-</w:t>
      </w:r>
      <w:proofErr w:type="spellStart"/>
      <w:r w:rsidRPr="00593FE8">
        <w:rPr>
          <w:rFonts w:ascii="Calibri" w:hAnsi="Calibri" w:cs="Calibri"/>
        </w:rPr>
        <w:t>Melacini</w:t>
      </w:r>
      <w:proofErr w:type="spellEnd"/>
      <w:r w:rsidRPr="00593FE8">
        <w:rPr>
          <w:rFonts w:ascii="Calibri" w:hAnsi="Calibri" w:cs="Calibri"/>
        </w:rPr>
        <w:t xml:space="preserve"> P, Wong G, </w:t>
      </w:r>
      <w:proofErr w:type="spellStart"/>
      <w:r w:rsidRPr="00593FE8">
        <w:rPr>
          <w:rFonts w:ascii="Calibri" w:hAnsi="Calibri" w:cs="Calibri"/>
        </w:rPr>
        <w:t>Avezum</w:t>
      </w:r>
      <w:proofErr w:type="spellEnd"/>
      <w:r w:rsidRPr="00593FE8">
        <w:rPr>
          <w:rFonts w:ascii="Calibri" w:hAnsi="Calibri" w:cs="Calibri"/>
        </w:rPr>
        <w:t xml:space="preserve"> A, Basile J, Chung N, </w:t>
      </w:r>
      <w:proofErr w:type="spellStart"/>
      <w:r w:rsidRPr="00593FE8">
        <w:rPr>
          <w:rFonts w:ascii="Calibri" w:hAnsi="Calibri" w:cs="Calibri"/>
        </w:rPr>
        <w:t>Conget</w:t>
      </w:r>
      <w:proofErr w:type="spellEnd"/>
      <w:r w:rsidRPr="00593FE8">
        <w:rPr>
          <w:rFonts w:ascii="Calibri" w:hAnsi="Calibri" w:cs="Calibri"/>
        </w:rPr>
        <w:t xml:space="preserve"> I, Cushman WC, Franek E, </w:t>
      </w:r>
      <w:proofErr w:type="spellStart"/>
      <w:r w:rsidRPr="00593FE8">
        <w:rPr>
          <w:rFonts w:ascii="Calibri" w:hAnsi="Calibri" w:cs="Calibri"/>
        </w:rPr>
        <w:t>Hancu</w:t>
      </w:r>
      <w:proofErr w:type="spellEnd"/>
      <w:r w:rsidRPr="00593FE8">
        <w:rPr>
          <w:rFonts w:ascii="Calibri" w:hAnsi="Calibri" w:cs="Calibri"/>
        </w:rPr>
        <w:t xml:space="preserve"> N, </w:t>
      </w:r>
      <w:proofErr w:type="spellStart"/>
      <w:r w:rsidRPr="00593FE8">
        <w:rPr>
          <w:rFonts w:ascii="Calibri" w:hAnsi="Calibri" w:cs="Calibri"/>
        </w:rPr>
        <w:t>Hanefeld</w:t>
      </w:r>
      <w:proofErr w:type="spellEnd"/>
      <w:r w:rsidRPr="00593FE8">
        <w:rPr>
          <w:rFonts w:ascii="Calibri" w:hAnsi="Calibri" w:cs="Calibri"/>
        </w:rPr>
        <w:t xml:space="preserve"> M, Holt S, Jansky P, </w:t>
      </w:r>
      <w:proofErr w:type="spellStart"/>
      <w:r w:rsidRPr="00593FE8">
        <w:rPr>
          <w:rFonts w:ascii="Calibri" w:hAnsi="Calibri" w:cs="Calibri"/>
        </w:rPr>
        <w:t>Keltai</w:t>
      </w:r>
      <w:proofErr w:type="spellEnd"/>
      <w:r w:rsidRPr="00593FE8">
        <w:rPr>
          <w:rFonts w:ascii="Calibri" w:hAnsi="Calibri" w:cs="Calibri"/>
        </w:rPr>
        <w:t xml:space="preserve"> M, </w:t>
      </w:r>
      <w:proofErr w:type="spellStart"/>
      <w:r w:rsidRPr="00593FE8">
        <w:rPr>
          <w:rFonts w:ascii="Calibri" w:hAnsi="Calibri" w:cs="Calibri"/>
        </w:rPr>
        <w:t>Lanas</w:t>
      </w:r>
      <w:proofErr w:type="spellEnd"/>
      <w:r w:rsidRPr="00593FE8">
        <w:rPr>
          <w:rFonts w:ascii="Calibri" w:hAnsi="Calibri" w:cs="Calibri"/>
        </w:rPr>
        <w:t xml:space="preserve"> F, Leiter LA, Lopez-Jaramillo P, Cardona Munoz EG, </w:t>
      </w:r>
      <w:proofErr w:type="spellStart"/>
      <w:r w:rsidRPr="00593FE8">
        <w:rPr>
          <w:rFonts w:ascii="Calibri" w:hAnsi="Calibri" w:cs="Calibri"/>
        </w:rPr>
        <w:t>Pirags</w:t>
      </w:r>
      <w:proofErr w:type="spellEnd"/>
      <w:r w:rsidRPr="00593FE8">
        <w:rPr>
          <w:rFonts w:ascii="Calibri" w:hAnsi="Calibri" w:cs="Calibri"/>
        </w:rPr>
        <w:t xml:space="preserve"> V, </w:t>
      </w:r>
      <w:proofErr w:type="spellStart"/>
      <w:r w:rsidRPr="00593FE8">
        <w:rPr>
          <w:rFonts w:ascii="Calibri" w:hAnsi="Calibri" w:cs="Calibri"/>
        </w:rPr>
        <w:t>Pogosova</w:t>
      </w:r>
      <w:proofErr w:type="spellEnd"/>
      <w:r w:rsidRPr="00593FE8">
        <w:rPr>
          <w:rFonts w:ascii="Calibri" w:hAnsi="Calibri" w:cs="Calibri"/>
        </w:rPr>
        <w:t xml:space="preserve"> N, </w:t>
      </w:r>
      <w:proofErr w:type="spellStart"/>
      <w:r w:rsidRPr="00593FE8">
        <w:rPr>
          <w:rFonts w:ascii="Calibri" w:hAnsi="Calibri" w:cs="Calibri"/>
        </w:rPr>
        <w:t>Raubenheimer</w:t>
      </w:r>
      <w:proofErr w:type="spellEnd"/>
      <w:r w:rsidRPr="00593FE8">
        <w:rPr>
          <w:rFonts w:ascii="Calibri" w:hAnsi="Calibri" w:cs="Calibri"/>
        </w:rPr>
        <w:t xml:space="preserve"> PJ, Shaw JE, </w:t>
      </w:r>
      <w:proofErr w:type="spellStart"/>
      <w:r w:rsidRPr="00593FE8">
        <w:rPr>
          <w:rFonts w:ascii="Calibri" w:hAnsi="Calibri" w:cs="Calibri"/>
        </w:rPr>
        <w:t>Sheu</w:t>
      </w:r>
      <w:proofErr w:type="spellEnd"/>
      <w:r w:rsidRPr="00593FE8">
        <w:rPr>
          <w:rFonts w:ascii="Calibri" w:hAnsi="Calibri" w:cs="Calibri"/>
        </w:rPr>
        <w:t xml:space="preserve"> WH, </w:t>
      </w:r>
      <w:proofErr w:type="spellStart"/>
      <w:r w:rsidRPr="00593FE8">
        <w:rPr>
          <w:rFonts w:ascii="Calibri" w:hAnsi="Calibri" w:cs="Calibri"/>
        </w:rPr>
        <w:t>Temelkova-Kurktschiev</w:t>
      </w:r>
      <w:proofErr w:type="spellEnd"/>
      <w:r w:rsidRPr="00593FE8">
        <w:rPr>
          <w:rFonts w:ascii="Calibri" w:hAnsi="Calibri" w:cs="Calibri"/>
        </w:rPr>
        <w:t xml:space="preserve"> T; REWIND Investigators. Dulaglutide and cardiovascular outcomes in type 2 diabetes (REWIND): a double-blind, </w:t>
      </w:r>
      <w:proofErr w:type="spellStart"/>
      <w:r w:rsidRPr="00593FE8">
        <w:rPr>
          <w:rFonts w:ascii="Calibri" w:hAnsi="Calibri" w:cs="Calibri"/>
        </w:rPr>
        <w:t>randomised</w:t>
      </w:r>
      <w:proofErr w:type="spellEnd"/>
      <w:r w:rsidRPr="00593FE8">
        <w:rPr>
          <w:rFonts w:ascii="Calibri" w:hAnsi="Calibri" w:cs="Calibri"/>
        </w:rPr>
        <w:t xml:space="preserve"> placebo-controlled trial. Lancet. 2019 Jul 13;394(10193):121-130. </w:t>
      </w:r>
    </w:p>
    <w:p w14:paraId="57FD1A7A" w14:textId="4839223C" w:rsidR="00020CC7" w:rsidRPr="00593FE8" w:rsidRDefault="00A20148" w:rsidP="00DE44F2">
      <w:pPr>
        <w:pStyle w:val="ListParagraph"/>
        <w:numPr>
          <w:ilvl w:val="0"/>
          <w:numId w:val="1"/>
        </w:numPr>
        <w:spacing w:after="120" w:line="360" w:lineRule="auto"/>
        <w:rPr>
          <w:rFonts w:ascii="Calibri" w:hAnsi="Calibri" w:cs="Calibri"/>
        </w:rPr>
      </w:pPr>
      <w:r w:rsidRPr="00593FE8">
        <w:rPr>
          <w:rFonts w:ascii="Calibri" w:hAnsi="Calibri" w:cs="Calibri"/>
        </w:rPr>
        <w:t xml:space="preserve">Cahn A, Raz I, Bonaca M, Mosenzon O, Murphy SA, </w:t>
      </w:r>
      <w:proofErr w:type="spellStart"/>
      <w:r w:rsidRPr="00593FE8">
        <w:rPr>
          <w:rFonts w:ascii="Calibri" w:hAnsi="Calibri" w:cs="Calibri"/>
        </w:rPr>
        <w:t>Yanuv</w:t>
      </w:r>
      <w:proofErr w:type="spellEnd"/>
      <w:r w:rsidRPr="00593FE8">
        <w:rPr>
          <w:rFonts w:ascii="Calibri" w:hAnsi="Calibri" w:cs="Calibri"/>
        </w:rPr>
        <w:t xml:space="preserve"> I, Rozenberg A, Wilding JPH, Bhatt DL, McGuire DK, Gause-Nilsson IAM, Fredriksson M, Johansson PA, </w:t>
      </w:r>
      <w:proofErr w:type="spellStart"/>
      <w:r w:rsidRPr="00593FE8">
        <w:rPr>
          <w:rFonts w:ascii="Calibri" w:hAnsi="Calibri" w:cs="Calibri"/>
        </w:rPr>
        <w:t>Jermendy</w:t>
      </w:r>
      <w:proofErr w:type="spellEnd"/>
      <w:r w:rsidRPr="00593FE8">
        <w:rPr>
          <w:rFonts w:ascii="Calibri" w:hAnsi="Calibri" w:cs="Calibri"/>
        </w:rPr>
        <w:t xml:space="preserve"> G, </w:t>
      </w:r>
      <w:proofErr w:type="spellStart"/>
      <w:r w:rsidRPr="00593FE8">
        <w:rPr>
          <w:rFonts w:ascii="Calibri" w:hAnsi="Calibri" w:cs="Calibri"/>
        </w:rPr>
        <w:t>Hadjadj</w:t>
      </w:r>
      <w:proofErr w:type="spellEnd"/>
      <w:r w:rsidRPr="00593FE8">
        <w:rPr>
          <w:rFonts w:ascii="Calibri" w:hAnsi="Calibri" w:cs="Calibri"/>
        </w:rPr>
        <w:t xml:space="preserve"> S, Langkilde AM, Sabatine MS, Wiviott SD, Leiter LA. Safety of dapagliflozin in a broad population of patients with type 2 diabetes: Analyses from the DECLARE-TIMI 58 study. Diabetes </w:t>
      </w:r>
      <w:proofErr w:type="spellStart"/>
      <w:r w:rsidRPr="00593FE8">
        <w:rPr>
          <w:rFonts w:ascii="Calibri" w:hAnsi="Calibri" w:cs="Calibri"/>
        </w:rPr>
        <w:t>Obes</w:t>
      </w:r>
      <w:proofErr w:type="spellEnd"/>
      <w:r w:rsidRPr="00593FE8">
        <w:rPr>
          <w:rFonts w:ascii="Calibri" w:hAnsi="Calibri" w:cs="Calibri"/>
        </w:rPr>
        <w:t xml:space="preserve"> </w:t>
      </w:r>
      <w:proofErr w:type="spellStart"/>
      <w:r w:rsidRPr="00593FE8">
        <w:rPr>
          <w:rFonts w:ascii="Calibri" w:hAnsi="Calibri" w:cs="Calibri"/>
        </w:rPr>
        <w:t>Metab</w:t>
      </w:r>
      <w:proofErr w:type="spellEnd"/>
      <w:r w:rsidRPr="00593FE8">
        <w:rPr>
          <w:rFonts w:ascii="Calibri" w:hAnsi="Calibri" w:cs="Calibri"/>
        </w:rPr>
        <w:t xml:space="preserve">. 2020 Apr 2. </w:t>
      </w:r>
      <w:proofErr w:type="spellStart"/>
      <w:r w:rsidRPr="00593FE8">
        <w:rPr>
          <w:rFonts w:ascii="Calibri" w:hAnsi="Calibri" w:cs="Calibri"/>
        </w:rPr>
        <w:t>doi</w:t>
      </w:r>
      <w:proofErr w:type="spellEnd"/>
      <w:r w:rsidRPr="00593FE8">
        <w:rPr>
          <w:rFonts w:ascii="Calibri" w:hAnsi="Calibri" w:cs="Calibri"/>
        </w:rPr>
        <w:t>: 10.1111/dom.14041</w:t>
      </w:r>
    </w:p>
    <w:p w14:paraId="0C7263FF" w14:textId="77777777" w:rsidR="009145A2" w:rsidRDefault="00AB6B05" w:rsidP="00AB6B05">
      <w:pPr>
        <w:pStyle w:val="ListParagraph"/>
        <w:numPr>
          <w:ilvl w:val="0"/>
          <w:numId w:val="1"/>
        </w:numPr>
        <w:spacing w:after="120" w:line="360" w:lineRule="auto"/>
        <w:rPr>
          <w:rFonts w:ascii="Calibri" w:hAnsi="Calibri" w:cs="Calibri"/>
        </w:rPr>
      </w:pPr>
      <w:r w:rsidRPr="009145A2">
        <w:rPr>
          <w:rFonts w:ascii="Calibri" w:hAnsi="Calibri" w:cs="Calibri"/>
        </w:rPr>
        <w:t xml:space="preserve">McMurray JJV, Solomon SD, </w:t>
      </w:r>
      <w:proofErr w:type="spellStart"/>
      <w:r w:rsidRPr="009145A2">
        <w:rPr>
          <w:rFonts w:ascii="Calibri" w:hAnsi="Calibri" w:cs="Calibri"/>
        </w:rPr>
        <w:t>Inzucchi</w:t>
      </w:r>
      <w:proofErr w:type="spellEnd"/>
      <w:r w:rsidRPr="009145A2">
        <w:rPr>
          <w:rFonts w:ascii="Calibri" w:hAnsi="Calibri" w:cs="Calibri"/>
        </w:rPr>
        <w:t xml:space="preserve"> SE, </w:t>
      </w:r>
      <w:proofErr w:type="spellStart"/>
      <w:r w:rsidRPr="009145A2">
        <w:rPr>
          <w:rFonts w:ascii="Calibri" w:hAnsi="Calibri" w:cs="Calibri"/>
        </w:rPr>
        <w:t>Køber</w:t>
      </w:r>
      <w:proofErr w:type="spellEnd"/>
      <w:r w:rsidRPr="009145A2">
        <w:rPr>
          <w:rFonts w:ascii="Calibri" w:hAnsi="Calibri" w:cs="Calibri"/>
        </w:rPr>
        <w:t xml:space="preserve"> L, Kosiborod MN, Martinez FA, </w:t>
      </w:r>
      <w:proofErr w:type="spellStart"/>
      <w:r w:rsidRPr="009145A2">
        <w:rPr>
          <w:rFonts w:ascii="Calibri" w:hAnsi="Calibri" w:cs="Calibri"/>
        </w:rPr>
        <w:t>Ponikowski</w:t>
      </w:r>
      <w:proofErr w:type="spellEnd"/>
      <w:r w:rsidRPr="009145A2">
        <w:rPr>
          <w:rFonts w:ascii="Calibri" w:hAnsi="Calibri" w:cs="Calibri"/>
        </w:rPr>
        <w:t xml:space="preserve"> P, Sabatine MS, Anand IS, </w:t>
      </w:r>
      <w:proofErr w:type="spellStart"/>
      <w:r w:rsidRPr="009145A2">
        <w:rPr>
          <w:rFonts w:ascii="Calibri" w:hAnsi="Calibri" w:cs="Calibri"/>
        </w:rPr>
        <w:t>Bělohlávek</w:t>
      </w:r>
      <w:proofErr w:type="spellEnd"/>
      <w:r w:rsidRPr="009145A2">
        <w:rPr>
          <w:rFonts w:ascii="Calibri" w:hAnsi="Calibri" w:cs="Calibri"/>
        </w:rPr>
        <w:t xml:space="preserve"> J, </w:t>
      </w:r>
      <w:proofErr w:type="spellStart"/>
      <w:r w:rsidRPr="009145A2">
        <w:rPr>
          <w:rFonts w:ascii="Calibri" w:hAnsi="Calibri" w:cs="Calibri"/>
        </w:rPr>
        <w:t>Böhm</w:t>
      </w:r>
      <w:proofErr w:type="spellEnd"/>
      <w:r w:rsidRPr="009145A2">
        <w:rPr>
          <w:rFonts w:ascii="Calibri" w:hAnsi="Calibri" w:cs="Calibri"/>
        </w:rPr>
        <w:t xml:space="preserve"> M, Chiang CE, Chopra VK, de Boer RA, Desai AS, Diez M, </w:t>
      </w:r>
      <w:proofErr w:type="spellStart"/>
      <w:r w:rsidRPr="009145A2">
        <w:rPr>
          <w:rFonts w:ascii="Calibri" w:hAnsi="Calibri" w:cs="Calibri"/>
        </w:rPr>
        <w:t>Drozdz</w:t>
      </w:r>
      <w:proofErr w:type="spellEnd"/>
      <w:r w:rsidRPr="009145A2">
        <w:rPr>
          <w:rFonts w:ascii="Calibri" w:hAnsi="Calibri" w:cs="Calibri"/>
        </w:rPr>
        <w:t xml:space="preserve"> J, </w:t>
      </w:r>
      <w:proofErr w:type="spellStart"/>
      <w:r w:rsidRPr="009145A2">
        <w:rPr>
          <w:rFonts w:ascii="Calibri" w:hAnsi="Calibri" w:cs="Calibri"/>
        </w:rPr>
        <w:t>Dukát</w:t>
      </w:r>
      <w:proofErr w:type="spellEnd"/>
      <w:r w:rsidRPr="009145A2">
        <w:rPr>
          <w:rFonts w:ascii="Calibri" w:hAnsi="Calibri" w:cs="Calibri"/>
        </w:rPr>
        <w:t xml:space="preserve"> A, Ge J, Howlett JG, </w:t>
      </w:r>
      <w:proofErr w:type="spellStart"/>
      <w:r w:rsidRPr="009145A2">
        <w:rPr>
          <w:rFonts w:ascii="Calibri" w:hAnsi="Calibri" w:cs="Calibri"/>
        </w:rPr>
        <w:t>Katova</w:t>
      </w:r>
      <w:proofErr w:type="spellEnd"/>
      <w:r w:rsidRPr="009145A2">
        <w:rPr>
          <w:rFonts w:ascii="Calibri" w:hAnsi="Calibri" w:cs="Calibri"/>
        </w:rPr>
        <w:t xml:space="preserve"> T, </w:t>
      </w:r>
      <w:proofErr w:type="spellStart"/>
      <w:r w:rsidRPr="009145A2">
        <w:rPr>
          <w:rFonts w:ascii="Calibri" w:hAnsi="Calibri" w:cs="Calibri"/>
        </w:rPr>
        <w:t>Kitakaze</w:t>
      </w:r>
      <w:proofErr w:type="spellEnd"/>
      <w:r w:rsidRPr="009145A2">
        <w:rPr>
          <w:rFonts w:ascii="Calibri" w:hAnsi="Calibri" w:cs="Calibri"/>
        </w:rPr>
        <w:t xml:space="preserve"> M, </w:t>
      </w:r>
      <w:proofErr w:type="spellStart"/>
      <w:r w:rsidRPr="009145A2">
        <w:rPr>
          <w:rFonts w:ascii="Calibri" w:hAnsi="Calibri" w:cs="Calibri"/>
        </w:rPr>
        <w:t>Ljungman</w:t>
      </w:r>
      <w:proofErr w:type="spellEnd"/>
      <w:r w:rsidRPr="009145A2">
        <w:rPr>
          <w:rFonts w:ascii="Calibri" w:hAnsi="Calibri" w:cs="Calibri"/>
        </w:rPr>
        <w:t xml:space="preserve"> CEA, </w:t>
      </w:r>
      <w:proofErr w:type="spellStart"/>
      <w:r w:rsidRPr="009145A2">
        <w:rPr>
          <w:rFonts w:ascii="Calibri" w:hAnsi="Calibri" w:cs="Calibri"/>
        </w:rPr>
        <w:t>Merkely</w:t>
      </w:r>
      <w:proofErr w:type="spellEnd"/>
      <w:r w:rsidRPr="009145A2">
        <w:rPr>
          <w:rFonts w:ascii="Calibri" w:hAnsi="Calibri" w:cs="Calibri"/>
        </w:rPr>
        <w:t xml:space="preserve"> B, </w:t>
      </w:r>
      <w:proofErr w:type="spellStart"/>
      <w:r w:rsidRPr="009145A2">
        <w:rPr>
          <w:rFonts w:ascii="Calibri" w:hAnsi="Calibri" w:cs="Calibri"/>
        </w:rPr>
        <w:t>Nicolau</w:t>
      </w:r>
      <w:proofErr w:type="spellEnd"/>
      <w:r w:rsidRPr="009145A2">
        <w:rPr>
          <w:rFonts w:ascii="Calibri" w:hAnsi="Calibri" w:cs="Calibri"/>
        </w:rPr>
        <w:t xml:space="preserve"> JC, O'Meara E, Petrie MC, Vinh PN, </w:t>
      </w:r>
      <w:proofErr w:type="spellStart"/>
      <w:r w:rsidRPr="009145A2">
        <w:rPr>
          <w:rFonts w:ascii="Calibri" w:hAnsi="Calibri" w:cs="Calibri"/>
        </w:rPr>
        <w:t>Schou</w:t>
      </w:r>
      <w:proofErr w:type="spellEnd"/>
      <w:r w:rsidRPr="009145A2">
        <w:rPr>
          <w:rFonts w:ascii="Calibri" w:hAnsi="Calibri" w:cs="Calibri"/>
        </w:rPr>
        <w:t xml:space="preserve"> M, </w:t>
      </w:r>
      <w:proofErr w:type="spellStart"/>
      <w:r w:rsidRPr="009145A2">
        <w:rPr>
          <w:rFonts w:ascii="Calibri" w:hAnsi="Calibri" w:cs="Calibri"/>
        </w:rPr>
        <w:t>Tereshchenko</w:t>
      </w:r>
      <w:proofErr w:type="spellEnd"/>
      <w:r w:rsidRPr="009145A2">
        <w:rPr>
          <w:rFonts w:ascii="Calibri" w:hAnsi="Calibri" w:cs="Calibri"/>
        </w:rPr>
        <w:t xml:space="preserve"> S, Verma S, Held C, </w:t>
      </w:r>
      <w:proofErr w:type="spellStart"/>
      <w:r w:rsidRPr="009145A2">
        <w:rPr>
          <w:rFonts w:ascii="Calibri" w:hAnsi="Calibri" w:cs="Calibri"/>
        </w:rPr>
        <w:t>DeMets</w:t>
      </w:r>
      <w:proofErr w:type="spellEnd"/>
      <w:r w:rsidRPr="009145A2">
        <w:rPr>
          <w:rFonts w:ascii="Calibri" w:hAnsi="Calibri" w:cs="Calibri"/>
        </w:rPr>
        <w:t xml:space="preserve"> DL, Docherty KF, </w:t>
      </w:r>
      <w:proofErr w:type="spellStart"/>
      <w:r w:rsidRPr="009145A2">
        <w:rPr>
          <w:rFonts w:ascii="Calibri" w:hAnsi="Calibri" w:cs="Calibri"/>
        </w:rPr>
        <w:t>Jhund</w:t>
      </w:r>
      <w:proofErr w:type="spellEnd"/>
      <w:r w:rsidRPr="009145A2">
        <w:rPr>
          <w:rFonts w:ascii="Calibri" w:hAnsi="Calibri" w:cs="Calibri"/>
        </w:rPr>
        <w:t xml:space="preserve"> PS, Bengtsson O, </w:t>
      </w:r>
      <w:proofErr w:type="spellStart"/>
      <w:r w:rsidRPr="009145A2">
        <w:rPr>
          <w:rFonts w:ascii="Calibri" w:hAnsi="Calibri" w:cs="Calibri"/>
        </w:rPr>
        <w:t>Sjöstrand</w:t>
      </w:r>
      <w:proofErr w:type="spellEnd"/>
      <w:r w:rsidRPr="009145A2">
        <w:rPr>
          <w:rFonts w:ascii="Calibri" w:hAnsi="Calibri" w:cs="Calibri"/>
        </w:rPr>
        <w:t xml:space="preserve"> M, Langkilde AM; DAPA-HF Trial Committees and Investigators. Dapagliflozin in Patients with Heart Failure and Reduced Ejection Fraction. N </w:t>
      </w:r>
      <w:proofErr w:type="spellStart"/>
      <w:r w:rsidRPr="009145A2">
        <w:rPr>
          <w:rFonts w:ascii="Calibri" w:hAnsi="Calibri" w:cs="Calibri"/>
        </w:rPr>
        <w:t>Engl</w:t>
      </w:r>
      <w:proofErr w:type="spellEnd"/>
      <w:r w:rsidRPr="009145A2">
        <w:rPr>
          <w:rFonts w:ascii="Calibri" w:hAnsi="Calibri" w:cs="Calibri"/>
        </w:rPr>
        <w:t xml:space="preserve"> J Med. 2019;381(21):1995-200</w:t>
      </w:r>
      <w:r w:rsidR="009145A2">
        <w:rPr>
          <w:rFonts w:ascii="Calibri" w:hAnsi="Calibri" w:cs="Calibri"/>
        </w:rPr>
        <w:t>0.</w:t>
      </w:r>
    </w:p>
    <w:p w14:paraId="4BA2CEE1" w14:textId="77777777" w:rsidR="007D38B1" w:rsidRPr="009145A2" w:rsidRDefault="007D38B1" w:rsidP="007D38B1">
      <w:pPr>
        <w:pStyle w:val="ListParagraph"/>
        <w:numPr>
          <w:ilvl w:val="0"/>
          <w:numId w:val="1"/>
        </w:numPr>
        <w:spacing w:after="120" w:line="360" w:lineRule="auto"/>
        <w:rPr>
          <w:rFonts w:ascii="Calibri" w:hAnsi="Calibri" w:cs="Calibri"/>
          <w:rtl/>
        </w:rPr>
      </w:pPr>
      <w:r w:rsidRPr="009145A2">
        <w:rPr>
          <w:rFonts w:ascii="Calibri" w:hAnsi="Calibri" w:cs="Calibri"/>
        </w:rPr>
        <w:t xml:space="preserve">Packer M, Anker SD, Butler J, </w:t>
      </w:r>
      <w:proofErr w:type="spellStart"/>
      <w:r w:rsidRPr="009145A2">
        <w:rPr>
          <w:rFonts w:ascii="Calibri" w:hAnsi="Calibri" w:cs="Calibri"/>
        </w:rPr>
        <w:t>Filippatos</w:t>
      </w:r>
      <w:proofErr w:type="spellEnd"/>
      <w:r w:rsidRPr="009145A2">
        <w:rPr>
          <w:rFonts w:ascii="Calibri" w:hAnsi="Calibri" w:cs="Calibri"/>
        </w:rPr>
        <w:t xml:space="preserve"> G, Pocock SJ, Carson P, </w:t>
      </w:r>
      <w:proofErr w:type="spellStart"/>
      <w:r w:rsidRPr="009145A2">
        <w:rPr>
          <w:rFonts w:ascii="Calibri" w:hAnsi="Calibri" w:cs="Calibri"/>
        </w:rPr>
        <w:t>Januzzi</w:t>
      </w:r>
      <w:proofErr w:type="spellEnd"/>
      <w:r w:rsidRPr="009145A2">
        <w:rPr>
          <w:rFonts w:ascii="Calibri" w:hAnsi="Calibri" w:cs="Calibri"/>
        </w:rPr>
        <w:t xml:space="preserve"> J, Verma S, </w:t>
      </w:r>
      <w:proofErr w:type="spellStart"/>
      <w:r w:rsidRPr="009145A2">
        <w:rPr>
          <w:rFonts w:ascii="Calibri" w:hAnsi="Calibri" w:cs="Calibri"/>
        </w:rPr>
        <w:t>Tsutsui</w:t>
      </w:r>
      <w:proofErr w:type="spellEnd"/>
      <w:r w:rsidRPr="009145A2">
        <w:rPr>
          <w:rFonts w:ascii="Calibri" w:hAnsi="Calibri" w:cs="Calibri"/>
        </w:rPr>
        <w:t xml:space="preserve"> H, </w:t>
      </w:r>
      <w:proofErr w:type="spellStart"/>
      <w:r w:rsidRPr="009145A2">
        <w:rPr>
          <w:rFonts w:ascii="Calibri" w:hAnsi="Calibri" w:cs="Calibri"/>
        </w:rPr>
        <w:t>Brueckmann</w:t>
      </w:r>
      <w:proofErr w:type="spellEnd"/>
      <w:r w:rsidRPr="009145A2">
        <w:rPr>
          <w:rFonts w:ascii="Calibri" w:hAnsi="Calibri" w:cs="Calibri"/>
        </w:rPr>
        <w:t xml:space="preserve"> M, Jamal W, Kimura K, Schnee J, Zeller C, Cotton D, </w:t>
      </w:r>
      <w:proofErr w:type="spellStart"/>
      <w:r w:rsidRPr="009145A2">
        <w:rPr>
          <w:rFonts w:ascii="Calibri" w:hAnsi="Calibri" w:cs="Calibri"/>
        </w:rPr>
        <w:t>Bocchi</w:t>
      </w:r>
      <w:proofErr w:type="spellEnd"/>
      <w:r w:rsidRPr="009145A2">
        <w:rPr>
          <w:rFonts w:ascii="Calibri" w:hAnsi="Calibri" w:cs="Calibri"/>
        </w:rPr>
        <w:t xml:space="preserve"> E, </w:t>
      </w:r>
      <w:proofErr w:type="spellStart"/>
      <w:r w:rsidRPr="009145A2">
        <w:rPr>
          <w:rFonts w:ascii="Calibri" w:hAnsi="Calibri" w:cs="Calibri"/>
        </w:rPr>
        <w:t>Böhm</w:t>
      </w:r>
      <w:proofErr w:type="spellEnd"/>
      <w:r w:rsidRPr="009145A2">
        <w:rPr>
          <w:rFonts w:ascii="Calibri" w:hAnsi="Calibri" w:cs="Calibri"/>
        </w:rPr>
        <w:t xml:space="preserve"> M, Choi DJ, Chopra V, </w:t>
      </w:r>
      <w:proofErr w:type="spellStart"/>
      <w:r w:rsidRPr="009145A2">
        <w:rPr>
          <w:rFonts w:ascii="Calibri" w:hAnsi="Calibri" w:cs="Calibri"/>
        </w:rPr>
        <w:t>Chuquiure</w:t>
      </w:r>
      <w:proofErr w:type="spellEnd"/>
      <w:r w:rsidRPr="009145A2">
        <w:rPr>
          <w:rFonts w:ascii="Calibri" w:hAnsi="Calibri" w:cs="Calibri"/>
        </w:rPr>
        <w:t xml:space="preserve"> E, </w:t>
      </w:r>
      <w:proofErr w:type="spellStart"/>
      <w:r w:rsidRPr="009145A2">
        <w:rPr>
          <w:rFonts w:ascii="Calibri" w:hAnsi="Calibri" w:cs="Calibri"/>
        </w:rPr>
        <w:t>Giannetti</w:t>
      </w:r>
      <w:proofErr w:type="spellEnd"/>
      <w:r w:rsidRPr="009145A2">
        <w:rPr>
          <w:rFonts w:ascii="Calibri" w:hAnsi="Calibri" w:cs="Calibri"/>
        </w:rPr>
        <w:t xml:space="preserve"> N, Janssens S, Zhang J, Gonzalez </w:t>
      </w:r>
      <w:proofErr w:type="spellStart"/>
      <w:r w:rsidRPr="009145A2">
        <w:rPr>
          <w:rFonts w:ascii="Calibri" w:hAnsi="Calibri" w:cs="Calibri"/>
        </w:rPr>
        <w:t>Juanatey</w:t>
      </w:r>
      <w:proofErr w:type="spellEnd"/>
      <w:r w:rsidRPr="009145A2">
        <w:rPr>
          <w:rFonts w:ascii="Calibri" w:hAnsi="Calibri" w:cs="Calibri"/>
        </w:rPr>
        <w:t xml:space="preserve"> JR, Kaul S, Brunner-</w:t>
      </w:r>
      <w:r w:rsidRPr="009145A2">
        <w:rPr>
          <w:rFonts w:ascii="Calibri" w:hAnsi="Calibri" w:cs="Calibri"/>
        </w:rPr>
        <w:lastRenderedPageBreak/>
        <w:t xml:space="preserve">La Rocca HP, </w:t>
      </w:r>
      <w:proofErr w:type="spellStart"/>
      <w:r w:rsidRPr="009145A2">
        <w:rPr>
          <w:rFonts w:ascii="Calibri" w:hAnsi="Calibri" w:cs="Calibri"/>
        </w:rPr>
        <w:t>Merkely</w:t>
      </w:r>
      <w:proofErr w:type="spellEnd"/>
      <w:r w:rsidRPr="009145A2">
        <w:rPr>
          <w:rFonts w:ascii="Calibri" w:hAnsi="Calibri" w:cs="Calibri"/>
        </w:rPr>
        <w:t xml:space="preserve"> B, Nicholls SJ, Perrone S, Pina I, </w:t>
      </w:r>
      <w:proofErr w:type="spellStart"/>
      <w:r w:rsidRPr="009145A2">
        <w:rPr>
          <w:rFonts w:ascii="Calibri" w:hAnsi="Calibri" w:cs="Calibri"/>
        </w:rPr>
        <w:t>Ponikowski</w:t>
      </w:r>
      <w:proofErr w:type="spellEnd"/>
      <w:r w:rsidRPr="009145A2">
        <w:rPr>
          <w:rFonts w:ascii="Calibri" w:hAnsi="Calibri" w:cs="Calibri"/>
        </w:rPr>
        <w:t xml:space="preserve"> P, Sattar N, </w:t>
      </w:r>
      <w:proofErr w:type="spellStart"/>
      <w:r w:rsidRPr="009145A2">
        <w:rPr>
          <w:rFonts w:ascii="Calibri" w:hAnsi="Calibri" w:cs="Calibri"/>
        </w:rPr>
        <w:t>Senni</w:t>
      </w:r>
      <w:proofErr w:type="spellEnd"/>
      <w:r w:rsidRPr="009145A2">
        <w:rPr>
          <w:rFonts w:ascii="Calibri" w:hAnsi="Calibri" w:cs="Calibri"/>
        </w:rPr>
        <w:t xml:space="preserve"> M, </w:t>
      </w:r>
      <w:proofErr w:type="spellStart"/>
      <w:r w:rsidRPr="009145A2">
        <w:rPr>
          <w:rFonts w:ascii="Calibri" w:hAnsi="Calibri" w:cs="Calibri"/>
        </w:rPr>
        <w:t>Seronde</w:t>
      </w:r>
      <w:proofErr w:type="spellEnd"/>
      <w:r w:rsidRPr="009145A2">
        <w:rPr>
          <w:rFonts w:ascii="Calibri" w:hAnsi="Calibri" w:cs="Calibri"/>
        </w:rPr>
        <w:t xml:space="preserve"> MF, </w:t>
      </w:r>
      <w:proofErr w:type="spellStart"/>
      <w:r w:rsidRPr="009145A2">
        <w:rPr>
          <w:rFonts w:ascii="Calibri" w:hAnsi="Calibri" w:cs="Calibri"/>
        </w:rPr>
        <w:t>Spinar</w:t>
      </w:r>
      <w:proofErr w:type="spellEnd"/>
      <w:r w:rsidRPr="009145A2">
        <w:rPr>
          <w:rFonts w:ascii="Calibri" w:hAnsi="Calibri" w:cs="Calibri"/>
        </w:rPr>
        <w:t xml:space="preserve"> J, Squire I, </w:t>
      </w:r>
      <w:proofErr w:type="spellStart"/>
      <w:r w:rsidRPr="009145A2">
        <w:rPr>
          <w:rFonts w:ascii="Calibri" w:hAnsi="Calibri" w:cs="Calibri"/>
        </w:rPr>
        <w:t>Taddei</w:t>
      </w:r>
      <w:proofErr w:type="spellEnd"/>
      <w:r w:rsidRPr="009145A2">
        <w:rPr>
          <w:rFonts w:ascii="Calibri" w:hAnsi="Calibri" w:cs="Calibri"/>
        </w:rPr>
        <w:t xml:space="preserve"> S, </w:t>
      </w:r>
      <w:proofErr w:type="spellStart"/>
      <w:r w:rsidRPr="009145A2">
        <w:rPr>
          <w:rFonts w:ascii="Calibri" w:hAnsi="Calibri" w:cs="Calibri"/>
        </w:rPr>
        <w:t>Wanner</w:t>
      </w:r>
      <w:proofErr w:type="spellEnd"/>
      <w:r w:rsidRPr="009145A2">
        <w:rPr>
          <w:rFonts w:ascii="Calibri" w:hAnsi="Calibri" w:cs="Calibri"/>
        </w:rPr>
        <w:t xml:space="preserve"> C, </w:t>
      </w:r>
      <w:proofErr w:type="spellStart"/>
      <w:r w:rsidRPr="009145A2">
        <w:rPr>
          <w:rFonts w:ascii="Calibri" w:hAnsi="Calibri" w:cs="Calibri"/>
        </w:rPr>
        <w:t>Zannad</w:t>
      </w:r>
      <w:proofErr w:type="spellEnd"/>
      <w:r w:rsidRPr="009145A2">
        <w:rPr>
          <w:rFonts w:ascii="Calibri" w:hAnsi="Calibri" w:cs="Calibri"/>
        </w:rPr>
        <w:t xml:space="preserve"> F; EMPEROR-Reduced Trial Investigators. Cardiovascular and Renal Outcomes with Empagliflozin in Heart Failure. N </w:t>
      </w:r>
      <w:proofErr w:type="spellStart"/>
      <w:r w:rsidRPr="009145A2">
        <w:rPr>
          <w:rFonts w:ascii="Calibri" w:hAnsi="Calibri" w:cs="Calibri"/>
        </w:rPr>
        <w:t>Engl</w:t>
      </w:r>
      <w:proofErr w:type="spellEnd"/>
      <w:r w:rsidRPr="009145A2">
        <w:rPr>
          <w:rFonts w:ascii="Calibri" w:hAnsi="Calibri" w:cs="Calibri"/>
        </w:rPr>
        <w:t xml:space="preserve"> J Med. 2020 Aug 29. </w:t>
      </w:r>
      <w:proofErr w:type="spellStart"/>
      <w:r w:rsidRPr="009145A2">
        <w:rPr>
          <w:rFonts w:ascii="Calibri" w:hAnsi="Calibri" w:cs="Calibri"/>
        </w:rPr>
        <w:t>doi</w:t>
      </w:r>
      <w:proofErr w:type="spellEnd"/>
      <w:r w:rsidRPr="009145A2">
        <w:rPr>
          <w:rFonts w:ascii="Calibri" w:hAnsi="Calibri" w:cs="Calibri"/>
        </w:rPr>
        <w:t>: 10.1056/NEJMoa2022190</w:t>
      </w:r>
    </w:p>
    <w:p w14:paraId="23ED9702" w14:textId="14D2E7D2" w:rsidR="007417B0" w:rsidRDefault="009145A2" w:rsidP="009145A2">
      <w:pPr>
        <w:pStyle w:val="ListParagraph"/>
        <w:numPr>
          <w:ilvl w:val="0"/>
          <w:numId w:val="1"/>
        </w:numPr>
        <w:spacing w:after="120" w:line="360" w:lineRule="auto"/>
        <w:rPr>
          <w:rFonts w:ascii="Calibri" w:hAnsi="Calibri" w:cs="Calibri"/>
        </w:rPr>
      </w:pPr>
      <w:r w:rsidRPr="009145A2">
        <w:rPr>
          <w:rFonts w:ascii="Calibri" w:hAnsi="Calibri" w:cs="Calibri"/>
        </w:rPr>
        <w:t xml:space="preserve">Heerspink HJL, </w:t>
      </w:r>
      <w:proofErr w:type="spellStart"/>
      <w:r w:rsidRPr="009145A2">
        <w:rPr>
          <w:rFonts w:ascii="Calibri" w:hAnsi="Calibri" w:cs="Calibri"/>
        </w:rPr>
        <w:t>Stefánsson</w:t>
      </w:r>
      <w:proofErr w:type="spellEnd"/>
      <w:r w:rsidRPr="009145A2">
        <w:rPr>
          <w:rFonts w:ascii="Calibri" w:hAnsi="Calibri" w:cs="Calibri"/>
        </w:rPr>
        <w:t xml:space="preserve"> BV, Correa-Rotter R, </w:t>
      </w:r>
      <w:proofErr w:type="spellStart"/>
      <w:r w:rsidRPr="009145A2">
        <w:rPr>
          <w:rFonts w:ascii="Calibri" w:hAnsi="Calibri" w:cs="Calibri"/>
        </w:rPr>
        <w:t>Chertow</w:t>
      </w:r>
      <w:proofErr w:type="spellEnd"/>
      <w:r w:rsidRPr="009145A2">
        <w:rPr>
          <w:rFonts w:ascii="Calibri" w:hAnsi="Calibri" w:cs="Calibri"/>
        </w:rPr>
        <w:t xml:space="preserve"> GM, Greene T, Hou FF, Mann JFE, McMurray JJV, Lindberg M, </w:t>
      </w:r>
      <w:proofErr w:type="spellStart"/>
      <w:r w:rsidRPr="009145A2">
        <w:rPr>
          <w:rFonts w:ascii="Calibri" w:hAnsi="Calibri" w:cs="Calibri"/>
        </w:rPr>
        <w:t>Rossing</w:t>
      </w:r>
      <w:proofErr w:type="spellEnd"/>
      <w:r w:rsidRPr="009145A2">
        <w:rPr>
          <w:rFonts w:ascii="Calibri" w:hAnsi="Calibri" w:cs="Calibri"/>
        </w:rPr>
        <w:t xml:space="preserve"> P, </w:t>
      </w:r>
      <w:proofErr w:type="spellStart"/>
      <w:r w:rsidRPr="009145A2">
        <w:rPr>
          <w:rFonts w:ascii="Calibri" w:hAnsi="Calibri" w:cs="Calibri"/>
        </w:rPr>
        <w:t>Sjöström</w:t>
      </w:r>
      <w:proofErr w:type="spellEnd"/>
      <w:r w:rsidRPr="009145A2">
        <w:rPr>
          <w:rFonts w:ascii="Calibri" w:hAnsi="Calibri" w:cs="Calibri"/>
        </w:rPr>
        <w:t xml:space="preserve"> CD, Toto RD, Langkilde AM, Wheeler DC; DAPA-CKD Trial Committees and Investigators. Dapagliflozin in Patients with Chronic Kidney Disease. N </w:t>
      </w:r>
      <w:proofErr w:type="spellStart"/>
      <w:r w:rsidRPr="009145A2">
        <w:rPr>
          <w:rFonts w:ascii="Calibri" w:hAnsi="Calibri" w:cs="Calibri"/>
        </w:rPr>
        <w:t>Engl</w:t>
      </w:r>
      <w:proofErr w:type="spellEnd"/>
      <w:r w:rsidRPr="009145A2">
        <w:rPr>
          <w:rFonts w:ascii="Calibri" w:hAnsi="Calibri" w:cs="Calibri"/>
        </w:rPr>
        <w:t xml:space="preserve"> J Med. 2020 Sep 24. </w:t>
      </w:r>
      <w:proofErr w:type="spellStart"/>
      <w:r w:rsidRPr="009145A2">
        <w:rPr>
          <w:rFonts w:ascii="Calibri" w:hAnsi="Calibri" w:cs="Calibri"/>
        </w:rPr>
        <w:t>doi</w:t>
      </w:r>
      <w:proofErr w:type="spellEnd"/>
      <w:r w:rsidRPr="009145A2">
        <w:rPr>
          <w:rFonts w:ascii="Calibri" w:hAnsi="Calibri" w:cs="Calibri"/>
        </w:rPr>
        <w:t>: 10.1056/NEJMoa2024816</w:t>
      </w:r>
    </w:p>
    <w:p w14:paraId="0D5B1D80" w14:textId="77777777" w:rsidR="009E401D" w:rsidRDefault="009E401D">
      <w:pPr>
        <w:spacing w:line="259" w:lineRule="auto"/>
      </w:pPr>
      <w:r>
        <w:br w:type="page"/>
      </w:r>
    </w:p>
    <w:p w14:paraId="4BAFC4B9" w14:textId="0F46AEEA" w:rsidR="009E401D" w:rsidRDefault="009E401D" w:rsidP="009E401D">
      <w:pPr>
        <w:spacing w:line="259" w:lineRule="auto"/>
        <w:rPr>
          <w:rFonts w:cstheme="minorHAnsi"/>
          <w:b/>
          <w:bCs/>
          <w:caps/>
        </w:rPr>
      </w:pPr>
      <w:r w:rsidRPr="002432CE">
        <w:rPr>
          <w:rFonts w:cstheme="minorHAnsi"/>
          <w:b/>
          <w:bCs/>
          <w:caps/>
        </w:rPr>
        <w:lastRenderedPageBreak/>
        <w:t>Legends to figures</w:t>
      </w:r>
    </w:p>
    <w:p w14:paraId="3F07EB06" w14:textId="72FF46B9" w:rsidR="009E401D" w:rsidRDefault="009E401D" w:rsidP="00924BFA">
      <w:pPr>
        <w:spacing w:line="360" w:lineRule="auto"/>
      </w:pPr>
      <w:r>
        <w:t xml:space="preserve">Figure 1A – </w:t>
      </w:r>
      <w:r w:rsidR="00924BFA">
        <w:t>Hospitalization for heart failure</w:t>
      </w:r>
      <w:r>
        <w:t xml:space="preserve"> in the MRF cohort with dapagliflozin vs. placebo</w:t>
      </w:r>
    </w:p>
    <w:p w14:paraId="2495DA07" w14:textId="77777777" w:rsidR="009E401D" w:rsidRDefault="009E401D" w:rsidP="009E401D">
      <w:pPr>
        <w:spacing w:line="360" w:lineRule="auto"/>
      </w:pPr>
      <w:r>
        <w:t>Figure 1B – The renal specific outcome in the MRF cohort with dapagliflozin vs. placebo</w:t>
      </w:r>
    </w:p>
    <w:p w14:paraId="25B0FED5" w14:textId="655A5C23" w:rsidR="009E401D" w:rsidRDefault="009E401D" w:rsidP="00924BFA">
      <w:pPr>
        <w:spacing w:line="259" w:lineRule="auto"/>
      </w:pPr>
      <w:r>
        <w:t xml:space="preserve">Figure 2A – </w:t>
      </w:r>
      <w:r w:rsidR="00924BFA">
        <w:t>Hospitalization for heart failure</w:t>
      </w:r>
      <w:r>
        <w:t xml:space="preserve"> in the MRF cohort by subgroups</w:t>
      </w:r>
    </w:p>
    <w:p w14:paraId="550ACF30" w14:textId="1F2AFE2C" w:rsidR="009E401D" w:rsidRDefault="009E401D" w:rsidP="00CC66AC">
      <w:pPr>
        <w:spacing w:line="259" w:lineRule="auto"/>
      </w:pPr>
      <w:r>
        <w:t>Figure 2B – Renal-specific outcome in the MRF cohort by subgroups</w:t>
      </w:r>
    </w:p>
    <w:p w14:paraId="21B595CD" w14:textId="6064898C" w:rsidR="009E401D" w:rsidRDefault="009E401D" w:rsidP="009E401D">
      <w:pPr>
        <w:spacing w:line="259" w:lineRule="auto"/>
      </w:pPr>
      <w:r>
        <w:rPr>
          <w:rFonts w:hint="cs"/>
          <w:noProof/>
        </w:rPr>
        <w:t>F</w:t>
      </w:r>
      <w:r>
        <w:rPr>
          <w:noProof/>
        </w:rPr>
        <w:t>igure 3</w:t>
      </w:r>
      <w:r>
        <w:t xml:space="preserve"> - Metabolic outcomes in the MRF cohort</w:t>
      </w:r>
    </w:p>
    <w:p w14:paraId="0BFDB9EC" w14:textId="6D27B1DC" w:rsidR="009E401D" w:rsidRPr="006816A2" w:rsidRDefault="00A20499" w:rsidP="006816A2">
      <w:pPr>
        <w:spacing w:line="360" w:lineRule="auto"/>
      </w:pPr>
      <w:r>
        <w:t xml:space="preserve">Legend: Data shown are mean </w:t>
      </w:r>
      <w:r>
        <w:rPr>
          <w:rFonts w:ascii="Verdana" w:hAnsi="Verdana"/>
        </w:rPr>
        <w:t>±</w:t>
      </w:r>
      <w:r>
        <w:t xml:space="preserve">SE. </w:t>
      </w:r>
      <w:r w:rsidR="009E401D">
        <w:t>SBP – systolic blood pressure, UACR – urinary albumin creatinine ratio, eGFR – estimated glomerular filtration rate</w:t>
      </w:r>
    </w:p>
    <w:p w14:paraId="45FA29F2" w14:textId="44DDD5AD" w:rsidR="00374395" w:rsidRDefault="00374395" w:rsidP="00DE44F2">
      <w:pPr>
        <w:spacing w:line="360" w:lineRule="auto"/>
      </w:pPr>
      <w:r>
        <w:br w:type="page"/>
      </w:r>
    </w:p>
    <w:p w14:paraId="6CC6F5A6" w14:textId="6AB7A17A" w:rsidR="002E64D2" w:rsidRDefault="00276953" w:rsidP="00DE44F2">
      <w:pPr>
        <w:spacing w:line="360" w:lineRule="auto"/>
      </w:pPr>
      <w:r>
        <w:lastRenderedPageBreak/>
        <w:t>T</w:t>
      </w:r>
      <w:r w:rsidR="002E64D2">
        <w:t xml:space="preserve">able 1 – </w:t>
      </w:r>
      <w:r w:rsidR="006C2765">
        <w:t>B</w:t>
      </w:r>
      <w:r w:rsidR="002E64D2">
        <w:t>aseline characteristics</w:t>
      </w:r>
      <w:r w:rsidR="004D3E90">
        <w:t xml:space="preserve"> of the </w:t>
      </w:r>
      <w:r w:rsidR="00D47A6C">
        <w:t xml:space="preserve">Multiple Risk Factor </w:t>
      </w:r>
      <w:r w:rsidR="004D3E90">
        <w:t>popul</w:t>
      </w:r>
      <w:r w:rsidR="00043FF1">
        <w:t>a</w:t>
      </w:r>
      <w:r w:rsidR="004D3E90">
        <w:t>tion</w:t>
      </w:r>
    </w:p>
    <w:tbl>
      <w:tblPr>
        <w:tblStyle w:val="TableGrid"/>
        <w:tblW w:w="9170" w:type="dxa"/>
        <w:tblLook w:val="04A0" w:firstRow="1" w:lastRow="0" w:firstColumn="1" w:lastColumn="0" w:noHBand="0" w:noVBand="1"/>
      </w:tblPr>
      <w:tblGrid>
        <w:gridCol w:w="3595"/>
        <w:gridCol w:w="2430"/>
        <w:gridCol w:w="2160"/>
        <w:gridCol w:w="985"/>
      </w:tblGrid>
      <w:tr w:rsidR="00B52061" w:rsidRPr="006C2765" w14:paraId="492F5353" w14:textId="77777777" w:rsidTr="00FB6490">
        <w:trPr>
          <w:trHeight w:val="290"/>
        </w:trPr>
        <w:tc>
          <w:tcPr>
            <w:tcW w:w="3595" w:type="dxa"/>
            <w:hideMark/>
          </w:tcPr>
          <w:p w14:paraId="27CADDEA" w14:textId="77777777" w:rsidR="00B52061" w:rsidRPr="006C2765" w:rsidRDefault="00B52061" w:rsidP="00470018">
            <w:pPr>
              <w:spacing w:line="288" w:lineRule="auto"/>
              <w:rPr>
                <w:rFonts w:eastAsia="Times New Roman" w:cstheme="minorHAnsi"/>
                <w:color w:val="000000"/>
              </w:rPr>
            </w:pPr>
          </w:p>
        </w:tc>
        <w:tc>
          <w:tcPr>
            <w:tcW w:w="2430" w:type="dxa"/>
            <w:noWrap/>
          </w:tcPr>
          <w:p w14:paraId="2CB0102F" w14:textId="77777777" w:rsidR="00B52061" w:rsidRPr="006C2765" w:rsidRDefault="00B52061" w:rsidP="00470018">
            <w:pPr>
              <w:spacing w:line="288" w:lineRule="auto"/>
              <w:jc w:val="center"/>
              <w:rPr>
                <w:rFonts w:eastAsia="Times New Roman" w:cstheme="minorHAnsi"/>
                <w:b/>
                <w:bCs/>
                <w:color w:val="000000"/>
              </w:rPr>
            </w:pPr>
            <w:r w:rsidRPr="006C2765">
              <w:rPr>
                <w:rFonts w:eastAsia="Times New Roman" w:cstheme="minorHAnsi"/>
                <w:b/>
                <w:bCs/>
                <w:color w:val="000000"/>
              </w:rPr>
              <w:t>Dapagliflozin</w:t>
            </w:r>
          </w:p>
          <w:p w14:paraId="79699B0F" w14:textId="77777777" w:rsidR="00B52061" w:rsidRPr="006C2765" w:rsidRDefault="00B52061" w:rsidP="00470018">
            <w:pPr>
              <w:spacing w:line="288" w:lineRule="auto"/>
              <w:jc w:val="center"/>
              <w:rPr>
                <w:rFonts w:eastAsia="Times New Roman" w:cstheme="minorHAnsi"/>
                <w:b/>
                <w:bCs/>
                <w:color w:val="000000"/>
              </w:rPr>
            </w:pPr>
            <w:r w:rsidRPr="006C2765">
              <w:rPr>
                <w:rFonts w:eastAsia="Times New Roman" w:cstheme="minorHAnsi"/>
                <w:b/>
                <w:bCs/>
                <w:color w:val="000000"/>
              </w:rPr>
              <w:t>N=5108</w:t>
            </w:r>
          </w:p>
        </w:tc>
        <w:tc>
          <w:tcPr>
            <w:tcW w:w="2160" w:type="dxa"/>
            <w:noWrap/>
          </w:tcPr>
          <w:p w14:paraId="636E934C" w14:textId="77777777" w:rsidR="00B52061" w:rsidRPr="006C2765" w:rsidRDefault="00B52061" w:rsidP="00470018">
            <w:pPr>
              <w:spacing w:line="288" w:lineRule="auto"/>
              <w:jc w:val="center"/>
              <w:rPr>
                <w:rFonts w:eastAsia="Times New Roman" w:cstheme="minorHAnsi"/>
                <w:b/>
                <w:bCs/>
                <w:color w:val="000000"/>
              </w:rPr>
            </w:pPr>
            <w:r w:rsidRPr="006C2765">
              <w:rPr>
                <w:rFonts w:eastAsia="Times New Roman" w:cstheme="minorHAnsi"/>
                <w:b/>
                <w:bCs/>
                <w:color w:val="000000"/>
              </w:rPr>
              <w:t>Placebo</w:t>
            </w:r>
          </w:p>
          <w:p w14:paraId="2415A666" w14:textId="77777777" w:rsidR="00B52061" w:rsidRPr="006C2765" w:rsidRDefault="00B52061" w:rsidP="00470018">
            <w:pPr>
              <w:spacing w:line="288" w:lineRule="auto"/>
              <w:jc w:val="center"/>
              <w:rPr>
                <w:rFonts w:eastAsia="Times New Roman" w:cstheme="minorHAnsi"/>
                <w:b/>
                <w:bCs/>
                <w:color w:val="000000"/>
              </w:rPr>
            </w:pPr>
            <w:r w:rsidRPr="006C2765">
              <w:rPr>
                <w:rFonts w:eastAsia="Times New Roman" w:cstheme="minorHAnsi"/>
                <w:b/>
                <w:bCs/>
                <w:color w:val="000000"/>
              </w:rPr>
              <w:t>N=5078</w:t>
            </w:r>
          </w:p>
        </w:tc>
        <w:tc>
          <w:tcPr>
            <w:tcW w:w="985" w:type="dxa"/>
            <w:noWrap/>
            <w:hideMark/>
          </w:tcPr>
          <w:p w14:paraId="6D9D5E16" w14:textId="77777777" w:rsidR="00B52061" w:rsidRPr="006C2765" w:rsidRDefault="00B52061" w:rsidP="00470018">
            <w:pPr>
              <w:spacing w:line="288" w:lineRule="auto"/>
              <w:jc w:val="center"/>
              <w:rPr>
                <w:rFonts w:eastAsia="Times New Roman" w:cstheme="minorHAnsi"/>
                <w:b/>
                <w:bCs/>
                <w:color w:val="000000"/>
              </w:rPr>
            </w:pPr>
            <w:r w:rsidRPr="006C2765">
              <w:rPr>
                <w:rFonts w:eastAsia="Times New Roman" w:cstheme="minorHAnsi"/>
                <w:b/>
                <w:bCs/>
                <w:color w:val="000000"/>
              </w:rPr>
              <w:t>p-value</w:t>
            </w:r>
          </w:p>
        </w:tc>
      </w:tr>
      <w:tr w:rsidR="00B52061" w:rsidRPr="006C2765" w14:paraId="482E8F35" w14:textId="77777777" w:rsidTr="00FB6490">
        <w:trPr>
          <w:trHeight w:val="290"/>
        </w:trPr>
        <w:tc>
          <w:tcPr>
            <w:tcW w:w="3595" w:type="dxa"/>
          </w:tcPr>
          <w:p w14:paraId="379C6F32" w14:textId="77777777" w:rsidR="00B52061" w:rsidRPr="006C2765" w:rsidRDefault="00B52061" w:rsidP="00470018">
            <w:pPr>
              <w:spacing w:line="288" w:lineRule="auto"/>
              <w:rPr>
                <w:rFonts w:eastAsia="Times New Roman" w:cstheme="minorHAnsi"/>
                <w:color w:val="000000"/>
              </w:rPr>
            </w:pPr>
            <w:r w:rsidRPr="006C2765">
              <w:rPr>
                <w:rFonts w:eastAsia="Times New Roman" w:cstheme="minorHAnsi"/>
                <w:color w:val="000000"/>
              </w:rPr>
              <w:t>Age, Mean (SD)</w:t>
            </w:r>
          </w:p>
        </w:tc>
        <w:tc>
          <w:tcPr>
            <w:tcW w:w="2430" w:type="dxa"/>
            <w:noWrap/>
          </w:tcPr>
          <w:p w14:paraId="0762950E" w14:textId="77777777" w:rsidR="00B52061" w:rsidRPr="006C2765" w:rsidRDefault="00B52061" w:rsidP="00470018">
            <w:pPr>
              <w:spacing w:line="288" w:lineRule="auto"/>
              <w:jc w:val="center"/>
              <w:rPr>
                <w:rFonts w:eastAsia="Times New Roman" w:cstheme="minorHAnsi"/>
                <w:color w:val="000000"/>
              </w:rPr>
            </w:pPr>
            <w:r w:rsidRPr="006C2765">
              <w:rPr>
                <w:rFonts w:eastAsia="Times New Roman" w:cstheme="minorHAnsi"/>
                <w:color w:val="000000"/>
              </w:rPr>
              <w:t>64.8 (5.7)</w:t>
            </w:r>
          </w:p>
        </w:tc>
        <w:tc>
          <w:tcPr>
            <w:tcW w:w="2160" w:type="dxa"/>
            <w:noWrap/>
          </w:tcPr>
          <w:p w14:paraId="6BFCDCED" w14:textId="77777777" w:rsidR="00B52061" w:rsidRPr="006C2765" w:rsidRDefault="00B52061" w:rsidP="00470018">
            <w:pPr>
              <w:spacing w:line="288" w:lineRule="auto"/>
              <w:jc w:val="center"/>
              <w:rPr>
                <w:rFonts w:eastAsia="Times New Roman" w:cstheme="minorHAnsi"/>
                <w:color w:val="000000"/>
              </w:rPr>
            </w:pPr>
            <w:r w:rsidRPr="006C2765">
              <w:rPr>
                <w:rFonts w:eastAsia="Times New Roman" w:cstheme="minorHAnsi"/>
                <w:color w:val="000000"/>
              </w:rPr>
              <w:t>64.8 (5.6)</w:t>
            </w:r>
          </w:p>
        </w:tc>
        <w:tc>
          <w:tcPr>
            <w:tcW w:w="985" w:type="dxa"/>
            <w:noWrap/>
          </w:tcPr>
          <w:p w14:paraId="5EB45BB1" w14:textId="77777777" w:rsidR="00B52061" w:rsidRPr="006C2765" w:rsidRDefault="00B52061" w:rsidP="00470018">
            <w:pPr>
              <w:spacing w:line="288" w:lineRule="auto"/>
              <w:jc w:val="center"/>
              <w:rPr>
                <w:rFonts w:eastAsia="Times New Roman" w:cstheme="minorHAnsi"/>
                <w:color w:val="000000"/>
              </w:rPr>
            </w:pPr>
            <w:r w:rsidRPr="006C2765">
              <w:rPr>
                <w:rFonts w:eastAsia="Times New Roman" w:cstheme="minorHAnsi"/>
                <w:color w:val="000000"/>
              </w:rPr>
              <w:t>0.697</w:t>
            </w:r>
          </w:p>
        </w:tc>
      </w:tr>
      <w:tr w:rsidR="00B52061" w:rsidRPr="006C2765" w14:paraId="0367254B" w14:textId="77777777" w:rsidTr="00FB6490">
        <w:trPr>
          <w:trHeight w:val="290"/>
        </w:trPr>
        <w:tc>
          <w:tcPr>
            <w:tcW w:w="3595" w:type="dxa"/>
            <w:hideMark/>
          </w:tcPr>
          <w:p w14:paraId="3D38D266" w14:textId="77777777" w:rsidR="00B52061" w:rsidRPr="006C2765" w:rsidRDefault="00B52061" w:rsidP="00470018">
            <w:pPr>
              <w:spacing w:line="288" w:lineRule="auto"/>
              <w:rPr>
                <w:rFonts w:cstheme="minorHAnsi"/>
                <w:color w:val="000000"/>
              </w:rPr>
            </w:pPr>
            <w:r w:rsidRPr="006C2765">
              <w:rPr>
                <w:rFonts w:cstheme="minorHAnsi"/>
                <w:color w:val="000000"/>
              </w:rPr>
              <w:t>Male Sex, N (%)</w:t>
            </w:r>
          </w:p>
        </w:tc>
        <w:tc>
          <w:tcPr>
            <w:tcW w:w="2430" w:type="dxa"/>
            <w:noWrap/>
            <w:hideMark/>
          </w:tcPr>
          <w:p w14:paraId="47EC6D58" w14:textId="77777777" w:rsidR="00B52061" w:rsidRPr="006C2765" w:rsidRDefault="00B52061" w:rsidP="00470018">
            <w:pPr>
              <w:spacing w:line="288" w:lineRule="auto"/>
              <w:jc w:val="center"/>
              <w:rPr>
                <w:rFonts w:cstheme="minorHAnsi"/>
                <w:color w:val="000000"/>
              </w:rPr>
            </w:pPr>
            <w:r w:rsidRPr="006C2765">
              <w:rPr>
                <w:rFonts w:cstheme="minorHAnsi"/>
                <w:color w:val="000000"/>
              </w:rPr>
              <w:t>2874 (56.3%)</w:t>
            </w:r>
          </w:p>
        </w:tc>
        <w:tc>
          <w:tcPr>
            <w:tcW w:w="2160" w:type="dxa"/>
            <w:noWrap/>
            <w:hideMark/>
          </w:tcPr>
          <w:p w14:paraId="542B9E16" w14:textId="77777777" w:rsidR="00B52061" w:rsidRPr="006C2765" w:rsidRDefault="00B52061" w:rsidP="00470018">
            <w:pPr>
              <w:spacing w:line="288" w:lineRule="auto"/>
              <w:jc w:val="center"/>
              <w:rPr>
                <w:rFonts w:cstheme="minorHAnsi"/>
                <w:color w:val="000000"/>
              </w:rPr>
            </w:pPr>
            <w:r w:rsidRPr="006C2765">
              <w:rPr>
                <w:rFonts w:cstheme="minorHAnsi"/>
                <w:color w:val="000000"/>
              </w:rPr>
              <w:t>2839 (55.9%)</w:t>
            </w:r>
          </w:p>
        </w:tc>
        <w:tc>
          <w:tcPr>
            <w:tcW w:w="985" w:type="dxa"/>
            <w:noWrap/>
            <w:hideMark/>
          </w:tcPr>
          <w:p w14:paraId="285C9905" w14:textId="77777777" w:rsidR="00B52061" w:rsidRPr="006C2765" w:rsidRDefault="006C2765" w:rsidP="00470018">
            <w:pPr>
              <w:spacing w:line="288" w:lineRule="auto"/>
              <w:jc w:val="center"/>
              <w:rPr>
                <w:rFonts w:cstheme="minorHAnsi"/>
                <w:color w:val="000000"/>
              </w:rPr>
            </w:pPr>
            <w:r>
              <w:rPr>
                <w:rFonts w:cstheme="minorHAnsi"/>
                <w:color w:val="000000"/>
              </w:rPr>
              <w:t>0.717</w:t>
            </w:r>
          </w:p>
        </w:tc>
      </w:tr>
      <w:tr w:rsidR="00B52061" w:rsidRPr="006C2765" w14:paraId="4E69BB1A" w14:textId="77777777" w:rsidTr="00FB6490">
        <w:trPr>
          <w:trHeight w:val="290"/>
        </w:trPr>
        <w:tc>
          <w:tcPr>
            <w:tcW w:w="3595" w:type="dxa"/>
          </w:tcPr>
          <w:p w14:paraId="270E64DF" w14:textId="77777777" w:rsidR="00B52061" w:rsidRPr="006C2765" w:rsidRDefault="00B52061" w:rsidP="00470018">
            <w:pPr>
              <w:spacing w:line="288" w:lineRule="auto"/>
              <w:rPr>
                <w:rFonts w:eastAsia="Times New Roman" w:cstheme="minorHAnsi"/>
                <w:color w:val="000000"/>
              </w:rPr>
            </w:pPr>
            <w:r w:rsidRPr="006C2765">
              <w:rPr>
                <w:rFonts w:eastAsia="Times New Roman" w:cstheme="minorHAnsi"/>
                <w:color w:val="000000"/>
              </w:rPr>
              <w:t>BMI (kg/m</w:t>
            </w:r>
            <w:r w:rsidRPr="006C2765">
              <w:rPr>
                <w:rFonts w:eastAsia="Times New Roman" w:cstheme="minorHAnsi"/>
                <w:color w:val="000000"/>
                <w:vertAlign w:val="superscript"/>
              </w:rPr>
              <w:t>2</w:t>
            </w:r>
            <w:r w:rsidRPr="006C2765">
              <w:rPr>
                <w:rFonts w:eastAsia="Times New Roman" w:cstheme="minorHAnsi"/>
                <w:color w:val="000000"/>
              </w:rPr>
              <w:t xml:space="preserve">), </w:t>
            </w:r>
            <w:r w:rsidR="006C2765" w:rsidRPr="006C2765">
              <w:rPr>
                <w:rFonts w:eastAsia="Times New Roman" w:cstheme="minorHAnsi"/>
                <w:color w:val="000000"/>
              </w:rPr>
              <w:t>Mean (SD)</w:t>
            </w:r>
            <w:r w:rsidR="006C2765">
              <w:rPr>
                <w:rFonts w:eastAsia="Times New Roman" w:cstheme="minorHAnsi"/>
                <w:color w:val="000000"/>
              </w:rPr>
              <w:t xml:space="preserve">, </w:t>
            </w:r>
            <w:r w:rsidRPr="006C2765">
              <w:rPr>
                <w:rFonts w:eastAsia="Times New Roman" w:cstheme="minorHAnsi"/>
                <w:color w:val="000000"/>
              </w:rPr>
              <w:t>N</w:t>
            </w:r>
          </w:p>
        </w:tc>
        <w:tc>
          <w:tcPr>
            <w:tcW w:w="2430" w:type="dxa"/>
            <w:noWrap/>
          </w:tcPr>
          <w:p w14:paraId="6E408272" w14:textId="2C896923" w:rsidR="00B52061" w:rsidRPr="006C2765" w:rsidRDefault="00B52061" w:rsidP="00A20499">
            <w:pPr>
              <w:spacing w:line="288" w:lineRule="auto"/>
              <w:jc w:val="center"/>
              <w:rPr>
                <w:rFonts w:eastAsia="Times New Roman" w:cstheme="minorHAnsi"/>
                <w:color w:val="000000"/>
              </w:rPr>
            </w:pPr>
            <w:r w:rsidRPr="006C2765">
              <w:rPr>
                <w:rFonts w:eastAsia="Times New Roman" w:cstheme="minorHAnsi"/>
                <w:color w:val="000000"/>
              </w:rPr>
              <w:t xml:space="preserve">32.0 (5.9) </w:t>
            </w:r>
          </w:p>
        </w:tc>
        <w:tc>
          <w:tcPr>
            <w:tcW w:w="2160" w:type="dxa"/>
            <w:noWrap/>
          </w:tcPr>
          <w:p w14:paraId="3BD93B89" w14:textId="1106B92A" w:rsidR="00B52061" w:rsidRPr="006C2765" w:rsidRDefault="00A20499" w:rsidP="00A20499">
            <w:pPr>
              <w:spacing w:line="288" w:lineRule="auto"/>
              <w:jc w:val="center"/>
              <w:rPr>
                <w:rFonts w:eastAsia="Times New Roman" w:cstheme="minorHAnsi"/>
                <w:color w:val="000000"/>
              </w:rPr>
            </w:pPr>
            <w:r>
              <w:rPr>
                <w:rFonts w:eastAsia="Times New Roman" w:cstheme="minorHAnsi"/>
                <w:color w:val="000000"/>
              </w:rPr>
              <w:t>32.0 (6.1)</w:t>
            </w:r>
          </w:p>
        </w:tc>
        <w:tc>
          <w:tcPr>
            <w:tcW w:w="985" w:type="dxa"/>
            <w:noWrap/>
          </w:tcPr>
          <w:p w14:paraId="17CDD4CF" w14:textId="77777777" w:rsidR="00B52061" w:rsidRPr="006C2765" w:rsidRDefault="00B52061" w:rsidP="00470018">
            <w:pPr>
              <w:spacing w:line="288" w:lineRule="auto"/>
              <w:jc w:val="center"/>
              <w:rPr>
                <w:rFonts w:eastAsia="Times New Roman" w:cstheme="minorHAnsi"/>
                <w:color w:val="000000"/>
              </w:rPr>
            </w:pPr>
            <w:r w:rsidRPr="006C2765">
              <w:rPr>
                <w:rFonts w:eastAsia="Times New Roman" w:cstheme="minorHAnsi"/>
                <w:color w:val="000000"/>
              </w:rPr>
              <w:t>0.958</w:t>
            </w:r>
          </w:p>
        </w:tc>
      </w:tr>
      <w:tr w:rsidR="00B52061" w:rsidRPr="006C2765" w14:paraId="56013021" w14:textId="77777777" w:rsidTr="00FB6490">
        <w:trPr>
          <w:trHeight w:val="290"/>
        </w:trPr>
        <w:tc>
          <w:tcPr>
            <w:tcW w:w="3595" w:type="dxa"/>
          </w:tcPr>
          <w:p w14:paraId="493BAD3C" w14:textId="77777777" w:rsidR="00B52061" w:rsidRPr="006C2765" w:rsidRDefault="00B52061" w:rsidP="00470018">
            <w:pPr>
              <w:spacing w:line="288" w:lineRule="auto"/>
              <w:rPr>
                <w:rFonts w:cstheme="minorHAnsi"/>
                <w:color w:val="000000"/>
              </w:rPr>
            </w:pPr>
            <w:r w:rsidRPr="006C2765">
              <w:rPr>
                <w:rFonts w:cstheme="minorHAnsi"/>
                <w:color w:val="000000"/>
              </w:rPr>
              <w:t>White</w:t>
            </w:r>
            <w:r w:rsidR="006C2765">
              <w:rPr>
                <w:rFonts w:cstheme="minorHAnsi"/>
                <w:color w:val="000000"/>
              </w:rPr>
              <w:t xml:space="preserve"> </w:t>
            </w:r>
            <w:r w:rsidR="006C2765" w:rsidRPr="006C2765">
              <w:rPr>
                <w:rFonts w:cstheme="minorHAnsi"/>
                <w:color w:val="000000"/>
              </w:rPr>
              <w:t>N (%)</w:t>
            </w:r>
          </w:p>
        </w:tc>
        <w:tc>
          <w:tcPr>
            <w:tcW w:w="2430" w:type="dxa"/>
            <w:noWrap/>
          </w:tcPr>
          <w:p w14:paraId="1171BA01" w14:textId="77777777" w:rsidR="00B52061" w:rsidRPr="006C2765" w:rsidRDefault="00B52061" w:rsidP="00470018">
            <w:pPr>
              <w:spacing w:line="288" w:lineRule="auto"/>
              <w:jc w:val="center"/>
              <w:rPr>
                <w:rFonts w:cstheme="minorHAnsi"/>
                <w:color w:val="000000"/>
              </w:rPr>
            </w:pPr>
            <w:r w:rsidRPr="006C2765">
              <w:rPr>
                <w:rFonts w:cstheme="minorHAnsi"/>
                <w:color w:val="000000"/>
              </w:rPr>
              <w:t>4056 (79.4%)</w:t>
            </w:r>
          </w:p>
        </w:tc>
        <w:tc>
          <w:tcPr>
            <w:tcW w:w="2160" w:type="dxa"/>
            <w:noWrap/>
          </w:tcPr>
          <w:p w14:paraId="52F97EB8" w14:textId="77777777" w:rsidR="00B52061" w:rsidRPr="006C2765" w:rsidRDefault="00B52061" w:rsidP="00470018">
            <w:pPr>
              <w:spacing w:line="288" w:lineRule="auto"/>
              <w:jc w:val="center"/>
              <w:rPr>
                <w:rFonts w:cstheme="minorHAnsi"/>
                <w:color w:val="000000"/>
              </w:rPr>
            </w:pPr>
            <w:r w:rsidRPr="006C2765">
              <w:rPr>
                <w:rFonts w:cstheme="minorHAnsi"/>
                <w:color w:val="000000"/>
              </w:rPr>
              <w:t>4013 (79.0%)</w:t>
            </w:r>
          </w:p>
        </w:tc>
        <w:tc>
          <w:tcPr>
            <w:tcW w:w="985" w:type="dxa"/>
            <w:noWrap/>
          </w:tcPr>
          <w:p w14:paraId="487F4830" w14:textId="77777777" w:rsidR="00B52061" w:rsidRPr="006C2765" w:rsidRDefault="00B52061" w:rsidP="00470018">
            <w:pPr>
              <w:spacing w:line="288" w:lineRule="auto"/>
              <w:jc w:val="center"/>
              <w:rPr>
                <w:rFonts w:cstheme="minorHAnsi"/>
                <w:color w:val="000000"/>
              </w:rPr>
            </w:pPr>
            <w:r w:rsidRPr="006C2765">
              <w:rPr>
                <w:rFonts w:cstheme="minorHAnsi"/>
                <w:color w:val="000000"/>
              </w:rPr>
              <w:t>0.639</w:t>
            </w:r>
          </w:p>
        </w:tc>
      </w:tr>
      <w:tr w:rsidR="00B52061" w:rsidRPr="006C2765" w14:paraId="5E9B97AA" w14:textId="77777777" w:rsidTr="00FB6490">
        <w:trPr>
          <w:trHeight w:val="134"/>
        </w:trPr>
        <w:tc>
          <w:tcPr>
            <w:tcW w:w="3595" w:type="dxa"/>
            <w:hideMark/>
          </w:tcPr>
          <w:p w14:paraId="06A041E6" w14:textId="77777777" w:rsidR="00B52061" w:rsidRPr="006C2765" w:rsidRDefault="00B52061" w:rsidP="00470018">
            <w:pPr>
              <w:spacing w:line="288" w:lineRule="auto"/>
              <w:rPr>
                <w:rFonts w:eastAsia="Times New Roman" w:cstheme="minorHAnsi"/>
                <w:color w:val="000000"/>
              </w:rPr>
            </w:pPr>
            <w:r w:rsidRPr="006C2765">
              <w:rPr>
                <w:rFonts w:eastAsia="Times New Roman" w:cstheme="minorHAnsi"/>
                <w:color w:val="000000"/>
              </w:rPr>
              <w:t>Diabetes duration</w:t>
            </w:r>
            <w:r w:rsidR="006C2765">
              <w:rPr>
                <w:rFonts w:eastAsia="Times New Roman" w:cstheme="minorHAnsi"/>
                <w:color w:val="000000"/>
              </w:rPr>
              <w:t xml:space="preserve">, </w:t>
            </w:r>
            <w:r w:rsidR="006C2765" w:rsidRPr="006C2765">
              <w:rPr>
                <w:rFonts w:eastAsia="Times New Roman" w:cstheme="minorHAnsi"/>
                <w:color w:val="000000"/>
              </w:rPr>
              <w:t>Mean (SD)</w:t>
            </w:r>
          </w:p>
        </w:tc>
        <w:tc>
          <w:tcPr>
            <w:tcW w:w="2430" w:type="dxa"/>
            <w:noWrap/>
            <w:hideMark/>
          </w:tcPr>
          <w:p w14:paraId="4D0CDB36" w14:textId="77777777" w:rsidR="00B52061" w:rsidRPr="006C2765" w:rsidRDefault="00B52061" w:rsidP="00470018">
            <w:pPr>
              <w:spacing w:line="288" w:lineRule="auto"/>
              <w:jc w:val="center"/>
              <w:rPr>
                <w:rFonts w:eastAsia="Times New Roman" w:cstheme="minorHAnsi"/>
                <w:color w:val="000000"/>
              </w:rPr>
            </w:pPr>
            <w:r w:rsidRPr="006C2765">
              <w:rPr>
                <w:rFonts w:eastAsia="Times New Roman" w:cstheme="minorHAnsi"/>
                <w:color w:val="000000"/>
              </w:rPr>
              <w:t>11.8 (7.4)</w:t>
            </w:r>
          </w:p>
        </w:tc>
        <w:tc>
          <w:tcPr>
            <w:tcW w:w="2160" w:type="dxa"/>
            <w:noWrap/>
            <w:hideMark/>
          </w:tcPr>
          <w:p w14:paraId="01428B7A" w14:textId="77777777" w:rsidR="00B52061" w:rsidRPr="006C2765" w:rsidRDefault="00B52061" w:rsidP="00470018">
            <w:pPr>
              <w:spacing w:line="288" w:lineRule="auto"/>
              <w:jc w:val="center"/>
              <w:rPr>
                <w:rFonts w:eastAsia="Times New Roman" w:cstheme="minorHAnsi"/>
                <w:color w:val="000000"/>
              </w:rPr>
            </w:pPr>
            <w:r w:rsidRPr="006C2765">
              <w:rPr>
                <w:rFonts w:eastAsia="Times New Roman" w:cstheme="minorHAnsi"/>
                <w:color w:val="000000"/>
              </w:rPr>
              <w:t>11.7 (7.7)</w:t>
            </w:r>
          </w:p>
        </w:tc>
        <w:tc>
          <w:tcPr>
            <w:tcW w:w="985" w:type="dxa"/>
            <w:noWrap/>
            <w:hideMark/>
          </w:tcPr>
          <w:p w14:paraId="70ED672A" w14:textId="77777777" w:rsidR="00B52061" w:rsidRPr="006C2765" w:rsidRDefault="00B52061" w:rsidP="00470018">
            <w:pPr>
              <w:spacing w:line="288" w:lineRule="auto"/>
              <w:jc w:val="center"/>
              <w:rPr>
                <w:rFonts w:eastAsia="Times New Roman" w:cstheme="minorHAnsi"/>
                <w:color w:val="000000"/>
              </w:rPr>
            </w:pPr>
            <w:r w:rsidRPr="006C2765">
              <w:rPr>
                <w:rFonts w:eastAsia="Times New Roman" w:cstheme="minorHAnsi"/>
                <w:color w:val="000000"/>
              </w:rPr>
              <w:t>0.316</w:t>
            </w:r>
          </w:p>
        </w:tc>
      </w:tr>
      <w:tr w:rsidR="00E04637" w:rsidRPr="006C2765" w14:paraId="53E2ADD1" w14:textId="77777777" w:rsidTr="00FB6490">
        <w:trPr>
          <w:trHeight w:val="260"/>
        </w:trPr>
        <w:tc>
          <w:tcPr>
            <w:tcW w:w="3595" w:type="dxa"/>
            <w:hideMark/>
          </w:tcPr>
          <w:p w14:paraId="220FE3EC" w14:textId="77777777" w:rsidR="006C2765" w:rsidRPr="006C2765" w:rsidRDefault="006C2765" w:rsidP="00470018">
            <w:pPr>
              <w:spacing w:line="288" w:lineRule="auto"/>
              <w:rPr>
                <w:rFonts w:eastAsia="Times New Roman" w:cstheme="minorHAnsi"/>
                <w:color w:val="000000"/>
              </w:rPr>
            </w:pPr>
            <w:r w:rsidRPr="006C2765">
              <w:rPr>
                <w:rFonts w:eastAsia="Times New Roman" w:cstheme="minorHAnsi"/>
                <w:color w:val="000000"/>
              </w:rPr>
              <w:t>HbA1c (%)</w:t>
            </w:r>
          </w:p>
        </w:tc>
        <w:tc>
          <w:tcPr>
            <w:tcW w:w="2430" w:type="dxa"/>
            <w:noWrap/>
            <w:hideMark/>
          </w:tcPr>
          <w:p w14:paraId="56A7976B" w14:textId="632FA408" w:rsidR="006C2765" w:rsidRPr="006C2765" w:rsidRDefault="00A20499" w:rsidP="00A20499">
            <w:pPr>
              <w:spacing w:line="288" w:lineRule="auto"/>
              <w:jc w:val="center"/>
              <w:rPr>
                <w:rFonts w:eastAsia="Times New Roman" w:cstheme="minorHAnsi"/>
                <w:color w:val="000000"/>
              </w:rPr>
            </w:pPr>
            <w:r>
              <w:rPr>
                <w:rFonts w:eastAsia="Times New Roman" w:cstheme="minorHAnsi"/>
                <w:color w:val="000000"/>
              </w:rPr>
              <w:t>8.3 (1.2)</w:t>
            </w:r>
          </w:p>
        </w:tc>
        <w:tc>
          <w:tcPr>
            <w:tcW w:w="2160" w:type="dxa"/>
            <w:noWrap/>
            <w:hideMark/>
          </w:tcPr>
          <w:p w14:paraId="7668D708" w14:textId="04E44E6C" w:rsidR="006C2765" w:rsidRPr="006C2765" w:rsidRDefault="00A20499" w:rsidP="00A20499">
            <w:pPr>
              <w:spacing w:line="288" w:lineRule="auto"/>
              <w:jc w:val="center"/>
              <w:rPr>
                <w:rFonts w:eastAsia="Times New Roman" w:cstheme="minorHAnsi"/>
                <w:color w:val="000000"/>
              </w:rPr>
            </w:pPr>
            <w:r>
              <w:rPr>
                <w:rFonts w:eastAsia="Times New Roman" w:cstheme="minorHAnsi"/>
                <w:color w:val="000000"/>
              </w:rPr>
              <w:t>8.3 (1.2)</w:t>
            </w:r>
          </w:p>
        </w:tc>
        <w:tc>
          <w:tcPr>
            <w:tcW w:w="985" w:type="dxa"/>
            <w:noWrap/>
            <w:hideMark/>
          </w:tcPr>
          <w:p w14:paraId="2F0E5514" w14:textId="77777777" w:rsidR="006C2765" w:rsidRPr="006C2765" w:rsidRDefault="006C2765" w:rsidP="00470018">
            <w:pPr>
              <w:spacing w:line="288" w:lineRule="auto"/>
              <w:jc w:val="center"/>
              <w:rPr>
                <w:rFonts w:eastAsia="Times New Roman" w:cstheme="minorHAnsi"/>
                <w:color w:val="000000"/>
              </w:rPr>
            </w:pPr>
            <w:r w:rsidRPr="006C2765">
              <w:rPr>
                <w:rFonts w:eastAsia="Times New Roman" w:cstheme="minorHAnsi"/>
                <w:color w:val="000000"/>
              </w:rPr>
              <w:t>0.818</w:t>
            </w:r>
          </w:p>
        </w:tc>
      </w:tr>
      <w:tr w:rsidR="00B52061" w:rsidRPr="006C2765" w14:paraId="7EC53757" w14:textId="77777777" w:rsidTr="00FB6490">
        <w:trPr>
          <w:trHeight w:val="290"/>
        </w:trPr>
        <w:tc>
          <w:tcPr>
            <w:tcW w:w="3595" w:type="dxa"/>
            <w:hideMark/>
          </w:tcPr>
          <w:p w14:paraId="3A3304B1" w14:textId="77777777" w:rsidR="00B52061" w:rsidRPr="006C2765" w:rsidRDefault="00B52061" w:rsidP="00470018">
            <w:pPr>
              <w:spacing w:line="288" w:lineRule="auto"/>
              <w:rPr>
                <w:rFonts w:eastAsia="Times New Roman" w:cstheme="minorHAnsi"/>
                <w:color w:val="000000"/>
              </w:rPr>
            </w:pPr>
            <w:r w:rsidRPr="006C2765">
              <w:rPr>
                <w:rFonts w:eastAsia="Times New Roman" w:cstheme="minorHAnsi"/>
                <w:color w:val="000000"/>
              </w:rPr>
              <w:t>Systolic BP (mmHg)</w:t>
            </w:r>
            <w:r w:rsidR="006C2765">
              <w:rPr>
                <w:rFonts w:eastAsia="Times New Roman" w:cstheme="minorHAnsi"/>
                <w:color w:val="000000"/>
              </w:rPr>
              <w:t xml:space="preserve">, </w:t>
            </w:r>
            <w:r w:rsidR="006C2765" w:rsidRPr="006C2765">
              <w:rPr>
                <w:rFonts w:eastAsia="Times New Roman" w:cstheme="minorHAnsi"/>
                <w:color w:val="000000"/>
              </w:rPr>
              <w:t>Mean (SD)</w:t>
            </w:r>
          </w:p>
        </w:tc>
        <w:tc>
          <w:tcPr>
            <w:tcW w:w="2430" w:type="dxa"/>
            <w:noWrap/>
            <w:hideMark/>
          </w:tcPr>
          <w:p w14:paraId="5247C501" w14:textId="77777777" w:rsidR="00B52061" w:rsidRPr="006C2765" w:rsidRDefault="00B52061" w:rsidP="00470018">
            <w:pPr>
              <w:spacing w:line="288" w:lineRule="auto"/>
              <w:jc w:val="center"/>
              <w:rPr>
                <w:rFonts w:eastAsia="Times New Roman" w:cstheme="minorHAnsi"/>
                <w:color w:val="000000"/>
              </w:rPr>
            </w:pPr>
            <w:r w:rsidRPr="006C2765">
              <w:rPr>
                <w:rFonts w:eastAsia="Times New Roman" w:cstheme="minorHAnsi"/>
                <w:color w:val="000000"/>
              </w:rPr>
              <w:t>135.7 (15.0)</w:t>
            </w:r>
          </w:p>
        </w:tc>
        <w:tc>
          <w:tcPr>
            <w:tcW w:w="2160" w:type="dxa"/>
            <w:noWrap/>
            <w:hideMark/>
          </w:tcPr>
          <w:p w14:paraId="265D94E0" w14:textId="77777777" w:rsidR="00B52061" w:rsidRPr="006C2765" w:rsidRDefault="00B52061" w:rsidP="00470018">
            <w:pPr>
              <w:spacing w:line="288" w:lineRule="auto"/>
              <w:jc w:val="center"/>
              <w:rPr>
                <w:rFonts w:eastAsia="Times New Roman" w:cstheme="minorHAnsi"/>
                <w:color w:val="000000"/>
              </w:rPr>
            </w:pPr>
            <w:r w:rsidRPr="006C2765">
              <w:rPr>
                <w:rFonts w:eastAsia="Times New Roman" w:cstheme="minorHAnsi"/>
                <w:color w:val="000000"/>
              </w:rPr>
              <w:t>135.5 (15.2)</w:t>
            </w:r>
          </w:p>
        </w:tc>
        <w:tc>
          <w:tcPr>
            <w:tcW w:w="985" w:type="dxa"/>
            <w:noWrap/>
            <w:hideMark/>
          </w:tcPr>
          <w:p w14:paraId="6F252339" w14:textId="77777777" w:rsidR="00B52061" w:rsidRPr="006C2765" w:rsidRDefault="00B52061" w:rsidP="00470018">
            <w:pPr>
              <w:spacing w:line="288" w:lineRule="auto"/>
              <w:jc w:val="center"/>
              <w:rPr>
                <w:rFonts w:eastAsia="Times New Roman" w:cstheme="minorHAnsi"/>
                <w:color w:val="000000"/>
              </w:rPr>
            </w:pPr>
            <w:r w:rsidRPr="006C2765">
              <w:rPr>
                <w:rFonts w:eastAsia="Times New Roman" w:cstheme="minorHAnsi"/>
                <w:color w:val="000000"/>
              </w:rPr>
              <w:t>0.704</w:t>
            </w:r>
          </w:p>
        </w:tc>
      </w:tr>
      <w:tr w:rsidR="006C2765" w:rsidRPr="006C2765" w14:paraId="2A43849B" w14:textId="77777777" w:rsidTr="00FB6490">
        <w:trPr>
          <w:trHeight w:val="50"/>
        </w:trPr>
        <w:tc>
          <w:tcPr>
            <w:tcW w:w="3595" w:type="dxa"/>
            <w:hideMark/>
          </w:tcPr>
          <w:p w14:paraId="6EE90BB3" w14:textId="77777777" w:rsidR="006C2765" w:rsidRPr="00C6380F" w:rsidRDefault="006C2765" w:rsidP="00470018">
            <w:pPr>
              <w:adjustRightInd w:val="0"/>
              <w:spacing w:line="288" w:lineRule="auto"/>
              <w:rPr>
                <w:rFonts w:cstheme="minorHAnsi"/>
                <w:color w:val="000000"/>
              </w:rPr>
            </w:pPr>
            <w:r w:rsidRPr="00C6380F">
              <w:rPr>
                <w:rFonts w:cstheme="minorHAnsi"/>
                <w:color w:val="000000"/>
              </w:rPr>
              <w:t>eGFR (CKD-EPI), Mean (SD)</w:t>
            </w:r>
          </w:p>
        </w:tc>
        <w:tc>
          <w:tcPr>
            <w:tcW w:w="2430" w:type="dxa"/>
            <w:noWrap/>
            <w:hideMark/>
          </w:tcPr>
          <w:p w14:paraId="7D72BF0B" w14:textId="72EF581E" w:rsidR="006C2765" w:rsidRPr="006C2765" w:rsidRDefault="00A20499" w:rsidP="00A20499">
            <w:pPr>
              <w:spacing w:line="288" w:lineRule="auto"/>
              <w:jc w:val="center"/>
              <w:rPr>
                <w:rFonts w:eastAsia="Times New Roman" w:cstheme="minorHAnsi"/>
                <w:color w:val="000000"/>
              </w:rPr>
            </w:pPr>
            <w:r>
              <w:rPr>
                <w:rFonts w:eastAsia="Times New Roman" w:cstheme="minorHAnsi"/>
                <w:color w:val="000000"/>
              </w:rPr>
              <w:t>85.4 (15.2)</w:t>
            </w:r>
          </w:p>
        </w:tc>
        <w:tc>
          <w:tcPr>
            <w:tcW w:w="2160" w:type="dxa"/>
            <w:noWrap/>
            <w:hideMark/>
          </w:tcPr>
          <w:p w14:paraId="3618144A" w14:textId="386FAA4D" w:rsidR="006C2765" w:rsidRPr="006C2765" w:rsidRDefault="00A20499" w:rsidP="00A20499">
            <w:pPr>
              <w:spacing w:line="288" w:lineRule="auto"/>
              <w:jc w:val="center"/>
              <w:rPr>
                <w:rFonts w:eastAsia="Times New Roman" w:cstheme="minorHAnsi"/>
                <w:color w:val="000000"/>
              </w:rPr>
            </w:pPr>
            <w:r>
              <w:rPr>
                <w:rFonts w:eastAsia="Times New Roman" w:cstheme="minorHAnsi"/>
                <w:color w:val="000000"/>
              </w:rPr>
              <w:t>85.8 (14.8)</w:t>
            </w:r>
          </w:p>
        </w:tc>
        <w:tc>
          <w:tcPr>
            <w:tcW w:w="985" w:type="dxa"/>
            <w:noWrap/>
            <w:hideMark/>
          </w:tcPr>
          <w:p w14:paraId="54CF2822" w14:textId="77777777" w:rsidR="006C2765" w:rsidRPr="006C2765" w:rsidRDefault="006C2765" w:rsidP="00470018">
            <w:pPr>
              <w:spacing w:line="288" w:lineRule="auto"/>
              <w:jc w:val="center"/>
              <w:rPr>
                <w:rFonts w:eastAsia="Times New Roman" w:cstheme="minorHAnsi"/>
                <w:color w:val="000000"/>
              </w:rPr>
            </w:pPr>
            <w:r w:rsidRPr="006C2765">
              <w:rPr>
                <w:rFonts w:eastAsia="Times New Roman" w:cstheme="minorHAnsi"/>
                <w:color w:val="000000"/>
              </w:rPr>
              <w:t>0.522</w:t>
            </w:r>
          </w:p>
        </w:tc>
      </w:tr>
      <w:tr w:rsidR="006C2765" w:rsidRPr="006C2765" w14:paraId="5964645D" w14:textId="77777777" w:rsidTr="00FB6490">
        <w:trPr>
          <w:trHeight w:val="290"/>
        </w:trPr>
        <w:tc>
          <w:tcPr>
            <w:tcW w:w="3595" w:type="dxa"/>
            <w:hideMark/>
          </w:tcPr>
          <w:p w14:paraId="7B43097E" w14:textId="77777777" w:rsidR="006C2765" w:rsidRPr="006C2765" w:rsidRDefault="006C2765" w:rsidP="00470018">
            <w:pPr>
              <w:spacing w:line="288" w:lineRule="auto"/>
              <w:rPr>
                <w:rFonts w:cstheme="minorHAnsi"/>
                <w:color w:val="000000"/>
              </w:rPr>
            </w:pPr>
            <w:r w:rsidRPr="006C2765">
              <w:rPr>
                <w:rFonts w:cstheme="minorHAnsi"/>
                <w:color w:val="000000"/>
              </w:rPr>
              <w:t xml:space="preserve">  </w:t>
            </w:r>
            <w:r>
              <w:rPr>
                <w:rFonts w:cstheme="minorHAnsi"/>
                <w:color w:val="000000"/>
              </w:rPr>
              <w:tab/>
            </w:r>
            <w:r w:rsidRPr="006C2765">
              <w:rPr>
                <w:rFonts w:cstheme="minorHAnsi"/>
                <w:color w:val="000000"/>
              </w:rPr>
              <w:t>&lt;60 mL/min/1.73m</w:t>
            </w:r>
            <w:r w:rsidRPr="006C2765">
              <w:rPr>
                <w:rFonts w:cstheme="minorHAnsi"/>
                <w:color w:val="000000"/>
                <w:vertAlign w:val="superscript"/>
              </w:rPr>
              <w:t>2</w:t>
            </w:r>
          </w:p>
        </w:tc>
        <w:tc>
          <w:tcPr>
            <w:tcW w:w="2430" w:type="dxa"/>
            <w:noWrap/>
            <w:hideMark/>
          </w:tcPr>
          <w:p w14:paraId="55D02926" w14:textId="77777777" w:rsidR="006C2765" w:rsidRPr="006C2765" w:rsidRDefault="006C2765" w:rsidP="00470018">
            <w:pPr>
              <w:spacing w:line="288" w:lineRule="auto"/>
              <w:jc w:val="center"/>
              <w:rPr>
                <w:rFonts w:cstheme="minorHAnsi"/>
                <w:color w:val="000000"/>
              </w:rPr>
            </w:pPr>
            <w:r w:rsidRPr="006C2765">
              <w:rPr>
                <w:rFonts w:cstheme="minorHAnsi"/>
                <w:color w:val="000000"/>
              </w:rPr>
              <w:t>325 (6.4%)</w:t>
            </w:r>
          </w:p>
        </w:tc>
        <w:tc>
          <w:tcPr>
            <w:tcW w:w="2160" w:type="dxa"/>
            <w:noWrap/>
            <w:hideMark/>
          </w:tcPr>
          <w:p w14:paraId="2DC772BE" w14:textId="77777777" w:rsidR="006C2765" w:rsidRPr="006C2765" w:rsidRDefault="006C2765" w:rsidP="00470018">
            <w:pPr>
              <w:spacing w:line="288" w:lineRule="auto"/>
              <w:jc w:val="center"/>
              <w:rPr>
                <w:rFonts w:cstheme="minorHAnsi"/>
                <w:color w:val="000000"/>
              </w:rPr>
            </w:pPr>
            <w:r w:rsidRPr="006C2765">
              <w:rPr>
                <w:rFonts w:cstheme="minorHAnsi"/>
                <w:color w:val="000000"/>
              </w:rPr>
              <w:t>297 (5.8%)</w:t>
            </w:r>
          </w:p>
        </w:tc>
        <w:tc>
          <w:tcPr>
            <w:tcW w:w="985" w:type="dxa"/>
            <w:vMerge w:val="restart"/>
            <w:noWrap/>
            <w:hideMark/>
          </w:tcPr>
          <w:p w14:paraId="5789B7FE" w14:textId="77777777" w:rsidR="006C2765" w:rsidRPr="006C2765" w:rsidRDefault="006C2765" w:rsidP="00470018">
            <w:pPr>
              <w:spacing w:line="288" w:lineRule="auto"/>
              <w:jc w:val="center"/>
              <w:rPr>
                <w:rFonts w:cstheme="minorHAnsi"/>
                <w:color w:val="000000"/>
              </w:rPr>
            </w:pPr>
            <w:r w:rsidRPr="006C2765">
              <w:rPr>
                <w:rFonts w:cstheme="minorHAnsi"/>
                <w:color w:val="000000"/>
              </w:rPr>
              <w:t>0.445</w:t>
            </w:r>
          </w:p>
        </w:tc>
      </w:tr>
      <w:tr w:rsidR="006C2765" w:rsidRPr="006C2765" w14:paraId="0A8CA9AF" w14:textId="77777777" w:rsidTr="00FB6490">
        <w:trPr>
          <w:trHeight w:val="290"/>
        </w:trPr>
        <w:tc>
          <w:tcPr>
            <w:tcW w:w="3595" w:type="dxa"/>
            <w:hideMark/>
          </w:tcPr>
          <w:p w14:paraId="7B6B1C7F" w14:textId="77777777" w:rsidR="006C2765" w:rsidRPr="006C2765" w:rsidRDefault="006C2765" w:rsidP="00470018">
            <w:pPr>
              <w:spacing w:line="288" w:lineRule="auto"/>
              <w:rPr>
                <w:rFonts w:cstheme="minorHAnsi"/>
                <w:color w:val="000000"/>
              </w:rPr>
            </w:pPr>
            <w:r w:rsidRPr="006C2765">
              <w:rPr>
                <w:rFonts w:cstheme="minorHAnsi"/>
                <w:color w:val="000000"/>
              </w:rPr>
              <w:t xml:space="preserve">  </w:t>
            </w:r>
            <w:r>
              <w:rPr>
                <w:rFonts w:cstheme="minorHAnsi"/>
                <w:color w:val="000000"/>
              </w:rPr>
              <w:tab/>
            </w:r>
            <w:r w:rsidRPr="006C2765">
              <w:rPr>
                <w:rFonts w:cstheme="minorHAnsi"/>
                <w:color w:val="000000"/>
              </w:rPr>
              <w:t>60 to &lt;90 mL/min/1.73m</w:t>
            </w:r>
            <w:r w:rsidRPr="006C2765">
              <w:rPr>
                <w:rFonts w:cstheme="minorHAnsi"/>
                <w:color w:val="000000"/>
                <w:vertAlign w:val="superscript"/>
              </w:rPr>
              <w:t>2</w:t>
            </w:r>
          </w:p>
        </w:tc>
        <w:tc>
          <w:tcPr>
            <w:tcW w:w="2430" w:type="dxa"/>
            <w:noWrap/>
            <w:hideMark/>
          </w:tcPr>
          <w:p w14:paraId="573136BC" w14:textId="77777777" w:rsidR="006C2765" w:rsidRPr="006C2765" w:rsidRDefault="006C2765" w:rsidP="00470018">
            <w:pPr>
              <w:spacing w:line="288" w:lineRule="auto"/>
              <w:jc w:val="center"/>
              <w:rPr>
                <w:rFonts w:cstheme="minorHAnsi"/>
                <w:color w:val="000000"/>
              </w:rPr>
            </w:pPr>
            <w:r w:rsidRPr="006C2765">
              <w:rPr>
                <w:rFonts w:cstheme="minorHAnsi"/>
                <w:color w:val="000000"/>
              </w:rPr>
              <w:t>2281 (44.7%)</w:t>
            </w:r>
          </w:p>
        </w:tc>
        <w:tc>
          <w:tcPr>
            <w:tcW w:w="2160" w:type="dxa"/>
            <w:noWrap/>
            <w:hideMark/>
          </w:tcPr>
          <w:p w14:paraId="160DBB37" w14:textId="77777777" w:rsidR="006C2765" w:rsidRPr="006C2765" w:rsidRDefault="006C2765" w:rsidP="00470018">
            <w:pPr>
              <w:spacing w:line="288" w:lineRule="auto"/>
              <w:jc w:val="center"/>
              <w:rPr>
                <w:rFonts w:cstheme="minorHAnsi"/>
                <w:color w:val="000000"/>
              </w:rPr>
            </w:pPr>
            <w:r w:rsidRPr="006C2765">
              <w:rPr>
                <w:rFonts w:cstheme="minorHAnsi"/>
                <w:color w:val="000000"/>
              </w:rPr>
              <w:t>2313 (45.5%)</w:t>
            </w:r>
          </w:p>
        </w:tc>
        <w:tc>
          <w:tcPr>
            <w:tcW w:w="985" w:type="dxa"/>
            <w:vMerge/>
            <w:noWrap/>
            <w:hideMark/>
          </w:tcPr>
          <w:p w14:paraId="27D3FC8E" w14:textId="77777777" w:rsidR="006C2765" w:rsidRPr="006C2765" w:rsidRDefault="006C2765" w:rsidP="00470018">
            <w:pPr>
              <w:spacing w:line="288" w:lineRule="auto"/>
              <w:jc w:val="center"/>
              <w:rPr>
                <w:rFonts w:cstheme="minorHAnsi"/>
                <w:color w:val="000000"/>
              </w:rPr>
            </w:pPr>
          </w:p>
        </w:tc>
      </w:tr>
      <w:tr w:rsidR="006C2765" w:rsidRPr="006C2765" w14:paraId="5A173D55" w14:textId="77777777" w:rsidTr="00FB6490">
        <w:trPr>
          <w:trHeight w:val="290"/>
        </w:trPr>
        <w:tc>
          <w:tcPr>
            <w:tcW w:w="3595" w:type="dxa"/>
            <w:hideMark/>
          </w:tcPr>
          <w:p w14:paraId="515646BC" w14:textId="77777777" w:rsidR="006C2765" w:rsidRPr="006C2765" w:rsidRDefault="006C2765" w:rsidP="00470018">
            <w:pPr>
              <w:spacing w:line="288" w:lineRule="auto"/>
              <w:rPr>
                <w:rFonts w:cstheme="minorHAnsi"/>
                <w:color w:val="000000"/>
              </w:rPr>
            </w:pPr>
            <w:r w:rsidRPr="006C2765">
              <w:rPr>
                <w:rFonts w:cstheme="minorHAnsi"/>
                <w:color w:val="000000"/>
              </w:rPr>
              <w:t xml:space="preserve"> </w:t>
            </w:r>
            <w:r>
              <w:rPr>
                <w:rFonts w:cstheme="minorHAnsi"/>
                <w:color w:val="000000"/>
              </w:rPr>
              <w:tab/>
              <w:t>≥</w:t>
            </w:r>
            <w:r w:rsidRPr="006C2765">
              <w:rPr>
                <w:rFonts w:cstheme="minorHAnsi"/>
                <w:color w:val="000000"/>
              </w:rPr>
              <w:t>90 mL/min/1.73m</w:t>
            </w:r>
            <w:r w:rsidRPr="006C2765">
              <w:rPr>
                <w:rFonts w:cstheme="minorHAnsi"/>
                <w:color w:val="000000"/>
                <w:vertAlign w:val="superscript"/>
              </w:rPr>
              <w:t>2</w:t>
            </w:r>
          </w:p>
        </w:tc>
        <w:tc>
          <w:tcPr>
            <w:tcW w:w="2430" w:type="dxa"/>
            <w:noWrap/>
            <w:hideMark/>
          </w:tcPr>
          <w:p w14:paraId="75E481EB" w14:textId="77777777" w:rsidR="006C2765" w:rsidRPr="006C2765" w:rsidRDefault="006C2765" w:rsidP="00470018">
            <w:pPr>
              <w:spacing w:line="288" w:lineRule="auto"/>
              <w:jc w:val="center"/>
              <w:rPr>
                <w:rFonts w:cstheme="minorHAnsi"/>
                <w:color w:val="000000"/>
              </w:rPr>
            </w:pPr>
            <w:r w:rsidRPr="006C2765">
              <w:rPr>
                <w:rFonts w:cstheme="minorHAnsi"/>
                <w:color w:val="000000"/>
              </w:rPr>
              <w:t>2501 (49.0%)</w:t>
            </w:r>
          </w:p>
        </w:tc>
        <w:tc>
          <w:tcPr>
            <w:tcW w:w="2160" w:type="dxa"/>
            <w:noWrap/>
            <w:hideMark/>
          </w:tcPr>
          <w:p w14:paraId="5A591C97" w14:textId="77777777" w:rsidR="006C2765" w:rsidRPr="006C2765" w:rsidRDefault="006C2765" w:rsidP="00470018">
            <w:pPr>
              <w:spacing w:line="288" w:lineRule="auto"/>
              <w:jc w:val="center"/>
              <w:rPr>
                <w:rFonts w:cstheme="minorHAnsi"/>
                <w:color w:val="000000"/>
              </w:rPr>
            </w:pPr>
            <w:r w:rsidRPr="006C2765">
              <w:rPr>
                <w:rFonts w:cstheme="minorHAnsi"/>
                <w:color w:val="000000"/>
              </w:rPr>
              <w:t>2468 (48.6%)</w:t>
            </w:r>
          </w:p>
        </w:tc>
        <w:tc>
          <w:tcPr>
            <w:tcW w:w="985" w:type="dxa"/>
            <w:vMerge/>
            <w:noWrap/>
            <w:hideMark/>
          </w:tcPr>
          <w:p w14:paraId="27AAAF63" w14:textId="77777777" w:rsidR="006C2765" w:rsidRPr="006C2765" w:rsidRDefault="006C2765" w:rsidP="00470018">
            <w:pPr>
              <w:spacing w:line="288" w:lineRule="auto"/>
              <w:jc w:val="center"/>
              <w:rPr>
                <w:rFonts w:cstheme="minorHAnsi"/>
                <w:color w:val="000000"/>
              </w:rPr>
            </w:pPr>
          </w:p>
        </w:tc>
      </w:tr>
      <w:tr w:rsidR="006C2765" w:rsidRPr="006C2765" w14:paraId="6ACF018B" w14:textId="77777777" w:rsidTr="00FB6490">
        <w:trPr>
          <w:trHeight w:val="50"/>
        </w:trPr>
        <w:tc>
          <w:tcPr>
            <w:tcW w:w="3595" w:type="dxa"/>
            <w:hideMark/>
          </w:tcPr>
          <w:p w14:paraId="4898D3F3" w14:textId="1D264190" w:rsidR="006C2765" w:rsidRPr="006C2765" w:rsidRDefault="006C2765" w:rsidP="00470018">
            <w:pPr>
              <w:spacing w:line="288" w:lineRule="auto"/>
              <w:rPr>
                <w:rFonts w:eastAsia="Times New Roman" w:cstheme="minorHAnsi"/>
                <w:color w:val="000000"/>
              </w:rPr>
            </w:pPr>
            <w:r>
              <w:rPr>
                <w:rFonts w:eastAsia="Times New Roman" w:cstheme="minorHAnsi"/>
                <w:color w:val="000000"/>
              </w:rPr>
              <w:t xml:space="preserve">UACR mg/g, </w:t>
            </w:r>
            <w:r w:rsidR="00FB6490">
              <w:rPr>
                <w:rFonts w:eastAsia="Times New Roman" w:cstheme="minorHAnsi" w:hint="cs"/>
                <w:color w:val="000000"/>
              </w:rPr>
              <w:t>M</w:t>
            </w:r>
            <w:r w:rsidR="00FB6490">
              <w:rPr>
                <w:rFonts w:eastAsia="Times New Roman" w:cstheme="minorHAnsi"/>
                <w:color w:val="000000"/>
              </w:rPr>
              <w:t>edian</w:t>
            </w:r>
            <w:r>
              <w:rPr>
                <w:rFonts w:eastAsia="Times New Roman" w:cstheme="minorHAnsi"/>
                <w:color w:val="000000"/>
              </w:rPr>
              <w:t xml:space="preserve"> (</w:t>
            </w:r>
            <w:r w:rsidR="00FB6490">
              <w:rPr>
                <w:rFonts w:eastAsia="Times New Roman" w:cstheme="minorHAnsi"/>
                <w:color w:val="000000"/>
              </w:rPr>
              <w:t>IQR</w:t>
            </w:r>
            <w:r>
              <w:rPr>
                <w:rFonts w:eastAsia="Times New Roman" w:cstheme="minorHAnsi"/>
                <w:color w:val="000000"/>
              </w:rPr>
              <w:t>), N</w:t>
            </w:r>
          </w:p>
        </w:tc>
        <w:tc>
          <w:tcPr>
            <w:tcW w:w="2430" w:type="dxa"/>
            <w:noWrap/>
            <w:hideMark/>
          </w:tcPr>
          <w:p w14:paraId="2A07E499" w14:textId="5D4863AE" w:rsidR="006C2765" w:rsidRPr="006C2765" w:rsidRDefault="00FB6490" w:rsidP="00A20499">
            <w:pPr>
              <w:spacing w:line="288" w:lineRule="auto"/>
              <w:jc w:val="center"/>
              <w:rPr>
                <w:rFonts w:eastAsia="Times New Roman" w:cstheme="minorHAnsi"/>
                <w:color w:val="000000"/>
              </w:rPr>
            </w:pPr>
            <w:r w:rsidRPr="00FB6490">
              <w:rPr>
                <w:rFonts w:eastAsia="Times New Roman" w:cstheme="minorHAnsi"/>
                <w:color w:val="000000"/>
              </w:rPr>
              <w:t>12.2 (5.9, 35.9)</w:t>
            </w:r>
          </w:p>
        </w:tc>
        <w:tc>
          <w:tcPr>
            <w:tcW w:w="2160" w:type="dxa"/>
            <w:noWrap/>
            <w:hideMark/>
          </w:tcPr>
          <w:p w14:paraId="0BD99AD3" w14:textId="48CA0922" w:rsidR="006C2765" w:rsidRPr="006C2765" w:rsidRDefault="00FB6490" w:rsidP="00470018">
            <w:pPr>
              <w:spacing w:line="288" w:lineRule="auto"/>
              <w:jc w:val="center"/>
              <w:rPr>
                <w:rFonts w:eastAsia="Times New Roman" w:cstheme="minorHAnsi"/>
                <w:color w:val="000000"/>
              </w:rPr>
            </w:pPr>
            <w:r w:rsidRPr="00FB6490">
              <w:rPr>
                <w:rFonts w:eastAsia="Times New Roman" w:cstheme="minorHAnsi"/>
                <w:color w:val="000000"/>
              </w:rPr>
              <w:t>12.1 (5.8, 36.7)</w:t>
            </w:r>
          </w:p>
        </w:tc>
        <w:tc>
          <w:tcPr>
            <w:tcW w:w="985" w:type="dxa"/>
            <w:noWrap/>
            <w:hideMark/>
          </w:tcPr>
          <w:p w14:paraId="361550F1" w14:textId="77777777" w:rsidR="006C2765" w:rsidRPr="006C2765" w:rsidRDefault="006C2765" w:rsidP="00470018">
            <w:pPr>
              <w:spacing w:line="288" w:lineRule="auto"/>
              <w:jc w:val="center"/>
              <w:rPr>
                <w:rFonts w:eastAsia="Times New Roman" w:cstheme="minorHAnsi"/>
                <w:color w:val="000000"/>
              </w:rPr>
            </w:pPr>
            <w:r w:rsidRPr="006C2765">
              <w:rPr>
                <w:rFonts w:eastAsia="Times New Roman" w:cstheme="minorHAnsi"/>
                <w:color w:val="000000"/>
              </w:rPr>
              <w:t>0.835</w:t>
            </w:r>
          </w:p>
        </w:tc>
      </w:tr>
      <w:tr w:rsidR="006C2765" w:rsidRPr="006C2765" w14:paraId="2342D9F5" w14:textId="77777777" w:rsidTr="00FB6490">
        <w:trPr>
          <w:trHeight w:val="290"/>
        </w:trPr>
        <w:tc>
          <w:tcPr>
            <w:tcW w:w="3595" w:type="dxa"/>
            <w:hideMark/>
          </w:tcPr>
          <w:p w14:paraId="227B2317" w14:textId="77777777" w:rsidR="006C2765" w:rsidRPr="006C2765" w:rsidRDefault="006C2765" w:rsidP="00470018">
            <w:pPr>
              <w:spacing w:line="288" w:lineRule="auto"/>
              <w:rPr>
                <w:rFonts w:cstheme="minorHAnsi"/>
                <w:color w:val="000000"/>
              </w:rPr>
            </w:pPr>
            <w:r>
              <w:rPr>
                <w:rFonts w:cstheme="minorHAnsi"/>
                <w:color w:val="000000"/>
              </w:rPr>
              <w:tab/>
            </w:r>
            <w:r w:rsidRPr="006C2765">
              <w:rPr>
                <w:rFonts w:cstheme="minorHAnsi"/>
                <w:color w:val="000000"/>
              </w:rPr>
              <w:t>&lt;30 mg/g</w:t>
            </w:r>
          </w:p>
        </w:tc>
        <w:tc>
          <w:tcPr>
            <w:tcW w:w="2430" w:type="dxa"/>
            <w:noWrap/>
            <w:hideMark/>
          </w:tcPr>
          <w:p w14:paraId="68FDEAEA" w14:textId="77777777" w:rsidR="006C2765" w:rsidRPr="006C2765" w:rsidRDefault="006C2765" w:rsidP="00470018">
            <w:pPr>
              <w:spacing w:line="288" w:lineRule="auto"/>
              <w:jc w:val="center"/>
              <w:rPr>
                <w:rFonts w:cstheme="minorHAnsi"/>
                <w:color w:val="000000"/>
              </w:rPr>
            </w:pPr>
            <w:r w:rsidRPr="006C2765">
              <w:rPr>
                <w:rFonts w:cstheme="minorHAnsi"/>
                <w:color w:val="000000"/>
              </w:rPr>
              <w:t>3602 (71.6%)</w:t>
            </w:r>
          </w:p>
        </w:tc>
        <w:tc>
          <w:tcPr>
            <w:tcW w:w="2160" w:type="dxa"/>
            <w:noWrap/>
            <w:hideMark/>
          </w:tcPr>
          <w:p w14:paraId="702A10BC" w14:textId="77777777" w:rsidR="006C2765" w:rsidRPr="006C2765" w:rsidRDefault="006C2765" w:rsidP="00470018">
            <w:pPr>
              <w:spacing w:line="288" w:lineRule="auto"/>
              <w:jc w:val="center"/>
              <w:rPr>
                <w:rFonts w:cstheme="minorHAnsi"/>
                <w:color w:val="000000"/>
              </w:rPr>
            </w:pPr>
            <w:r w:rsidRPr="006C2765">
              <w:rPr>
                <w:rFonts w:cstheme="minorHAnsi"/>
                <w:color w:val="000000"/>
              </w:rPr>
              <w:t>3590 (71.8%)</w:t>
            </w:r>
          </w:p>
        </w:tc>
        <w:tc>
          <w:tcPr>
            <w:tcW w:w="985" w:type="dxa"/>
            <w:vMerge w:val="restart"/>
            <w:noWrap/>
            <w:hideMark/>
          </w:tcPr>
          <w:p w14:paraId="18D0F48F" w14:textId="77777777" w:rsidR="006C2765" w:rsidRPr="006C2765" w:rsidRDefault="006C2765" w:rsidP="00470018">
            <w:pPr>
              <w:spacing w:line="288" w:lineRule="auto"/>
              <w:jc w:val="center"/>
              <w:rPr>
                <w:rFonts w:cstheme="minorHAnsi"/>
                <w:color w:val="000000"/>
              </w:rPr>
            </w:pPr>
            <w:r w:rsidRPr="006C2765">
              <w:rPr>
                <w:rFonts w:cstheme="minorHAnsi"/>
                <w:color w:val="000000"/>
              </w:rPr>
              <w:t>0.769</w:t>
            </w:r>
          </w:p>
        </w:tc>
      </w:tr>
      <w:tr w:rsidR="006C2765" w:rsidRPr="006C2765" w14:paraId="65B26347" w14:textId="77777777" w:rsidTr="00FB6490">
        <w:trPr>
          <w:trHeight w:val="290"/>
        </w:trPr>
        <w:tc>
          <w:tcPr>
            <w:tcW w:w="3595" w:type="dxa"/>
            <w:hideMark/>
          </w:tcPr>
          <w:p w14:paraId="56B054D5" w14:textId="77777777" w:rsidR="006C2765" w:rsidRPr="006C2765" w:rsidRDefault="006C2765" w:rsidP="00470018">
            <w:pPr>
              <w:spacing w:line="288" w:lineRule="auto"/>
              <w:rPr>
                <w:rFonts w:cstheme="minorHAnsi"/>
                <w:color w:val="000000"/>
              </w:rPr>
            </w:pPr>
            <w:r>
              <w:rPr>
                <w:rFonts w:cstheme="minorHAnsi"/>
                <w:color w:val="000000"/>
              </w:rPr>
              <w:tab/>
            </w:r>
            <w:r w:rsidRPr="006C2765">
              <w:rPr>
                <w:rFonts w:cstheme="minorHAnsi"/>
                <w:color w:val="000000"/>
              </w:rPr>
              <w:t xml:space="preserve">30 </w:t>
            </w:r>
            <w:r>
              <w:rPr>
                <w:rFonts w:cstheme="minorHAnsi"/>
                <w:color w:val="000000"/>
              </w:rPr>
              <w:t xml:space="preserve">- </w:t>
            </w:r>
            <w:r w:rsidRPr="006C2765">
              <w:rPr>
                <w:rFonts w:cstheme="minorHAnsi"/>
                <w:color w:val="000000"/>
              </w:rPr>
              <w:t>300 mg/g</w:t>
            </w:r>
          </w:p>
        </w:tc>
        <w:tc>
          <w:tcPr>
            <w:tcW w:w="2430" w:type="dxa"/>
            <w:noWrap/>
            <w:hideMark/>
          </w:tcPr>
          <w:p w14:paraId="45B35E7F" w14:textId="77777777" w:rsidR="006C2765" w:rsidRPr="006C2765" w:rsidRDefault="006C2765" w:rsidP="00470018">
            <w:pPr>
              <w:spacing w:line="288" w:lineRule="auto"/>
              <w:jc w:val="center"/>
              <w:rPr>
                <w:rFonts w:cstheme="minorHAnsi"/>
                <w:color w:val="000000"/>
              </w:rPr>
            </w:pPr>
            <w:r w:rsidRPr="006C2765">
              <w:rPr>
                <w:rFonts w:cstheme="minorHAnsi"/>
                <w:color w:val="000000"/>
              </w:rPr>
              <w:t>1123 (22.3%)</w:t>
            </w:r>
          </w:p>
        </w:tc>
        <w:tc>
          <w:tcPr>
            <w:tcW w:w="2160" w:type="dxa"/>
            <w:noWrap/>
            <w:hideMark/>
          </w:tcPr>
          <w:p w14:paraId="0D3D164A" w14:textId="77777777" w:rsidR="006C2765" w:rsidRPr="006C2765" w:rsidRDefault="006C2765" w:rsidP="00470018">
            <w:pPr>
              <w:spacing w:line="288" w:lineRule="auto"/>
              <w:jc w:val="center"/>
              <w:rPr>
                <w:rFonts w:cstheme="minorHAnsi"/>
                <w:color w:val="000000"/>
              </w:rPr>
            </w:pPr>
            <w:r w:rsidRPr="006C2765">
              <w:rPr>
                <w:rFonts w:cstheme="minorHAnsi"/>
                <w:color w:val="000000"/>
              </w:rPr>
              <w:t>1121 (22.4%)</w:t>
            </w:r>
          </w:p>
        </w:tc>
        <w:tc>
          <w:tcPr>
            <w:tcW w:w="985" w:type="dxa"/>
            <w:vMerge/>
            <w:noWrap/>
            <w:hideMark/>
          </w:tcPr>
          <w:p w14:paraId="7B8CDACA" w14:textId="77777777" w:rsidR="006C2765" w:rsidRPr="006C2765" w:rsidRDefault="006C2765" w:rsidP="00470018">
            <w:pPr>
              <w:spacing w:line="288" w:lineRule="auto"/>
              <w:jc w:val="center"/>
              <w:rPr>
                <w:rFonts w:cstheme="minorHAnsi"/>
                <w:color w:val="000000"/>
              </w:rPr>
            </w:pPr>
          </w:p>
        </w:tc>
      </w:tr>
      <w:tr w:rsidR="006C2765" w:rsidRPr="006C2765" w14:paraId="4D19FF3A" w14:textId="77777777" w:rsidTr="00FB6490">
        <w:trPr>
          <w:trHeight w:val="290"/>
        </w:trPr>
        <w:tc>
          <w:tcPr>
            <w:tcW w:w="3595" w:type="dxa"/>
            <w:hideMark/>
          </w:tcPr>
          <w:p w14:paraId="07978A37" w14:textId="77777777" w:rsidR="006C2765" w:rsidRPr="006C2765" w:rsidRDefault="006C2765" w:rsidP="00470018">
            <w:pPr>
              <w:spacing w:line="288" w:lineRule="auto"/>
              <w:rPr>
                <w:rFonts w:cstheme="minorHAnsi"/>
                <w:color w:val="000000"/>
              </w:rPr>
            </w:pPr>
            <w:r>
              <w:rPr>
                <w:rFonts w:cstheme="minorHAnsi"/>
                <w:color w:val="000000"/>
              </w:rPr>
              <w:tab/>
            </w:r>
            <w:r w:rsidRPr="006C2765">
              <w:rPr>
                <w:rFonts w:cstheme="minorHAnsi"/>
                <w:color w:val="000000"/>
              </w:rPr>
              <w:t>&gt; 300 mg/g</w:t>
            </w:r>
          </w:p>
        </w:tc>
        <w:tc>
          <w:tcPr>
            <w:tcW w:w="2430" w:type="dxa"/>
            <w:noWrap/>
            <w:hideMark/>
          </w:tcPr>
          <w:p w14:paraId="5B9E1747" w14:textId="77777777" w:rsidR="006C2765" w:rsidRPr="006C2765" w:rsidRDefault="006C2765" w:rsidP="00470018">
            <w:pPr>
              <w:spacing w:line="288" w:lineRule="auto"/>
              <w:jc w:val="center"/>
              <w:rPr>
                <w:rFonts w:cstheme="minorHAnsi"/>
                <w:color w:val="000000"/>
              </w:rPr>
            </w:pPr>
            <w:r w:rsidRPr="006C2765">
              <w:rPr>
                <w:rFonts w:cstheme="minorHAnsi"/>
                <w:color w:val="000000"/>
              </w:rPr>
              <w:t>305 (6.1%)</w:t>
            </w:r>
          </w:p>
        </w:tc>
        <w:tc>
          <w:tcPr>
            <w:tcW w:w="2160" w:type="dxa"/>
            <w:noWrap/>
            <w:hideMark/>
          </w:tcPr>
          <w:p w14:paraId="5AEFDA94" w14:textId="77777777" w:rsidR="006C2765" w:rsidRPr="006C2765" w:rsidRDefault="006C2765" w:rsidP="00470018">
            <w:pPr>
              <w:spacing w:line="288" w:lineRule="auto"/>
              <w:jc w:val="center"/>
              <w:rPr>
                <w:rFonts w:cstheme="minorHAnsi"/>
                <w:color w:val="000000"/>
              </w:rPr>
            </w:pPr>
            <w:r w:rsidRPr="006C2765">
              <w:rPr>
                <w:rFonts w:cstheme="minorHAnsi"/>
                <w:color w:val="000000"/>
              </w:rPr>
              <w:t>286 (5.7%)</w:t>
            </w:r>
          </w:p>
        </w:tc>
        <w:tc>
          <w:tcPr>
            <w:tcW w:w="985" w:type="dxa"/>
            <w:vMerge/>
            <w:noWrap/>
            <w:hideMark/>
          </w:tcPr>
          <w:p w14:paraId="3EA14D29" w14:textId="77777777" w:rsidR="006C2765" w:rsidRPr="006C2765" w:rsidRDefault="006C2765" w:rsidP="00470018">
            <w:pPr>
              <w:spacing w:line="288" w:lineRule="auto"/>
              <w:jc w:val="center"/>
              <w:rPr>
                <w:rFonts w:cstheme="minorHAnsi"/>
                <w:color w:val="000000"/>
              </w:rPr>
            </w:pPr>
          </w:p>
        </w:tc>
      </w:tr>
      <w:tr w:rsidR="006C2765" w:rsidRPr="006C2765" w14:paraId="2454EA97" w14:textId="77777777" w:rsidTr="00FB6490">
        <w:trPr>
          <w:trHeight w:val="290"/>
        </w:trPr>
        <w:tc>
          <w:tcPr>
            <w:tcW w:w="3595" w:type="dxa"/>
            <w:hideMark/>
          </w:tcPr>
          <w:p w14:paraId="79612C08" w14:textId="77777777" w:rsidR="006C2765" w:rsidRPr="006C2765" w:rsidRDefault="006C2765" w:rsidP="00470018">
            <w:pPr>
              <w:spacing w:line="288" w:lineRule="auto"/>
              <w:rPr>
                <w:rFonts w:eastAsia="Times New Roman" w:cstheme="minorHAnsi"/>
                <w:color w:val="000000"/>
              </w:rPr>
            </w:pPr>
            <w:r w:rsidRPr="006C2765">
              <w:rPr>
                <w:rFonts w:eastAsia="Times New Roman" w:cstheme="minorHAnsi"/>
                <w:color w:val="000000"/>
              </w:rPr>
              <w:t>LDL-C (mg/dL)</w:t>
            </w:r>
            <w:r>
              <w:rPr>
                <w:rFonts w:eastAsia="Times New Roman" w:cstheme="minorHAnsi"/>
                <w:color w:val="000000"/>
              </w:rPr>
              <w:t>, Mean (SD), N</w:t>
            </w:r>
          </w:p>
        </w:tc>
        <w:tc>
          <w:tcPr>
            <w:tcW w:w="2430" w:type="dxa"/>
            <w:noWrap/>
            <w:hideMark/>
          </w:tcPr>
          <w:p w14:paraId="1FE3388D" w14:textId="05079EC2" w:rsidR="006C2765" w:rsidRPr="006C2765" w:rsidRDefault="00A20499" w:rsidP="00A20499">
            <w:pPr>
              <w:spacing w:line="288" w:lineRule="auto"/>
              <w:jc w:val="center"/>
              <w:rPr>
                <w:rFonts w:eastAsia="Times New Roman" w:cstheme="minorHAnsi"/>
                <w:color w:val="000000"/>
              </w:rPr>
            </w:pPr>
            <w:r>
              <w:rPr>
                <w:rFonts w:eastAsia="Times New Roman" w:cstheme="minorHAnsi"/>
                <w:color w:val="000000"/>
              </w:rPr>
              <w:t>91.4 (34.9)</w:t>
            </w:r>
          </w:p>
        </w:tc>
        <w:tc>
          <w:tcPr>
            <w:tcW w:w="2160" w:type="dxa"/>
            <w:noWrap/>
            <w:hideMark/>
          </w:tcPr>
          <w:p w14:paraId="6AFD469F" w14:textId="2AE2E984" w:rsidR="006C2765" w:rsidRPr="006C2765" w:rsidRDefault="00A20499" w:rsidP="00A20499">
            <w:pPr>
              <w:spacing w:line="288" w:lineRule="auto"/>
              <w:jc w:val="center"/>
              <w:rPr>
                <w:rFonts w:eastAsia="Times New Roman" w:cstheme="minorHAnsi"/>
                <w:color w:val="000000"/>
              </w:rPr>
            </w:pPr>
            <w:r>
              <w:rPr>
                <w:rFonts w:eastAsia="Times New Roman" w:cstheme="minorHAnsi"/>
                <w:color w:val="000000"/>
              </w:rPr>
              <w:t>91.5 (35.4)</w:t>
            </w:r>
          </w:p>
        </w:tc>
        <w:tc>
          <w:tcPr>
            <w:tcW w:w="985" w:type="dxa"/>
            <w:noWrap/>
            <w:hideMark/>
          </w:tcPr>
          <w:p w14:paraId="118B33F5" w14:textId="77777777" w:rsidR="006C2765" w:rsidRPr="006C2765" w:rsidRDefault="006C2765" w:rsidP="00470018">
            <w:pPr>
              <w:spacing w:line="288" w:lineRule="auto"/>
              <w:jc w:val="center"/>
              <w:rPr>
                <w:rFonts w:eastAsia="Times New Roman" w:cstheme="minorHAnsi"/>
                <w:color w:val="000000"/>
              </w:rPr>
            </w:pPr>
            <w:r w:rsidRPr="006C2765">
              <w:rPr>
                <w:rFonts w:eastAsia="Times New Roman" w:cstheme="minorHAnsi"/>
                <w:color w:val="000000"/>
              </w:rPr>
              <w:t>0.832</w:t>
            </w:r>
          </w:p>
        </w:tc>
      </w:tr>
      <w:tr w:rsidR="006C2765" w:rsidRPr="006C2765" w14:paraId="392FE37A" w14:textId="77777777" w:rsidTr="00FB6490">
        <w:trPr>
          <w:trHeight w:val="290"/>
        </w:trPr>
        <w:tc>
          <w:tcPr>
            <w:tcW w:w="3595" w:type="dxa"/>
            <w:hideMark/>
          </w:tcPr>
          <w:p w14:paraId="68B85940" w14:textId="77777777" w:rsidR="006C2765" w:rsidRPr="006C2765" w:rsidRDefault="006C2765" w:rsidP="00470018">
            <w:pPr>
              <w:spacing w:line="288" w:lineRule="auto"/>
              <w:rPr>
                <w:rFonts w:cstheme="minorHAnsi"/>
                <w:color w:val="000000"/>
              </w:rPr>
            </w:pPr>
            <w:r w:rsidRPr="006C2765">
              <w:rPr>
                <w:rFonts w:cstheme="minorHAnsi"/>
                <w:color w:val="000000"/>
              </w:rPr>
              <w:t>Number of Additional Risk Factors</w:t>
            </w:r>
          </w:p>
        </w:tc>
        <w:tc>
          <w:tcPr>
            <w:tcW w:w="2430" w:type="dxa"/>
            <w:noWrap/>
          </w:tcPr>
          <w:p w14:paraId="0344E783" w14:textId="77777777" w:rsidR="006C2765" w:rsidRPr="006C2765" w:rsidRDefault="006C2765" w:rsidP="00470018">
            <w:pPr>
              <w:spacing w:line="288" w:lineRule="auto"/>
              <w:jc w:val="center"/>
              <w:rPr>
                <w:rFonts w:cstheme="minorHAnsi"/>
              </w:rPr>
            </w:pPr>
          </w:p>
        </w:tc>
        <w:tc>
          <w:tcPr>
            <w:tcW w:w="2160" w:type="dxa"/>
            <w:noWrap/>
          </w:tcPr>
          <w:p w14:paraId="0572385A" w14:textId="77777777" w:rsidR="006C2765" w:rsidRPr="006C2765" w:rsidRDefault="006C2765" w:rsidP="00470018">
            <w:pPr>
              <w:spacing w:line="288" w:lineRule="auto"/>
              <w:jc w:val="center"/>
              <w:rPr>
                <w:rFonts w:cstheme="minorHAnsi"/>
              </w:rPr>
            </w:pPr>
          </w:p>
        </w:tc>
        <w:tc>
          <w:tcPr>
            <w:tcW w:w="985" w:type="dxa"/>
            <w:noWrap/>
          </w:tcPr>
          <w:p w14:paraId="09E88B2D" w14:textId="77777777" w:rsidR="006C2765" w:rsidRPr="006C2765" w:rsidRDefault="006C2765" w:rsidP="00470018">
            <w:pPr>
              <w:spacing w:line="288" w:lineRule="auto"/>
              <w:jc w:val="center"/>
              <w:rPr>
                <w:rFonts w:cstheme="minorHAnsi"/>
                <w:color w:val="000000"/>
              </w:rPr>
            </w:pPr>
          </w:p>
        </w:tc>
      </w:tr>
      <w:tr w:rsidR="00EF585E" w:rsidRPr="006C2765" w14:paraId="72D1EC70" w14:textId="77777777" w:rsidTr="00FB6490">
        <w:trPr>
          <w:trHeight w:val="197"/>
        </w:trPr>
        <w:tc>
          <w:tcPr>
            <w:tcW w:w="3595" w:type="dxa"/>
            <w:hideMark/>
          </w:tcPr>
          <w:p w14:paraId="7D369B5B" w14:textId="77777777" w:rsidR="00EF585E" w:rsidRPr="006C2765" w:rsidRDefault="00EF585E" w:rsidP="00470018">
            <w:pPr>
              <w:spacing w:line="288" w:lineRule="auto"/>
              <w:rPr>
                <w:rFonts w:cstheme="minorHAnsi"/>
                <w:color w:val="000000"/>
              </w:rPr>
            </w:pPr>
            <w:r w:rsidRPr="006C2765">
              <w:rPr>
                <w:rFonts w:cstheme="minorHAnsi"/>
                <w:color w:val="000000"/>
              </w:rPr>
              <w:t xml:space="preserve">   One</w:t>
            </w:r>
          </w:p>
        </w:tc>
        <w:tc>
          <w:tcPr>
            <w:tcW w:w="2430" w:type="dxa"/>
            <w:noWrap/>
            <w:hideMark/>
          </w:tcPr>
          <w:p w14:paraId="32F2FBC7" w14:textId="77777777" w:rsidR="00EF585E" w:rsidRPr="006C2765" w:rsidRDefault="00EF585E" w:rsidP="00470018">
            <w:pPr>
              <w:spacing w:line="288" w:lineRule="auto"/>
              <w:jc w:val="center"/>
              <w:rPr>
                <w:rFonts w:cstheme="minorHAnsi"/>
                <w:color w:val="000000"/>
              </w:rPr>
            </w:pPr>
            <w:r w:rsidRPr="006C2765">
              <w:rPr>
                <w:rFonts w:cstheme="minorHAnsi"/>
                <w:color w:val="000000"/>
              </w:rPr>
              <w:t>1440 (28.2%)</w:t>
            </w:r>
          </w:p>
        </w:tc>
        <w:tc>
          <w:tcPr>
            <w:tcW w:w="2160" w:type="dxa"/>
            <w:noWrap/>
            <w:hideMark/>
          </w:tcPr>
          <w:p w14:paraId="2EB1D5BD" w14:textId="77777777" w:rsidR="00EF585E" w:rsidRPr="006C2765" w:rsidRDefault="00EF585E" w:rsidP="00470018">
            <w:pPr>
              <w:spacing w:line="288" w:lineRule="auto"/>
              <w:jc w:val="center"/>
              <w:rPr>
                <w:rFonts w:cstheme="minorHAnsi"/>
                <w:color w:val="000000"/>
              </w:rPr>
            </w:pPr>
            <w:r w:rsidRPr="006C2765">
              <w:rPr>
                <w:rFonts w:cstheme="minorHAnsi"/>
                <w:color w:val="000000"/>
              </w:rPr>
              <w:t>1422 (28.0%)</w:t>
            </w:r>
          </w:p>
        </w:tc>
        <w:tc>
          <w:tcPr>
            <w:tcW w:w="985" w:type="dxa"/>
            <w:vMerge w:val="restart"/>
            <w:noWrap/>
            <w:hideMark/>
          </w:tcPr>
          <w:p w14:paraId="77618255" w14:textId="77777777" w:rsidR="00EF585E" w:rsidRPr="006C2765" w:rsidRDefault="00EF585E" w:rsidP="00470018">
            <w:pPr>
              <w:spacing w:line="288" w:lineRule="auto"/>
              <w:jc w:val="center"/>
              <w:rPr>
                <w:rFonts w:cstheme="minorHAnsi"/>
                <w:color w:val="000000"/>
              </w:rPr>
            </w:pPr>
            <w:r w:rsidRPr="006C2765">
              <w:rPr>
                <w:rFonts w:cstheme="minorHAnsi"/>
                <w:color w:val="000000"/>
              </w:rPr>
              <w:t>0.770</w:t>
            </w:r>
          </w:p>
        </w:tc>
      </w:tr>
      <w:tr w:rsidR="00EF585E" w:rsidRPr="006C2765" w14:paraId="6FF19431" w14:textId="77777777" w:rsidTr="00FB6490">
        <w:trPr>
          <w:trHeight w:val="290"/>
        </w:trPr>
        <w:tc>
          <w:tcPr>
            <w:tcW w:w="3595" w:type="dxa"/>
            <w:hideMark/>
          </w:tcPr>
          <w:p w14:paraId="7A6884BD" w14:textId="77777777" w:rsidR="00EF585E" w:rsidRPr="006C2765" w:rsidRDefault="00EF585E" w:rsidP="00470018">
            <w:pPr>
              <w:spacing w:line="288" w:lineRule="auto"/>
              <w:rPr>
                <w:rFonts w:cstheme="minorHAnsi"/>
                <w:color w:val="000000"/>
              </w:rPr>
            </w:pPr>
            <w:r w:rsidRPr="006C2765">
              <w:rPr>
                <w:rFonts w:cstheme="minorHAnsi"/>
                <w:color w:val="000000"/>
              </w:rPr>
              <w:t xml:space="preserve">   Two</w:t>
            </w:r>
          </w:p>
        </w:tc>
        <w:tc>
          <w:tcPr>
            <w:tcW w:w="2430" w:type="dxa"/>
            <w:noWrap/>
            <w:hideMark/>
          </w:tcPr>
          <w:p w14:paraId="16B930D6" w14:textId="77777777" w:rsidR="00EF585E" w:rsidRPr="006C2765" w:rsidRDefault="00EF585E" w:rsidP="00470018">
            <w:pPr>
              <w:spacing w:line="288" w:lineRule="auto"/>
              <w:jc w:val="center"/>
              <w:rPr>
                <w:rFonts w:cstheme="minorHAnsi"/>
                <w:color w:val="000000"/>
              </w:rPr>
            </w:pPr>
            <w:r w:rsidRPr="006C2765">
              <w:rPr>
                <w:rFonts w:cstheme="minorHAnsi"/>
                <w:color w:val="000000"/>
              </w:rPr>
              <w:t>3257 (63.8%)</w:t>
            </w:r>
          </w:p>
        </w:tc>
        <w:tc>
          <w:tcPr>
            <w:tcW w:w="2160" w:type="dxa"/>
            <w:noWrap/>
            <w:hideMark/>
          </w:tcPr>
          <w:p w14:paraId="5993440D" w14:textId="77777777" w:rsidR="00EF585E" w:rsidRPr="006C2765" w:rsidRDefault="00EF585E" w:rsidP="00470018">
            <w:pPr>
              <w:spacing w:line="288" w:lineRule="auto"/>
              <w:jc w:val="center"/>
              <w:rPr>
                <w:rFonts w:cstheme="minorHAnsi"/>
                <w:color w:val="000000"/>
              </w:rPr>
            </w:pPr>
            <w:r w:rsidRPr="006C2765">
              <w:rPr>
                <w:rFonts w:cstheme="minorHAnsi"/>
                <w:color w:val="000000"/>
              </w:rPr>
              <w:t>3263 (64.3%)</w:t>
            </w:r>
          </w:p>
        </w:tc>
        <w:tc>
          <w:tcPr>
            <w:tcW w:w="985" w:type="dxa"/>
            <w:vMerge/>
            <w:noWrap/>
            <w:hideMark/>
          </w:tcPr>
          <w:p w14:paraId="01A69D6A" w14:textId="77777777" w:rsidR="00EF585E" w:rsidRPr="006C2765" w:rsidRDefault="00EF585E" w:rsidP="00470018">
            <w:pPr>
              <w:spacing w:line="288" w:lineRule="auto"/>
              <w:jc w:val="center"/>
              <w:rPr>
                <w:rFonts w:cstheme="minorHAnsi"/>
                <w:color w:val="000000"/>
              </w:rPr>
            </w:pPr>
          </w:p>
        </w:tc>
      </w:tr>
      <w:tr w:rsidR="00EF585E" w:rsidRPr="006C2765" w14:paraId="3E77D100" w14:textId="77777777" w:rsidTr="00FB6490">
        <w:trPr>
          <w:trHeight w:val="50"/>
        </w:trPr>
        <w:tc>
          <w:tcPr>
            <w:tcW w:w="3595" w:type="dxa"/>
            <w:hideMark/>
          </w:tcPr>
          <w:p w14:paraId="21CF0DD8" w14:textId="77777777" w:rsidR="00EF585E" w:rsidRPr="006C2765" w:rsidRDefault="00EF585E" w:rsidP="00470018">
            <w:pPr>
              <w:spacing w:line="288" w:lineRule="auto"/>
              <w:rPr>
                <w:rFonts w:cstheme="minorHAnsi"/>
                <w:color w:val="000000"/>
              </w:rPr>
            </w:pPr>
            <w:r w:rsidRPr="006C2765">
              <w:rPr>
                <w:rFonts w:cstheme="minorHAnsi"/>
                <w:color w:val="000000"/>
              </w:rPr>
              <w:t xml:space="preserve">   Three</w:t>
            </w:r>
          </w:p>
        </w:tc>
        <w:tc>
          <w:tcPr>
            <w:tcW w:w="2430" w:type="dxa"/>
            <w:noWrap/>
            <w:hideMark/>
          </w:tcPr>
          <w:p w14:paraId="1F52E805" w14:textId="77777777" w:rsidR="00EF585E" w:rsidRPr="006C2765" w:rsidRDefault="00EF585E" w:rsidP="00470018">
            <w:pPr>
              <w:spacing w:line="288" w:lineRule="auto"/>
              <w:jc w:val="center"/>
              <w:rPr>
                <w:rFonts w:cstheme="minorHAnsi"/>
                <w:color w:val="000000"/>
              </w:rPr>
            </w:pPr>
            <w:r w:rsidRPr="006C2765">
              <w:rPr>
                <w:rFonts w:cstheme="minorHAnsi"/>
                <w:color w:val="000000"/>
              </w:rPr>
              <w:t>406 (8.0%)</w:t>
            </w:r>
          </w:p>
        </w:tc>
        <w:tc>
          <w:tcPr>
            <w:tcW w:w="2160" w:type="dxa"/>
            <w:noWrap/>
            <w:hideMark/>
          </w:tcPr>
          <w:p w14:paraId="4A9BC568" w14:textId="77777777" w:rsidR="00EF585E" w:rsidRPr="006C2765" w:rsidRDefault="00EF585E" w:rsidP="00470018">
            <w:pPr>
              <w:spacing w:line="288" w:lineRule="auto"/>
              <w:jc w:val="center"/>
              <w:rPr>
                <w:rFonts w:cstheme="minorHAnsi"/>
                <w:color w:val="000000"/>
              </w:rPr>
            </w:pPr>
            <w:r w:rsidRPr="006C2765">
              <w:rPr>
                <w:rFonts w:cstheme="minorHAnsi"/>
                <w:color w:val="000000"/>
              </w:rPr>
              <w:t>386 (7.6%)</w:t>
            </w:r>
          </w:p>
        </w:tc>
        <w:tc>
          <w:tcPr>
            <w:tcW w:w="985" w:type="dxa"/>
            <w:vMerge/>
            <w:noWrap/>
            <w:hideMark/>
          </w:tcPr>
          <w:p w14:paraId="54F10C75" w14:textId="77777777" w:rsidR="00EF585E" w:rsidRPr="006C2765" w:rsidRDefault="00EF585E" w:rsidP="00470018">
            <w:pPr>
              <w:spacing w:line="288" w:lineRule="auto"/>
              <w:jc w:val="center"/>
              <w:rPr>
                <w:rFonts w:cstheme="minorHAnsi"/>
                <w:color w:val="000000"/>
              </w:rPr>
            </w:pPr>
          </w:p>
        </w:tc>
      </w:tr>
      <w:tr w:rsidR="00EF585E" w:rsidRPr="006C2765" w14:paraId="4546E02D" w14:textId="77777777" w:rsidTr="00FB6490">
        <w:trPr>
          <w:trHeight w:val="290"/>
        </w:trPr>
        <w:tc>
          <w:tcPr>
            <w:tcW w:w="3595" w:type="dxa"/>
            <w:hideMark/>
          </w:tcPr>
          <w:p w14:paraId="1599C771" w14:textId="0FA17659" w:rsidR="00EF585E" w:rsidRPr="006C2765" w:rsidRDefault="00EF585E" w:rsidP="00470018">
            <w:pPr>
              <w:spacing w:line="288" w:lineRule="auto"/>
              <w:rPr>
                <w:rFonts w:cstheme="minorHAnsi"/>
                <w:color w:val="000000"/>
              </w:rPr>
            </w:pPr>
            <w:r w:rsidRPr="006C2765">
              <w:rPr>
                <w:rFonts w:cstheme="minorHAnsi"/>
                <w:color w:val="000000"/>
              </w:rPr>
              <w:t>History of HF, N (%)</w:t>
            </w:r>
          </w:p>
        </w:tc>
        <w:tc>
          <w:tcPr>
            <w:tcW w:w="2430" w:type="dxa"/>
            <w:noWrap/>
            <w:hideMark/>
          </w:tcPr>
          <w:p w14:paraId="4784F6BE" w14:textId="77777777" w:rsidR="00EF585E" w:rsidRPr="006C2765" w:rsidRDefault="00EF585E" w:rsidP="00470018">
            <w:pPr>
              <w:spacing w:line="288" w:lineRule="auto"/>
              <w:jc w:val="center"/>
              <w:rPr>
                <w:rFonts w:cstheme="minorHAnsi"/>
                <w:color w:val="000000"/>
              </w:rPr>
            </w:pPr>
            <w:r w:rsidRPr="006C2765">
              <w:rPr>
                <w:rFonts w:cstheme="minorHAnsi"/>
                <w:color w:val="000000"/>
              </w:rPr>
              <w:t>268 (5.2%)</w:t>
            </w:r>
          </w:p>
        </w:tc>
        <w:tc>
          <w:tcPr>
            <w:tcW w:w="2160" w:type="dxa"/>
            <w:noWrap/>
            <w:hideMark/>
          </w:tcPr>
          <w:p w14:paraId="52FAB5CF" w14:textId="77777777" w:rsidR="00EF585E" w:rsidRPr="006C2765" w:rsidRDefault="00EF585E" w:rsidP="00470018">
            <w:pPr>
              <w:spacing w:line="288" w:lineRule="auto"/>
              <w:jc w:val="center"/>
              <w:rPr>
                <w:rFonts w:cstheme="minorHAnsi"/>
                <w:color w:val="000000"/>
              </w:rPr>
            </w:pPr>
            <w:r w:rsidRPr="006C2765">
              <w:rPr>
                <w:rFonts w:cstheme="minorHAnsi"/>
                <w:color w:val="000000"/>
              </w:rPr>
              <w:t>300 (5.9%)</w:t>
            </w:r>
          </w:p>
        </w:tc>
        <w:tc>
          <w:tcPr>
            <w:tcW w:w="985" w:type="dxa"/>
            <w:noWrap/>
            <w:hideMark/>
          </w:tcPr>
          <w:p w14:paraId="771D976B" w14:textId="77777777" w:rsidR="00EF585E" w:rsidRPr="006C2765" w:rsidRDefault="00EF585E" w:rsidP="00470018">
            <w:pPr>
              <w:spacing w:line="288" w:lineRule="auto"/>
              <w:jc w:val="center"/>
              <w:rPr>
                <w:rFonts w:cstheme="minorHAnsi"/>
                <w:color w:val="000000"/>
              </w:rPr>
            </w:pPr>
            <w:r w:rsidRPr="006C2765">
              <w:rPr>
                <w:rFonts w:cstheme="minorHAnsi"/>
                <w:color w:val="000000"/>
              </w:rPr>
              <w:t>0.146</w:t>
            </w:r>
          </w:p>
        </w:tc>
      </w:tr>
      <w:tr w:rsidR="00EF585E" w:rsidRPr="006C2765" w14:paraId="39404ED4" w14:textId="77777777" w:rsidTr="00FB6490">
        <w:trPr>
          <w:trHeight w:val="290"/>
        </w:trPr>
        <w:tc>
          <w:tcPr>
            <w:tcW w:w="3595" w:type="dxa"/>
            <w:hideMark/>
          </w:tcPr>
          <w:p w14:paraId="4B130560" w14:textId="77777777" w:rsidR="00EF585E" w:rsidRPr="006C2765" w:rsidRDefault="00EF585E" w:rsidP="00470018">
            <w:pPr>
              <w:spacing w:line="288" w:lineRule="auto"/>
              <w:rPr>
                <w:rFonts w:cstheme="minorHAnsi"/>
                <w:color w:val="000000"/>
              </w:rPr>
            </w:pPr>
            <w:r w:rsidRPr="006C2765">
              <w:rPr>
                <w:rFonts w:cstheme="minorHAnsi"/>
                <w:color w:val="000000"/>
              </w:rPr>
              <w:t>Dyslipidemia, N (%)</w:t>
            </w:r>
          </w:p>
        </w:tc>
        <w:tc>
          <w:tcPr>
            <w:tcW w:w="2430" w:type="dxa"/>
            <w:noWrap/>
            <w:hideMark/>
          </w:tcPr>
          <w:p w14:paraId="33C20459" w14:textId="77777777" w:rsidR="00EF585E" w:rsidRPr="006C2765" w:rsidRDefault="00EF585E" w:rsidP="00470018">
            <w:pPr>
              <w:spacing w:line="288" w:lineRule="auto"/>
              <w:jc w:val="center"/>
              <w:rPr>
                <w:rFonts w:cstheme="minorHAnsi"/>
                <w:color w:val="000000"/>
              </w:rPr>
            </w:pPr>
            <w:r w:rsidRPr="006C2765">
              <w:rPr>
                <w:rFonts w:cstheme="minorHAnsi"/>
                <w:color w:val="000000"/>
              </w:rPr>
              <w:t>3745 (73.3%)</w:t>
            </w:r>
          </w:p>
        </w:tc>
        <w:tc>
          <w:tcPr>
            <w:tcW w:w="2160" w:type="dxa"/>
            <w:noWrap/>
            <w:hideMark/>
          </w:tcPr>
          <w:p w14:paraId="352DA752" w14:textId="77777777" w:rsidR="00EF585E" w:rsidRPr="006C2765" w:rsidRDefault="00EF585E" w:rsidP="00470018">
            <w:pPr>
              <w:spacing w:line="288" w:lineRule="auto"/>
              <w:jc w:val="center"/>
              <w:rPr>
                <w:rFonts w:cstheme="minorHAnsi"/>
                <w:color w:val="000000"/>
              </w:rPr>
            </w:pPr>
            <w:r w:rsidRPr="006C2765">
              <w:rPr>
                <w:rFonts w:cstheme="minorHAnsi"/>
                <w:color w:val="000000"/>
              </w:rPr>
              <w:t>3782 (74.5%)</w:t>
            </w:r>
          </w:p>
        </w:tc>
        <w:tc>
          <w:tcPr>
            <w:tcW w:w="985" w:type="dxa"/>
            <w:noWrap/>
            <w:hideMark/>
          </w:tcPr>
          <w:p w14:paraId="3378B83A" w14:textId="77777777" w:rsidR="00EF585E" w:rsidRPr="006C2765" w:rsidRDefault="00EF585E" w:rsidP="00470018">
            <w:pPr>
              <w:spacing w:line="288" w:lineRule="auto"/>
              <w:jc w:val="center"/>
              <w:rPr>
                <w:rFonts w:cstheme="minorHAnsi"/>
                <w:color w:val="000000"/>
              </w:rPr>
            </w:pPr>
            <w:r w:rsidRPr="006C2765">
              <w:rPr>
                <w:rFonts w:cstheme="minorHAnsi"/>
                <w:color w:val="000000"/>
              </w:rPr>
              <w:t>0.182</w:t>
            </w:r>
          </w:p>
        </w:tc>
      </w:tr>
      <w:tr w:rsidR="00EF585E" w:rsidRPr="006C2765" w14:paraId="2D3101AD" w14:textId="77777777" w:rsidTr="00FB6490">
        <w:trPr>
          <w:trHeight w:val="290"/>
        </w:trPr>
        <w:tc>
          <w:tcPr>
            <w:tcW w:w="3595" w:type="dxa"/>
            <w:hideMark/>
          </w:tcPr>
          <w:p w14:paraId="731CF8F9" w14:textId="77777777" w:rsidR="00EF585E" w:rsidRPr="006C2765" w:rsidRDefault="00EF585E" w:rsidP="00470018">
            <w:pPr>
              <w:spacing w:line="288" w:lineRule="auto"/>
              <w:rPr>
                <w:rFonts w:cstheme="minorHAnsi"/>
                <w:color w:val="000000"/>
              </w:rPr>
            </w:pPr>
            <w:r w:rsidRPr="006C2765">
              <w:rPr>
                <w:rFonts w:cstheme="minorHAnsi"/>
                <w:color w:val="000000"/>
              </w:rPr>
              <w:t>Hypertension, N (%)</w:t>
            </w:r>
          </w:p>
        </w:tc>
        <w:tc>
          <w:tcPr>
            <w:tcW w:w="2430" w:type="dxa"/>
            <w:noWrap/>
            <w:hideMark/>
          </w:tcPr>
          <w:p w14:paraId="3988601E" w14:textId="77777777" w:rsidR="00EF585E" w:rsidRPr="006C2765" w:rsidRDefault="00EF585E" w:rsidP="00470018">
            <w:pPr>
              <w:spacing w:line="288" w:lineRule="auto"/>
              <w:jc w:val="center"/>
              <w:rPr>
                <w:rFonts w:cstheme="minorHAnsi"/>
                <w:color w:val="000000"/>
              </w:rPr>
            </w:pPr>
            <w:r w:rsidRPr="006C2765">
              <w:rPr>
                <w:rFonts w:cstheme="minorHAnsi"/>
                <w:color w:val="000000"/>
              </w:rPr>
              <w:t>4692 (91.9%)</w:t>
            </w:r>
          </w:p>
        </w:tc>
        <w:tc>
          <w:tcPr>
            <w:tcW w:w="2160" w:type="dxa"/>
            <w:noWrap/>
            <w:hideMark/>
          </w:tcPr>
          <w:p w14:paraId="3FDC3BE3" w14:textId="77777777" w:rsidR="00EF585E" w:rsidRPr="006C2765" w:rsidRDefault="00EF585E" w:rsidP="00470018">
            <w:pPr>
              <w:spacing w:line="288" w:lineRule="auto"/>
              <w:jc w:val="center"/>
              <w:rPr>
                <w:rFonts w:cstheme="minorHAnsi"/>
                <w:color w:val="000000"/>
              </w:rPr>
            </w:pPr>
            <w:r w:rsidRPr="006C2765">
              <w:rPr>
                <w:rFonts w:cstheme="minorHAnsi"/>
                <w:color w:val="000000"/>
              </w:rPr>
              <w:t>4595 (90.5%)</w:t>
            </w:r>
          </w:p>
        </w:tc>
        <w:tc>
          <w:tcPr>
            <w:tcW w:w="985" w:type="dxa"/>
            <w:noWrap/>
            <w:hideMark/>
          </w:tcPr>
          <w:p w14:paraId="7EF236E6" w14:textId="77777777" w:rsidR="00EF585E" w:rsidRPr="006C2765" w:rsidRDefault="00EF585E" w:rsidP="00470018">
            <w:pPr>
              <w:spacing w:line="288" w:lineRule="auto"/>
              <w:jc w:val="center"/>
              <w:rPr>
                <w:rFonts w:cstheme="minorHAnsi"/>
                <w:color w:val="000000"/>
              </w:rPr>
            </w:pPr>
            <w:r w:rsidRPr="006C2765">
              <w:rPr>
                <w:rFonts w:cstheme="minorHAnsi"/>
                <w:color w:val="000000"/>
              </w:rPr>
              <w:t>0.015</w:t>
            </w:r>
          </w:p>
        </w:tc>
      </w:tr>
      <w:tr w:rsidR="00EF585E" w:rsidRPr="006C2765" w14:paraId="07365E0E" w14:textId="77777777" w:rsidTr="00FB6490">
        <w:trPr>
          <w:trHeight w:val="290"/>
        </w:trPr>
        <w:tc>
          <w:tcPr>
            <w:tcW w:w="3595" w:type="dxa"/>
            <w:hideMark/>
          </w:tcPr>
          <w:p w14:paraId="4C1A27E2" w14:textId="77777777" w:rsidR="00EF585E" w:rsidRPr="006C2765" w:rsidRDefault="00EF585E" w:rsidP="00470018">
            <w:pPr>
              <w:spacing w:line="288" w:lineRule="auto"/>
              <w:rPr>
                <w:rFonts w:cstheme="minorHAnsi"/>
                <w:color w:val="000000"/>
              </w:rPr>
            </w:pPr>
            <w:r w:rsidRPr="006C2765">
              <w:rPr>
                <w:rFonts w:cstheme="minorHAnsi"/>
                <w:color w:val="000000"/>
              </w:rPr>
              <w:t>Current tobacco use, N (%)</w:t>
            </w:r>
          </w:p>
        </w:tc>
        <w:tc>
          <w:tcPr>
            <w:tcW w:w="2430" w:type="dxa"/>
            <w:noWrap/>
            <w:hideMark/>
          </w:tcPr>
          <w:p w14:paraId="2278E15F" w14:textId="77777777" w:rsidR="00EF585E" w:rsidRPr="006C2765" w:rsidRDefault="00EF585E" w:rsidP="00470018">
            <w:pPr>
              <w:spacing w:line="288" w:lineRule="auto"/>
              <w:jc w:val="center"/>
              <w:rPr>
                <w:rFonts w:cstheme="minorHAnsi"/>
                <w:color w:val="000000"/>
              </w:rPr>
            </w:pPr>
            <w:r w:rsidRPr="006C2765">
              <w:rPr>
                <w:rFonts w:cstheme="minorHAnsi"/>
                <w:color w:val="000000"/>
              </w:rPr>
              <w:t>735 (14.4%)</w:t>
            </w:r>
          </w:p>
        </w:tc>
        <w:tc>
          <w:tcPr>
            <w:tcW w:w="2160" w:type="dxa"/>
            <w:noWrap/>
            <w:hideMark/>
          </w:tcPr>
          <w:p w14:paraId="126AABF1" w14:textId="77777777" w:rsidR="00EF585E" w:rsidRPr="006C2765" w:rsidRDefault="00EF585E" w:rsidP="00470018">
            <w:pPr>
              <w:spacing w:line="288" w:lineRule="auto"/>
              <w:jc w:val="center"/>
              <w:rPr>
                <w:rFonts w:cstheme="minorHAnsi"/>
                <w:color w:val="000000"/>
              </w:rPr>
            </w:pPr>
            <w:r w:rsidRPr="006C2765">
              <w:rPr>
                <w:rFonts w:cstheme="minorHAnsi"/>
                <w:color w:val="000000"/>
              </w:rPr>
              <w:t>729 (14.4%)</w:t>
            </w:r>
          </w:p>
        </w:tc>
        <w:tc>
          <w:tcPr>
            <w:tcW w:w="985" w:type="dxa"/>
            <w:noWrap/>
            <w:hideMark/>
          </w:tcPr>
          <w:p w14:paraId="2152F965" w14:textId="77777777" w:rsidR="00EF585E" w:rsidRPr="006C2765" w:rsidRDefault="00EF585E" w:rsidP="00470018">
            <w:pPr>
              <w:spacing w:line="288" w:lineRule="auto"/>
              <w:jc w:val="center"/>
              <w:rPr>
                <w:rFonts w:cstheme="minorHAnsi"/>
                <w:color w:val="000000"/>
              </w:rPr>
            </w:pPr>
            <w:r w:rsidRPr="006C2765">
              <w:rPr>
                <w:rFonts w:cstheme="minorHAnsi"/>
                <w:color w:val="000000"/>
              </w:rPr>
              <w:t>0.962</w:t>
            </w:r>
          </w:p>
        </w:tc>
      </w:tr>
      <w:tr w:rsidR="00EF585E" w:rsidRPr="006C2765" w14:paraId="30B6FC3D" w14:textId="77777777" w:rsidTr="00FB6490">
        <w:trPr>
          <w:trHeight w:val="290"/>
        </w:trPr>
        <w:tc>
          <w:tcPr>
            <w:tcW w:w="3595" w:type="dxa"/>
          </w:tcPr>
          <w:p w14:paraId="4BC2E1B4" w14:textId="77777777" w:rsidR="00EF585E" w:rsidRPr="006C2765" w:rsidRDefault="00EF585E" w:rsidP="00470018">
            <w:pPr>
              <w:spacing w:line="288" w:lineRule="auto"/>
              <w:rPr>
                <w:rFonts w:cstheme="minorHAnsi"/>
                <w:color w:val="000000"/>
              </w:rPr>
            </w:pPr>
            <w:r>
              <w:rPr>
                <w:rFonts w:cstheme="minorHAnsi"/>
                <w:color w:val="000000"/>
              </w:rPr>
              <w:t>Baseline medications</w:t>
            </w:r>
          </w:p>
        </w:tc>
        <w:tc>
          <w:tcPr>
            <w:tcW w:w="2430" w:type="dxa"/>
            <w:noWrap/>
          </w:tcPr>
          <w:p w14:paraId="0E598D16" w14:textId="77777777" w:rsidR="00EF585E" w:rsidRPr="006C2765" w:rsidRDefault="00EF585E" w:rsidP="00470018">
            <w:pPr>
              <w:spacing w:line="288" w:lineRule="auto"/>
              <w:jc w:val="center"/>
              <w:rPr>
                <w:rFonts w:cstheme="minorHAnsi"/>
                <w:color w:val="000000"/>
              </w:rPr>
            </w:pPr>
          </w:p>
        </w:tc>
        <w:tc>
          <w:tcPr>
            <w:tcW w:w="2160" w:type="dxa"/>
            <w:noWrap/>
          </w:tcPr>
          <w:p w14:paraId="1C863E8A" w14:textId="77777777" w:rsidR="00EF585E" w:rsidRPr="006C2765" w:rsidRDefault="00EF585E" w:rsidP="00470018">
            <w:pPr>
              <w:spacing w:line="288" w:lineRule="auto"/>
              <w:jc w:val="center"/>
              <w:rPr>
                <w:rFonts w:cstheme="minorHAnsi"/>
                <w:color w:val="000000"/>
              </w:rPr>
            </w:pPr>
          </w:p>
        </w:tc>
        <w:tc>
          <w:tcPr>
            <w:tcW w:w="985" w:type="dxa"/>
            <w:noWrap/>
          </w:tcPr>
          <w:p w14:paraId="6519FACA" w14:textId="77777777" w:rsidR="00EF585E" w:rsidRPr="006C2765" w:rsidRDefault="00EF585E" w:rsidP="00470018">
            <w:pPr>
              <w:spacing w:line="288" w:lineRule="auto"/>
              <w:jc w:val="center"/>
              <w:rPr>
                <w:rFonts w:cstheme="minorHAnsi"/>
                <w:color w:val="000000"/>
              </w:rPr>
            </w:pPr>
          </w:p>
        </w:tc>
      </w:tr>
      <w:tr w:rsidR="00EF585E" w:rsidRPr="006C2765" w14:paraId="50558E05" w14:textId="77777777" w:rsidTr="00FB6490">
        <w:trPr>
          <w:trHeight w:val="290"/>
        </w:trPr>
        <w:tc>
          <w:tcPr>
            <w:tcW w:w="3595" w:type="dxa"/>
            <w:hideMark/>
          </w:tcPr>
          <w:p w14:paraId="76F7765D" w14:textId="77777777" w:rsidR="00EF585E" w:rsidRPr="006C2765" w:rsidRDefault="00EF585E" w:rsidP="00470018">
            <w:pPr>
              <w:spacing w:line="288" w:lineRule="auto"/>
              <w:rPr>
                <w:rFonts w:cstheme="minorHAnsi"/>
                <w:color w:val="000000"/>
              </w:rPr>
            </w:pPr>
            <w:r w:rsidRPr="006C2765">
              <w:rPr>
                <w:rFonts w:cstheme="minorHAnsi"/>
                <w:color w:val="000000"/>
              </w:rPr>
              <w:t>Insulin, N (%)</w:t>
            </w:r>
          </w:p>
        </w:tc>
        <w:tc>
          <w:tcPr>
            <w:tcW w:w="2430" w:type="dxa"/>
            <w:noWrap/>
            <w:hideMark/>
          </w:tcPr>
          <w:p w14:paraId="0E84D58F" w14:textId="77777777" w:rsidR="00EF585E" w:rsidRPr="006C2765" w:rsidRDefault="00EF585E" w:rsidP="00470018">
            <w:pPr>
              <w:spacing w:line="288" w:lineRule="auto"/>
              <w:jc w:val="center"/>
              <w:rPr>
                <w:rFonts w:cstheme="minorHAnsi"/>
                <w:color w:val="000000"/>
              </w:rPr>
            </w:pPr>
            <w:r w:rsidRPr="006C2765">
              <w:rPr>
                <w:rFonts w:cstheme="minorHAnsi"/>
                <w:color w:val="000000"/>
              </w:rPr>
              <w:t>1948 (38.1%)</w:t>
            </w:r>
          </w:p>
        </w:tc>
        <w:tc>
          <w:tcPr>
            <w:tcW w:w="2160" w:type="dxa"/>
            <w:noWrap/>
            <w:hideMark/>
          </w:tcPr>
          <w:p w14:paraId="19018786" w14:textId="77777777" w:rsidR="00EF585E" w:rsidRPr="006C2765" w:rsidRDefault="00EF585E" w:rsidP="00470018">
            <w:pPr>
              <w:spacing w:line="288" w:lineRule="auto"/>
              <w:jc w:val="center"/>
              <w:rPr>
                <w:rFonts w:cstheme="minorHAnsi"/>
                <w:color w:val="000000"/>
              </w:rPr>
            </w:pPr>
            <w:r w:rsidRPr="006C2765">
              <w:rPr>
                <w:rFonts w:cstheme="minorHAnsi"/>
                <w:color w:val="000000"/>
              </w:rPr>
              <w:t>1873 (36.9%)</w:t>
            </w:r>
          </w:p>
        </w:tc>
        <w:tc>
          <w:tcPr>
            <w:tcW w:w="985" w:type="dxa"/>
            <w:noWrap/>
          </w:tcPr>
          <w:p w14:paraId="6AB8D879" w14:textId="77777777" w:rsidR="00EF585E" w:rsidRPr="006C2765" w:rsidRDefault="00EF585E" w:rsidP="00470018">
            <w:pPr>
              <w:spacing w:line="288" w:lineRule="auto"/>
              <w:jc w:val="center"/>
              <w:rPr>
                <w:rFonts w:cstheme="minorHAnsi"/>
                <w:color w:val="000000"/>
              </w:rPr>
            </w:pPr>
            <w:r>
              <w:rPr>
                <w:rFonts w:cstheme="minorHAnsi"/>
                <w:color w:val="000000"/>
              </w:rPr>
              <w:t>0.192</w:t>
            </w:r>
          </w:p>
        </w:tc>
      </w:tr>
      <w:tr w:rsidR="00EF585E" w:rsidRPr="006C2765" w14:paraId="683FDC02" w14:textId="77777777" w:rsidTr="00FB6490">
        <w:trPr>
          <w:trHeight w:val="290"/>
        </w:trPr>
        <w:tc>
          <w:tcPr>
            <w:tcW w:w="3595" w:type="dxa"/>
            <w:hideMark/>
          </w:tcPr>
          <w:p w14:paraId="7D363D84" w14:textId="77777777" w:rsidR="00EF585E" w:rsidRPr="006C2765" w:rsidRDefault="00EF585E" w:rsidP="00470018">
            <w:pPr>
              <w:spacing w:line="288" w:lineRule="auto"/>
              <w:rPr>
                <w:rFonts w:cstheme="minorHAnsi"/>
                <w:color w:val="000000"/>
              </w:rPr>
            </w:pPr>
            <w:r w:rsidRPr="006C2765">
              <w:rPr>
                <w:rFonts w:cstheme="minorHAnsi"/>
                <w:color w:val="000000"/>
              </w:rPr>
              <w:t>Antiplatelet, N (%)</w:t>
            </w:r>
          </w:p>
        </w:tc>
        <w:tc>
          <w:tcPr>
            <w:tcW w:w="2430" w:type="dxa"/>
            <w:noWrap/>
            <w:hideMark/>
          </w:tcPr>
          <w:p w14:paraId="24E2D9C8" w14:textId="77777777" w:rsidR="00EF585E" w:rsidRPr="006C2765" w:rsidRDefault="00EF585E" w:rsidP="00470018">
            <w:pPr>
              <w:spacing w:line="288" w:lineRule="auto"/>
              <w:jc w:val="center"/>
              <w:rPr>
                <w:rFonts w:cstheme="minorHAnsi"/>
                <w:color w:val="000000"/>
              </w:rPr>
            </w:pPr>
            <w:r w:rsidRPr="006C2765">
              <w:rPr>
                <w:rFonts w:cstheme="minorHAnsi"/>
                <w:color w:val="000000"/>
              </w:rPr>
              <w:t>2221 (43.5%)</w:t>
            </w:r>
          </w:p>
        </w:tc>
        <w:tc>
          <w:tcPr>
            <w:tcW w:w="2160" w:type="dxa"/>
            <w:noWrap/>
            <w:hideMark/>
          </w:tcPr>
          <w:p w14:paraId="2DC985A1" w14:textId="77777777" w:rsidR="00EF585E" w:rsidRPr="006C2765" w:rsidRDefault="00EF585E" w:rsidP="00470018">
            <w:pPr>
              <w:spacing w:line="288" w:lineRule="auto"/>
              <w:jc w:val="center"/>
              <w:rPr>
                <w:rFonts w:cstheme="minorHAnsi"/>
                <w:color w:val="000000"/>
              </w:rPr>
            </w:pPr>
            <w:r w:rsidRPr="006C2765">
              <w:rPr>
                <w:rFonts w:cstheme="minorHAnsi"/>
                <w:color w:val="000000"/>
              </w:rPr>
              <w:t>2231 (43.9%)</w:t>
            </w:r>
          </w:p>
        </w:tc>
        <w:tc>
          <w:tcPr>
            <w:tcW w:w="985" w:type="dxa"/>
            <w:noWrap/>
            <w:hideMark/>
          </w:tcPr>
          <w:p w14:paraId="27183F44" w14:textId="77777777" w:rsidR="00EF585E" w:rsidRPr="006C2765" w:rsidRDefault="00EF585E" w:rsidP="00470018">
            <w:pPr>
              <w:spacing w:line="288" w:lineRule="auto"/>
              <w:jc w:val="center"/>
              <w:rPr>
                <w:rFonts w:cstheme="minorHAnsi"/>
                <w:color w:val="000000"/>
              </w:rPr>
            </w:pPr>
            <w:r w:rsidRPr="006C2765">
              <w:rPr>
                <w:rFonts w:cstheme="minorHAnsi"/>
                <w:color w:val="000000"/>
              </w:rPr>
              <w:t>0.644</w:t>
            </w:r>
          </w:p>
        </w:tc>
      </w:tr>
      <w:tr w:rsidR="00EF585E" w:rsidRPr="006C2765" w14:paraId="53443479" w14:textId="77777777" w:rsidTr="00FB6490">
        <w:trPr>
          <w:trHeight w:val="290"/>
        </w:trPr>
        <w:tc>
          <w:tcPr>
            <w:tcW w:w="3595" w:type="dxa"/>
            <w:hideMark/>
          </w:tcPr>
          <w:p w14:paraId="74E81D6D" w14:textId="77777777" w:rsidR="00EF585E" w:rsidRPr="006C2765" w:rsidRDefault="00EF585E" w:rsidP="00470018">
            <w:pPr>
              <w:spacing w:line="288" w:lineRule="auto"/>
              <w:rPr>
                <w:rFonts w:cstheme="minorHAnsi"/>
                <w:color w:val="000000"/>
              </w:rPr>
            </w:pPr>
            <w:r w:rsidRPr="006C2765">
              <w:rPr>
                <w:rFonts w:cstheme="minorHAnsi"/>
                <w:color w:val="000000"/>
              </w:rPr>
              <w:t>ACE/ARB, N (%)</w:t>
            </w:r>
          </w:p>
        </w:tc>
        <w:tc>
          <w:tcPr>
            <w:tcW w:w="2430" w:type="dxa"/>
            <w:noWrap/>
            <w:hideMark/>
          </w:tcPr>
          <w:p w14:paraId="07BDE399" w14:textId="77777777" w:rsidR="00EF585E" w:rsidRPr="006C2765" w:rsidRDefault="00EF585E" w:rsidP="00470018">
            <w:pPr>
              <w:spacing w:line="288" w:lineRule="auto"/>
              <w:jc w:val="center"/>
              <w:rPr>
                <w:rFonts w:cstheme="minorHAnsi"/>
                <w:color w:val="000000"/>
              </w:rPr>
            </w:pPr>
            <w:r w:rsidRPr="006C2765">
              <w:rPr>
                <w:rFonts w:cstheme="minorHAnsi"/>
                <w:color w:val="000000"/>
              </w:rPr>
              <w:t>4123 (80.7%)</w:t>
            </w:r>
          </w:p>
        </w:tc>
        <w:tc>
          <w:tcPr>
            <w:tcW w:w="2160" w:type="dxa"/>
            <w:noWrap/>
            <w:hideMark/>
          </w:tcPr>
          <w:p w14:paraId="1AD127F2" w14:textId="77777777" w:rsidR="00EF585E" w:rsidRPr="006C2765" w:rsidRDefault="00EF585E" w:rsidP="00470018">
            <w:pPr>
              <w:spacing w:line="288" w:lineRule="auto"/>
              <w:jc w:val="center"/>
              <w:rPr>
                <w:rFonts w:cstheme="minorHAnsi"/>
                <w:color w:val="000000"/>
              </w:rPr>
            </w:pPr>
            <w:r w:rsidRPr="006C2765">
              <w:rPr>
                <w:rFonts w:cstheme="minorHAnsi"/>
                <w:color w:val="000000"/>
              </w:rPr>
              <w:t>4092 (80.6%)</w:t>
            </w:r>
          </w:p>
        </w:tc>
        <w:tc>
          <w:tcPr>
            <w:tcW w:w="985" w:type="dxa"/>
            <w:noWrap/>
            <w:hideMark/>
          </w:tcPr>
          <w:p w14:paraId="64F62DB4" w14:textId="77777777" w:rsidR="00EF585E" w:rsidRPr="006C2765" w:rsidRDefault="00EF585E" w:rsidP="00470018">
            <w:pPr>
              <w:spacing w:line="288" w:lineRule="auto"/>
              <w:jc w:val="center"/>
              <w:rPr>
                <w:rFonts w:cstheme="minorHAnsi"/>
                <w:color w:val="000000"/>
              </w:rPr>
            </w:pPr>
            <w:r w:rsidRPr="006C2765">
              <w:rPr>
                <w:rFonts w:cstheme="minorHAnsi"/>
                <w:color w:val="000000"/>
              </w:rPr>
              <w:t>0.864</w:t>
            </w:r>
          </w:p>
        </w:tc>
      </w:tr>
      <w:tr w:rsidR="00EF585E" w:rsidRPr="006C2765" w14:paraId="1945653A" w14:textId="77777777" w:rsidTr="00FB6490">
        <w:trPr>
          <w:trHeight w:val="290"/>
        </w:trPr>
        <w:tc>
          <w:tcPr>
            <w:tcW w:w="3595" w:type="dxa"/>
            <w:hideMark/>
          </w:tcPr>
          <w:p w14:paraId="7A9DD6E0" w14:textId="77777777" w:rsidR="00EF585E" w:rsidRPr="006C2765" w:rsidRDefault="00EF585E" w:rsidP="00470018">
            <w:pPr>
              <w:spacing w:line="288" w:lineRule="auto"/>
              <w:rPr>
                <w:rFonts w:cstheme="minorHAnsi"/>
                <w:color w:val="000000"/>
              </w:rPr>
            </w:pPr>
            <w:r w:rsidRPr="006C2765">
              <w:rPr>
                <w:rFonts w:cstheme="minorHAnsi"/>
                <w:color w:val="000000"/>
              </w:rPr>
              <w:t>Beta-blocker, N (%)</w:t>
            </w:r>
          </w:p>
        </w:tc>
        <w:tc>
          <w:tcPr>
            <w:tcW w:w="2430" w:type="dxa"/>
            <w:noWrap/>
            <w:hideMark/>
          </w:tcPr>
          <w:p w14:paraId="1449562D" w14:textId="77777777" w:rsidR="00EF585E" w:rsidRPr="006C2765" w:rsidRDefault="00EF585E" w:rsidP="00470018">
            <w:pPr>
              <w:spacing w:line="288" w:lineRule="auto"/>
              <w:jc w:val="center"/>
              <w:rPr>
                <w:rFonts w:cstheme="minorHAnsi"/>
                <w:color w:val="000000"/>
              </w:rPr>
            </w:pPr>
            <w:r w:rsidRPr="006C2765">
              <w:rPr>
                <w:rFonts w:cstheme="minorHAnsi"/>
                <w:color w:val="000000"/>
              </w:rPr>
              <w:t>1969 (38.5%)</w:t>
            </w:r>
          </w:p>
        </w:tc>
        <w:tc>
          <w:tcPr>
            <w:tcW w:w="2160" w:type="dxa"/>
            <w:noWrap/>
            <w:hideMark/>
          </w:tcPr>
          <w:p w14:paraId="5C7BA721" w14:textId="77777777" w:rsidR="00EF585E" w:rsidRPr="006C2765" w:rsidRDefault="00EF585E" w:rsidP="00470018">
            <w:pPr>
              <w:spacing w:line="288" w:lineRule="auto"/>
              <w:jc w:val="center"/>
              <w:rPr>
                <w:rFonts w:cstheme="minorHAnsi"/>
                <w:color w:val="000000"/>
              </w:rPr>
            </w:pPr>
            <w:r w:rsidRPr="006C2765">
              <w:rPr>
                <w:rFonts w:cstheme="minorHAnsi"/>
                <w:color w:val="000000"/>
              </w:rPr>
              <w:t>1992 (39.2%)</w:t>
            </w:r>
          </w:p>
        </w:tc>
        <w:tc>
          <w:tcPr>
            <w:tcW w:w="985" w:type="dxa"/>
            <w:noWrap/>
            <w:hideMark/>
          </w:tcPr>
          <w:p w14:paraId="0EC79254" w14:textId="77777777" w:rsidR="00EF585E" w:rsidRPr="006C2765" w:rsidRDefault="00EF585E" w:rsidP="00470018">
            <w:pPr>
              <w:spacing w:line="288" w:lineRule="auto"/>
              <w:jc w:val="center"/>
              <w:rPr>
                <w:rFonts w:cstheme="minorHAnsi"/>
                <w:color w:val="000000"/>
              </w:rPr>
            </w:pPr>
            <w:r w:rsidRPr="006C2765">
              <w:rPr>
                <w:rFonts w:cstheme="minorHAnsi"/>
                <w:color w:val="000000"/>
              </w:rPr>
              <w:t>0.481</w:t>
            </w:r>
          </w:p>
        </w:tc>
      </w:tr>
      <w:tr w:rsidR="00EF585E" w:rsidRPr="006C2765" w14:paraId="4CBD5BA2" w14:textId="77777777" w:rsidTr="00FB6490">
        <w:trPr>
          <w:trHeight w:val="290"/>
        </w:trPr>
        <w:tc>
          <w:tcPr>
            <w:tcW w:w="3595" w:type="dxa"/>
            <w:hideMark/>
          </w:tcPr>
          <w:p w14:paraId="16492B34" w14:textId="77777777" w:rsidR="00EF585E" w:rsidRPr="006C2765" w:rsidRDefault="00EF585E" w:rsidP="00470018">
            <w:pPr>
              <w:spacing w:line="288" w:lineRule="auto"/>
              <w:rPr>
                <w:rFonts w:cstheme="minorHAnsi"/>
                <w:color w:val="000000"/>
              </w:rPr>
            </w:pPr>
            <w:r w:rsidRPr="006C2765">
              <w:rPr>
                <w:rFonts w:cstheme="minorHAnsi"/>
                <w:color w:val="000000"/>
              </w:rPr>
              <w:t>Statin or Ezetimibe, N (%)</w:t>
            </w:r>
          </w:p>
        </w:tc>
        <w:tc>
          <w:tcPr>
            <w:tcW w:w="2430" w:type="dxa"/>
            <w:noWrap/>
            <w:hideMark/>
          </w:tcPr>
          <w:p w14:paraId="100B2829" w14:textId="77777777" w:rsidR="00EF585E" w:rsidRPr="006C2765" w:rsidRDefault="00EF585E" w:rsidP="00470018">
            <w:pPr>
              <w:spacing w:line="288" w:lineRule="auto"/>
              <w:jc w:val="center"/>
              <w:rPr>
                <w:rFonts w:cstheme="minorHAnsi"/>
                <w:color w:val="000000"/>
              </w:rPr>
            </w:pPr>
            <w:r w:rsidRPr="006C2765">
              <w:rPr>
                <w:rFonts w:cstheme="minorHAnsi"/>
                <w:color w:val="000000"/>
              </w:rPr>
              <w:t>3395 (66.5%)</w:t>
            </w:r>
          </w:p>
        </w:tc>
        <w:tc>
          <w:tcPr>
            <w:tcW w:w="2160" w:type="dxa"/>
            <w:noWrap/>
            <w:hideMark/>
          </w:tcPr>
          <w:p w14:paraId="17105E33" w14:textId="77777777" w:rsidR="00EF585E" w:rsidRPr="006C2765" w:rsidRDefault="00EF585E" w:rsidP="00470018">
            <w:pPr>
              <w:spacing w:line="288" w:lineRule="auto"/>
              <w:jc w:val="center"/>
              <w:rPr>
                <w:rFonts w:cstheme="minorHAnsi"/>
                <w:color w:val="000000"/>
              </w:rPr>
            </w:pPr>
            <w:r w:rsidRPr="006C2765">
              <w:rPr>
                <w:rFonts w:cstheme="minorHAnsi"/>
                <w:color w:val="000000"/>
              </w:rPr>
              <w:t>3414 (67.2%)</w:t>
            </w:r>
          </w:p>
        </w:tc>
        <w:tc>
          <w:tcPr>
            <w:tcW w:w="985" w:type="dxa"/>
            <w:noWrap/>
            <w:hideMark/>
          </w:tcPr>
          <w:p w14:paraId="69FA91EF" w14:textId="77777777" w:rsidR="00EF585E" w:rsidRPr="006C2765" w:rsidRDefault="00EF585E" w:rsidP="00470018">
            <w:pPr>
              <w:spacing w:line="288" w:lineRule="auto"/>
              <w:jc w:val="center"/>
              <w:rPr>
                <w:rFonts w:cstheme="minorHAnsi"/>
                <w:color w:val="000000"/>
              </w:rPr>
            </w:pPr>
            <w:r w:rsidRPr="006C2765">
              <w:rPr>
                <w:rFonts w:cstheme="minorHAnsi"/>
                <w:color w:val="000000"/>
              </w:rPr>
              <w:t>0.411</w:t>
            </w:r>
          </w:p>
        </w:tc>
      </w:tr>
    </w:tbl>
    <w:p w14:paraId="17713F94" w14:textId="77777777" w:rsidR="002E64D2" w:rsidRDefault="002E64D2" w:rsidP="00DE44F2">
      <w:pPr>
        <w:spacing w:line="360" w:lineRule="auto"/>
      </w:pPr>
    </w:p>
    <w:p w14:paraId="6EA0CF8E" w14:textId="6BD7B16C" w:rsidR="00430AC7" w:rsidRDefault="00430AC7" w:rsidP="00DE44F2">
      <w:pPr>
        <w:spacing w:line="360" w:lineRule="auto"/>
      </w:pPr>
      <w:r>
        <w:br w:type="page"/>
      </w:r>
    </w:p>
    <w:p w14:paraId="782DCFDE" w14:textId="115AD96E" w:rsidR="00B2464D" w:rsidRDefault="00B2464D" w:rsidP="00CC66AC">
      <w:pPr>
        <w:spacing w:line="360" w:lineRule="auto"/>
      </w:pPr>
      <w:r>
        <w:lastRenderedPageBreak/>
        <w:t xml:space="preserve">Figure 1A – </w:t>
      </w:r>
      <w:r w:rsidR="00CC66AC">
        <w:t>Hospitalization for heart failure</w:t>
      </w:r>
      <w:r>
        <w:t xml:space="preserve"> in the MRF cohort with dapagliflozin vs. placebo</w:t>
      </w:r>
    </w:p>
    <w:p w14:paraId="10EA3E2A" w14:textId="5714A677" w:rsidR="009E401D" w:rsidRDefault="009E401D" w:rsidP="00DE44F2">
      <w:pPr>
        <w:spacing w:line="360" w:lineRule="auto"/>
      </w:pPr>
      <w:r w:rsidRPr="00646E1D">
        <w:rPr>
          <w:noProof/>
        </w:rPr>
        <w:drawing>
          <wp:anchor distT="0" distB="0" distL="114300" distR="114300" simplePos="0" relativeHeight="251661312" behindDoc="0" locked="0" layoutInCell="1" allowOverlap="1" wp14:anchorId="665A911F" wp14:editId="754A171C">
            <wp:simplePos x="0" y="0"/>
            <wp:positionH relativeFrom="column">
              <wp:posOffset>-58420</wp:posOffset>
            </wp:positionH>
            <wp:positionV relativeFrom="paragraph">
              <wp:posOffset>416015</wp:posOffset>
            </wp:positionV>
            <wp:extent cx="4234815" cy="2780665"/>
            <wp:effectExtent l="19050" t="19050" r="13335" b="196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8467" t="7270" r="12111"/>
                    <a:stretch/>
                  </pic:blipFill>
                  <pic:spPr bwMode="auto">
                    <a:xfrm>
                      <a:off x="0" y="0"/>
                      <a:ext cx="4234815" cy="278066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864C8A" w14:textId="1976F9B2" w:rsidR="00B2464D" w:rsidRDefault="00B2464D" w:rsidP="00DE44F2">
      <w:pPr>
        <w:spacing w:line="360" w:lineRule="auto"/>
      </w:pPr>
    </w:p>
    <w:p w14:paraId="0455F31D" w14:textId="0E42017E" w:rsidR="00B2464D" w:rsidRDefault="00B2464D" w:rsidP="00DE44F2">
      <w:pPr>
        <w:spacing w:line="360" w:lineRule="auto"/>
      </w:pPr>
      <w:r>
        <w:t>Figure 1B – The renal specific outcome in the MRF cohort with dapagliflozin vs. placebo</w:t>
      </w:r>
    </w:p>
    <w:p w14:paraId="529C71DD" w14:textId="15400AAE" w:rsidR="008B55C4" w:rsidRDefault="009E401D" w:rsidP="00DE44F2">
      <w:pPr>
        <w:spacing w:line="360" w:lineRule="auto"/>
      </w:pPr>
      <w:r w:rsidRPr="002416D2">
        <w:rPr>
          <w:noProof/>
        </w:rPr>
        <w:drawing>
          <wp:anchor distT="0" distB="0" distL="114300" distR="114300" simplePos="0" relativeHeight="251663360" behindDoc="0" locked="0" layoutInCell="1" allowOverlap="1" wp14:anchorId="628D4AE8" wp14:editId="3948B3F1">
            <wp:simplePos x="0" y="0"/>
            <wp:positionH relativeFrom="column">
              <wp:posOffset>41275</wp:posOffset>
            </wp:positionH>
            <wp:positionV relativeFrom="paragraph">
              <wp:posOffset>396694</wp:posOffset>
            </wp:positionV>
            <wp:extent cx="4224655" cy="2917190"/>
            <wp:effectExtent l="19050" t="19050" r="23495" b="165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7554" r="11002"/>
                    <a:stretch/>
                  </pic:blipFill>
                  <pic:spPr bwMode="auto">
                    <a:xfrm>
                      <a:off x="0" y="0"/>
                      <a:ext cx="4224655" cy="291719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BDDDF1" w14:textId="7192FA55" w:rsidR="008B55C4" w:rsidRDefault="008B55C4" w:rsidP="00DE44F2">
      <w:pPr>
        <w:spacing w:line="360" w:lineRule="auto"/>
      </w:pPr>
    </w:p>
    <w:p w14:paraId="18B59ED4" w14:textId="5DC043BE" w:rsidR="00037335" w:rsidRDefault="001E7871" w:rsidP="00CC66AC">
      <w:pPr>
        <w:spacing w:line="360" w:lineRule="auto"/>
      </w:pPr>
      <w:r w:rsidRPr="001E7871">
        <w:rPr>
          <w:noProof/>
        </w:rPr>
        <w:lastRenderedPageBreak/>
        <w:drawing>
          <wp:anchor distT="0" distB="0" distL="114300" distR="114300" simplePos="0" relativeHeight="251665408" behindDoc="0" locked="0" layoutInCell="1" allowOverlap="1" wp14:anchorId="5FE4B1BA" wp14:editId="27F6A658">
            <wp:simplePos x="0" y="0"/>
            <wp:positionH relativeFrom="column">
              <wp:posOffset>0</wp:posOffset>
            </wp:positionH>
            <wp:positionV relativeFrom="paragraph">
              <wp:posOffset>410392</wp:posOffset>
            </wp:positionV>
            <wp:extent cx="5370286" cy="3511341"/>
            <wp:effectExtent l="635" t="0" r="0" b="0"/>
            <wp:wrapTopAndBottom/>
            <wp:docPr id="4" name="Picture 4" descr="C:\Users\Test\Dropbox\avivit\declare\publications\multiple risk factors\EASD abstract\HHF without p c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st\Dropbox\avivit\declare\publications\multiple risk factors\EASD abstract\HHF without p cox.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70286" cy="3511341"/>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D26272">
        <w:t>F</w:t>
      </w:r>
      <w:r w:rsidR="00037335">
        <w:t xml:space="preserve">igure </w:t>
      </w:r>
      <w:r w:rsidR="00B2464D">
        <w:t>2</w:t>
      </w:r>
      <w:r w:rsidR="00787104">
        <w:t>A</w:t>
      </w:r>
      <w:r w:rsidR="00037335">
        <w:t xml:space="preserve"> – </w:t>
      </w:r>
      <w:r w:rsidR="00CC66AC">
        <w:t>Hospitalization for heart failure</w:t>
      </w:r>
      <w:r w:rsidR="00037335">
        <w:t xml:space="preserve"> in the MRF cohort by subgroups</w:t>
      </w:r>
    </w:p>
    <w:p w14:paraId="0A9AE012" w14:textId="5A2708C9" w:rsidR="00382710" w:rsidRDefault="00382710" w:rsidP="00DE44F2">
      <w:pPr>
        <w:spacing w:line="360" w:lineRule="auto"/>
      </w:pPr>
    </w:p>
    <w:p w14:paraId="10A2CAC7" w14:textId="4029E563" w:rsidR="001E7871" w:rsidRDefault="001E7871" w:rsidP="00CC66AC">
      <w:pPr>
        <w:spacing w:line="360" w:lineRule="auto"/>
      </w:pPr>
      <w:r w:rsidRPr="001E7871">
        <w:rPr>
          <w:noProof/>
        </w:rPr>
        <w:drawing>
          <wp:anchor distT="0" distB="0" distL="114300" distR="114300" simplePos="0" relativeHeight="251667456" behindDoc="0" locked="0" layoutInCell="1" allowOverlap="1" wp14:anchorId="64D43EAA" wp14:editId="5F9307D3">
            <wp:simplePos x="0" y="0"/>
            <wp:positionH relativeFrom="column">
              <wp:posOffset>0</wp:posOffset>
            </wp:positionH>
            <wp:positionV relativeFrom="paragraph">
              <wp:posOffset>367665</wp:posOffset>
            </wp:positionV>
            <wp:extent cx="5370195" cy="3511282"/>
            <wp:effectExtent l="635" t="0" r="0" b="0"/>
            <wp:wrapTopAndBottom/>
            <wp:docPr id="12" name="Picture 12" descr="C:\Users\Test\Dropbox\avivit\declare\publications\multiple risk factors\EASD abstract\Renal Secondary without p c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st\Dropbox\avivit\declare\publications\multiple risk factors\EASD abstract\Renal Secondary without p cox.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70195" cy="3511282"/>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1E7871">
        <w:t xml:space="preserve"> </w:t>
      </w:r>
      <w:r>
        <w:t>Figure 2B – Renal-specific outcome in the MRF cohort</w:t>
      </w:r>
      <w:r w:rsidR="009E401D">
        <w:t xml:space="preserve"> by subgroups</w:t>
      </w:r>
    </w:p>
    <w:p w14:paraId="27F618A7" w14:textId="60448685" w:rsidR="008B55C4" w:rsidRDefault="00AD4EC9" w:rsidP="00DE44F2">
      <w:pPr>
        <w:spacing w:line="360" w:lineRule="auto"/>
      </w:pPr>
      <w:r>
        <w:rPr>
          <w:noProof/>
        </w:rPr>
        <w:lastRenderedPageBreak/>
        <w:drawing>
          <wp:anchor distT="0" distB="0" distL="114300" distR="114300" simplePos="0" relativeHeight="251668480" behindDoc="0" locked="0" layoutInCell="1" allowOverlap="1" wp14:anchorId="709FC4DB" wp14:editId="4EFBFD1E">
            <wp:simplePos x="0" y="0"/>
            <wp:positionH relativeFrom="column">
              <wp:posOffset>-58420</wp:posOffset>
            </wp:positionH>
            <wp:positionV relativeFrom="paragraph">
              <wp:posOffset>449580</wp:posOffset>
            </wp:positionV>
            <wp:extent cx="6191250" cy="669099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0" cy="6690995"/>
                    </a:xfrm>
                    <a:prstGeom prst="rect">
                      <a:avLst/>
                    </a:prstGeom>
                    <a:noFill/>
                  </pic:spPr>
                </pic:pic>
              </a:graphicData>
            </a:graphic>
            <wp14:sizeRelH relativeFrom="page">
              <wp14:pctWidth>0</wp14:pctWidth>
            </wp14:sizeRelH>
            <wp14:sizeRelV relativeFrom="page">
              <wp14:pctHeight>0</wp14:pctHeight>
            </wp14:sizeRelV>
          </wp:anchor>
        </w:drawing>
      </w:r>
      <w:r w:rsidR="008B55C4">
        <w:rPr>
          <w:rFonts w:hint="cs"/>
          <w:noProof/>
        </w:rPr>
        <w:t>F</w:t>
      </w:r>
      <w:r w:rsidR="008B55C4">
        <w:rPr>
          <w:noProof/>
        </w:rPr>
        <w:t>igure 3</w:t>
      </w:r>
      <w:r w:rsidR="008B55C4">
        <w:t xml:space="preserve"> - Metabolic outcomes in the MRF cohort</w:t>
      </w:r>
    </w:p>
    <w:p w14:paraId="0122D455" w14:textId="77777777" w:rsidR="00717A09" w:rsidRDefault="00717A09" w:rsidP="00DE44F2">
      <w:pPr>
        <w:spacing w:line="360" w:lineRule="auto"/>
      </w:pPr>
    </w:p>
    <w:p w14:paraId="46D135EA" w14:textId="77777777" w:rsidR="00CC66AC" w:rsidRDefault="00CC66AC" w:rsidP="00CC66AC">
      <w:pPr>
        <w:spacing w:line="360" w:lineRule="auto"/>
      </w:pPr>
      <w:r>
        <w:t xml:space="preserve">Legend: Data shown are mean </w:t>
      </w:r>
      <w:r>
        <w:rPr>
          <w:rFonts w:ascii="Verdana" w:hAnsi="Verdana"/>
        </w:rPr>
        <w:t>±</w:t>
      </w:r>
      <w:r>
        <w:t>SE. SBP – systolic blood pressure, UACR – urinary albumin creatinine ratio, eGFR – estimated glomerular filtration rate</w:t>
      </w:r>
    </w:p>
    <w:p w14:paraId="547A3515" w14:textId="6B59E300" w:rsidR="00D83954" w:rsidRDefault="00D83954" w:rsidP="00D83954">
      <w:pPr>
        <w:spacing w:line="360" w:lineRule="auto"/>
      </w:pPr>
      <w:r>
        <w:lastRenderedPageBreak/>
        <w:t>Supplementary table 1 – Safety outcomes in the MRF cohort</w:t>
      </w:r>
    </w:p>
    <w:p w14:paraId="6F5338F9" w14:textId="77777777" w:rsidR="00D83954" w:rsidRDefault="00D83954" w:rsidP="00D83954">
      <w:pPr>
        <w:spacing w:line="360" w:lineRule="auto"/>
      </w:pPr>
    </w:p>
    <w:tbl>
      <w:tblPr>
        <w:tblW w:w="10160" w:type="dxa"/>
        <w:tblCellMar>
          <w:left w:w="0" w:type="dxa"/>
          <w:right w:w="0" w:type="dxa"/>
        </w:tblCellMar>
        <w:tblLook w:val="0600" w:firstRow="0" w:lastRow="0" w:firstColumn="0" w:lastColumn="0" w:noHBand="1" w:noVBand="1"/>
      </w:tblPr>
      <w:tblGrid>
        <w:gridCol w:w="2690"/>
        <w:gridCol w:w="920"/>
        <w:gridCol w:w="1350"/>
        <w:gridCol w:w="990"/>
        <w:gridCol w:w="1080"/>
        <w:gridCol w:w="1800"/>
        <w:gridCol w:w="1330"/>
      </w:tblGrid>
      <w:tr w:rsidR="00D83954" w:rsidRPr="001E7871" w14:paraId="13634C6C" w14:textId="77777777" w:rsidTr="002A75B8">
        <w:trPr>
          <w:trHeight w:val="20"/>
        </w:trPr>
        <w:tc>
          <w:tcPr>
            <w:tcW w:w="269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44" w:type="dxa"/>
              <w:bottom w:w="0" w:type="dxa"/>
              <w:right w:w="10" w:type="dxa"/>
            </w:tcMar>
            <w:vAlign w:val="center"/>
            <w:hideMark/>
          </w:tcPr>
          <w:p w14:paraId="66BD9A32" w14:textId="77777777" w:rsidR="00D83954" w:rsidRPr="001E7871" w:rsidRDefault="00D83954" w:rsidP="002A75B8">
            <w:pPr>
              <w:spacing w:line="360" w:lineRule="auto"/>
            </w:pPr>
          </w:p>
        </w:tc>
        <w:tc>
          <w:tcPr>
            <w:tcW w:w="2270" w:type="dxa"/>
            <w:gridSpan w:val="2"/>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12D1662E" w14:textId="77777777" w:rsidR="00D83954" w:rsidRPr="001E7871" w:rsidRDefault="00D83954" w:rsidP="002A75B8">
            <w:pPr>
              <w:spacing w:line="360" w:lineRule="auto"/>
              <w:jc w:val="center"/>
            </w:pPr>
            <w:r w:rsidRPr="001E7871">
              <w:rPr>
                <w:b/>
                <w:bCs/>
              </w:rPr>
              <w:t>Dapagliflozin</w:t>
            </w:r>
          </w:p>
          <w:p w14:paraId="0649A96A" w14:textId="77777777" w:rsidR="00D83954" w:rsidRPr="001E7871" w:rsidRDefault="00D83954" w:rsidP="002A75B8">
            <w:pPr>
              <w:spacing w:line="360" w:lineRule="auto"/>
              <w:jc w:val="center"/>
            </w:pPr>
            <w:r w:rsidRPr="001E7871">
              <w:rPr>
                <w:b/>
                <w:bCs/>
              </w:rPr>
              <w:t>N=5104</w:t>
            </w:r>
          </w:p>
        </w:tc>
        <w:tc>
          <w:tcPr>
            <w:tcW w:w="2070" w:type="dxa"/>
            <w:gridSpan w:val="2"/>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52F4EB8C" w14:textId="77777777" w:rsidR="00D83954" w:rsidRPr="001E7871" w:rsidRDefault="00D83954" w:rsidP="002A75B8">
            <w:pPr>
              <w:spacing w:line="360" w:lineRule="auto"/>
              <w:jc w:val="center"/>
            </w:pPr>
            <w:r w:rsidRPr="001E7871">
              <w:rPr>
                <w:b/>
                <w:bCs/>
              </w:rPr>
              <w:t>Placebo</w:t>
            </w:r>
          </w:p>
          <w:p w14:paraId="18FD41DD" w14:textId="77777777" w:rsidR="00D83954" w:rsidRPr="001E7871" w:rsidRDefault="00D83954" w:rsidP="002A75B8">
            <w:pPr>
              <w:spacing w:line="360" w:lineRule="auto"/>
              <w:jc w:val="center"/>
            </w:pPr>
            <w:r w:rsidRPr="001E7871">
              <w:rPr>
                <w:b/>
                <w:bCs/>
              </w:rPr>
              <w:t>N=5073</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46D47342" w14:textId="77777777" w:rsidR="00D83954" w:rsidRPr="001E7871" w:rsidRDefault="00D83954" w:rsidP="002A75B8">
            <w:pPr>
              <w:spacing w:line="360" w:lineRule="auto"/>
              <w:jc w:val="center"/>
            </w:pPr>
          </w:p>
        </w:tc>
        <w:tc>
          <w:tcPr>
            <w:tcW w:w="133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5F5678C0" w14:textId="77777777" w:rsidR="00D83954" w:rsidRPr="001E7871" w:rsidRDefault="00D83954" w:rsidP="002A75B8">
            <w:pPr>
              <w:spacing w:line="360" w:lineRule="auto"/>
              <w:jc w:val="center"/>
            </w:pPr>
          </w:p>
        </w:tc>
      </w:tr>
      <w:tr w:rsidR="00D83954" w:rsidRPr="001E7871" w14:paraId="518A1093" w14:textId="77777777" w:rsidTr="002A75B8">
        <w:trPr>
          <w:trHeight w:val="20"/>
        </w:trPr>
        <w:tc>
          <w:tcPr>
            <w:tcW w:w="269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44" w:type="dxa"/>
              <w:bottom w:w="0" w:type="dxa"/>
              <w:right w:w="10" w:type="dxa"/>
            </w:tcMar>
            <w:vAlign w:val="center"/>
            <w:hideMark/>
          </w:tcPr>
          <w:p w14:paraId="63778993" w14:textId="209D38F1" w:rsidR="00D83954" w:rsidRPr="001E7871" w:rsidRDefault="00841AC5" w:rsidP="002A75B8">
            <w:pPr>
              <w:spacing w:line="360" w:lineRule="auto"/>
            </w:pPr>
            <w:r>
              <w:rPr>
                <w:b/>
                <w:bCs/>
              </w:rPr>
              <w:t>Outcome</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7BE5AB09" w14:textId="77777777" w:rsidR="00D83954" w:rsidRPr="001E7871" w:rsidRDefault="00D83954" w:rsidP="002A75B8">
            <w:pPr>
              <w:spacing w:line="360" w:lineRule="auto"/>
              <w:jc w:val="center"/>
            </w:pPr>
            <w:r w:rsidRPr="001E7871">
              <w:rPr>
                <w:b/>
                <w:bCs/>
              </w:rPr>
              <w:t>n</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34DF61EB" w14:textId="77777777" w:rsidR="00D83954" w:rsidRPr="001E7871" w:rsidRDefault="00D83954" w:rsidP="002A75B8">
            <w:pPr>
              <w:spacing w:line="360" w:lineRule="auto"/>
              <w:jc w:val="center"/>
            </w:pPr>
            <w:r w:rsidRPr="001E7871">
              <w:rPr>
                <w:b/>
                <w:bCs/>
              </w:rPr>
              <w:t>%</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78BC52B4" w14:textId="77777777" w:rsidR="00D83954" w:rsidRPr="001E7871" w:rsidRDefault="00D83954" w:rsidP="002A75B8">
            <w:pPr>
              <w:spacing w:line="360" w:lineRule="auto"/>
              <w:jc w:val="center"/>
            </w:pPr>
            <w:r w:rsidRPr="001E7871">
              <w:rPr>
                <w:b/>
                <w:bCs/>
              </w:rPr>
              <w:t>n</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6BBDB787" w14:textId="77777777" w:rsidR="00D83954" w:rsidRPr="001E7871" w:rsidRDefault="00D83954" w:rsidP="002A75B8">
            <w:pPr>
              <w:spacing w:line="360" w:lineRule="auto"/>
              <w:jc w:val="center"/>
            </w:pPr>
            <w:r w:rsidRPr="001E7871">
              <w:rPr>
                <w:b/>
                <w:bCs/>
              </w:rPr>
              <w:t>%</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6836A4DC" w14:textId="77777777" w:rsidR="00D83954" w:rsidRPr="001E7871" w:rsidRDefault="00D83954" w:rsidP="002A75B8">
            <w:pPr>
              <w:spacing w:line="360" w:lineRule="auto"/>
              <w:jc w:val="center"/>
            </w:pPr>
            <w:r>
              <w:rPr>
                <w:rFonts w:hint="cs"/>
                <w:b/>
                <w:bCs/>
              </w:rPr>
              <w:t>HR</w:t>
            </w:r>
            <w:r>
              <w:rPr>
                <w:rFonts w:hint="cs"/>
                <w:b/>
                <w:bCs/>
                <w:rtl/>
              </w:rPr>
              <w:t xml:space="preserve"> </w:t>
            </w:r>
            <w:r>
              <w:rPr>
                <w:b/>
                <w:bCs/>
              </w:rPr>
              <w:t xml:space="preserve"> (95% CI)</w:t>
            </w:r>
          </w:p>
        </w:tc>
        <w:tc>
          <w:tcPr>
            <w:tcW w:w="133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135F7EA4" w14:textId="77777777" w:rsidR="00D83954" w:rsidRPr="001E7871" w:rsidRDefault="00D83954" w:rsidP="002A75B8">
            <w:pPr>
              <w:spacing w:line="360" w:lineRule="auto"/>
              <w:jc w:val="center"/>
            </w:pPr>
            <w:r w:rsidRPr="001E7871">
              <w:rPr>
                <w:b/>
                <w:bCs/>
              </w:rPr>
              <w:t>Cox p-value</w:t>
            </w:r>
          </w:p>
        </w:tc>
      </w:tr>
      <w:tr w:rsidR="00D83954" w:rsidRPr="001E7871" w14:paraId="5416447D" w14:textId="77777777" w:rsidTr="002A75B8">
        <w:trPr>
          <w:trHeight w:val="20"/>
        </w:trPr>
        <w:tc>
          <w:tcPr>
            <w:tcW w:w="269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44" w:type="dxa"/>
              <w:bottom w:w="0" w:type="dxa"/>
              <w:right w:w="10" w:type="dxa"/>
            </w:tcMar>
            <w:vAlign w:val="center"/>
            <w:hideMark/>
          </w:tcPr>
          <w:p w14:paraId="38AABDAE" w14:textId="77777777" w:rsidR="00D83954" w:rsidRPr="001E7871" w:rsidRDefault="00D83954" w:rsidP="002A75B8">
            <w:pPr>
              <w:spacing w:line="360" w:lineRule="auto"/>
            </w:pPr>
            <w:r w:rsidRPr="001E7871">
              <w:t>Major hypoglycemic event</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093B93BB" w14:textId="77777777" w:rsidR="00D83954" w:rsidRPr="001E7871" w:rsidRDefault="00D83954" w:rsidP="002A75B8">
            <w:pPr>
              <w:spacing w:line="360" w:lineRule="auto"/>
              <w:jc w:val="center"/>
            </w:pPr>
            <w:r w:rsidRPr="001E7871">
              <w:t>24</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4D9F2667" w14:textId="77777777" w:rsidR="00D83954" w:rsidRPr="001E7871" w:rsidRDefault="00D83954" w:rsidP="002A75B8">
            <w:pPr>
              <w:spacing w:line="360" w:lineRule="auto"/>
              <w:jc w:val="center"/>
            </w:pPr>
            <w:r w:rsidRPr="001E7871">
              <w:t>0.5%</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6D912378" w14:textId="77777777" w:rsidR="00D83954" w:rsidRPr="001E7871" w:rsidRDefault="00D83954" w:rsidP="002A75B8">
            <w:pPr>
              <w:spacing w:line="360" w:lineRule="auto"/>
              <w:jc w:val="center"/>
            </w:pPr>
            <w:r w:rsidRPr="001E7871">
              <w:t>44</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740A9B91" w14:textId="77777777" w:rsidR="00D83954" w:rsidRPr="001E7871" w:rsidRDefault="00D83954" w:rsidP="002A75B8">
            <w:pPr>
              <w:spacing w:line="360" w:lineRule="auto"/>
              <w:jc w:val="center"/>
            </w:pPr>
            <w:r w:rsidRPr="001E7871">
              <w:t>0.9%</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55FEF5F2" w14:textId="77777777" w:rsidR="00D83954" w:rsidRPr="001E7871" w:rsidRDefault="00D83954" w:rsidP="002A75B8">
            <w:pPr>
              <w:spacing w:line="360" w:lineRule="auto"/>
              <w:jc w:val="center"/>
            </w:pPr>
            <w:r w:rsidRPr="001E7871">
              <w:t>0.53 (0.32-0.87)</w:t>
            </w:r>
          </w:p>
        </w:tc>
        <w:tc>
          <w:tcPr>
            <w:tcW w:w="133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312E30E3" w14:textId="77777777" w:rsidR="00D83954" w:rsidRPr="001E7871" w:rsidRDefault="00D83954" w:rsidP="002A75B8">
            <w:pPr>
              <w:spacing w:line="360" w:lineRule="auto"/>
              <w:jc w:val="center"/>
            </w:pPr>
            <w:r w:rsidRPr="001E7871">
              <w:t>0.011</w:t>
            </w:r>
          </w:p>
        </w:tc>
      </w:tr>
      <w:tr w:rsidR="00D83954" w:rsidRPr="001E7871" w14:paraId="6684C1C6" w14:textId="77777777" w:rsidTr="002A75B8">
        <w:trPr>
          <w:trHeight w:val="20"/>
        </w:trPr>
        <w:tc>
          <w:tcPr>
            <w:tcW w:w="269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44" w:type="dxa"/>
              <w:bottom w:w="0" w:type="dxa"/>
              <w:right w:w="10" w:type="dxa"/>
            </w:tcMar>
            <w:vAlign w:val="center"/>
            <w:hideMark/>
          </w:tcPr>
          <w:p w14:paraId="754E48F2" w14:textId="77777777" w:rsidR="00D83954" w:rsidRPr="001E7871" w:rsidRDefault="00D83954" w:rsidP="002A75B8">
            <w:pPr>
              <w:spacing w:line="360" w:lineRule="auto"/>
            </w:pPr>
            <w:r w:rsidRPr="001E7871">
              <w:t>Diabetic Ketoacidosis   Definite or Probable</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57516E70" w14:textId="77777777" w:rsidR="00D83954" w:rsidRPr="001E7871" w:rsidRDefault="00D83954" w:rsidP="002A75B8">
            <w:pPr>
              <w:spacing w:line="360" w:lineRule="auto"/>
              <w:jc w:val="center"/>
            </w:pPr>
            <w:r w:rsidRPr="001E7871">
              <w:t>16</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6A06A8B5" w14:textId="77777777" w:rsidR="00D83954" w:rsidRPr="001E7871" w:rsidRDefault="00D83954" w:rsidP="002A75B8">
            <w:pPr>
              <w:spacing w:line="360" w:lineRule="auto"/>
              <w:jc w:val="center"/>
            </w:pPr>
            <w:r w:rsidRPr="001E7871">
              <w:t>0.3%</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1C8328C8" w14:textId="77777777" w:rsidR="00D83954" w:rsidRPr="001E7871" w:rsidRDefault="00D83954" w:rsidP="002A75B8">
            <w:pPr>
              <w:spacing w:line="360" w:lineRule="auto"/>
              <w:jc w:val="center"/>
            </w:pPr>
            <w:r w:rsidRPr="001E7871">
              <w:t>6</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6EC05240" w14:textId="77777777" w:rsidR="00D83954" w:rsidRPr="001E7871" w:rsidRDefault="00D83954" w:rsidP="002A75B8">
            <w:pPr>
              <w:spacing w:line="360" w:lineRule="auto"/>
              <w:jc w:val="center"/>
            </w:pPr>
            <w:r w:rsidRPr="001E7871">
              <w:t>0.1%</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63205A08" w14:textId="77777777" w:rsidR="00D83954" w:rsidRPr="001E7871" w:rsidRDefault="00D83954" w:rsidP="002A75B8">
            <w:pPr>
              <w:spacing w:line="360" w:lineRule="auto"/>
              <w:jc w:val="center"/>
            </w:pPr>
            <w:r w:rsidRPr="001E7871">
              <w:t>2.56 (1.00-6.54)</w:t>
            </w:r>
          </w:p>
        </w:tc>
        <w:tc>
          <w:tcPr>
            <w:tcW w:w="133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6B2ADD9D" w14:textId="77777777" w:rsidR="00D83954" w:rsidRPr="001E7871" w:rsidRDefault="00D83954" w:rsidP="002A75B8">
            <w:pPr>
              <w:spacing w:line="360" w:lineRule="auto"/>
              <w:jc w:val="center"/>
            </w:pPr>
            <w:r w:rsidRPr="001E7871">
              <w:t>0.050</w:t>
            </w:r>
          </w:p>
        </w:tc>
      </w:tr>
      <w:tr w:rsidR="00D83954" w:rsidRPr="001E7871" w14:paraId="77904DA6" w14:textId="77777777" w:rsidTr="002A75B8">
        <w:trPr>
          <w:trHeight w:val="20"/>
        </w:trPr>
        <w:tc>
          <w:tcPr>
            <w:tcW w:w="269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44" w:type="dxa"/>
              <w:bottom w:w="0" w:type="dxa"/>
              <w:right w:w="10" w:type="dxa"/>
            </w:tcMar>
            <w:vAlign w:val="center"/>
            <w:hideMark/>
          </w:tcPr>
          <w:p w14:paraId="0E0ABEF2" w14:textId="77777777" w:rsidR="00D83954" w:rsidRPr="001E7871" w:rsidRDefault="00D83954" w:rsidP="002A75B8">
            <w:pPr>
              <w:spacing w:line="360" w:lineRule="auto"/>
            </w:pPr>
            <w:r w:rsidRPr="001E7871">
              <w:t>Amputation</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4D4C009C" w14:textId="77777777" w:rsidR="00D83954" w:rsidRPr="001E7871" w:rsidRDefault="00D83954" w:rsidP="002A75B8">
            <w:pPr>
              <w:spacing w:line="360" w:lineRule="auto"/>
              <w:jc w:val="center"/>
            </w:pPr>
            <w:r w:rsidRPr="001E7871">
              <w:t>42</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77C05170" w14:textId="77777777" w:rsidR="00D83954" w:rsidRPr="001E7871" w:rsidRDefault="00D83954" w:rsidP="002A75B8">
            <w:pPr>
              <w:spacing w:line="360" w:lineRule="auto"/>
              <w:jc w:val="center"/>
            </w:pPr>
            <w:r w:rsidRPr="001E7871">
              <w:t>0.8%</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28011DB1" w14:textId="77777777" w:rsidR="00D83954" w:rsidRPr="001E7871" w:rsidRDefault="00D83954" w:rsidP="002A75B8">
            <w:pPr>
              <w:spacing w:line="360" w:lineRule="auto"/>
              <w:jc w:val="center"/>
            </w:pPr>
            <w:r w:rsidRPr="001E7871">
              <w:t>54</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4DDCC746" w14:textId="77777777" w:rsidR="00D83954" w:rsidRPr="001E7871" w:rsidRDefault="00D83954" w:rsidP="002A75B8">
            <w:pPr>
              <w:spacing w:line="360" w:lineRule="auto"/>
              <w:jc w:val="center"/>
            </w:pPr>
            <w:r w:rsidRPr="001E7871">
              <w:t>1.1%</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29D59635" w14:textId="77777777" w:rsidR="00D83954" w:rsidRPr="001E7871" w:rsidRDefault="00D83954" w:rsidP="002A75B8">
            <w:pPr>
              <w:spacing w:line="360" w:lineRule="auto"/>
              <w:jc w:val="center"/>
            </w:pPr>
            <w:r w:rsidRPr="001E7871">
              <w:t>0.77 (0.51-1.15)</w:t>
            </w:r>
          </w:p>
        </w:tc>
        <w:tc>
          <w:tcPr>
            <w:tcW w:w="133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01F03790" w14:textId="77777777" w:rsidR="00D83954" w:rsidRPr="001E7871" w:rsidRDefault="00D83954" w:rsidP="002A75B8">
            <w:pPr>
              <w:spacing w:line="360" w:lineRule="auto"/>
              <w:jc w:val="center"/>
            </w:pPr>
            <w:r w:rsidRPr="001E7871">
              <w:t>0.200</w:t>
            </w:r>
          </w:p>
        </w:tc>
      </w:tr>
      <w:tr w:rsidR="00D83954" w:rsidRPr="001E7871" w14:paraId="3BE0E7D8" w14:textId="77777777" w:rsidTr="002A75B8">
        <w:trPr>
          <w:trHeight w:val="20"/>
        </w:trPr>
        <w:tc>
          <w:tcPr>
            <w:tcW w:w="269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44" w:type="dxa"/>
              <w:bottom w:w="0" w:type="dxa"/>
              <w:right w:w="10" w:type="dxa"/>
            </w:tcMar>
            <w:vAlign w:val="center"/>
            <w:hideMark/>
          </w:tcPr>
          <w:p w14:paraId="75FFDE4D" w14:textId="77777777" w:rsidR="00D83954" w:rsidRPr="001E7871" w:rsidRDefault="00D83954" w:rsidP="002A75B8">
            <w:pPr>
              <w:spacing w:line="360" w:lineRule="auto"/>
            </w:pPr>
            <w:r w:rsidRPr="001E7871">
              <w:t>Fracture</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7400309F" w14:textId="77777777" w:rsidR="00D83954" w:rsidRPr="001E7871" w:rsidRDefault="00D83954" w:rsidP="002A75B8">
            <w:pPr>
              <w:spacing w:line="360" w:lineRule="auto"/>
              <w:jc w:val="center"/>
            </w:pPr>
            <w:r w:rsidRPr="001E7871">
              <w:t>262</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46563F52" w14:textId="77777777" w:rsidR="00D83954" w:rsidRPr="001E7871" w:rsidRDefault="00D83954" w:rsidP="002A75B8">
            <w:pPr>
              <w:spacing w:line="360" w:lineRule="auto"/>
              <w:jc w:val="center"/>
            </w:pPr>
            <w:r w:rsidRPr="001E7871">
              <w:t>5.1%</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75C7F47E" w14:textId="77777777" w:rsidR="00D83954" w:rsidRPr="001E7871" w:rsidRDefault="00D83954" w:rsidP="002A75B8">
            <w:pPr>
              <w:spacing w:line="360" w:lineRule="auto"/>
              <w:jc w:val="center"/>
            </w:pPr>
            <w:r w:rsidRPr="001E7871">
              <w:t>227</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12FB7F76" w14:textId="77777777" w:rsidR="00D83954" w:rsidRPr="001E7871" w:rsidRDefault="00D83954" w:rsidP="002A75B8">
            <w:pPr>
              <w:spacing w:line="360" w:lineRule="auto"/>
              <w:jc w:val="center"/>
            </w:pPr>
            <w:r w:rsidRPr="001E7871">
              <w:t>4.5%</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555584BE" w14:textId="77777777" w:rsidR="00D83954" w:rsidRPr="001E7871" w:rsidRDefault="00D83954" w:rsidP="002A75B8">
            <w:pPr>
              <w:spacing w:line="360" w:lineRule="auto"/>
              <w:jc w:val="center"/>
            </w:pPr>
            <w:r w:rsidRPr="001E7871">
              <w:t>1.15 (0.96-1.37)</w:t>
            </w:r>
          </w:p>
        </w:tc>
        <w:tc>
          <w:tcPr>
            <w:tcW w:w="133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4CD253AD" w14:textId="77777777" w:rsidR="00D83954" w:rsidRPr="001E7871" w:rsidRDefault="00D83954" w:rsidP="002A75B8">
            <w:pPr>
              <w:spacing w:line="360" w:lineRule="auto"/>
              <w:jc w:val="center"/>
            </w:pPr>
            <w:r w:rsidRPr="001E7871">
              <w:t>0.128</w:t>
            </w:r>
          </w:p>
        </w:tc>
      </w:tr>
      <w:tr w:rsidR="00D83954" w:rsidRPr="001E7871" w14:paraId="64EEBBE2" w14:textId="77777777" w:rsidTr="002A75B8">
        <w:trPr>
          <w:trHeight w:val="20"/>
        </w:trPr>
        <w:tc>
          <w:tcPr>
            <w:tcW w:w="269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44" w:type="dxa"/>
              <w:bottom w:w="0" w:type="dxa"/>
              <w:right w:w="10" w:type="dxa"/>
            </w:tcMar>
            <w:vAlign w:val="center"/>
            <w:hideMark/>
          </w:tcPr>
          <w:p w14:paraId="3E2B14B2" w14:textId="77777777" w:rsidR="00D83954" w:rsidRPr="001E7871" w:rsidRDefault="00D83954" w:rsidP="002A75B8">
            <w:pPr>
              <w:spacing w:line="360" w:lineRule="auto"/>
            </w:pPr>
            <w:r w:rsidRPr="001E7871">
              <w:t>Symptoms of volume depletion</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15C5D898" w14:textId="77777777" w:rsidR="00D83954" w:rsidRPr="001E7871" w:rsidRDefault="00D83954" w:rsidP="002A75B8">
            <w:pPr>
              <w:spacing w:line="360" w:lineRule="auto"/>
              <w:jc w:val="center"/>
            </w:pPr>
            <w:r w:rsidRPr="001E7871">
              <w:t>82</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6212F038" w14:textId="77777777" w:rsidR="00D83954" w:rsidRPr="001E7871" w:rsidRDefault="00D83954" w:rsidP="002A75B8">
            <w:pPr>
              <w:spacing w:line="360" w:lineRule="auto"/>
              <w:jc w:val="center"/>
            </w:pPr>
            <w:r w:rsidRPr="001E7871">
              <w:t>1.6%</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0B968C9B" w14:textId="77777777" w:rsidR="00D83954" w:rsidRPr="001E7871" w:rsidRDefault="00D83954" w:rsidP="002A75B8">
            <w:pPr>
              <w:spacing w:line="360" w:lineRule="auto"/>
              <w:jc w:val="center"/>
            </w:pPr>
            <w:r w:rsidRPr="001E7871">
              <w:t>78</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299CDE3E" w14:textId="77777777" w:rsidR="00D83954" w:rsidRPr="001E7871" w:rsidRDefault="00D83954" w:rsidP="002A75B8">
            <w:pPr>
              <w:spacing w:line="360" w:lineRule="auto"/>
              <w:jc w:val="center"/>
            </w:pPr>
            <w:r w:rsidRPr="001E7871">
              <w:t>1.5%</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0206B264" w14:textId="77777777" w:rsidR="00D83954" w:rsidRPr="001E7871" w:rsidRDefault="00D83954" w:rsidP="002A75B8">
            <w:pPr>
              <w:spacing w:line="360" w:lineRule="auto"/>
              <w:jc w:val="center"/>
            </w:pPr>
            <w:r w:rsidRPr="001E7871">
              <w:t>1.02 (0.75-1.39)</w:t>
            </w:r>
          </w:p>
        </w:tc>
        <w:tc>
          <w:tcPr>
            <w:tcW w:w="133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55F64CD7" w14:textId="77777777" w:rsidR="00D83954" w:rsidRPr="001E7871" w:rsidRDefault="00D83954" w:rsidP="002A75B8">
            <w:pPr>
              <w:spacing w:line="360" w:lineRule="auto"/>
              <w:jc w:val="center"/>
            </w:pPr>
            <w:r w:rsidRPr="001E7871">
              <w:t>0.921</w:t>
            </w:r>
          </w:p>
        </w:tc>
      </w:tr>
      <w:tr w:rsidR="00D83954" w:rsidRPr="001E7871" w14:paraId="4FF886C7" w14:textId="77777777" w:rsidTr="002A75B8">
        <w:trPr>
          <w:trHeight w:val="20"/>
        </w:trPr>
        <w:tc>
          <w:tcPr>
            <w:tcW w:w="269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44" w:type="dxa"/>
              <w:bottom w:w="0" w:type="dxa"/>
              <w:right w:w="10" w:type="dxa"/>
            </w:tcMar>
            <w:vAlign w:val="center"/>
            <w:hideMark/>
          </w:tcPr>
          <w:p w14:paraId="35AAAD89" w14:textId="77777777" w:rsidR="00D83954" w:rsidRPr="001E7871" w:rsidRDefault="00D83954" w:rsidP="002A75B8">
            <w:pPr>
              <w:spacing w:line="360" w:lineRule="auto"/>
            </w:pPr>
            <w:r w:rsidRPr="001E7871">
              <w:t>Genital infections</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6FD031D7" w14:textId="77777777" w:rsidR="00D83954" w:rsidRPr="001E7871" w:rsidRDefault="00D83954" w:rsidP="002A75B8">
            <w:pPr>
              <w:spacing w:line="360" w:lineRule="auto"/>
              <w:jc w:val="center"/>
            </w:pPr>
            <w:r w:rsidRPr="001E7871">
              <w:t>51</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2114F37A" w14:textId="77777777" w:rsidR="00D83954" w:rsidRPr="001E7871" w:rsidRDefault="00D83954" w:rsidP="002A75B8">
            <w:pPr>
              <w:spacing w:line="360" w:lineRule="auto"/>
              <w:jc w:val="center"/>
            </w:pPr>
            <w:r w:rsidRPr="001E7871">
              <w:t>1.0%</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3BCD583A" w14:textId="77777777" w:rsidR="00D83954" w:rsidRPr="001E7871" w:rsidRDefault="00D83954" w:rsidP="002A75B8">
            <w:pPr>
              <w:spacing w:line="360" w:lineRule="auto"/>
              <w:jc w:val="center"/>
            </w:pPr>
            <w:r w:rsidRPr="001E7871">
              <w:t>3</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4FBE78CB" w14:textId="77777777" w:rsidR="00D83954" w:rsidRPr="001E7871" w:rsidRDefault="00D83954" w:rsidP="002A75B8">
            <w:pPr>
              <w:spacing w:line="360" w:lineRule="auto"/>
              <w:jc w:val="center"/>
            </w:pPr>
            <w:r w:rsidRPr="001E7871">
              <w:t>0.1%</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592CE7C6" w14:textId="77777777" w:rsidR="00D83954" w:rsidRPr="001E7871" w:rsidRDefault="00D83954" w:rsidP="002A75B8">
            <w:pPr>
              <w:spacing w:line="360" w:lineRule="auto"/>
              <w:jc w:val="center"/>
            </w:pPr>
            <w:r w:rsidRPr="001E7871">
              <w:t>16.72 (5.22-53.56)</w:t>
            </w:r>
          </w:p>
        </w:tc>
        <w:tc>
          <w:tcPr>
            <w:tcW w:w="133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2AC48394" w14:textId="77777777" w:rsidR="00D83954" w:rsidRPr="001E7871" w:rsidRDefault="00D83954" w:rsidP="002A75B8">
            <w:pPr>
              <w:spacing w:line="360" w:lineRule="auto"/>
              <w:jc w:val="center"/>
            </w:pPr>
            <w:r w:rsidRPr="001E7871">
              <w:t>&lt;0.001</w:t>
            </w:r>
          </w:p>
        </w:tc>
      </w:tr>
      <w:tr w:rsidR="00D83954" w:rsidRPr="001E7871" w14:paraId="24B6D833" w14:textId="77777777" w:rsidTr="002A75B8">
        <w:trPr>
          <w:trHeight w:val="20"/>
        </w:trPr>
        <w:tc>
          <w:tcPr>
            <w:tcW w:w="269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44" w:type="dxa"/>
              <w:bottom w:w="0" w:type="dxa"/>
              <w:right w:w="10" w:type="dxa"/>
            </w:tcMar>
            <w:vAlign w:val="center"/>
            <w:hideMark/>
          </w:tcPr>
          <w:p w14:paraId="0C575B1C" w14:textId="77777777" w:rsidR="00D83954" w:rsidRPr="001E7871" w:rsidRDefault="00D83954" w:rsidP="002A75B8">
            <w:pPr>
              <w:spacing w:line="360" w:lineRule="auto"/>
            </w:pPr>
            <w:r w:rsidRPr="001E7871">
              <w:t>Urinary tract infection</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0E4EFA58" w14:textId="77777777" w:rsidR="00D83954" w:rsidRPr="001E7871" w:rsidRDefault="00D83954" w:rsidP="002A75B8">
            <w:pPr>
              <w:spacing w:line="360" w:lineRule="auto"/>
              <w:jc w:val="center"/>
            </w:pPr>
            <w:r w:rsidRPr="001E7871">
              <w:t>70</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06E6CC27" w14:textId="77777777" w:rsidR="00D83954" w:rsidRPr="001E7871" w:rsidRDefault="00D83954" w:rsidP="002A75B8">
            <w:pPr>
              <w:spacing w:line="360" w:lineRule="auto"/>
              <w:jc w:val="center"/>
            </w:pPr>
            <w:r w:rsidRPr="001E7871">
              <w:t>1.4%</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5F32A0E6" w14:textId="77777777" w:rsidR="00D83954" w:rsidRPr="001E7871" w:rsidRDefault="00D83954" w:rsidP="002A75B8">
            <w:pPr>
              <w:spacing w:line="360" w:lineRule="auto"/>
              <w:jc w:val="center"/>
            </w:pPr>
            <w:r w:rsidRPr="001E7871">
              <w:t>80</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34538241" w14:textId="77777777" w:rsidR="00D83954" w:rsidRPr="001E7871" w:rsidRDefault="00D83954" w:rsidP="002A75B8">
            <w:pPr>
              <w:spacing w:line="360" w:lineRule="auto"/>
              <w:jc w:val="center"/>
            </w:pPr>
            <w:r w:rsidRPr="001E7871">
              <w:t>1.6%</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02B8C445" w14:textId="77777777" w:rsidR="00D83954" w:rsidRPr="001E7871" w:rsidRDefault="00D83954" w:rsidP="002A75B8">
            <w:pPr>
              <w:spacing w:line="360" w:lineRule="auto"/>
              <w:jc w:val="center"/>
            </w:pPr>
            <w:r w:rsidRPr="001E7871">
              <w:t>0.84 (0.61-1.16)</w:t>
            </w:r>
          </w:p>
        </w:tc>
        <w:tc>
          <w:tcPr>
            <w:tcW w:w="133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054E3794" w14:textId="77777777" w:rsidR="00D83954" w:rsidRPr="001E7871" w:rsidRDefault="00D83954" w:rsidP="002A75B8">
            <w:pPr>
              <w:spacing w:line="360" w:lineRule="auto"/>
              <w:jc w:val="center"/>
            </w:pPr>
            <w:r w:rsidRPr="001E7871">
              <w:t>0.301</w:t>
            </w:r>
          </w:p>
        </w:tc>
      </w:tr>
      <w:tr w:rsidR="00D83954" w:rsidRPr="001E7871" w14:paraId="1BF28BF8" w14:textId="77777777" w:rsidTr="002A75B8">
        <w:trPr>
          <w:trHeight w:val="20"/>
        </w:trPr>
        <w:tc>
          <w:tcPr>
            <w:tcW w:w="269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44" w:type="dxa"/>
              <w:bottom w:w="0" w:type="dxa"/>
              <w:right w:w="10" w:type="dxa"/>
            </w:tcMar>
            <w:vAlign w:val="center"/>
            <w:hideMark/>
          </w:tcPr>
          <w:p w14:paraId="1590E62D" w14:textId="77777777" w:rsidR="00D83954" w:rsidRPr="001E7871" w:rsidRDefault="00D83954" w:rsidP="002A75B8">
            <w:pPr>
              <w:spacing w:line="360" w:lineRule="auto"/>
            </w:pPr>
            <w:r w:rsidRPr="001E7871">
              <w:t>Cancer</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72DB05C7" w14:textId="77777777" w:rsidR="00D83954" w:rsidRPr="001E7871" w:rsidRDefault="00D83954" w:rsidP="002A75B8">
            <w:pPr>
              <w:spacing w:line="360" w:lineRule="auto"/>
              <w:jc w:val="center"/>
            </w:pPr>
            <w:r w:rsidRPr="001E7871">
              <w:t>294</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5779990B" w14:textId="77777777" w:rsidR="00D83954" w:rsidRPr="001E7871" w:rsidRDefault="00D83954" w:rsidP="002A75B8">
            <w:pPr>
              <w:spacing w:line="360" w:lineRule="auto"/>
              <w:jc w:val="center"/>
            </w:pPr>
            <w:r w:rsidRPr="001E7871">
              <w:t>5.8%</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6EF112E2" w14:textId="77777777" w:rsidR="00D83954" w:rsidRPr="001E7871" w:rsidRDefault="00D83954" w:rsidP="002A75B8">
            <w:pPr>
              <w:spacing w:line="360" w:lineRule="auto"/>
              <w:jc w:val="center"/>
            </w:pPr>
            <w:r w:rsidRPr="001E7871">
              <w:t>281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316E6AC7" w14:textId="77777777" w:rsidR="00D83954" w:rsidRPr="001E7871" w:rsidRDefault="00D83954" w:rsidP="002A75B8">
            <w:pPr>
              <w:spacing w:line="360" w:lineRule="auto"/>
              <w:jc w:val="center"/>
            </w:pPr>
            <w:r w:rsidRPr="001E7871">
              <w:t>5.5%</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740325BD" w14:textId="77777777" w:rsidR="00D83954" w:rsidRPr="001E7871" w:rsidRDefault="00D83954" w:rsidP="002A75B8">
            <w:pPr>
              <w:spacing w:line="360" w:lineRule="auto"/>
              <w:jc w:val="center"/>
            </w:pPr>
            <w:r w:rsidRPr="001E7871">
              <w:t>1.04 (0.88-1.22)</w:t>
            </w:r>
          </w:p>
        </w:tc>
        <w:tc>
          <w:tcPr>
            <w:tcW w:w="133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37CBAE82" w14:textId="77777777" w:rsidR="00D83954" w:rsidRPr="001E7871" w:rsidRDefault="00D83954" w:rsidP="002A75B8">
            <w:pPr>
              <w:spacing w:line="360" w:lineRule="auto"/>
              <w:jc w:val="center"/>
            </w:pPr>
            <w:r w:rsidRPr="001E7871">
              <w:t>0.668</w:t>
            </w:r>
          </w:p>
        </w:tc>
      </w:tr>
      <w:tr w:rsidR="00D83954" w:rsidRPr="001E7871" w14:paraId="367AA7E5" w14:textId="77777777" w:rsidTr="002A75B8">
        <w:trPr>
          <w:trHeight w:val="20"/>
        </w:trPr>
        <w:tc>
          <w:tcPr>
            <w:tcW w:w="269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44" w:type="dxa"/>
              <w:bottom w:w="0" w:type="dxa"/>
              <w:right w:w="10" w:type="dxa"/>
            </w:tcMar>
            <w:vAlign w:val="center"/>
            <w:hideMark/>
          </w:tcPr>
          <w:p w14:paraId="42F05B4C" w14:textId="77777777" w:rsidR="00D83954" w:rsidRPr="001E7871" w:rsidRDefault="00D83954" w:rsidP="002A75B8">
            <w:pPr>
              <w:spacing w:line="360" w:lineRule="auto"/>
            </w:pPr>
            <w:r w:rsidRPr="001E7871">
              <w:t>Acute kidney injury</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19EB40E9" w14:textId="77777777" w:rsidR="00D83954" w:rsidRPr="001E7871" w:rsidRDefault="00D83954" w:rsidP="002A75B8">
            <w:pPr>
              <w:spacing w:line="360" w:lineRule="auto"/>
              <w:jc w:val="center"/>
            </w:pPr>
            <w:r w:rsidRPr="001E7871">
              <w:t>59</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7125FD5D" w14:textId="77777777" w:rsidR="00D83954" w:rsidRPr="001E7871" w:rsidRDefault="00D83954" w:rsidP="002A75B8">
            <w:pPr>
              <w:spacing w:line="360" w:lineRule="auto"/>
              <w:jc w:val="center"/>
            </w:pPr>
            <w:r w:rsidRPr="001E7871">
              <w:t>1.2%</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5975C701" w14:textId="77777777" w:rsidR="00D83954" w:rsidRPr="001E7871" w:rsidRDefault="00D83954" w:rsidP="002A75B8">
            <w:pPr>
              <w:spacing w:line="360" w:lineRule="auto"/>
              <w:jc w:val="center"/>
            </w:pPr>
            <w:r w:rsidRPr="001E7871">
              <w:t>64</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166052B3" w14:textId="77777777" w:rsidR="00D83954" w:rsidRPr="001E7871" w:rsidRDefault="00D83954" w:rsidP="002A75B8">
            <w:pPr>
              <w:spacing w:line="360" w:lineRule="auto"/>
              <w:jc w:val="center"/>
            </w:pPr>
            <w:r w:rsidRPr="001E7871">
              <w:t>1.3%</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08514EA2" w14:textId="77777777" w:rsidR="00D83954" w:rsidRPr="001E7871" w:rsidRDefault="00D83954" w:rsidP="002A75B8">
            <w:pPr>
              <w:spacing w:line="360" w:lineRule="auto"/>
              <w:jc w:val="center"/>
            </w:pPr>
            <w:r w:rsidRPr="001E7871">
              <w:t>0.89 (0.62-1.26)</w:t>
            </w:r>
          </w:p>
        </w:tc>
        <w:tc>
          <w:tcPr>
            <w:tcW w:w="133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324259C5" w14:textId="77777777" w:rsidR="00D83954" w:rsidRPr="001E7871" w:rsidRDefault="00D83954" w:rsidP="002A75B8">
            <w:pPr>
              <w:spacing w:line="360" w:lineRule="auto"/>
              <w:jc w:val="center"/>
            </w:pPr>
            <w:r w:rsidRPr="001E7871">
              <w:t>0.505</w:t>
            </w:r>
          </w:p>
        </w:tc>
      </w:tr>
    </w:tbl>
    <w:p w14:paraId="1A87C10E" w14:textId="77777777" w:rsidR="00D83954" w:rsidRDefault="00D83954" w:rsidP="00D83954">
      <w:pPr>
        <w:spacing w:line="360" w:lineRule="auto"/>
      </w:pPr>
    </w:p>
    <w:p w14:paraId="6505E6CA" w14:textId="77777777" w:rsidR="00D83954" w:rsidRDefault="00D83954" w:rsidP="00D83954">
      <w:pPr>
        <w:spacing w:line="360" w:lineRule="auto"/>
      </w:pPr>
      <w:r>
        <w:t xml:space="preserve">Legend: Genital </w:t>
      </w:r>
      <w:r w:rsidRPr="001E7871">
        <w:t>and urinary infections considered were either serious (2 in each arm) or led to discontinuation of study drug.</w:t>
      </w:r>
    </w:p>
    <w:p w14:paraId="2E73AFC5" w14:textId="77777777" w:rsidR="00D83954" w:rsidRDefault="00D83954" w:rsidP="00D83954">
      <w:pPr>
        <w:spacing w:line="360" w:lineRule="auto"/>
      </w:pPr>
      <w:r>
        <w:br/>
      </w:r>
    </w:p>
    <w:p w14:paraId="4ED4EB47" w14:textId="1D84F1BF" w:rsidR="00F86DF4" w:rsidRDefault="00F86DF4" w:rsidP="00D83954">
      <w:pPr>
        <w:spacing w:line="360" w:lineRule="auto"/>
      </w:pPr>
    </w:p>
    <w:sectPr w:rsidR="00F86DF4" w:rsidSect="009543C7">
      <w:footerReference w:type="default" r:id="rId17"/>
      <w:pgSz w:w="12240" w:h="15840"/>
      <w:pgMar w:top="1440" w:right="1440" w:bottom="1440" w:left="1440" w:header="720" w:footer="720" w:gutter="0"/>
      <w:lnNumType w:countBy="1" w:restart="continuou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CE62F" w16cex:dateUtc="2020-09-16T23:29:00Z"/>
  <w16cex:commentExtensible w16cex:durableId="230CEA98" w16cex:dateUtc="2020-09-16T23:48:00Z"/>
  <w16cex:commentExtensible w16cex:durableId="230CEBAE" w16cex:dateUtc="2020-09-16T23:53:00Z"/>
  <w16cex:commentExtensible w16cex:durableId="230CEC27" w16cex:dateUtc="2020-09-16T23:55:00Z"/>
  <w16cex:commentExtensible w16cex:durableId="230CECD6" w16cex:dateUtc="2020-09-16T23:58:00Z"/>
  <w16cex:commentExtensible w16cex:durableId="230CEDAE" w16cex:dateUtc="2020-09-17T00: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6D540" w14:textId="77777777" w:rsidR="00AE6492" w:rsidRDefault="00AE6492" w:rsidP="00B36D69">
      <w:pPr>
        <w:spacing w:after="0" w:line="240" w:lineRule="auto"/>
      </w:pPr>
      <w:r>
        <w:separator/>
      </w:r>
    </w:p>
  </w:endnote>
  <w:endnote w:type="continuationSeparator" w:id="0">
    <w:p w14:paraId="7AACEA1B" w14:textId="77777777" w:rsidR="00AE6492" w:rsidRDefault="00AE6492" w:rsidP="00B36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170976"/>
      <w:docPartObj>
        <w:docPartGallery w:val="Page Numbers (Bottom of Page)"/>
        <w:docPartUnique/>
      </w:docPartObj>
    </w:sdtPr>
    <w:sdtEndPr>
      <w:rPr>
        <w:noProof/>
      </w:rPr>
    </w:sdtEndPr>
    <w:sdtContent>
      <w:p w14:paraId="58715AB1" w14:textId="50EAD57F" w:rsidR="00841AC5" w:rsidRDefault="00841AC5">
        <w:pPr>
          <w:pStyle w:val="Footer"/>
          <w:jc w:val="right"/>
        </w:pPr>
        <w:r>
          <w:fldChar w:fldCharType="begin"/>
        </w:r>
        <w:r>
          <w:instrText xml:space="preserve"> PAGE   \* MERGEFORMAT </w:instrText>
        </w:r>
        <w:r>
          <w:fldChar w:fldCharType="separate"/>
        </w:r>
        <w:r w:rsidR="006816A2">
          <w:rPr>
            <w:noProof/>
          </w:rPr>
          <w:t>18</w:t>
        </w:r>
        <w:r>
          <w:rPr>
            <w:noProof/>
          </w:rPr>
          <w:fldChar w:fldCharType="end"/>
        </w:r>
      </w:p>
    </w:sdtContent>
  </w:sdt>
  <w:p w14:paraId="0FB126F9" w14:textId="77777777" w:rsidR="00841AC5" w:rsidRDefault="00841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A73EC" w14:textId="77777777" w:rsidR="00AE6492" w:rsidRDefault="00AE6492" w:rsidP="00B36D69">
      <w:pPr>
        <w:spacing w:after="0" w:line="240" w:lineRule="auto"/>
      </w:pPr>
      <w:r>
        <w:separator/>
      </w:r>
    </w:p>
  </w:footnote>
  <w:footnote w:type="continuationSeparator" w:id="0">
    <w:p w14:paraId="08B1EB1F" w14:textId="77777777" w:rsidR="00AE6492" w:rsidRDefault="00AE6492" w:rsidP="00B36D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A2C37"/>
    <w:multiLevelType w:val="hybridMultilevel"/>
    <w:tmpl w:val="BAACF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9A61011"/>
    <w:multiLevelType w:val="hybridMultilevel"/>
    <w:tmpl w:val="116A5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EE0"/>
    <w:rsid w:val="000023FA"/>
    <w:rsid w:val="0001235D"/>
    <w:rsid w:val="00012C70"/>
    <w:rsid w:val="00020CC7"/>
    <w:rsid w:val="00032719"/>
    <w:rsid w:val="00037335"/>
    <w:rsid w:val="000438B8"/>
    <w:rsid w:val="00043FF1"/>
    <w:rsid w:val="000449AC"/>
    <w:rsid w:val="00047775"/>
    <w:rsid w:val="00050D63"/>
    <w:rsid w:val="00054809"/>
    <w:rsid w:val="00054A95"/>
    <w:rsid w:val="000635B4"/>
    <w:rsid w:val="000651BC"/>
    <w:rsid w:val="00070BE6"/>
    <w:rsid w:val="000737A8"/>
    <w:rsid w:val="00077F01"/>
    <w:rsid w:val="00086AC8"/>
    <w:rsid w:val="00096558"/>
    <w:rsid w:val="000C106F"/>
    <w:rsid w:val="000C14FF"/>
    <w:rsid w:val="000C465B"/>
    <w:rsid w:val="000C545A"/>
    <w:rsid w:val="000C5E58"/>
    <w:rsid w:val="000D3262"/>
    <w:rsid w:val="000E21B1"/>
    <w:rsid w:val="000E7544"/>
    <w:rsid w:val="000F0B07"/>
    <w:rsid w:val="000F1BC3"/>
    <w:rsid w:val="000F1ED8"/>
    <w:rsid w:val="000F325D"/>
    <w:rsid w:val="000F6768"/>
    <w:rsid w:val="000F7770"/>
    <w:rsid w:val="00100495"/>
    <w:rsid w:val="00112CF9"/>
    <w:rsid w:val="001162FD"/>
    <w:rsid w:val="00117DB7"/>
    <w:rsid w:val="00120C18"/>
    <w:rsid w:val="00122324"/>
    <w:rsid w:val="00122865"/>
    <w:rsid w:val="0012585A"/>
    <w:rsid w:val="00131005"/>
    <w:rsid w:val="0013662E"/>
    <w:rsid w:val="00136874"/>
    <w:rsid w:val="00145C83"/>
    <w:rsid w:val="00150E75"/>
    <w:rsid w:val="001527EC"/>
    <w:rsid w:val="00154484"/>
    <w:rsid w:val="00156872"/>
    <w:rsid w:val="00166AD9"/>
    <w:rsid w:val="00167742"/>
    <w:rsid w:val="0018488A"/>
    <w:rsid w:val="001A0A7A"/>
    <w:rsid w:val="001A613A"/>
    <w:rsid w:val="001A6A46"/>
    <w:rsid w:val="001B31AD"/>
    <w:rsid w:val="001C2929"/>
    <w:rsid w:val="001C49BE"/>
    <w:rsid w:val="001C4FA7"/>
    <w:rsid w:val="001D4B11"/>
    <w:rsid w:val="001D6ACF"/>
    <w:rsid w:val="001D7AA8"/>
    <w:rsid w:val="001E7871"/>
    <w:rsid w:val="00203E60"/>
    <w:rsid w:val="002044AE"/>
    <w:rsid w:val="002058E9"/>
    <w:rsid w:val="00205FEE"/>
    <w:rsid w:val="00232562"/>
    <w:rsid w:val="00234C64"/>
    <w:rsid w:val="0023619E"/>
    <w:rsid w:val="002373F4"/>
    <w:rsid w:val="002416D2"/>
    <w:rsid w:val="00242F11"/>
    <w:rsid w:val="00243511"/>
    <w:rsid w:val="00244C66"/>
    <w:rsid w:val="00250734"/>
    <w:rsid w:val="002542B1"/>
    <w:rsid w:val="00257D4F"/>
    <w:rsid w:val="00263A0A"/>
    <w:rsid w:val="00264A32"/>
    <w:rsid w:val="00266512"/>
    <w:rsid w:val="00274969"/>
    <w:rsid w:val="00276953"/>
    <w:rsid w:val="00276D60"/>
    <w:rsid w:val="0027755B"/>
    <w:rsid w:val="002841FB"/>
    <w:rsid w:val="002878F4"/>
    <w:rsid w:val="00290378"/>
    <w:rsid w:val="002958AE"/>
    <w:rsid w:val="002A2879"/>
    <w:rsid w:val="002A75B8"/>
    <w:rsid w:val="002D6AA8"/>
    <w:rsid w:val="002D6EBE"/>
    <w:rsid w:val="002E3948"/>
    <w:rsid w:val="002E64D2"/>
    <w:rsid w:val="002F134B"/>
    <w:rsid w:val="00304714"/>
    <w:rsid w:val="00315F1D"/>
    <w:rsid w:val="00336366"/>
    <w:rsid w:val="0034226A"/>
    <w:rsid w:val="00354106"/>
    <w:rsid w:val="003573E7"/>
    <w:rsid w:val="00370246"/>
    <w:rsid w:val="00374395"/>
    <w:rsid w:val="00382710"/>
    <w:rsid w:val="003861EA"/>
    <w:rsid w:val="003A2F96"/>
    <w:rsid w:val="003A716F"/>
    <w:rsid w:val="003B0E96"/>
    <w:rsid w:val="003B3622"/>
    <w:rsid w:val="003B42F6"/>
    <w:rsid w:val="003C250A"/>
    <w:rsid w:val="003D5AAE"/>
    <w:rsid w:val="003F454A"/>
    <w:rsid w:val="0041737D"/>
    <w:rsid w:val="00420B42"/>
    <w:rsid w:val="00430AC7"/>
    <w:rsid w:val="0043297B"/>
    <w:rsid w:val="00443BB7"/>
    <w:rsid w:val="00447920"/>
    <w:rsid w:val="004615D4"/>
    <w:rsid w:val="00470018"/>
    <w:rsid w:val="004850A7"/>
    <w:rsid w:val="004868FE"/>
    <w:rsid w:val="004A3D4D"/>
    <w:rsid w:val="004A4D92"/>
    <w:rsid w:val="004C150C"/>
    <w:rsid w:val="004D036C"/>
    <w:rsid w:val="004D31B7"/>
    <w:rsid w:val="004D3E90"/>
    <w:rsid w:val="004D4532"/>
    <w:rsid w:val="004D6F28"/>
    <w:rsid w:val="004E1885"/>
    <w:rsid w:val="004E5A5C"/>
    <w:rsid w:val="004E7726"/>
    <w:rsid w:val="004F7939"/>
    <w:rsid w:val="00516BB0"/>
    <w:rsid w:val="005203F8"/>
    <w:rsid w:val="0052206D"/>
    <w:rsid w:val="005224E6"/>
    <w:rsid w:val="00527BCC"/>
    <w:rsid w:val="00536E7C"/>
    <w:rsid w:val="00541980"/>
    <w:rsid w:val="00542725"/>
    <w:rsid w:val="00543D42"/>
    <w:rsid w:val="005474B3"/>
    <w:rsid w:val="00557C77"/>
    <w:rsid w:val="005623EC"/>
    <w:rsid w:val="00573092"/>
    <w:rsid w:val="00581244"/>
    <w:rsid w:val="00593FE8"/>
    <w:rsid w:val="005A72B7"/>
    <w:rsid w:val="005B6BD5"/>
    <w:rsid w:val="005C07A8"/>
    <w:rsid w:val="005C5DF4"/>
    <w:rsid w:val="005F02F7"/>
    <w:rsid w:val="0061551A"/>
    <w:rsid w:val="006160C9"/>
    <w:rsid w:val="00622613"/>
    <w:rsid w:val="00624B50"/>
    <w:rsid w:val="00624C32"/>
    <w:rsid w:val="00627FDC"/>
    <w:rsid w:val="00646E1D"/>
    <w:rsid w:val="006506A8"/>
    <w:rsid w:val="00656C25"/>
    <w:rsid w:val="00660EE0"/>
    <w:rsid w:val="00671787"/>
    <w:rsid w:val="006816A2"/>
    <w:rsid w:val="00694324"/>
    <w:rsid w:val="006958AC"/>
    <w:rsid w:val="006A20D9"/>
    <w:rsid w:val="006A48E9"/>
    <w:rsid w:val="006C1FFB"/>
    <w:rsid w:val="006C2765"/>
    <w:rsid w:val="006C4DF5"/>
    <w:rsid w:val="006C6453"/>
    <w:rsid w:val="006F0971"/>
    <w:rsid w:val="006F578E"/>
    <w:rsid w:val="00713795"/>
    <w:rsid w:val="00715DB0"/>
    <w:rsid w:val="00717A09"/>
    <w:rsid w:val="007218BB"/>
    <w:rsid w:val="00721F3E"/>
    <w:rsid w:val="00722304"/>
    <w:rsid w:val="0073251E"/>
    <w:rsid w:val="00735E64"/>
    <w:rsid w:val="007417B0"/>
    <w:rsid w:val="007427DB"/>
    <w:rsid w:val="00756597"/>
    <w:rsid w:val="0075719E"/>
    <w:rsid w:val="00787104"/>
    <w:rsid w:val="00793AE5"/>
    <w:rsid w:val="00797282"/>
    <w:rsid w:val="007B0DAE"/>
    <w:rsid w:val="007D059B"/>
    <w:rsid w:val="007D38B1"/>
    <w:rsid w:val="007D43B4"/>
    <w:rsid w:val="007E3840"/>
    <w:rsid w:val="007F1F78"/>
    <w:rsid w:val="007F3592"/>
    <w:rsid w:val="007F7DDE"/>
    <w:rsid w:val="007F7F53"/>
    <w:rsid w:val="0080565D"/>
    <w:rsid w:val="00807863"/>
    <w:rsid w:val="00816E43"/>
    <w:rsid w:val="00821DA2"/>
    <w:rsid w:val="00823DCA"/>
    <w:rsid w:val="0083133F"/>
    <w:rsid w:val="00836A53"/>
    <w:rsid w:val="00837EF1"/>
    <w:rsid w:val="00841AC5"/>
    <w:rsid w:val="00842E5D"/>
    <w:rsid w:val="00851556"/>
    <w:rsid w:val="00856666"/>
    <w:rsid w:val="008579AC"/>
    <w:rsid w:val="00863200"/>
    <w:rsid w:val="00867FDB"/>
    <w:rsid w:val="00872183"/>
    <w:rsid w:val="008746CF"/>
    <w:rsid w:val="00886AA5"/>
    <w:rsid w:val="00886AE3"/>
    <w:rsid w:val="0089034C"/>
    <w:rsid w:val="008978B8"/>
    <w:rsid w:val="008B067B"/>
    <w:rsid w:val="008B55C4"/>
    <w:rsid w:val="008B680C"/>
    <w:rsid w:val="008C7836"/>
    <w:rsid w:val="008D0066"/>
    <w:rsid w:val="008D61A1"/>
    <w:rsid w:val="008D7D6F"/>
    <w:rsid w:val="008E1DD8"/>
    <w:rsid w:val="008E698F"/>
    <w:rsid w:val="008F0127"/>
    <w:rsid w:val="008F5E3F"/>
    <w:rsid w:val="00900AEC"/>
    <w:rsid w:val="00905A2B"/>
    <w:rsid w:val="009145A2"/>
    <w:rsid w:val="00915B31"/>
    <w:rsid w:val="00924BFA"/>
    <w:rsid w:val="009467B2"/>
    <w:rsid w:val="009478D0"/>
    <w:rsid w:val="00951AF0"/>
    <w:rsid w:val="00953BE3"/>
    <w:rsid w:val="009543C7"/>
    <w:rsid w:val="00954782"/>
    <w:rsid w:val="0095583F"/>
    <w:rsid w:val="00964A73"/>
    <w:rsid w:val="0096708E"/>
    <w:rsid w:val="0097216E"/>
    <w:rsid w:val="009723E8"/>
    <w:rsid w:val="00981826"/>
    <w:rsid w:val="00986D59"/>
    <w:rsid w:val="009A0C81"/>
    <w:rsid w:val="009A7515"/>
    <w:rsid w:val="009B1841"/>
    <w:rsid w:val="009C0CCB"/>
    <w:rsid w:val="009D231E"/>
    <w:rsid w:val="009D3395"/>
    <w:rsid w:val="009D3A32"/>
    <w:rsid w:val="009D3FB9"/>
    <w:rsid w:val="009D6366"/>
    <w:rsid w:val="009D6E34"/>
    <w:rsid w:val="009D7B65"/>
    <w:rsid w:val="009D7D02"/>
    <w:rsid w:val="009E401D"/>
    <w:rsid w:val="009E7DA6"/>
    <w:rsid w:val="00A0219E"/>
    <w:rsid w:val="00A032F4"/>
    <w:rsid w:val="00A049E2"/>
    <w:rsid w:val="00A05014"/>
    <w:rsid w:val="00A0790E"/>
    <w:rsid w:val="00A20148"/>
    <w:rsid w:val="00A20499"/>
    <w:rsid w:val="00A20E3C"/>
    <w:rsid w:val="00A23468"/>
    <w:rsid w:val="00A255C9"/>
    <w:rsid w:val="00A25804"/>
    <w:rsid w:val="00A26E62"/>
    <w:rsid w:val="00A4209A"/>
    <w:rsid w:val="00A45B15"/>
    <w:rsid w:val="00A61B8B"/>
    <w:rsid w:val="00A645D0"/>
    <w:rsid w:val="00A85C24"/>
    <w:rsid w:val="00AA7E4C"/>
    <w:rsid w:val="00AB1CEA"/>
    <w:rsid w:val="00AB317D"/>
    <w:rsid w:val="00AB6B05"/>
    <w:rsid w:val="00AC07F9"/>
    <w:rsid w:val="00AD4EC9"/>
    <w:rsid w:val="00AD6D8A"/>
    <w:rsid w:val="00AE17BD"/>
    <w:rsid w:val="00AE349B"/>
    <w:rsid w:val="00AE6492"/>
    <w:rsid w:val="00AF4E64"/>
    <w:rsid w:val="00B046F1"/>
    <w:rsid w:val="00B1108A"/>
    <w:rsid w:val="00B244D9"/>
    <w:rsid w:val="00B2464D"/>
    <w:rsid w:val="00B340EE"/>
    <w:rsid w:val="00B36D69"/>
    <w:rsid w:val="00B50C36"/>
    <w:rsid w:val="00B52061"/>
    <w:rsid w:val="00B568D7"/>
    <w:rsid w:val="00B713AA"/>
    <w:rsid w:val="00B93426"/>
    <w:rsid w:val="00BA05CE"/>
    <w:rsid w:val="00BA30C7"/>
    <w:rsid w:val="00BA55C0"/>
    <w:rsid w:val="00BA7241"/>
    <w:rsid w:val="00BA72A9"/>
    <w:rsid w:val="00BB0587"/>
    <w:rsid w:val="00BB4F64"/>
    <w:rsid w:val="00BC7ADA"/>
    <w:rsid w:val="00BE7646"/>
    <w:rsid w:val="00BF1552"/>
    <w:rsid w:val="00BF54AE"/>
    <w:rsid w:val="00C048EA"/>
    <w:rsid w:val="00C06EEB"/>
    <w:rsid w:val="00C11396"/>
    <w:rsid w:val="00C52478"/>
    <w:rsid w:val="00C52E4B"/>
    <w:rsid w:val="00C551B4"/>
    <w:rsid w:val="00C572FF"/>
    <w:rsid w:val="00C60D55"/>
    <w:rsid w:val="00C72A8D"/>
    <w:rsid w:val="00C80986"/>
    <w:rsid w:val="00C87B0D"/>
    <w:rsid w:val="00CA23C4"/>
    <w:rsid w:val="00CB2350"/>
    <w:rsid w:val="00CC25E1"/>
    <w:rsid w:val="00CC28EE"/>
    <w:rsid w:val="00CC66AC"/>
    <w:rsid w:val="00CD4666"/>
    <w:rsid w:val="00CD57AF"/>
    <w:rsid w:val="00CF086F"/>
    <w:rsid w:val="00D143AF"/>
    <w:rsid w:val="00D148E4"/>
    <w:rsid w:val="00D1521E"/>
    <w:rsid w:val="00D21029"/>
    <w:rsid w:val="00D26272"/>
    <w:rsid w:val="00D31047"/>
    <w:rsid w:val="00D435FB"/>
    <w:rsid w:val="00D45157"/>
    <w:rsid w:val="00D45FD7"/>
    <w:rsid w:val="00D463B3"/>
    <w:rsid w:val="00D47A6C"/>
    <w:rsid w:val="00D5121E"/>
    <w:rsid w:val="00D55CCE"/>
    <w:rsid w:val="00D56638"/>
    <w:rsid w:val="00D77D4C"/>
    <w:rsid w:val="00D82AA4"/>
    <w:rsid w:val="00D83404"/>
    <w:rsid w:val="00D83954"/>
    <w:rsid w:val="00D8465C"/>
    <w:rsid w:val="00D84913"/>
    <w:rsid w:val="00DA16D1"/>
    <w:rsid w:val="00DA6D78"/>
    <w:rsid w:val="00DB185E"/>
    <w:rsid w:val="00DB6A43"/>
    <w:rsid w:val="00DE44F2"/>
    <w:rsid w:val="00DE791B"/>
    <w:rsid w:val="00DF44CF"/>
    <w:rsid w:val="00DF4548"/>
    <w:rsid w:val="00E029A7"/>
    <w:rsid w:val="00E04637"/>
    <w:rsid w:val="00E139AD"/>
    <w:rsid w:val="00E152DE"/>
    <w:rsid w:val="00E15F23"/>
    <w:rsid w:val="00E2078E"/>
    <w:rsid w:val="00E37473"/>
    <w:rsid w:val="00E4039C"/>
    <w:rsid w:val="00E4622A"/>
    <w:rsid w:val="00E578EC"/>
    <w:rsid w:val="00E71F41"/>
    <w:rsid w:val="00E77338"/>
    <w:rsid w:val="00E80A66"/>
    <w:rsid w:val="00E81649"/>
    <w:rsid w:val="00E87C7B"/>
    <w:rsid w:val="00E95D56"/>
    <w:rsid w:val="00EA24D4"/>
    <w:rsid w:val="00EC2523"/>
    <w:rsid w:val="00EC5C3B"/>
    <w:rsid w:val="00ED471B"/>
    <w:rsid w:val="00EE02E6"/>
    <w:rsid w:val="00EE1E20"/>
    <w:rsid w:val="00EE48CC"/>
    <w:rsid w:val="00EF0E6C"/>
    <w:rsid w:val="00EF4E9B"/>
    <w:rsid w:val="00EF585E"/>
    <w:rsid w:val="00F00C38"/>
    <w:rsid w:val="00F04C71"/>
    <w:rsid w:val="00F07BD5"/>
    <w:rsid w:val="00F117AD"/>
    <w:rsid w:val="00F12B43"/>
    <w:rsid w:val="00F206FD"/>
    <w:rsid w:val="00F22F8D"/>
    <w:rsid w:val="00F35262"/>
    <w:rsid w:val="00F37CDC"/>
    <w:rsid w:val="00F46352"/>
    <w:rsid w:val="00F57B80"/>
    <w:rsid w:val="00F7200A"/>
    <w:rsid w:val="00F7650E"/>
    <w:rsid w:val="00F77027"/>
    <w:rsid w:val="00F85F10"/>
    <w:rsid w:val="00F86DF4"/>
    <w:rsid w:val="00F92D6D"/>
    <w:rsid w:val="00FA77B4"/>
    <w:rsid w:val="00FB09B9"/>
    <w:rsid w:val="00FB6490"/>
    <w:rsid w:val="00FC2C1B"/>
    <w:rsid w:val="00FD1936"/>
    <w:rsid w:val="00FD1E3A"/>
    <w:rsid w:val="00FD27BD"/>
    <w:rsid w:val="00FD27C5"/>
    <w:rsid w:val="00FE6804"/>
    <w:rsid w:val="00FE73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D790E"/>
  <w15:docId w15:val="{77466008-3FB8-4AE8-8037-B94D2E0B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8F4"/>
    <w:pPr>
      <w:spacing w:line="256" w:lineRule="auto"/>
    </w:pPr>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Quote"/>
    <w:link w:val="Style1Char"/>
    <w:qFormat/>
    <w:rsid w:val="00D435FB"/>
    <w:pPr>
      <w:spacing w:line="276" w:lineRule="auto"/>
    </w:pPr>
    <w:rPr>
      <w:b/>
      <w:i w:val="0"/>
      <w:sz w:val="28"/>
      <w:u w:val="single"/>
      <w:lang w:bidi="ar-SA"/>
    </w:rPr>
  </w:style>
  <w:style w:type="character" w:customStyle="1" w:styleId="Style1Char">
    <w:name w:val="Style1 Char"/>
    <w:basedOn w:val="QuoteChar"/>
    <w:link w:val="Style1"/>
    <w:rsid w:val="00D435FB"/>
    <w:rPr>
      <w:b/>
      <w:i w:val="0"/>
      <w:iCs/>
      <w:color w:val="404040" w:themeColor="text1" w:themeTint="BF"/>
      <w:sz w:val="28"/>
      <w:u w:val="single"/>
      <w:lang w:bidi="he-IL"/>
    </w:rPr>
  </w:style>
  <w:style w:type="paragraph" w:styleId="Quote">
    <w:name w:val="Quote"/>
    <w:basedOn w:val="Normal"/>
    <w:next w:val="Normal"/>
    <w:link w:val="QuoteChar"/>
    <w:uiPriority w:val="29"/>
    <w:qFormat/>
    <w:rsid w:val="00D435F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435FB"/>
    <w:rPr>
      <w:i/>
      <w:iCs/>
      <w:color w:val="404040" w:themeColor="text1" w:themeTint="BF"/>
      <w:lang w:bidi="he-IL"/>
    </w:rPr>
  </w:style>
  <w:style w:type="paragraph" w:styleId="ListParagraph">
    <w:name w:val="List Paragraph"/>
    <w:basedOn w:val="Normal"/>
    <w:uiPriority w:val="34"/>
    <w:qFormat/>
    <w:rsid w:val="002878F4"/>
    <w:pPr>
      <w:spacing w:line="254" w:lineRule="auto"/>
      <w:ind w:left="720"/>
      <w:contextualSpacing/>
    </w:pPr>
  </w:style>
  <w:style w:type="paragraph" w:styleId="NormalWeb">
    <w:name w:val="Normal (Web)"/>
    <w:basedOn w:val="Normal"/>
    <w:link w:val="NormalWebChar"/>
    <w:uiPriority w:val="99"/>
    <w:unhideWhenUsed/>
    <w:rsid w:val="003F454A"/>
    <w:pPr>
      <w:spacing w:before="100" w:beforeAutospacing="1" w:after="100" w:afterAutospacing="1" w:line="240" w:lineRule="auto"/>
    </w:pPr>
    <w:rPr>
      <w:rFonts w:ascii="Times New Roman" w:eastAsiaTheme="minorEastAsia" w:hAnsi="Times New Roman" w:cs="Times New Roman"/>
      <w:sz w:val="24"/>
      <w:szCs w:val="24"/>
      <w:lang w:bidi="ar-SA"/>
    </w:rPr>
  </w:style>
  <w:style w:type="character" w:customStyle="1" w:styleId="NormalWebChar">
    <w:name w:val="Normal (Web) Char"/>
    <w:basedOn w:val="DefaultParagraphFont"/>
    <w:link w:val="NormalWeb"/>
    <w:uiPriority w:val="99"/>
    <w:rsid w:val="003F454A"/>
    <w:rPr>
      <w:rFonts w:ascii="Times New Roman" w:eastAsiaTheme="minorEastAsia" w:hAnsi="Times New Roman" w:cs="Times New Roman"/>
      <w:sz w:val="24"/>
      <w:szCs w:val="24"/>
    </w:rPr>
  </w:style>
  <w:style w:type="table" w:styleId="TableGrid">
    <w:name w:val="Table Grid"/>
    <w:basedOn w:val="TableNormal"/>
    <w:uiPriority w:val="39"/>
    <w:rsid w:val="006C2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43511"/>
    <w:rPr>
      <w:color w:val="808080"/>
    </w:rPr>
  </w:style>
  <w:style w:type="paragraph" w:styleId="Header">
    <w:name w:val="header"/>
    <w:basedOn w:val="Normal"/>
    <w:link w:val="HeaderChar"/>
    <w:uiPriority w:val="99"/>
    <w:unhideWhenUsed/>
    <w:rsid w:val="00B36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D69"/>
    <w:rPr>
      <w:lang w:bidi="he-IL"/>
    </w:rPr>
  </w:style>
  <w:style w:type="paragraph" w:styleId="Footer">
    <w:name w:val="footer"/>
    <w:basedOn w:val="Normal"/>
    <w:link w:val="FooterChar"/>
    <w:uiPriority w:val="99"/>
    <w:unhideWhenUsed/>
    <w:rsid w:val="00B36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D69"/>
    <w:rPr>
      <w:lang w:bidi="he-IL"/>
    </w:rPr>
  </w:style>
  <w:style w:type="paragraph" w:styleId="BalloonText">
    <w:name w:val="Balloon Text"/>
    <w:basedOn w:val="Normal"/>
    <w:link w:val="BalloonTextChar"/>
    <w:uiPriority w:val="99"/>
    <w:semiHidden/>
    <w:unhideWhenUsed/>
    <w:rsid w:val="006C1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FFB"/>
    <w:rPr>
      <w:rFonts w:ascii="Tahoma" w:hAnsi="Tahoma" w:cs="Tahoma"/>
      <w:sz w:val="16"/>
      <w:szCs w:val="16"/>
      <w:lang w:bidi="he-IL"/>
    </w:rPr>
  </w:style>
  <w:style w:type="character" w:styleId="CommentReference">
    <w:name w:val="annotation reference"/>
    <w:basedOn w:val="DefaultParagraphFont"/>
    <w:uiPriority w:val="99"/>
    <w:semiHidden/>
    <w:unhideWhenUsed/>
    <w:rsid w:val="001D7AA8"/>
    <w:rPr>
      <w:sz w:val="16"/>
      <w:szCs w:val="16"/>
    </w:rPr>
  </w:style>
  <w:style w:type="paragraph" w:styleId="CommentText">
    <w:name w:val="annotation text"/>
    <w:basedOn w:val="Normal"/>
    <w:link w:val="CommentTextChar"/>
    <w:uiPriority w:val="99"/>
    <w:semiHidden/>
    <w:unhideWhenUsed/>
    <w:rsid w:val="001D7AA8"/>
    <w:pPr>
      <w:spacing w:line="240" w:lineRule="auto"/>
    </w:pPr>
    <w:rPr>
      <w:sz w:val="20"/>
      <w:szCs w:val="20"/>
    </w:rPr>
  </w:style>
  <w:style w:type="character" w:customStyle="1" w:styleId="CommentTextChar">
    <w:name w:val="Comment Text Char"/>
    <w:basedOn w:val="DefaultParagraphFont"/>
    <w:link w:val="CommentText"/>
    <w:uiPriority w:val="99"/>
    <w:semiHidden/>
    <w:rsid w:val="001D7AA8"/>
    <w:rPr>
      <w:sz w:val="20"/>
      <w:szCs w:val="20"/>
      <w:lang w:bidi="he-IL"/>
    </w:rPr>
  </w:style>
  <w:style w:type="paragraph" w:styleId="CommentSubject">
    <w:name w:val="annotation subject"/>
    <w:basedOn w:val="CommentText"/>
    <w:next w:val="CommentText"/>
    <w:link w:val="CommentSubjectChar"/>
    <w:uiPriority w:val="99"/>
    <w:semiHidden/>
    <w:unhideWhenUsed/>
    <w:rsid w:val="001D7AA8"/>
    <w:rPr>
      <w:b/>
      <w:bCs/>
    </w:rPr>
  </w:style>
  <w:style w:type="character" w:customStyle="1" w:styleId="CommentSubjectChar">
    <w:name w:val="Comment Subject Char"/>
    <w:basedOn w:val="CommentTextChar"/>
    <w:link w:val="CommentSubject"/>
    <w:uiPriority w:val="99"/>
    <w:semiHidden/>
    <w:rsid w:val="001D7AA8"/>
    <w:rPr>
      <w:b/>
      <w:bCs/>
      <w:sz w:val="20"/>
      <w:szCs w:val="20"/>
      <w:lang w:bidi="he-IL"/>
    </w:rPr>
  </w:style>
  <w:style w:type="character" w:styleId="Hyperlink">
    <w:name w:val="Hyperlink"/>
    <w:basedOn w:val="DefaultParagraphFont"/>
    <w:uiPriority w:val="99"/>
    <w:unhideWhenUsed/>
    <w:rsid w:val="003C250A"/>
    <w:rPr>
      <w:color w:val="0563C1" w:themeColor="hyperlink"/>
      <w:u w:val="single"/>
    </w:rPr>
  </w:style>
  <w:style w:type="character" w:customStyle="1" w:styleId="UnresolvedMention1">
    <w:name w:val="Unresolved Mention1"/>
    <w:basedOn w:val="DefaultParagraphFont"/>
    <w:uiPriority w:val="99"/>
    <w:semiHidden/>
    <w:unhideWhenUsed/>
    <w:rsid w:val="003C250A"/>
    <w:rPr>
      <w:color w:val="605E5C"/>
      <w:shd w:val="clear" w:color="auto" w:fill="E1DFDD"/>
    </w:rPr>
  </w:style>
  <w:style w:type="character" w:styleId="LineNumber">
    <w:name w:val="line number"/>
    <w:basedOn w:val="DefaultParagraphFont"/>
    <w:uiPriority w:val="99"/>
    <w:semiHidden/>
    <w:unhideWhenUsed/>
    <w:rsid w:val="004D6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117695">
      <w:bodyDiv w:val="1"/>
      <w:marLeft w:val="0"/>
      <w:marRight w:val="0"/>
      <w:marTop w:val="0"/>
      <w:marBottom w:val="0"/>
      <w:divBdr>
        <w:top w:val="none" w:sz="0" w:space="0" w:color="auto"/>
        <w:left w:val="none" w:sz="0" w:space="0" w:color="auto"/>
        <w:bottom w:val="none" w:sz="0" w:space="0" w:color="auto"/>
        <w:right w:val="none" w:sz="0" w:space="0" w:color="auto"/>
      </w:divBdr>
    </w:div>
    <w:div w:id="784157483">
      <w:bodyDiv w:val="1"/>
      <w:marLeft w:val="0"/>
      <w:marRight w:val="0"/>
      <w:marTop w:val="0"/>
      <w:marBottom w:val="0"/>
      <w:divBdr>
        <w:top w:val="none" w:sz="0" w:space="0" w:color="auto"/>
        <w:left w:val="none" w:sz="0" w:space="0" w:color="auto"/>
        <w:bottom w:val="none" w:sz="0" w:space="0" w:color="auto"/>
        <w:right w:val="none" w:sz="0" w:space="0" w:color="auto"/>
      </w:divBdr>
    </w:div>
    <w:div w:id="1000160250">
      <w:bodyDiv w:val="1"/>
      <w:marLeft w:val="0"/>
      <w:marRight w:val="0"/>
      <w:marTop w:val="0"/>
      <w:marBottom w:val="0"/>
      <w:divBdr>
        <w:top w:val="none" w:sz="0" w:space="0" w:color="auto"/>
        <w:left w:val="none" w:sz="0" w:space="0" w:color="auto"/>
        <w:bottom w:val="none" w:sz="0" w:space="0" w:color="auto"/>
        <w:right w:val="none" w:sz="0" w:space="0" w:color="auto"/>
      </w:divBdr>
    </w:div>
    <w:div w:id="1010371791">
      <w:bodyDiv w:val="1"/>
      <w:marLeft w:val="0"/>
      <w:marRight w:val="0"/>
      <w:marTop w:val="0"/>
      <w:marBottom w:val="0"/>
      <w:divBdr>
        <w:top w:val="none" w:sz="0" w:space="0" w:color="auto"/>
        <w:left w:val="none" w:sz="0" w:space="0" w:color="auto"/>
        <w:bottom w:val="none" w:sz="0" w:space="0" w:color="auto"/>
        <w:right w:val="none" w:sz="0" w:space="0" w:color="auto"/>
      </w:divBdr>
    </w:div>
    <w:div w:id="1016268001">
      <w:bodyDiv w:val="1"/>
      <w:marLeft w:val="0"/>
      <w:marRight w:val="0"/>
      <w:marTop w:val="0"/>
      <w:marBottom w:val="0"/>
      <w:divBdr>
        <w:top w:val="none" w:sz="0" w:space="0" w:color="auto"/>
        <w:left w:val="none" w:sz="0" w:space="0" w:color="auto"/>
        <w:bottom w:val="none" w:sz="0" w:space="0" w:color="auto"/>
        <w:right w:val="none" w:sz="0" w:space="0" w:color="auto"/>
      </w:divBdr>
      <w:divsChild>
        <w:div w:id="1029792397">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153259745">
      <w:bodyDiv w:val="1"/>
      <w:marLeft w:val="0"/>
      <w:marRight w:val="0"/>
      <w:marTop w:val="0"/>
      <w:marBottom w:val="0"/>
      <w:divBdr>
        <w:top w:val="none" w:sz="0" w:space="0" w:color="auto"/>
        <w:left w:val="none" w:sz="0" w:space="0" w:color="auto"/>
        <w:bottom w:val="none" w:sz="0" w:space="0" w:color="auto"/>
        <w:right w:val="none" w:sz="0" w:space="0" w:color="auto"/>
      </w:divBdr>
    </w:div>
    <w:div w:id="1700736034">
      <w:bodyDiv w:val="1"/>
      <w:marLeft w:val="0"/>
      <w:marRight w:val="0"/>
      <w:marTop w:val="0"/>
      <w:marBottom w:val="0"/>
      <w:divBdr>
        <w:top w:val="none" w:sz="0" w:space="0" w:color="auto"/>
        <w:left w:val="none" w:sz="0" w:space="0" w:color="auto"/>
        <w:bottom w:val="none" w:sz="0" w:space="0" w:color="auto"/>
        <w:right w:val="none" w:sz="0" w:space="0" w:color="auto"/>
      </w:divBdr>
      <w:divsChild>
        <w:div w:id="1909072572">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759208029">
      <w:bodyDiv w:val="1"/>
      <w:marLeft w:val="0"/>
      <w:marRight w:val="0"/>
      <w:marTop w:val="0"/>
      <w:marBottom w:val="0"/>
      <w:divBdr>
        <w:top w:val="none" w:sz="0" w:space="0" w:color="auto"/>
        <w:left w:val="none" w:sz="0" w:space="0" w:color="auto"/>
        <w:bottom w:val="none" w:sz="0" w:space="0" w:color="auto"/>
        <w:right w:val="none" w:sz="0" w:space="0" w:color="auto"/>
      </w:divBdr>
    </w:div>
    <w:div w:id="1880243183">
      <w:bodyDiv w:val="1"/>
      <w:marLeft w:val="0"/>
      <w:marRight w:val="0"/>
      <w:marTop w:val="0"/>
      <w:marBottom w:val="0"/>
      <w:divBdr>
        <w:top w:val="none" w:sz="0" w:space="0" w:color="auto"/>
        <w:left w:val="none" w:sz="0" w:space="0" w:color="auto"/>
        <w:bottom w:val="none" w:sz="0" w:space="0" w:color="auto"/>
        <w:right w:val="none" w:sz="0" w:space="0" w:color="auto"/>
      </w:divBdr>
      <w:divsChild>
        <w:div w:id="1558206057">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96696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yword xmlns="44a56295-c29e-4898-8136-a54736c65b82" xsi:nil="true"/>
    <Descriptions xmlns="44a56295-c29e-4898-8136-a54736c65b8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F966A8C454CB49996DE2125369DAE0" ma:contentTypeVersion="9" ma:contentTypeDescription="Create a new document." ma:contentTypeScope="" ma:versionID="1046bb415b3e1181d5f6aff282b4ae5b">
  <xsd:schema xmlns:xsd="http://www.w3.org/2001/XMLSchema" xmlns:xs="http://www.w3.org/2001/XMLSchema" xmlns:p="http://schemas.microsoft.com/office/2006/metadata/properties" xmlns:ns3="44a56295-c29e-4898-8136-a54736c65b82" xmlns:ns4="36694fc1-1beb-4991-986d-d4537278363d" targetNamespace="http://schemas.microsoft.com/office/2006/metadata/properties" ma:root="true" ma:fieldsID="66b5937b12a5f67993b23af224d18a7a" ns3:_="" ns4:_="">
    <xsd:import namespace="44a56295-c29e-4898-8136-a54736c65b82"/>
    <xsd:import namespace="36694fc1-1beb-4991-986d-d4537278363d"/>
    <xsd:element name="properties">
      <xsd:complexType>
        <xsd:sequence>
          <xsd:element name="documentManagement">
            <xsd:complexType>
              <xsd:all>
                <xsd:element ref="ns3:Descriptions" minOccurs="0"/>
                <xsd:element ref="ns3:Keyword" minOccurs="0"/>
                <xsd:element ref="ns4:MediaServiceAutoTags" minOccurs="0"/>
                <xsd:element ref="ns4:MediaServiceDateTaken" minOccurs="0"/>
                <xsd:element ref="ns4:MediaServiceOCR" minOccurs="0"/>
                <xsd:element ref="ns4:MediaServiceMetadata" minOccurs="0"/>
                <xsd:element ref="ns4:MediaServiceFastMetadata"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56295-c29e-4898-8136-a54736c65b82" elementFormDefault="qualified">
    <xsd:import namespace="http://schemas.microsoft.com/office/2006/documentManagement/types"/>
    <xsd:import namespace="http://schemas.microsoft.com/office/infopath/2007/PartnerControls"/>
    <xsd:element name="Descriptions" ma:index="8" nillable="true" ma:displayName="Descriptions" ma:description="Describe your document to make it appear at the top of search results" ma:internalName="Descriptions">
      <xsd:simpleType>
        <xsd:restriction base="dms:Note">
          <xsd:maxLength value="255"/>
        </xsd:restriction>
      </xsd:simpleType>
    </xsd:element>
    <xsd:element name="Keyword" ma:index="9" nillable="true" ma:displayName="Keyword" ma:description="Enter list of terms separated by semi-colon(;)" ma:internalName="Key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694fc1-1beb-4991-986d-d4537278363d" elementFormDefault="qualified">
    <xsd:import namespace="http://schemas.microsoft.com/office/2006/documentManagement/types"/>
    <xsd:import namespace="http://schemas.microsoft.com/office/infopath/2007/PartnerControls"/>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ee89e71-04cd-405e-9ca3-99e020c1694d"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23833-CA30-45D2-9FA7-70571833F8C4}">
  <ds:schemaRefs>
    <ds:schemaRef ds:uri="http://schemas.microsoft.com/sharepoint/v3/contenttype/forms"/>
  </ds:schemaRefs>
</ds:datastoreItem>
</file>

<file path=customXml/itemProps2.xml><?xml version="1.0" encoding="utf-8"?>
<ds:datastoreItem xmlns:ds="http://schemas.openxmlformats.org/officeDocument/2006/customXml" ds:itemID="{522005A5-9F9E-4674-8913-921BAEEF1D23}">
  <ds:schemaRefs>
    <ds:schemaRef ds:uri="http://schemas.microsoft.com/office/2006/metadata/properties"/>
    <ds:schemaRef ds:uri="http://schemas.microsoft.com/office/infopath/2007/PartnerControls"/>
    <ds:schemaRef ds:uri="44a56295-c29e-4898-8136-a54736c65b82"/>
  </ds:schemaRefs>
</ds:datastoreItem>
</file>

<file path=customXml/itemProps3.xml><?xml version="1.0" encoding="utf-8"?>
<ds:datastoreItem xmlns:ds="http://schemas.openxmlformats.org/officeDocument/2006/customXml" ds:itemID="{D32DDCC6-140F-40B1-A454-A836A834F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56295-c29e-4898-8136-a54736c65b82"/>
    <ds:schemaRef ds:uri="36694fc1-1beb-4991-986d-d45372783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97E8DB-C86C-4C2B-9D8D-F518E4ECF3BF}">
  <ds:schemaRefs>
    <ds:schemaRef ds:uri="Microsoft.SharePoint.Taxonomy.ContentTypeSync"/>
  </ds:schemaRefs>
</ds:datastoreItem>
</file>

<file path=customXml/itemProps5.xml><?xml version="1.0" encoding="utf-8"?>
<ds:datastoreItem xmlns:ds="http://schemas.openxmlformats.org/officeDocument/2006/customXml" ds:itemID="{F69575B4-334B-4CE8-B4E9-4E967CEB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23</Pages>
  <Words>6060</Words>
  <Characters>34548</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Avivit Cahn</dc:creator>
  <cp:keywords/>
  <dc:description/>
  <cp:lastModifiedBy>Wilding, John</cp:lastModifiedBy>
  <cp:revision>25</cp:revision>
  <dcterms:created xsi:type="dcterms:W3CDTF">2020-09-29T09:19:00Z</dcterms:created>
  <dcterms:modified xsi:type="dcterms:W3CDTF">2021-03-22T11:40:00Z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0x0101004BF966A8C454CB49996DE2125369DAE0</vt:lpwstr>
  </property>
</Properties>
</file>