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DAF5" w14:textId="1DB810B4" w:rsidR="001B1FA1" w:rsidRDefault="001B1FA1">
      <w:r>
        <w:rPr>
          <w:b/>
          <w:bCs/>
        </w:rPr>
        <w:t xml:space="preserve">Title: </w:t>
      </w:r>
      <w:bookmarkStart w:id="0" w:name="_Hlk62477985"/>
      <w:bookmarkStart w:id="1" w:name="_Hlk64904194"/>
      <w:r w:rsidR="00CC6111">
        <w:t>Paediatric Emergency Department dog bite attendance during the COVID-19 pandemic: an audit</w:t>
      </w:r>
      <w:r w:rsidR="00537C02">
        <w:t xml:space="preserve"> </w:t>
      </w:r>
      <w:bookmarkEnd w:id="0"/>
      <w:r w:rsidR="00E61C55">
        <w:t>at a tertiary children’s hospital</w:t>
      </w:r>
      <w:bookmarkEnd w:id="1"/>
    </w:p>
    <w:p w14:paraId="620EC5CA" w14:textId="214AE66E" w:rsidR="00877FF1" w:rsidRDefault="00877FF1">
      <w:pPr>
        <w:rPr>
          <w:b/>
        </w:rPr>
      </w:pPr>
      <w:r>
        <w:rPr>
          <w:b/>
        </w:rPr>
        <w:t>Authors</w:t>
      </w:r>
    </w:p>
    <w:p w14:paraId="6BC6C5B9" w14:textId="7C3D8078" w:rsidR="00877FF1" w:rsidRPr="001B1FA1" w:rsidRDefault="00AB6CEF">
      <w:pPr>
        <w:rPr>
          <w:vertAlign w:val="superscript"/>
        </w:rPr>
      </w:pPr>
      <w:r>
        <w:t>*</w:t>
      </w:r>
      <w:r w:rsidR="00877FF1">
        <w:t>J</w:t>
      </w:r>
      <w:r w:rsidR="001B1FA1">
        <w:t xml:space="preserve">ohn SP </w:t>
      </w:r>
      <w:r w:rsidR="00877FF1">
        <w:t>Tulloch</w:t>
      </w:r>
      <w:r w:rsidR="001B1FA1">
        <w:t xml:space="preserve"> </w:t>
      </w:r>
      <w:r w:rsidR="001B1FA1">
        <w:rPr>
          <w:vertAlign w:val="superscript"/>
        </w:rPr>
        <w:t>1</w:t>
      </w:r>
    </w:p>
    <w:p w14:paraId="5C1B7E1A" w14:textId="39436306" w:rsidR="003E5468" w:rsidRPr="00130E8C" w:rsidRDefault="003E5468">
      <w:pPr>
        <w:rPr>
          <w:vertAlign w:val="superscript"/>
        </w:rPr>
      </w:pPr>
      <w:r>
        <w:t>S</w:t>
      </w:r>
      <w:r w:rsidR="001B1FA1">
        <w:t>imon</w:t>
      </w:r>
      <w:r>
        <w:t xml:space="preserve"> Minford</w:t>
      </w:r>
      <w:r w:rsidR="00130E8C">
        <w:t xml:space="preserve"> </w:t>
      </w:r>
      <w:r w:rsidR="00130E8C">
        <w:rPr>
          <w:vertAlign w:val="superscript"/>
        </w:rPr>
        <w:t>2</w:t>
      </w:r>
    </w:p>
    <w:p w14:paraId="439C4743" w14:textId="56B5654C" w:rsidR="00877FF1" w:rsidRPr="00130E8C" w:rsidRDefault="00877FF1">
      <w:pPr>
        <w:rPr>
          <w:vertAlign w:val="superscript"/>
        </w:rPr>
      </w:pPr>
      <w:r>
        <w:t>V</w:t>
      </w:r>
      <w:r w:rsidR="001B1FA1">
        <w:t xml:space="preserve">icky </w:t>
      </w:r>
      <w:proofErr w:type="spellStart"/>
      <w:r>
        <w:t>Pimblett</w:t>
      </w:r>
      <w:proofErr w:type="spellEnd"/>
      <w:r w:rsidR="00130E8C">
        <w:t xml:space="preserve"> </w:t>
      </w:r>
      <w:r w:rsidR="00772388">
        <w:rPr>
          <w:vertAlign w:val="superscript"/>
        </w:rPr>
        <w:t>2</w:t>
      </w:r>
    </w:p>
    <w:p w14:paraId="5D66B552" w14:textId="3A4E1AA9" w:rsidR="00877FF1" w:rsidRPr="00130E8C" w:rsidRDefault="00877FF1">
      <w:pPr>
        <w:rPr>
          <w:vertAlign w:val="superscript"/>
        </w:rPr>
      </w:pPr>
      <w:r>
        <w:t>M</w:t>
      </w:r>
      <w:r w:rsidR="001B1FA1">
        <w:t xml:space="preserve">att </w:t>
      </w:r>
      <w:proofErr w:type="spellStart"/>
      <w:r>
        <w:t>Rotheram</w:t>
      </w:r>
      <w:proofErr w:type="spellEnd"/>
      <w:r w:rsidR="00130E8C">
        <w:t xml:space="preserve"> </w:t>
      </w:r>
      <w:r w:rsidR="00130E8C">
        <w:rPr>
          <w:vertAlign w:val="superscript"/>
        </w:rPr>
        <w:t>3</w:t>
      </w:r>
    </w:p>
    <w:p w14:paraId="157AB7C3" w14:textId="463E1B71" w:rsidR="00AB6CEF" w:rsidRPr="00AB6CEF" w:rsidRDefault="00AB6CEF">
      <w:r>
        <w:t xml:space="preserve">Robert M Christley </w:t>
      </w:r>
      <w:r>
        <w:rPr>
          <w:vertAlign w:val="superscript"/>
        </w:rPr>
        <w:t>4</w:t>
      </w:r>
      <w:r w:rsidR="00DA6373">
        <w:rPr>
          <w:vertAlign w:val="superscript"/>
        </w:rPr>
        <w:t>,1</w:t>
      </w:r>
    </w:p>
    <w:p w14:paraId="646563EE" w14:textId="6BA78A8A" w:rsidR="00251908" w:rsidRPr="001B1FA1" w:rsidRDefault="00877FF1">
      <w:pPr>
        <w:rPr>
          <w:vertAlign w:val="superscript"/>
        </w:rPr>
      </w:pPr>
      <w:r>
        <w:t>C</w:t>
      </w:r>
      <w:r w:rsidR="001B1FA1">
        <w:t xml:space="preserve">arri </w:t>
      </w:r>
      <w:r>
        <w:t>Westgarth</w:t>
      </w:r>
      <w:r w:rsidR="001B1FA1">
        <w:t xml:space="preserve"> </w:t>
      </w:r>
      <w:r w:rsidR="001B1FA1">
        <w:rPr>
          <w:vertAlign w:val="superscript"/>
        </w:rPr>
        <w:t>1</w:t>
      </w:r>
    </w:p>
    <w:p w14:paraId="34B26306" w14:textId="22361BBC" w:rsidR="001B1FA1" w:rsidRDefault="001B1FA1">
      <w:pPr>
        <w:rPr>
          <w:b/>
          <w:bCs/>
        </w:rPr>
      </w:pPr>
      <w:r>
        <w:rPr>
          <w:b/>
          <w:bCs/>
        </w:rPr>
        <w:t>Affiliations</w:t>
      </w:r>
    </w:p>
    <w:p w14:paraId="61A071D2" w14:textId="4DE073B8" w:rsidR="001B1FA1" w:rsidRPr="00AB6CEF" w:rsidRDefault="001B1FA1" w:rsidP="001B1FA1">
      <w:pPr>
        <w:pStyle w:val="Default"/>
        <w:numPr>
          <w:ilvl w:val="0"/>
          <w:numId w:val="5"/>
        </w:numPr>
        <w:rPr>
          <w:sz w:val="22"/>
          <w:szCs w:val="22"/>
        </w:rPr>
      </w:pPr>
      <w:r w:rsidRPr="00AB6CEF">
        <w:rPr>
          <w:sz w:val="22"/>
          <w:szCs w:val="22"/>
        </w:rPr>
        <w:t xml:space="preserve">Institute of Infection, Veterinary and Ecological Sciences, University of Liverpool, CH64 7TE, UK </w:t>
      </w:r>
    </w:p>
    <w:p w14:paraId="31294BB3" w14:textId="63FBF017" w:rsidR="001B1FA1" w:rsidRPr="00AB6CEF" w:rsidRDefault="00C2202D" w:rsidP="001B1FA1">
      <w:pPr>
        <w:pStyle w:val="Default"/>
        <w:numPr>
          <w:ilvl w:val="0"/>
          <w:numId w:val="5"/>
        </w:numPr>
        <w:rPr>
          <w:sz w:val="22"/>
          <w:szCs w:val="22"/>
        </w:rPr>
      </w:pPr>
      <w:r w:rsidRPr="00AB6CEF">
        <w:rPr>
          <w:sz w:val="22"/>
          <w:szCs w:val="22"/>
        </w:rPr>
        <w:t>Department of Plastic Surgery, Alder Hey Children’s NHS Foundation Trust</w:t>
      </w:r>
      <w:r w:rsidR="00AB6CEF">
        <w:rPr>
          <w:sz w:val="22"/>
          <w:szCs w:val="22"/>
        </w:rPr>
        <w:t>, L14 5AB, UK</w:t>
      </w:r>
    </w:p>
    <w:p w14:paraId="04C527AD" w14:textId="5917AC65" w:rsidR="001B1FA1" w:rsidRPr="00AB6CEF" w:rsidRDefault="00C2202D" w:rsidP="001B1FA1">
      <w:pPr>
        <w:pStyle w:val="Default"/>
        <w:numPr>
          <w:ilvl w:val="0"/>
          <w:numId w:val="5"/>
        </w:numPr>
        <w:rPr>
          <w:sz w:val="22"/>
          <w:szCs w:val="22"/>
        </w:rPr>
      </w:pPr>
      <w:r w:rsidRPr="00AB6CEF">
        <w:rPr>
          <w:sz w:val="22"/>
          <w:szCs w:val="22"/>
        </w:rPr>
        <w:t>Emergency Department, Alder Hey Children’s NHS Foundation Trust</w:t>
      </w:r>
      <w:r w:rsidR="00AB6CEF">
        <w:rPr>
          <w:sz w:val="22"/>
          <w:szCs w:val="22"/>
        </w:rPr>
        <w:t>, L14 5AB, UK</w:t>
      </w:r>
    </w:p>
    <w:p w14:paraId="7B5276EB" w14:textId="318D1D07" w:rsidR="00AB6CEF" w:rsidRPr="00AB6CEF" w:rsidRDefault="00AB6CEF" w:rsidP="001B1FA1">
      <w:pPr>
        <w:pStyle w:val="Default"/>
        <w:numPr>
          <w:ilvl w:val="0"/>
          <w:numId w:val="5"/>
        </w:numPr>
        <w:rPr>
          <w:sz w:val="22"/>
          <w:szCs w:val="22"/>
        </w:rPr>
      </w:pPr>
      <w:r w:rsidRPr="00AB6CEF">
        <w:rPr>
          <w:sz w:val="22"/>
          <w:szCs w:val="22"/>
        </w:rPr>
        <w:t>Dogs Trust, London, EC1V 7RQ, UK</w:t>
      </w:r>
    </w:p>
    <w:p w14:paraId="0C4A7E29" w14:textId="35FF8C16" w:rsidR="002759CE" w:rsidRPr="00877FF1" w:rsidRDefault="002759CE"/>
    <w:p w14:paraId="49A8058B" w14:textId="32237B8D" w:rsidR="00130E8C" w:rsidRDefault="00AB6CEF" w:rsidP="00AB6CEF">
      <w:pPr>
        <w:rPr>
          <w:bCs/>
        </w:rPr>
      </w:pPr>
      <w:r>
        <w:rPr>
          <w:b/>
        </w:rPr>
        <w:t xml:space="preserve">*Corresponding Author: </w:t>
      </w:r>
      <w:hyperlink r:id="rId6" w:history="1">
        <w:r w:rsidR="006C219E" w:rsidRPr="00E759F2">
          <w:rPr>
            <w:rStyle w:val="Hyperlink"/>
            <w:bCs/>
          </w:rPr>
          <w:t>jtulloch@liverpool.ac.uk</w:t>
        </w:r>
      </w:hyperlink>
    </w:p>
    <w:p w14:paraId="0983D459" w14:textId="5C5295DB" w:rsidR="006C219E" w:rsidRPr="00AB6CEF" w:rsidRDefault="006C219E" w:rsidP="006C219E">
      <w:pPr>
        <w:pStyle w:val="Default"/>
        <w:rPr>
          <w:sz w:val="22"/>
          <w:szCs w:val="22"/>
        </w:rPr>
      </w:pPr>
      <w:r>
        <w:rPr>
          <w:sz w:val="22"/>
          <w:szCs w:val="22"/>
        </w:rPr>
        <w:t xml:space="preserve">Department of Livestock and One Health, </w:t>
      </w:r>
      <w:r w:rsidRPr="00AB6CEF">
        <w:rPr>
          <w:sz w:val="22"/>
          <w:szCs w:val="22"/>
        </w:rPr>
        <w:t>Institute of Infection, Veterinary and Ecological Sciences</w:t>
      </w:r>
      <w:r>
        <w:rPr>
          <w:sz w:val="22"/>
          <w:szCs w:val="22"/>
        </w:rPr>
        <w:t xml:space="preserve">, </w:t>
      </w:r>
      <w:proofErr w:type="spellStart"/>
      <w:r>
        <w:rPr>
          <w:sz w:val="22"/>
          <w:szCs w:val="22"/>
        </w:rPr>
        <w:t>Leahurst</w:t>
      </w:r>
      <w:proofErr w:type="spellEnd"/>
      <w:r>
        <w:rPr>
          <w:sz w:val="22"/>
          <w:szCs w:val="22"/>
        </w:rPr>
        <w:t xml:space="preserve"> Campus</w:t>
      </w:r>
      <w:r w:rsidRPr="00AB6CEF">
        <w:rPr>
          <w:sz w:val="22"/>
          <w:szCs w:val="22"/>
        </w:rPr>
        <w:t xml:space="preserve">, University of Liverpool, </w:t>
      </w:r>
      <w:r>
        <w:rPr>
          <w:sz w:val="22"/>
          <w:szCs w:val="22"/>
        </w:rPr>
        <w:t xml:space="preserve">Chester High Road, Wirral, </w:t>
      </w:r>
      <w:r w:rsidRPr="00AB6CEF">
        <w:rPr>
          <w:sz w:val="22"/>
          <w:szCs w:val="22"/>
        </w:rPr>
        <w:t xml:space="preserve">CH64 7TE, UK </w:t>
      </w:r>
    </w:p>
    <w:p w14:paraId="16479AB4" w14:textId="674BC6ED" w:rsidR="006C219E" w:rsidRDefault="006C219E" w:rsidP="00AB6CEF">
      <w:pPr>
        <w:rPr>
          <w:bCs/>
        </w:rPr>
      </w:pPr>
    </w:p>
    <w:p w14:paraId="611B602A" w14:textId="1FA1A6FA" w:rsidR="006C219E" w:rsidRPr="006C219E" w:rsidRDefault="006C219E" w:rsidP="00AB6CEF">
      <w:pPr>
        <w:rPr>
          <w:b/>
        </w:rPr>
      </w:pPr>
      <w:r w:rsidRPr="0050325F">
        <w:rPr>
          <w:b/>
        </w:rPr>
        <w:t>Word Count</w:t>
      </w:r>
      <w:r w:rsidRPr="0050325F">
        <w:rPr>
          <w:bCs/>
        </w:rPr>
        <w:t>:</w:t>
      </w:r>
      <w:r w:rsidR="0050325F" w:rsidRPr="0050325F">
        <w:rPr>
          <w:bCs/>
        </w:rPr>
        <w:t xml:space="preserve"> 243</w:t>
      </w:r>
      <w:r w:rsidR="00317EAA">
        <w:rPr>
          <w:bCs/>
        </w:rPr>
        <w:t>8</w:t>
      </w:r>
    </w:p>
    <w:p w14:paraId="250F5978" w14:textId="3B6612D9" w:rsidR="006C219E" w:rsidRPr="00AB6CEF" w:rsidRDefault="006C219E" w:rsidP="00AB6CEF">
      <w:pPr>
        <w:rPr>
          <w:b/>
        </w:rPr>
      </w:pPr>
      <w:r>
        <w:rPr>
          <w:b/>
        </w:rPr>
        <w:t xml:space="preserve">Key Words: </w:t>
      </w:r>
      <w:r w:rsidRPr="006C219E">
        <w:rPr>
          <w:bCs/>
        </w:rPr>
        <w:t>Dog bites, paediatrics, emergency medicine, emergency department, COVID-19, public health, UK</w:t>
      </w:r>
    </w:p>
    <w:p w14:paraId="11709BCC" w14:textId="77777777" w:rsidR="00130E8C" w:rsidRDefault="00130E8C">
      <w:pPr>
        <w:rPr>
          <w:b/>
        </w:rPr>
      </w:pPr>
    </w:p>
    <w:p w14:paraId="60288232" w14:textId="77777777" w:rsidR="00130E8C" w:rsidRDefault="00130E8C">
      <w:pPr>
        <w:rPr>
          <w:b/>
        </w:rPr>
      </w:pPr>
    </w:p>
    <w:p w14:paraId="5E82286D" w14:textId="77777777" w:rsidR="00130E8C" w:rsidRDefault="00130E8C">
      <w:pPr>
        <w:rPr>
          <w:b/>
        </w:rPr>
      </w:pPr>
    </w:p>
    <w:p w14:paraId="718CE5C4" w14:textId="77777777" w:rsidR="00130E8C" w:rsidRDefault="00130E8C">
      <w:pPr>
        <w:rPr>
          <w:b/>
        </w:rPr>
      </w:pPr>
    </w:p>
    <w:p w14:paraId="482C9B7B" w14:textId="77777777" w:rsidR="00130E8C" w:rsidRDefault="00130E8C">
      <w:pPr>
        <w:rPr>
          <w:b/>
        </w:rPr>
      </w:pPr>
    </w:p>
    <w:p w14:paraId="58D39F27" w14:textId="77777777" w:rsidR="00130E8C" w:rsidRDefault="00130E8C">
      <w:pPr>
        <w:rPr>
          <w:b/>
        </w:rPr>
      </w:pPr>
    </w:p>
    <w:p w14:paraId="53C01489" w14:textId="77777777" w:rsidR="00130E8C" w:rsidRDefault="00130E8C">
      <w:pPr>
        <w:rPr>
          <w:b/>
        </w:rPr>
      </w:pPr>
    </w:p>
    <w:p w14:paraId="670A65AB" w14:textId="77777777" w:rsidR="00130E8C" w:rsidRDefault="00130E8C">
      <w:pPr>
        <w:rPr>
          <w:b/>
        </w:rPr>
      </w:pPr>
    </w:p>
    <w:p w14:paraId="2228B400" w14:textId="77777777" w:rsidR="00130E8C" w:rsidRDefault="00130E8C">
      <w:pPr>
        <w:rPr>
          <w:b/>
        </w:rPr>
      </w:pPr>
    </w:p>
    <w:p w14:paraId="7DCB221B" w14:textId="77777777" w:rsidR="00130E8C" w:rsidRDefault="00130E8C">
      <w:pPr>
        <w:rPr>
          <w:b/>
        </w:rPr>
      </w:pPr>
    </w:p>
    <w:p w14:paraId="6FED100F" w14:textId="77777777" w:rsidR="00130E8C" w:rsidRDefault="00130E8C">
      <w:pPr>
        <w:rPr>
          <w:b/>
        </w:rPr>
      </w:pPr>
    </w:p>
    <w:p w14:paraId="66A8F906" w14:textId="779A2792" w:rsidR="00877FF1" w:rsidRDefault="00877FF1">
      <w:pPr>
        <w:rPr>
          <w:b/>
        </w:rPr>
      </w:pPr>
      <w:r>
        <w:rPr>
          <w:b/>
        </w:rPr>
        <w:lastRenderedPageBreak/>
        <w:t>Abstract</w:t>
      </w:r>
      <w:r w:rsidR="002759CE">
        <w:rPr>
          <w:b/>
        </w:rPr>
        <w:t xml:space="preserve"> </w:t>
      </w:r>
    </w:p>
    <w:p w14:paraId="35BDDD98" w14:textId="2C49C981" w:rsidR="002759CE" w:rsidRDefault="002759CE" w:rsidP="004A42E4">
      <w:pPr>
        <w:spacing w:line="360" w:lineRule="auto"/>
        <w:jc w:val="both"/>
        <w:rPr>
          <w:b/>
        </w:rPr>
      </w:pPr>
      <w:r>
        <w:rPr>
          <w:b/>
        </w:rPr>
        <w:t>Backg</w:t>
      </w:r>
      <w:r w:rsidR="006A7986">
        <w:rPr>
          <w:b/>
        </w:rPr>
        <w:t>round</w:t>
      </w:r>
    </w:p>
    <w:p w14:paraId="29B0EFF1" w14:textId="3384196B" w:rsidR="007A3913" w:rsidRPr="007A3913" w:rsidRDefault="00DA6373" w:rsidP="004A42E4">
      <w:pPr>
        <w:spacing w:line="360" w:lineRule="auto"/>
        <w:jc w:val="both"/>
        <w:rPr>
          <w:bCs/>
        </w:rPr>
      </w:pPr>
      <w:r>
        <w:rPr>
          <w:bCs/>
        </w:rPr>
        <w:t xml:space="preserve">Responses to the </w:t>
      </w:r>
      <w:r w:rsidR="007A3913">
        <w:rPr>
          <w:bCs/>
        </w:rPr>
        <w:t xml:space="preserve">COVID-19 pandemic </w:t>
      </w:r>
      <w:r>
        <w:rPr>
          <w:bCs/>
        </w:rPr>
        <w:t>include</w:t>
      </w:r>
      <w:r w:rsidR="007A3913">
        <w:rPr>
          <w:bCs/>
        </w:rPr>
        <w:t xml:space="preserve"> strict public health measures, such as national lockdowns. During these measures paediatric emergency department attendance</w:t>
      </w:r>
      <w:r w:rsidR="000C5D62">
        <w:rPr>
          <w:bCs/>
        </w:rPr>
        <w:t>s</w:t>
      </w:r>
      <w:r w:rsidR="007A3913">
        <w:rPr>
          <w:bCs/>
        </w:rPr>
        <w:t xml:space="preserve"> have declined and the prevalence of presenting complaints has changed. </w:t>
      </w:r>
      <w:r>
        <w:rPr>
          <w:bCs/>
        </w:rPr>
        <w:t>This</w:t>
      </w:r>
      <w:r w:rsidR="007A3913">
        <w:rPr>
          <w:bCs/>
        </w:rPr>
        <w:t xml:space="preserve"> study </w:t>
      </w:r>
      <w:r>
        <w:rPr>
          <w:bCs/>
        </w:rPr>
        <w:t>sought</w:t>
      </w:r>
      <w:r w:rsidR="007A3913">
        <w:rPr>
          <w:bCs/>
        </w:rPr>
        <w:t xml:space="preserve"> to identify whether dog bite attendance </w:t>
      </w:r>
      <w:r w:rsidR="000B7D12">
        <w:rPr>
          <w:bCs/>
        </w:rPr>
        <w:t xml:space="preserve">and victim demographics </w:t>
      </w:r>
      <w:r w:rsidR="007A3913">
        <w:rPr>
          <w:bCs/>
        </w:rPr>
        <w:t>changed</w:t>
      </w:r>
      <w:r w:rsidR="00C07567">
        <w:rPr>
          <w:bCs/>
        </w:rPr>
        <w:t xml:space="preserve"> during COVID-19 public health measures</w:t>
      </w:r>
      <w:r w:rsidR="000B7D12">
        <w:rPr>
          <w:bCs/>
        </w:rPr>
        <w:t>.</w:t>
      </w:r>
      <w:r w:rsidR="007A3913">
        <w:rPr>
          <w:bCs/>
        </w:rPr>
        <w:t xml:space="preserve"> </w:t>
      </w:r>
    </w:p>
    <w:p w14:paraId="3161AF39" w14:textId="20109FF8" w:rsidR="002759CE" w:rsidRDefault="002759CE" w:rsidP="004A42E4">
      <w:pPr>
        <w:spacing w:line="360" w:lineRule="auto"/>
        <w:jc w:val="both"/>
        <w:rPr>
          <w:b/>
        </w:rPr>
      </w:pPr>
      <w:r>
        <w:rPr>
          <w:b/>
        </w:rPr>
        <w:t>Methods</w:t>
      </w:r>
    </w:p>
    <w:p w14:paraId="6ED4DFBD" w14:textId="0E6F93D6" w:rsidR="00EC6523" w:rsidRPr="00EC6523" w:rsidRDefault="00EC6523" w:rsidP="004A42E4">
      <w:pPr>
        <w:spacing w:line="360" w:lineRule="auto"/>
        <w:jc w:val="both"/>
        <w:rPr>
          <w:bCs/>
        </w:rPr>
      </w:pPr>
      <w:r>
        <w:rPr>
          <w:bCs/>
        </w:rPr>
        <w:t xml:space="preserve">An audit </w:t>
      </w:r>
      <w:r w:rsidR="00DA6373">
        <w:rPr>
          <w:bCs/>
        </w:rPr>
        <w:t xml:space="preserve">was conducted </w:t>
      </w:r>
      <w:r>
        <w:rPr>
          <w:bCs/>
        </w:rPr>
        <w:t xml:space="preserve">of </w:t>
      </w:r>
      <w:r w:rsidR="004A42E4">
        <w:rPr>
          <w:bCs/>
        </w:rPr>
        <w:t xml:space="preserve">emergency department attendance data from a United Kingdom tertiary paediatric hospital between January 2016 and September 2020. </w:t>
      </w:r>
      <w:r w:rsidR="00F51DEA">
        <w:rPr>
          <w:bCs/>
        </w:rPr>
        <w:t>Dog bite attendance</w:t>
      </w:r>
      <w:r w:rsidR="00DA6373">
        <w:rPr>
          <w:bCs/>
        </w:rPr>
        <w:t xml:space="preserve"> </w:t>
      </w:r>
      <w:r w:rsidR="00976BC5">
        <w:rPr>
          <w:bCs/>
        </w:rPr>
        <w:t xml:space="preserve">and </w:t>
      </w:r>
      <w:r w:rsidR="00F02258">
        <w:rPr>
          <w:bCs/>
        </w:rPr>
        <w:t xml:space="preserve">victim </w:t>
      </w:r>
      <w:r w:rsidR="00976BC5">
        <w:rPr>
          <w:bCs/>
        </w:rPr>
        <w:t>demographics were explored using Chi</w:t>
      </w:r>
      <w:r w:rsidR="00F02258" w:rsidRPr="00F02258">
        <w:rPr>
          <w:bCs/>
          <w:vertAlign w:val="superscript"/>
        </w:rPr>
        <w:t>2</w:t>
      </w:r>
      <w:r w:rsidR="00F02258">
        <w:rPr>
          <w:bCs/>
        </w:rPr>
        <w:t xml:space="preserve"> tests</w:t>
      </w:r>
      <w:r w:rsidR="000C5D62">
        <w:rPr>
          <w:bCs/>
        </w:rPr>
        <w:t>,</w:t>
      </w:r>
      <w:r w:rsidR="00F02258">
        <w:rPr>
          <w:bCs/>
        </w:rPr>
        <w:t xml:space="preserve"> and m</w:t>
      </w:r>
      <w:r w:rsidR="004A42E4" w:rsidRPr="00F02258">
        <w:rPr>
          <w:bCs/>
        </w:rPr>
        <w:t>ultivariable</w:t>
      </w:r>
      <w:r w:rsidR="004A42E4">
        <w:rPr>
          <w:bCs/>
        </w:rPr>
        <w:t xml:space="preserve"> Poisson</w:t>
      </w:r>
      <w:r w:rsidR="00DA6373">
        <w:rPr>
          <w:bCs/>
        </w:rPr>
        <w:t xml:space="preserve"> regression</w:t>
      </w:r>
      <w:r w:rsidR="00F02258">
        <w:rPr>
          <w:bCs/>
        </w:rPr>
        <w:t>.</w:t>
      </w:r>
      <w:r w:rsidR="00DA6373">
        <w:rPr>
          <w:bCs/>
        </w:rPr>
        <w:t xml:space="preserve"> </w:t>
      </w:r>
      <w:r w:rsidR="00F51DEA">
        <w:rPr>
          <w:bCs/>
        </w:rPr>
        <w:t>The mean m</w:t>
      </w:r>
      <w:r w:rsidR="00DA6373">
        <w:rPr>
          <w:bCs/>
        </w:rPr>
        <w:t>onthly</w:t>
      </w:r>
      <w:r w:rsidR="00F51DEA">
        <w:rPr>
          <w:bCs/>
        </w:rPr>
        <w:t xml:space="preserve"> percentage of attendance due to dog bites</w:t>
      </w:r>
      <w:r w:rsidR="00DA6373">
        <w:rPr>
          <w:bCs/>
        </w:rPr>
        <w:t xml:space="preserve"> in 2020 were compared against predicted </w:t>
      </w:r>
      <w:r w:rsidR="00F51DEA">
        <w:rPr>
          <w:bCs/>
        </w:rPr>
        <w:t>percentages</w:t>
      </w:r>
      <w:r w:rsidR="00DA6373">
        <w:rPr>
          <w:bCs/>
        </w:rPr>
        <w:t xml:space="preserve"> based on previous years data</w:t>
      </w:r>
      <w:r w:rsidR="00F51DEA">
        <w:rPr>
          <w:bCs/>
        </w:rPr>
        <w:t>.</w:t>
      </w:r>
    </w:p>
    <w:p w14:paraId="586B094E" w14:textId="69872805" w:rsidR="000C5D62" w:rsidRDefault="002759CE" w:rsidP="004A42E4">
      <w:pPr>
        <w:spacing w:line="360" w:lineRule="auto"/>
        <w:jc w:val="both"/>
        <w:rPr>
          <w:b/>
        </w:rPr>
      </w:pPr>
      <w:r>
        <w:rPr>
          <w:b/>
        </w:rPr>
        <w:t>Results</w:t>
      </w:r>
    </w:p>
    <w:p w14:paraId="73F15295" w14:textId="3B6F1BD6" w:rsidR="004A42E4" w:rsidRPr="004A42E4" w:rsidRDefault="004A42E4" w:rsidP="004A42E4">
      <w:pPr>
        <w:spacing w:line="360" w:lineRule="auto"/>
        <w:jc w:val="both"/>
        <w:rPr>
          <w:bCs/>
        </w:rPr>
      </w:pPr>
      <w:r>
        <w:rPr>
          <w:bCs/>
        </w:rPr>
        <w:t xml:space="preserve">Dog bite attendance </w:t>
      </w:r>
      <w:r w:rsidR="00E65835">
        <w:rPr>
          <w:bCs/>
        </w:rPr>
        <w:t xml:space="preserve">rose in conjunction with the introduction of COVID-19 </w:t>
      </w:r>
      <w:r w:rsidR="00851138">
        <w:rPr>
          <w:bCs/>
        </w:rPr>
        <w:t xml:space="preserve">public health </w:t>
      </w:r>
      <w:r w:rsidR="00E65835">
        <w:rPr>
          <w:bCs/>
        </w:rPr>
        <w:t xml:space="preserve">measures and </w:t>
      </w:r>
      <w:r>
        <w:rPr>
          <w:bCs/>
        </w:rPr>
        <w:t xml:space="preserve">reached a peak in July 2020 </w:t>
      </w:r>
      <w:r w:rsidR="00715E34">
        <w:rPr>
          <w:bCs/>
        </w:rPr>
        <w:t>(</w:t>
      </w:r>
      <w:r w:rsidR="003D6B14">
        <w:rPr>
          <w:bCs/>
        </w:rPr>
        <w:t>44</w:t>
      </w:r>
      <w:r w:rsidR="00715E34">
        <w:rPr>
          <w:bCs/>
        </w:rPr>
        <w:t xml:space="preserve"> dog bites</w:t>
      </w:r>
      <w:r w:rsidR="003D6B14">
        <w:rPr>
          <w:bCs/>
        </w:rPr>
        <w:t>, 1.3% of all attendances were due to dog bites</w:t>
      </w:r>
      <w:r w:rsidR="00715E34">
        <w:rPr>
          <w:bCs/>
        </w:rPr>
        <w:t>)</w:t>
      </w:r>
      <w:r w:rsidR="003D6B14">
        <w:rPr>
          <w:bCs/>
        </w:rPr>
        <w:t>. This was a three-fold increase in dog bite attendance</w:t>
      </w:r>
      <w:r w:rsidR="00715E34">
        <w:rPr>
          <w:bCs/>
        </w:rPr>
        <w:t xml:space="preserve">. By September 2020 attendance had </w:t>
      </w:r>
      <w:r w:rsidR="000B7D12">
        <w:rPr>
          <w:bCs/>
        </w:rPr>
        <w:t xml:space="preserve">returned </w:t>
      </w:r>
      <w:r w:rsidR="00715E34">
        <w:rPr>
          <w:bCs/>
        </w:rPr>
        <w:t xml:space="preserve">to normal. </w:t>
      </w:r>
      <w:r w:rsidR="00E65835">
        <w:rPr>
          <w:bCs/>
        </w:rPr>
        <w:t>The</w:t>
      </w:r>
      <w:r w:rsidR="00715E34">
        <w:rPr>
          <w:bCs/>
        </w:rPr>
        <w:t xml:space="preserve"> demographic profile of </w:t>
      </w:r>
      <w:r w:rsidR="000B7D12">
        <w:rPr>
          <w:bCs/>
        </w:rPr>
        <w:t xml:space="preserve">child </w:t>
      </w:r>
      <w:r w:rsidR="00715E34">
        <w:rPr>
          <w:bCs/>
        </w:rPr>
        <w:t>dog bite victims</w:t>
      </w:r>
      <w:r w:rsidR="00C07567">
        <w:rPr>
          <w:bCs/>
        </w:rPr>
        <w:t xml:space="preserve"> remained the same</w:t>
      </w:r>
      <w:r w:rsidR="00715E34">
        <w:rPr>
          <w:bCs/>
        </w:rPr>
        <w:t xml:space="preserve">. Boys had the highest attendance rates in </w:t>
      </w:r>
      <w:proofErr w:type="gramStart"/>
      <w:r w:rsidR="00715E34">
        <w:rPr>
          <w:bCs/>
        </w:rPr>
        <w:t>7-12 year</w:t>
      </w:r>
      <w:proofErr w:type="gramEnd"/>
      <w:r w:rsidR="00715E34">
        <w:rPr>
          <w:bCs/>
        </w:rPr>
        <w:t xml:space="preserve"> olds, girls </w:t>
      </w:r>
      <w:r w:rsidR="00DA6373">
        <w:rPr>
          <w:bCs/>
        </w:rPr>
        <w:t>in</w:t>
      </w:r>
      <w:r w:rsidR="00715E34">
        <w:rPr>
          <w:bCs/>
        </w:rPr>
        <w:t xml:space="preserve"> 4-6 year olds. Girls showed </w:t>
      </w:r>
      <w:r w:rsidR="007A3913">
        <w:rPr>
          <w:bCs/>
        </w:rPr>
        <w:t>higher</w:t>
      </w:r>
      <w:r w:rsidR="00715E34">
        <w:rPr>
          <w:bCs/>
        </w:rPr>
        <w:t xml:space="preserve"> attendance rates in the summer, whilst boys attendance rates </w:t>
      </w:r>
      <w:r w:rsidR="00AE279E">
        <w:rPr>
          <w:bCs/>
        </w:rPr>
        <w:t>were</w:t>
      </w:r>
      <w:r w:rsidR="00715E34">
        <w:rPr>
          <w:bCs/>
        </w:rPr>
        <w:t xml:space="preserve"> constant throughout the year. </w:t>
      </w:r>
      <w:r w:rsidR="00976BC5">
        <w:rPr>
          <w:bCs/>
        </w:rPr>
        <w:t>COVID-19 public health measures</w:t>
      </w:r>
      <w:r w:rsidR="00715E34">
        <w:rPr>
          <w:bCs/>
        </w:rPr>
        <w:t xml:space="preserve"> were associated with a 78% increase in attendance for boys, and a</w:t>
      </w:r>
      <w:r w:rsidR="002610E4">
        <w:rPr>
          <w:bCs/>
        </w:rPr>
        <w:t>n</w:t>
      </w:r>
      <w:r w:rsidR="00715E34">
        <w:rPr>
          <w:bCs/>
        </w:rPr>
        <w:t xml:space="preserve"> </w:t>
      </w:r>
      <w:r w:rsidR="005C3DD8">
        <w:rPr>
          <w:bCs/>
        </w:rPr>
        <w:t>66</w:t>
      </w:r>
      <w:r w:rsidR="00715E34">
        <w:rPr>
          <w:bCs/>
        </w:rPr>
        <w:t>% increase in girls.</w:t>
      </w:r>
    </w:p>
    <w:p w14:paraId="41A7B44B" w14:textId="77777777" w:rsidR="00D16139" w:rsidRDefault="002759CE" w:rsidP="006C219E">
      <w:pPr>
        <w:spacing w:line="360" w:lineRule="auto"/>
        <w:jc w:val="both"/>
        <w:rPr>
          <w:b/>
        </w:rPr>
      </w:pPr>
      <w:r>
        <w:rPr>
          <w:b/>
        </w:rPr>
        <w:t>Conclusions</w:t>
      </w:r>
    </w:p>
    <w:p w14:paraId="2EE94828" w14:textId="59BC6A60" w:rsidR="006C219E" w:rsidRDefault="007A3913" w:rsidP="006C219E">
      <w:pPr>
        <w:spacing w:line="360" w:lineRule="auto"/>
        <w:jc w:val="both"/>
        <w:rPr>
          <w:bCs/>
        </w:rPr>
      </w:pPr>
      <w:r>
        <w:rPr>
          <w:bCs/>
        </w:rPr>
        <w:t xml:space="preserve">COVID-19 national public health measures were associated with an increase </w:t>
      </w:r>
      <w:r w:rsidR="002610E4">
        <w:rPr>
          <w:bCs/>
        </w:rPr>
        <w:t>in</w:t>
      </w:r>
      <w:r>
        <w:rPr>
          <w:bCs/>
        </w:rPr>
        <w:t xml:space="preserve"> paediatric emergency department dog bite </w:t>
      </w:r>
      <w:proofErr w:type="gramStart"/>
      <w:r>
        <w:rPr>
          <w:bCs/>
        </w:rPr>
        <w:t>attendance</w:t>
      </w:r>
      <w:r w:rsidR="00E65835">
        <w:rPr>
          <w:bCs/>
        </w:rPr>
        <w:t>,</w:t>
      </w:r>
      <w:r>
        <w:rPr>
          <w:bCs/>
        </w:rPr>
        <w:t xml:space="preserve"> </w:t>
      </w:r>
      <w:r w:rsidR="00E65835">
        <w:rPr>
          <w:bCs/>
        </w:rPr>
        <w:t>and</w:t>
      </w:r>
      <w:proofErr w:type="gramEnd"/>
      <w:r w:rsidR="00E65835">
        <w:rPr>
          <w:bCs/>
        </w:rPr>
        <w:t xml:space="preserve"> may be</w:t>
      </w:r>
      <w:r>
        <w:rPr>
          <w:bCs/>
        </w:rPr>
        <w:t xml:space="preserve"> due to increased child exposure to dogs via ‘stay at home’ orders and school closures. National lockdowns are likely to continue globally </w:t>
      </w:r>
      <w:r w:rsidR="00AE279E">
        <w:rPr>
          <w:bCs/>
        </w:rPr>
        <w:t xml:space="preserve">throughout </w:t>
      </w:r>
      <w:r>
        <w:rPr>
          <w:bCs/>
        </w:rPr>
        <w:t>the</w:t>
      </w:r>
      <w:r w:rsidR="000B7D12">
        <w:rPr>
          <w:bCs/>
        </w:rPr>
        <w:t xml:space="preserve"> COVID-19</w:t>
      </w:r>
      <w:r>
        <w:rPr>
          <w:bCs/>
        </w:rPr>
        <w:t xml:space="preserve"> pandemic</w:t>
      </w:r>
      <w:r w:rsidR="00E65835">
        <w:rPr>
          <w:bCs/>
        </w:rPr>
        <w:t>;</w:t>
      </w:r>
      <w:r>
        <w:rPr>
          <w:bCs/>
        </w:rPr>
        <w:t xml:space="preserve"> </w:t>
      </w:r>
      <w:r w:rsidR="000B7D12">
        <w:rPr>
          <w:bCs/>
        </w:rPr>
        <w:t>this is likely to result in more dog bites. Urgent public health communication and injury prevention strategies are needed to help prevent these avoidable injuries.</w:t>
      </w:r>
    </w:p>
    <w:p w14:paraId="24839AB6" w14:textId="59A1CAAE" w:rsidR="00251908" w:rsidRPr="006C219E" w:rsidRDefault="006C219E" w:rsidP="006C219E">
      <w:pPr>
        <w:spacing w:line="360" w:lineRule="auto"/>
        <w:jc w:val="both"/>
        <w:rPr>
          <w:bCs/>
        </w:rPr>
      </w:pPr>
      <w:r>
        <w:rPr>
          <w:noProof/>
          <w:lang w:eastAsia="en-GB"/>
        </w:rPr>
        <w:lastRenderedPageBreak/>
        <mc:AlternateContent>
          <mc:Choice Requires="wps">
            <w:drawing>
              <wp:anchor distT="45720" distB="45720" distL="114300" distR="114300" simplePos="0" relativeHeight="251658240" behindDoc="0" locked="0" layoutInCell="1" allowOverlap="1" wp14:anchorId="0C096A41" wp14:editId="3A55B572">
                <wp:simplePos x="0" y="0"/>
                <wp:positionH relativeFrom="column">
                  <wp:posOffset>9525</wp:posOffset>
                </wp:positionH>
                <wp:positionV relativeFrom="paragraph">
                  <wp:posOffset>-57785</wp:posOffset>
                </wp:positionV>
                <wp:extent cx="5753100" cy="24860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86025"/>
                        </a:xfrm>
                        <a:prstGeom prst="rect">
                          <a:avLst/>
                        </a:prstGeom>
                        <a:solidFill>
                          <a:srgbClr val="FFFFFF"/>
                        </a:solidFill>
                        <a:ln w="9525">
                          <a:solidFill>
                            <a:srgbClr val="000000"/>
                          </a:solidFill>
                          <a:miter lim="800000"/>
                          <a:headEnd/>
                          <a:tailEnd/>
                        </a:ln>
                      </wps:spPr>
                      <wps:txbx>
                        <w:txbxContent>
                          <w:p w14:paraId="2B42C8A0" w14:textId="36CC5292" w:rsidR="001B2A6A" w:rsidRDefault="001B2A6A">
                            <w:pPr>
                              <w:rPr>
                                <w:b/>
                                <w:bCs/>
                              </w:rPr>
                            </w:pPr>
                            <w:r w:rsidRPr="00251908">
                              <w:rPr>
                                <w:b/>
                                <w:bCs/>
                              </w:rPr>
                              <w:t xml:space="preserve">What is known about the </w:t>
                            </w:r>
                            <w:proofErr w:type="gramStart"/>
                            <w:r w:rsidRPr="00251908">
                              <w:rPr>
                                <w:b/>
                                <w:bCs/>
                              </w:rPr>
                              <w:t>subject:</w:t>
                            </w:r>
                            <w:proofErr w:type="gramEnd"/>
                          </w:p>
                          <w:p w14:paraId="601D24CF" w14:textId="32783687" w:rsidR="001B2A6A" w:rsidRPr="00321956" w:rsidRDefault="001B2A6A" w:rsidP="00321956">
                            <w:pPr>
                              <w:pStyle w:val="ListParagraph"/>
                              <w:numPr>
                                <w:ilvl w:val="0"/>
                                <w:numId w:val="6"/>
                              </w:numPr>
                            </w:pPr>
                            <w:r w:rsidRPr="00321956">
                              <w:t xml:space="preserve">Children are </w:t>
                            </w:r>
                            <w:r>
                              <w:t>frequent</w:t>
                            </w:r>
                            <w:r w:rsidRPr="00321956">
                              <w:t xml:space="preserve"> dog bite victims.</w:t>
                            </w:r>
                          </w:p>
                          <w:p w14:paraId="3A50DCC6" w14:textId="609A41DE" w:rsidR="001B2A6A" w:rsidRPr="00321956" w:rsidRDefault="001B2A6A" w:rsidP="00321956">
                            <w:pPr>
                              <w:pStyle w:val="ListParagraph"/>
                              <w:numPr>
                                <w:ilvl w:val="0"/>
                                <w:numId w:val="6"/>
                              </w:numPr>
                            </w:pPr>
                            <w:r w:rsidRPr="00321956">
                              <w:t xml:space="preserve">Most children are bitten in the home, </w:t>
                            </w:r>
                            <w:r>
                              <w:t>by</w:t>
                            </w:r>
                            <w:r w:rsidRPr="00321956">
                              <w:t xml:space="preserve"> a dog that they know.</w:t>
                            </w:r>
                          </w:p>
                          <w:p w14:paraId="63725CCF" w14:textId="60BCE62E" w:rsidR="001B2A6A" w:rsidRPr="00321956" w:rsidRDefault="001B2A6A" w:rsidP="00321956">
                            <w:pPr>
                              <w:pStyle w:val="ListParagraph"/>
                              <w:numPr>
                                <w:ilvl w:val="0"/>
                                <w:numId w:val="6"/>
                              </w:numPr>
                            </w:pPr>
                            <w:r w:rsidRPr="00321956">
                              <w:t>In adults, men are more likely to be bitten than women.</w:t>
                            </w:r>
                          </w:p>
                          <w:p w14:paraId="3A88483A" w14:textId="3537A12D" w:rsidR="001B2A6A" w:rsidRDefault="001B2A6A">
                            <w:pPr>
                              <w:rPr>
                                <w:b/>
                                <w:bCs/>
                              </w:rPr>
                            </w:pPr>
                            <w:r w:rsidRPr="00251908">
                              <w:rPr>
                                <w:b/>
                                <w:bCs/>
                              </w:rPr>
                              <w:t>What this study adds:</w:t>
                            </w:r>
                          </w:p>
                          <w:p w14:paraId="1DCD73B9" w14:textId="55A3A910" w:rsidR="001B2A6A" w:rsidRPr="00321956" w:rsidRDefault="001B2A6A" w:rsidP="00010C6C">
                            <w:pPr>
                              <w:pStyle w:val="ListParagraph"/>
                              <w:numPr>
                                <w:ilvl w:val="0"/>
                                <w:numId w:val="4"/>
                              </w:numPr>
                            </w:pPr>
                            <w:r w:rsidRPr="00321956">
                              <w:t xml:space="preserve">Emergency attendance for dog bites to children were </w:t>
                            </w:r>
                            <w:r>
                              <w:t>three</w:t>
                            </w:r>
                            <w:r w:rsidRPr="00321956">
                              <w:t xml:space="preserve"> times higher</w:t>
                            </w:r>
                            <w:r w:rsidR="00891983">
                              <w:t xml:space="preserve"> than expected</w:t>
                            </w:r>
                            <w:r>
                              <w:t xml:space="preserve"> during COVID-19 public health measures,</w:t>
                            </w:r>
                            <w:r w:rsidRPr="00321956">
                              <w:t xml:space="preserve"> </w:t>
                            </w:r>
                            <w:r>
                              <w:t>(from a monthly mean of 15 cases, to a peak of 44</w:t>
                            </w:r>
                            <w:r w:rsidR="00891983">
                              <w:t xml:space="preserve"> cases in July 2020</w:t>
                            </w:r>
                            <w:r>
                              <w:t>)</w:t>
                            </w:r>
                            <w:r w:rsidRPr="00321956">
                              <w:t>.</w:t>
                            </w:r>
                          </w:p>
                          <w:p w14:paraId="0E382FF9" w14:textId="63E79818" w:rsidR="001B2A6A" w:rsidRPr="00321956" w:rsidRDefault="001B2A6A" w:rsidP="00010C6C">
                            <w:pPr>
                              <w:pStyle w:val="ListParagraph"/>
                              <w:numPr>
                                <w:ilvl w:val="0"/>
                                <w:numId w:val="4"/>
                              </w:numPr>
                            </w:pPr>
                            <w:r w:rsidRPr="00321956">
                              <w:t>The victim profile, regarding the age and sex of the child</w:t>
                            </w:r>
                            <w:r>
                              <w:t>,</w:t>
                            </w:r>
                            <w:r w:rsidRPr="00321956">
                              <w:t xml:space="preserve"> did not change</w:t>
                            </w:r>
                            <w:r w:rsidR="00891983">
                              <w:t>.</w:t>
                            </w:r>
                          </w:p>
                          <w:p w14:paraId="7C5BB871" w14:textId="63B3607D" w:rsidR="001B2A6A" w:rsidRPr="00321956" w:rsidRDefault="001B2A6A" w:rsidP="00321956">
                            <w:pPr>
                              <w:pStyle w:val="ListParagraph"/>
                              <w:numPr>
                                <w:ilvl w:val="0"/>
                                <w:numId w:val="4"/>
                              </w:numPr>
                            </w:pPr>
                            <w:r w:rsidRPr="00321956">
                              <w:t>COVID-19 public health measures</w:t>
                            </w:r>
                            <w:r>
                              <w:t>,</w:t>
                            </w:r>
                            <w:r w:rsidRPr="00321956">
                              <w:t xml:space="preserve"> such as lockdowns and school closures</w:t>
                            </w:r>
                            <w:r>
                              <w:t>,</w:t>
                            </w:r>
                            <w:r w:rsidRPr="00321956">
                              <w:t xml:space="preserve"> may result in increased dog bites.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6A41" id="_x0000_t202" coordsize="21600,21600" o:spt="202" path="m,l,21600r21600,l21600,xe">
                <v:stroke joinstyle="miter"/>
                <v:path gradientshapeok="t" o:connecttype="rect"/>
              </v:shapetype>
              <v:shape id="Text Box 2" o:spid="_x0000_s1026" type="#_x0000_t202" style="position:absolute;left:0;text-align:left;margin-left:.75pt;margin-top:-4.55pt;width:453pt;height:19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">
                <v:textbox>
                  <w:txbxContent>
                    <w:p w14:paraId="2B42C8A0" w14:textId="36CC5292" w:rsidR="001B2A6A" w:rsidRDefault="001B2A6A">
                      <w:pPr>
                        <w:rPr>
                          <w:b/>
                          <w:bCs/>
                        </w:rPr>
                      </w:pPr>
                      <w:r w:rsidRPr="00251908">
                        <w:rPr>
                          <w:b/>
                          <w:bCs/>
                        </w:rPr>
                        <w:t xml:space="preserve">What is known about the </w:t>
                      </w:r>
                      <w:proofErr w:type="gramStart"/>
                      <w:r w:rsidRPr="00251908">
                        <w:rPr>
                          <w:b/>
                          <w:bCs/>
                        </w:rPr>
                        <w:t>subject:</w:t>
                      </w:r>
                      <w:proofErr w:type="gramEnd"/>
                    </w:p>
                    <w:p w14:paraId="601D24CF" w14:textId="32783687" w:rsidR="001B2A6A" w:rsidRPr="00321956" w:rsidRDefault="001B2A6A" w:rsidP="00321956">
                      <w:pPr>
                        <w:pStyle w:val="ListParagraph"/>
                        <w:numPr>
                          <w:ilvl w:val="0"/>
                          <w:numId w:val="6"/>
                        </w:numPr>
                      </w:pPr>
                      <w:r w:rsidRPr="00321956">
                        <w:t xml:space="preserve">Children are </w:t>
                      </w:r>
                      <w:r>
                        <w:t>frequent</w:t>
                      </w:r>
                      <w:r w:rsidRPr="00321956">
                        <w:t xml:space="preserve"> dog bite victims.</w:t>
                      </w:r>
                    </w:p>
                    <w:p w14:paraId="3A50DCC6" w14:textId="609A41DE" w:rsidR="001B2A6A" w:rsidRPr="00321956" w:rsidRDefault="001B2A6A" w:rsidP="00321956">
                      <w:pPr>
                        <w:pStyle w:val="ListParagraph"/>
                        <w:numPr>
                          <w:ilvl w:val="0"/>
                          <w:numId w:val="6"/>
                        </w:numPr>
                      </w:pPr>
                      <w:r w:rsidRPr="00321956">
                        <w:t xml:space="preserve">Most children are bitten in the home, </w:t>
                      </w:r>
                      <w:r>
                        <w:t>by</w:t>
                      </w:r>
                      <w:r w:rsidRPr="00321956">
                        <w:t xml:space="preserve"> a dog that they know.</w:t>
                      </w:r>
                    </w:p>
                    <w:p w14:paraId="63725CCF" w14:textId="60BCE62E" w:rsidR="001B2A6A" w:rsidRPr="00321956" w:rsidRDefault="001B2A6A" w:rsidP="00321956">
                      <w:pPr>
                        <w:pStyle w:val="ListParagraph"/>
                        <w:numPr>
                          <w:ilvl w:val="0"/>
                          <w:numId w:val="6"/>
                        </w:numPr>
                      </w:pPr>
                      <w:r w:rsidRPr="00321956">
                        <w:t>In adults, men are more likely to be bitten than women.</w:t>
                      </w:r>
                    </w:p>
                    <w:p w14:paraId="3A88483A" w14:textId="3537A12D" w:rsidR="001B2A6A" w:rsidRDefault="001B2A6A">
                      <w:pPr>
                        <w:rPr>
                          <w:b/>
                          <w:bCs/>
                        </w:rPr>
                      </w:pPr>
                      <w:r w:rsidRPr="00251908">
                        <w:rPr>
                          <w:b/>
                          <w:bCs/>
                        </w:rPr>
                        <w:t>What this study adds:</w:t>
                      </w:r>
                    </w:p>
                    <w:p w14:paraId="1DCD73B9" w14:textId="55A3A910" w:rsidR="001B2A6A" w:rsidRPr="00321956" w:rsidRDefault="001B2A6A" w:rsidP="00010C6C">
                      <w:pPr>
                        <w:pStyle w:val="ListParagraph"/>
                        <w:numPr>
                          <w:ilvl w:val="0"/>
                          <w:numId w:val="4"/>
                        </w:numPr>
                      </w:pPr>
                      <w:r w:rsidRPr="00321956">
                        <w:t xml:space="preserve">Emergency attendance for dog bites to children were </w:t>
                      </w:r>
                      <w:r>
                        <w:t>three</w:t>
                      </w:r>
                      <w:r w:rsidRPr="00321956">
                        <w:t xml:space="preserve"> times higher</w:t>
                      </w:r>
                      <w:r w:rsidR="00891983">
                        <w:t xml:space="preserve"> than expected</w:t>
                      </w:r>
                      <w:r>
                        <w:t xml:space="preserve"> during COVID-19 public health measures,</w:t>
                      </w:r>
                      <w:r w:rsidRPr="00321956">
                        <w:t xml:space="preserve"> </w:t>
                      </w:r>
                      <w:r>
                        <w:t>(from a monthly mean of 15 cases, to a peak of 44</w:t>
                      </w:r>
                      <w:r w:rsidR="00891983">
                        <w:t xml:space="preserve"> cases in July 2020</w:t>
                      </w:r>
                      <w:r>
                        <w:t>)</w:t>
                      </w:r>
                      <w:r w:rsidRPr="00321956">
                        <w:t>.</w:t>
                      </w:r>
                    </w:p>
                    <w:p w14:paraId="0E382FF9" w14:textId="63E79818" w:rsidR="001B2A6A" w:rsidRPr="00321956" w:rsidRDefault="001B2A6A" w:rsidP="00010C6C">
                      <w:pPr>
                        <w:pStyle w:val="ListParagraph"/>
                        <w:numPr>
                          <w:ilvl w:val="0"/>
                          <w:numId w:val="4"/>
                        </w:numPr>
                      </w:pPr>
                      <w:r w:rsidRPr="00321956">
                        <w:t>The victim profile, regarding the age and sex of the child</w:t>
                      </w:r>
                      <w:r>
                        <w:t>,</w:t>
                      </w:r>
                      <w:r w:rsidRPr="00321956">
                        <w:t xml:space="preserve"> did not change</w:t>
                      </w:r>
                      <w:r w:rsidR="00891983">
                        <w:t>.</w:t>
                      </w:r>
                    </w:p>
                    <w:p w14:paraId="7C5BB871" w14:textId="63B3607D" w:rsidR="001B2A6A" w:rsidRPr="00321956" w:rsidRDefault="001B2A6A" w:rsidP="00321956">
                      <w:pPr>
                        <w:pStyle w:val="ListParagraph"/>
                        <w:numPr>
                          <w:ilvl w:val="0"/>
                          <w:numId w:val="4"/>
                        </w:numPr>
                      </w:pPr>
                      <w:r w:rsidRPr="00321956">
                        <w:t>COVID-19 public health measures</w:t>
                      </w:r>
                      <w:r>
                        <w:t>,</w:t>
                      </w:r>
                      <w:r w:rsidRPr="00321956">
                        <w:t xml:space="preserve"> such as lockdowns and school closures</w:t>
                      </w:r>
                      <w:r>
                        <w:t>,</w:t>
                      </w:r>
                      <w:r w:rsidRPr="00321956">
                        <w:t xml:space="preserve"> may result in increased dog bites.</w:t>
                      </w:r>
                    </w:p>
                  </w:txbxContent>
                </v:textbox>
                <w10:wrap type="topAndBottom"/>
              </v:shape>
            </w:pict>
          </mc:Fallback>
        </mc:AlternateContent>
      </w:r>
    </w:p>
    <w:p w14:paraId="7B66481F" w14:textId="11917AD3" w:rsidR="00877FF1" w:rsidRDefault="00877FF1" w:rsidP="00130E8C">
      <w:pPr>
        <w:spacing w:line="360" w:lineRule="auto"/>
        <w:rPr>
          <w:rFonts w:ascii="Interface Regular" w:hAnsi="Interface Regular"/>
          <w:lang w:val="en"/>
        </w:rPr>
      </w:pPr>
      <w:r>
        <w:rPr>
          <w:b/>
        </w:rPr>
        <w:t>Introduction</w:t>
      </w:r>
      <w:r w:rsidR="002759CE">
        <w:rPr>
          <w:b/>
        </w:rPr>
        <w:t>:</w:t>
      </w:r>
    </w:p>
    <w:p w14:paraId="0535E911" w14:textId="2C54E4E4" w:rsidR="004D6830" w:rsidRDefault="00251908" w:rsidP="00130E8C">
      <w:pPr>
        <w:spacing w:line="360" w:lineRule="auto"/>
        <w:jc w:val="both"/>
        <w:rPr>
          <w:rFonts w:ascii="Interface Regular" w:hAnsi="Interface Regular"/>
          <w:lang w:val="en"/>
        </w:rPr>
      </w:pPr>
      <w:r>
        <w:rPr>
          <w:rFonts w:ascii="Interface Regular" w:hAnsi="Interface Regular"/>
          <w:lang w:val="en"/>
        </w:rPr>
        <w:t>The COVID-19 global pandemic, caused by SARS-CoV-2 (severe acute respiratory syndrome coronavirus 2), has</w:t>
      </w:r>
      <w:r w:rsidR="002610E4">
        <w:rPr>
          <w:rFonts w:ascii="Interface Regular" w:hAnsi="Interface Regular"/>
          <w:lang w:val="en"/>
        </w:rPr>
        <w:t xml:space="preserve"> </w:t>
      </w:r>
      <w:r w:rsidR="006D7A20">
        <w:rPr>
          <w:rFonts w:ascii="Interface Regular" w:hAnsi="Interface Regular"/>
          <w:lang w:val="en"/>
        </w:rPr>
        <w:t xml:space="preserve">affected </w:t>
      </w:r>
      <w:r>
        <w:rPr>
          <w:rFonts w:ascii="Interface Regular" w:hAnsi="Interface Regular"/>
          <w:lang w:val="en"/>
        </w:rPr>
        <w:t xml:space="preserve">medicine and public health in </w:t>
      </w:r>
      <w:r w:rsidR="003E7DCC">
        <w:rPr>
          <w:rFonts w:ascii="Interface Regular" w:hAnsi="Interface Regular"/>
          <w:lang w:val="en"/>
        </w:rPr>
        <w:t>a multitude of</w:t>
      </w:r>
      <w:r>
        <w:rPr>
          <w:rFonts w:ascii="Interface Regular" w:hAnsi="Interface Regular"/>
          <w:lang w:val="en"/>
        </w:rPr>
        <w:t xml:space="preserve"> unforeseen ways. One of these </w:t>
      </w:r>
      <w:r w:rsidR="00D700EB">
        <w:rPr>
          <w:rFonts w:ascii="Interface Regular" w:hAnsi="Interface Regular"/>
          <w:lang w:val="en"/>
        </w:rPr>
        <w:t>was</w:t>
      </w:r>
      <w:r>
        <w:rPr>
          <w:rFonts w:ascii="Interface Regular" w:hAnsi="Interface Regular"/>
          <w:lang w:val="en"/>
        </w:rPr>
        <w:t xml:space="preserve"> the</w:t>
      </w:r>
      <w:r w:rsidR="00D700EB">
        <w:rPr>
          <w:rFonts w:ascii="Interface Regular" w:hAnsi="Interface Regular"/>
          <w:lang w:val="en"/>
        </w:rPr>
        <w:t xml:space="preserve"> significant</w:t>
      </w:r>
      <w:r>
        <w:rPr>
          <w:rFonts w:ascii="Interface Regular" w:hAnsi="Interface Regular"/>
          <w:lang w:val="en"/>
        </w:rPr>
        <w:t xml:space="preserve"> reduction in</w:t>
      </w:r>
      <w:r w:rsidR="00D700EB">
        <w:rPr>
          <w:rFonts w:ascii="Interface Regular" w:hAnsi="Interface Regular"/>
          <w:lang w:val="en"/>
        </w:rPr>
        <w:t xml:space="preserve"> patient</w:t>
      </w:r>
      <w:r>
        <w:rPr>
          <w:rFonts w:ascii="Interface Regular" w:hAnsi="Interface Regular"/>
          <w:lang w:val="en"/>
        </w:rPr>
        <w:t xml:space="preserve"> attendance at </w:t>
      </w:r>
      <w:r w:rsidR="00D700EB">
        <w:rPr>
          <w:rFonts w:ascii="Interface Regular" w:hAnsi="Interface Regular"/>
          <w:lang w:val="en"/>
        </w:rPr>
        <w:t xml:space="preserve">paediatric emergency departments during COVID-19 </w:t>
      </w:r>
      <w:r w:rsidR="003E7DCC">
        <w:rPr>
          <w:rFonts w:ascii="Interface Regular" w:hAnsi="Interface Regular"/>
          <w:lang w:val="en"/>
        </w:rPr>
        <w:t xml:space="preserve">national </w:t>
      </w:r>
      <w:r w:rsidR="00D700EB">
        <w:rPr>
          <w:rFonts w:ascii="Interface Regular" w:hAnsi="Interface Regular"/>
          <w:lang w:val="en"/>
        </w:rPr>
        <w:t>lockdowns</w:t>
      </w:r>
      <w:r w:rsidR="00A1134C">
        <w:rPr>
          <w:rFonts w:ascii="Interface Regular" w:hAnsi="Interface Regular"/>
          <w:lang w:val="en"/>
        </w:rPr>
        <w:t>.</w:t>
      </w:r>
      <w:r w:rsidR="00D700EB">
        <w:rPr>
          <w:rFonts w:ascii="Interface Regular" w:hAnsi="Interface Regular"/>
          <w:lang w:val="en"/>
        </w:rPr>
        <w:fldChar w:fldCharType="begin" w:fldLock="1"/>
      </w:r>
      <w:r w:rsidR="00D700EB">
        <w:rPr>
          <w:rFonts w:ascii="Interface Regular" w:hAnsi="Interface Regular"/>
          <w:lang w:val="en"/>
        </w:rPr>
        <w:instrText>ADDIN CSL_CITATION {"citationItems":[{"id":"ITEM-1","itemData":{"DOI":"10.1016/j.jpeds.2020.07.048","ISSN":"10976833","PMID":"32702427","abstract":"We conducted a descriptive time-series study of pediatric emergency healthcare use during the onset of severe acute respiratory syndrome coronavirus 2 pandemic after a state-wide stay-at-home order. Our study demonstrated decreased volume, increased acuity, and generally consistent chief complaints compared with the prior 3 years (2017 through 2019). Ingestions became a significantly more common chief complaint in 2020.","author":[{"dropping-particle":"","family":"Chaiyachati","given":"Barbara H.","non-dropping-particle":"","parse-names":false,"suffix":""},{"dropping-particle":"","family":"Agawu","given":"Atu","non-dropping-particle":"","parse-names":false,"suffix":""},{"dropping-particle":"","family":"Zorc","given":"Joseph J.","non-dropping-particle":"","parse-names":false,"suffix":""},{"dropping-particle":"","family":"Balamuth","given":"Fran","non-dropping-particle":"","parse-names":false,"suffix":""}],"container-title":"Journal of Pediatrics","id":"ITEM-1","issued":{"date-parts":[["2020"]]},"page":"274-277.e1","publisher":"Elsevier</w:instrText>
      </w:r>
      <w:r w:rsidR="00D700EB">
        <w:rPr>
          <w:rFonts w:ascii="Interface Regular" w:hAnsi="Interface Regular" w:hint="eastAsia"/>
          <w:lang w:val="en"/>
        </w:rPr>
        <w:instrText> </w:instrText>
      </w:r>
      <w:r w:rsidR="00D700EB">
        <w:rPr>
          <w:rFonts w:ascii="Interface Regular" w:hAnsi="Interface Regular"/>
          <w:lang w:val="en"/>
        </w:rPr>
        <w:instrText>Inc","title":"Trends in Pediatric Emergency Department Utilization after Institution of Coronavirus Disease-19 Mandatory Social Distancing","type":"article-journal","volume":"226"},"uris":["http://www.mendeley.com/documents/?uuid=670680e8-eed5-42b8-bb3b-dea3afa67bfd"]},{"id":"ITEM-2","itemData":{"DOI":"10.24095/hpcdp.40.11/12.02","ISSN":"2368-738X","abstract":"INTRODUCTION: Research has shown that during the 2003 SARS pandemic, emergency  department (ED) visits among the pediatric population decreased. We set out to investigate if this was also true for injury-related ED visits during the COVID-19 pandemic. METHODS: Using data from the Canadian Hospitals Injury Reporting and Prevention Program (CHIRPP), we looked at 28 years of injury-related ED visits at the Montreal Children's Hospital, a provincially designated Pediatric Trauma Centre. We compared data from a two-month period during the COVID-19 lockdown (16 March to 15 May) to the same period in previous years (1993-2019) to determine whether the 2020 decrease in ED visit numbers was unprecedented (i.e. a similar decrease had never occurred) for different age groups, nature of injuries, mechanisms and severity. RESULTS: The 2020 decrease was unprecedented across all age groups between 1993 and 2019. When compared with the 2015 to 2019 average, the decrease was smallest in children aged 2 to 5 years (a 35% decrease), and greatest in the group aged 12 to 17 years (83%). Motor vehicle collisions and sports-related injuries practically vanished during the COVID-19 lockdown. Surprisingly, more children aged 6 to 17 years presented with less urgent injuries during the COVID-19 lockdown than in previous years. CONCLUSION: As was the case with SARS in 2003, COVID-19 acted as a deterrent for pediatric ED visits. The lockdown in particular had a profound impact on injury-related visits. The de-confinement period will be monitored to determine the impact in both the short and the long term.","author":[{"dropping-particle":"","family":"Keays","given":"Glenn","non-dropping-particle":"","parse-names":false,"suffix":""},{"dropping-particle":"","family":"Freeman","given":"Debbie","non-dropping-particle":"","parse-names":false,"suffix":""},{"dropping-particle":"","family":"Gagnon","given":"Isabelle","non-dropping-particle":"","parse-names":false,"suffix":""}],"container-title":"Health Promotion and Chronic Disease Prevention in Canada","id":"ITEM-2","issue":"11/12","issued":{"date-parts":[["2020"]]},"page":"336-341","title":"Injuries in the time of COVID-19","type":"article-journal","volume":"40"},"uris":["http://www.mendeley.com/documents/?uuid=f89bf447-562d-462e-9843-e381c6d6de8f"]}],"mendeley":{"formattedCitation":"[1,2]","plainTextFormattedCitation":"[1,2]","previouslyFormattedCitation":"[1,2]"},"properties":{"noteIndex":0},"schema":"https://github.com/citation-style-language/schema/raw/master/csl-citation.json"}</w:instrText>
      </w:r>
      <w:r w:rsidR="00D700EB">
        <w:rPr>
          <w:rFonts w:ascii="Interface Regular" w:hAnsi="Interface Regular"/>
          <w:lang w:val="en"/>
        </w:rPr>
        <w:fldChar w:fldCharType="separate"/>
      </w:r>
      <w:r w:rsidR="00D700EB" w:rsidRPr="00D700EB">
        <w:rPr>
          <w:rFonts w:ascii="Interface Regular" w:hAnsi="Interface Regular"/>
          <w:noProof/>
          <w:lang w:val="en"/>
        </w:rPr>
        <w:t>[1,2]</w:t>
      </w:r>
      <w:r w:rsidR="00D700EB">
        <w:rPr>
          <w:rFonts w:ascii="Interface Regular" w:hAnsi="Interface Regular"/>
          <w:lang w:val="en"/>
        </w:rPr>
        <w:fldChar w:fldCharType="end"/>
      </w:r>
      <w:r w:rsidR="00D700EB">
        <w:rPr>
          <w:rFonts w:ascii="Interface Regular" w:hAnsi="Interface Regular"/>
          <w:lang w:val="en"/>
        </w:rPr>
        <w:t xml:space="preserve"> </w:t>
      </w:r>
      <w:r w:rsidR="00E0396B">
        <w:rPr>
          <w:rFonts w:ascii="Interface Regular" w:hAnsi="Interface Regular"/>
          <w:lang w:val="en"/>
        </w:rPr>
        <w:t>Absolute a</w:t>
      </w:r>
      <w:r w:rsidR="00D700EB">
        <w:rPr>
          <w:rFonts w:ascii="Interface Regular" w:hAnsi="Interface Regular"/>
          <w:lang w:val="en"/>
        </w:rPr>
        <w:t xml:space="preserve">ttendance reduced </w:t>
      </w:r>
      <w:r w:rsidR="003E7DCC">
        <w:rPr>
          <w:rFonts w:ascii="Interface Regular" w:hAnsi="Interface Regular"/>
          <w:lang w:val="en"/>
        </w:rPr>
        <w:t>between</w:t>
      </w:r>
      <w:r w:rsidR="00D700EB">
        <w:rPr>
          <w:rFonts w:ascii="Interface Regular" w:hAnsi="Interface Regular"/>
          <w:lang w:val="en"/>
        </w:rPr>
        <w:t xml:space="preserve"> 27-72%</w:t>
      </w:r>
      <w:r w:rsidR="00A1134C">
        <w:rPr>
          <w:rFonts w:ascii="Interface Regular" w:hAnsi="Interface Regular"/>
          <w:lang w:val="en"/>
        </w:rPr>
        <w:t>,</w:t>
      </w:r>
      <w:r w:rsidR="00D700EB">
        <w:rPr>
          <w:rFonts w:ascii="Interface Regular" w:hAnsi="Interface Regular"/>
          <w:lang w:val="en"/>
        </w:rPr>
        <w:fldChar w:fldCharType="begin" w:fldLock="1"/>
      </w:r>
      <w:r w:rsidR="00E0396B">
        <w:rPr>
          <w:rFonts w:ascii="Interface Regular" w:hAnsi="Interface Regular"/>
          <w:lang w:val="en"/>
        </w:rPr>
        <w:instrText>ADDIN CSL_CITATION {"citationItems":[{"id":"ITEM-1","itemData":{"DOI":"10.24095/hpcdp.40.11/12.02","ISSN":"2368-738X","abstract":"INTRODUCTION: Research has shown that during the 2003 SARS pandemic, emergency  department (ED) visits among the pediatric population decreased. We set out to investigate if this was also true for injury-related ED visits during the COVID-19 pandemic. METHODS: Using data from the Canadian Hospitals Injury Reporting and Prevention Program (CHIRPP), we looked at 28 years of injury-related ED visits at the Montreal Children's Hospital, a provincially designated Pediatric Trauma Centre. We compared data from a two-month period during the COVID-19 lockdown (16 March to 15 May) to the same period in previous years (1993-2019) to determine whether the 2020 decrease in ED visit numbers was unprecedented (i.e. a similar decrease had never occurred) for different age groups, nature of injuries, mechanisms and severity. RESULTS: The 2020 decrease was unprecedented across all age groups between 1993 and 2019. When compared with the 2015 to 2019 average, the decrease was smallest in children aged 2 to 5 years (a 35% decrease), and greatest in the group aged 12 to 17 years (83%). Motor vehicle collisions and sports-related injuries practically vanished during the COVID-19 lockdown. Surprisingly, more children aged 6 to 17 years presented with less urgent injuries during the COVID-19 lockdown than in previous years. CONCLUSION: As was the case with SARS in 2003, COVID-19 acted as a deterrent for pediatric ED visits. The lockdown in particular had a profound impact on injury-related visits. The de-confinement period will be monitored to determine the impact in both the short and the long term.","author":[{"dropping-particle":"","family":"Keays","given":"Glenn","non-dropping-particle":"","parse-names":false,"suffix":""},{"dropping-particle":"","family":"Freeman","given":"Debbie","non-dropping-particle":"","parse-names":false,"suffix":""},{"dropping-particle":"","family":"Gagnon","given":"Isabelle","non-dropping-particle":"","parse-names":false,"suffix":""}],"container-title":"Health Promotion and Chronic Disease Prevention in Canada","id":"ITEM-1","issue":"11/12","issued":{"date-parts":[["2020"]]},"page":"336-341","title":"Injuries in the time of COVID-19","type":"article-journal","volume":"40"},"uris":["http://www.mendeley.com/documents/?uuid=f89bf447-562d-462e-9843-e381c6d6de8f"]},{"id":"ITEM-2","itemData":{"DOI":"10.3390/ijerph17186719","ISSN":"16604601","PMID":"32942698","abstract":"This study outlines the impact of COVID-19 on paediatric emergency department (ED) utilisation and assesses the extent of healthcare avoidance during each stage of the public health response strategy. Records from five EDs and one urgent care centre in Ireland, representing approximately 48% of national annual public paediatric ED attendances, are analysed to determine changes in characteristics of attendance during the three month period following the first reported COVID-19 case in Ireland, with reference to specific national public health stages. ED attendance reduced by 27</w:instrText>
      </w:r>
      <w:r w:rsidR="00E0396B">
        <w:rPr>
          <w:rFonts w:ascii="Interface Regular" w:hAnsi="Interface Regular" w:hint="eastAsia"/>
          <w:lang w:val="en"/>
        </w:rPr>
        <w:instrText>–</w:instrText>
      </w:r>
      <w:r w:rsidR="00E0396B">
        <w:rPr>
          <w:rFonts w:ascii="Interface Regular" w:hAnsi="Interface Regular"/>
          <w:lang w:val="en"/>
        </w:rPr>
        <w:instrText>62% across all categories of diagnosis in the Delay phase and remained significantly below prior year levels as the country began Phase One of Reopening, with an incident rate ratio (IRR) of 0.58. The decrease was predominantly attributable to reduced attendance for injury and viral/viral induced conditions resulting from changed living conditions imposed by the public health response. However, attendance for complex chronic conditions also reduced and had yet to return to pre-COVID levels as reopening began. Attendances referred by general practitioners (GPs) dropped by 13 percentage points in the Delay phase and remained at that level. While changes in living conditions explain much of the decrease in overall attendance and in GP referrals, reduced attendance for complex chronic conditions may indicate avoidance behaviour and continued surveillance is necessary.","author":[{"dropping-particle":"","family":"McDonnell","given":"Th</w:instrText>
      </w:r>
      <w:r w:rsidR="00E0396B">
        <w:rPr>
          <w:rFonts w:ascii="Interface Regular" w:hAnsi="Interface Regular" w:hint="eastAsia"/>
          <w:lang w:val="en"/>
        </w:rPr>
        <w:instrText>é</w:instrText>
      </w:r>
      <w:r w:rsidR="00E0396B">
        <w:rPr>
          <w:rFonts w:ascii="Interface Regular" w:hAnsi="Interface Regular"/>
          <w:lang w:val="en"/>
        </w:rPr>
        <w:instrText>r</w:instrText>
      </w:r>
      <w:r w:rsidR="00E0396B">
        <w:rPr>
          <w:rFonts w:ascii="Interface Regular" w:hAnsi="Interface Regular" w:hint="eastAsia"/>
          <w:lang w:val="en"/>
        </w:rPr>
        <w:instrText>è</w:instrText>
      </w:r>
      <w:r w:rsidR="00E0396B">
        <w:rPr>
          <w:rFonts w:ascii="Interface Regular" w:hAnsi="Interface Regular"/>
          <w:lang w:val="en"/>
        </w:rPr>
        <w:instrText>se","non-dropping-particle":"","parse-names":false,"suffix":""},{"dropping-particle":"","family":"Nicholson","given":"Emma","non-dropping-particle":"","parse-names":false,"suffix":""},{"dropping-particle":"","family":"Conlon","given":"Ciara","non-dropping-particle":"","parse-names":false,"suffix":""},{"dropping-particle":"","family":"Barrett","given":"Michael","non-dropping-particle":"","parse-names":false,"suffix":""},{"dropping-particle":"","family":"Cummins","given":"Fergal","non-dropping-particle":"","parse-names":false,"suffix":""},{"dropping-particle":"","family":"Hensey","given":"Conor","non-dropping-particle":"","parse-names":false,"suffix":""},{"dropping-particle":"","family":"McAuliffe","given":"Eilish","non-dropping-particle":"","parse-names":false,"suffix":""}],"container-title":"International Journal of Environmental Research and Public Health","id":"ITEM-2","issue":"18","issued":{"date-parts":[["2020"]]},"page":"1-25","title":"Assessing the impact of COVID-19 public health stages on paediatric emergency attendance","type":"article-journal","volume":"17"},"uris":["http://www.mendeley.com/documents/?uuid=e66acccc-4bab-48a6-a947-37c82a9b8b4d"]}],"mendeley":{"formattedCitation":"[2,3]","plainTextFormattedCitation":"[2,3]","previouslyFormattedCitation":"[2,3]"},"properties":{"noteIndex":0},"schema":"https://github.com/citation-style-language/schema/raw/master/csl-citation.json"}</w:instrText>
      </w:r>
      <w:r w:rsidR="00D700EB">
        <w:rPr>
          <w:rFonts w:ascii="Interface Regular" w:hAnsi="Interface Regular"/>
          <w:lang w:val="en"/>
        </w:rPr>
        <w:fldChar w:fldCharType="separate"/>
      </w:r>
      <w:r w:rsidR="00D700EB" w:rsidRPr="00D700EB">
        <w:rPr>
          <w:rFonts w:ascii="Interface Regular" w:hAnsi="Interface Regular"/>
          <w:noProof/>
          <w:lang w:val="en"/>
        </w:rPr>
        <w:t>[2,3]</w:t>
      </w:r>
      <w:r w:rsidR="00D700EB">
        <w:rPr>
          <w:rFonts w:ascii="Interface Regular" w:hAnsi="Interface Regular"/>
          <w:lang w:val="en"/>
        </w:rPr>
        <w:fldChar w:fldCharType="end"/>
      </w:r>
      <w:r w:rsidR="002610E4">
        <w:rPr>
          <w:rFonts w:ascii="Interface Regular" w:hAnsi="Interface Regular"/>
          <w:lang w:val="en"/>
        </w:rPr>
        <w:t xml:space="preserve"> </w:t>
      </w:r>
      <w:bookmarkStart w:id="2" w:name="_GoBack"/>
      <w:bookmarkEnd w:id="2"/>
      <w:r w:rsidR="002610E4">
        <w:rPr>
          <w:rFonts w:ascii="Interface Regular" w:hAnsi="Interface Regular"/>
          <w:lang w:val="en"/>
        </w:rPr>
        <w:t>though</w:t>
      </w:r>
      <w:r w:rsidR="00E0396B">
        <w:rPr>
          <w:rFonts w:ascii="Interface Regular" w:hAnsi="Interface Regular"/>
          <w:lang w:val="en"/>
        </w:rPr>
        <w:t xml:space="preserve"> th</w:t>
      </w:r>
      <w:r w:rsidR="00851892">
        <w:rPr>
          <w:rFonts w:ascii="Interface Regular" w:hAnsi="Interface Regular"/>
          <w:lang w:val="en"/>
        </w:rPr>
        <w:t>is</w:t>
      </w:r>
      <w:r w:rsidR="00E0396B">
        <w:rPr>
          <w:rFonts w:ascii="Interface Regular" w:hAnsi="Interface Regular"/>
          <w:lang w:val="en"/>
        </w:rPr>
        <w:t xml:space="preserve"> reduction was not seen </w:t>
      </w:r>
      <w:r w:rsidR="000D17BC">
        <w:rPr>
          <w:rFonts w:ascii="Interface Regular" w:hAnsi="Interface Regular"/>
          <w:lang w:val="en"/>
        </w:rPr>
        <w:t>across</w:t>
      </w:r>
      <w:r w:rsidR="00E0396B">
        <w:rPr>
          <w:rFonts w:ascii="Interface Regular" w:hAnsi="Interface Regular"/>
          <w:lang w:val="en"/>
        </w:rPr>
        <w:t xml:space="preserve"> all</w:t>
      </w:r>
      <w:r w:rsidR="00AB6CEF">
        <w:rPr>
          <w:rFonts w:ascii="Interface Regular" w:hAnsi="Interface Regular"/>
          <w:lang w:val="en"/>
        </w:rPr>
        <w:t xml:space="preserve"> presenting</w:t>
      </w:r>
      <w:r w:rsidR="00E0396B">
        <w:rPr>
          <w:rFonts w:ascii="Interface Regular" w:hAnsi="Interface Regular"/>
          <w:lang w:val="en"/>
        </w:rPr>
        <w:t xml:space="preserve"> complaints. </w:t>
      </w:r>
      <w:r w:rsidR="003E7DCC">
        <w:rPr>
          <w:rFonts w:ascii="Interface Regular" w:hAnsi="Interface Regular"/>
          <w:lang w:val="en"/>
        </w:rPr>
        <w:t>For example, a</w:t>
      </w:r>
      <w:r w:rsidR="00E0396B">
        <w:rPr>
          <w:rFonts w:ascii="Interface Regular" w:hAnsi="Interface Regular"/>
          <w:lang w:val="en"/>
        </w:rPr>
        <w:t>ttendance for trauma has increased and decreased</w:t>
      </w:r>
      <w:r w:rsidR="003E7DCC">
        <w:rPr>
          <w:rFonts w:ascii="Interface Regular" w:hAnsi="Interface Regular"/>
          <w:lang w:val="en"/>
        </w:rPr>
        <w:t>,</w:t>
      </w:r>
      <w:r w:rsidR="00E0396B">
        <w:rPr>
          <w:rFonts w:ascii="Interface Regular" w:hAnsi="Interface Regular"/>
          <w:lang w:val="en"/>
        </w:rPr>
        <w:t xml:space="preserve"> dependent upon the reporting hospital</w:t>
      </w:r>
      <w:r w:rsidR="00A1134C">
        <w:rPr>
          <w:rFonts w:ascii="Interface Regular" w:hAnsi="Interface Regular"/>
          <w:lang w:val="en"/>
        </w:rPr>
        <w:t>.</w:t>
      </w:r>
      <w:r w:rsidR="00E0396B">
        <w:rPr>
          <w:rFonts w:ascii="Interface Regular" w:hAnsi="Interface Regular"/>
          <w:lang w:val="en"/>
        </w:rPr>
        <w:fldChar w:fldCharType="begin" w:fldLock="1"/>
      </w:r>
      <w:r w:rsidR="00E0396B">
        <w:rPr>
          <w:rFonts w:ascii="Interface Regular" w:hAnsi="Interface Regular"/>
          <w:lang w:val="en"/>
        </w:rPr>
        <w:instrText>ADDIN CSL_CITATION {"citationItems":[{"id":"ITEM-1","itemData":{"DOI":"10.24095/hpcdp.40.11/12.02","ISSN":"2368-738X","abstract":"INTRODUCTION: Research has shown that during the 2003 SARS pandemic, emergency  department (ED) visits among the pediatric population decreased. We set out to investigate if this was also true for injury-related ED visits during the COVID-19 pandemic. METHODS: Using data from the Canadian Hospitals Injury Reporting and Prevention Program (CHIRPP), we looked at 28 years of injury-related ED visits at the Montreal Children's Hospital, a provincially designated Pediatric Trauma Centre. We compared data from a two-month period during the COVID-19 lockdown (16 March to 15 May) to the same period in previous years (1993-2019) to determine whether the 2020 decrease in ED visit numbers was unprecedented (i.e. a similar decrease had never occurred) for different age groups, nature of injuries, mechanisms and severity. RESULTS: The 2020 decrease was unprecedented across all age groups between 1993 and 2019. When compared with the 2015 to 2019 average, the decrease was smallest in children aged 2 to 5 years (a 35% decrease), and greatest in the group aged 12 to 17 years (83%). Motor vehicle collisions and sports-related injuries practically vanished during the COVID-19 lockdown. Surprisingly, more children aged 6 to 17 years presented with less urgent injuries during the COVID-19 lockdown than in previous years. CONCLUSION: As was the case with SARS in 2003, COVID-19 acted as a deterrent for pediatric ED visits. The lockdown in particular had a profound impact on injury-related visits. The de-confinement period will be monitored to determine the impact in both the short and the long term.","author":[{"dropping-particle":"","family":"Keays","given":"Glenn","non-dropping-particle":"","parse-names":false,"suffix":""},{"dropping-particle":"","family":"Freeman","given":"Debbie","non-dropping-particle":"","parse-names":false,"suffix":""},{"dropping-particle":"","family":"Gagnon","given":"Isabelle","non-dropping-particle":"","parse-names":false,"suffix":""}],"container-title":"Health Promotion and Chronic Disease Prevention in Canada","id":"ITEM-1","issue":"11/12","issued":{"date-parts":[["2020"]]},"page":"336-341","title":"Injuries in the time of COVID-19","type":"article-journal","volume":"40"},"uris":["http://www.mendeley.com/documents/?uuid=f89bf447-562d-462e-9843-e381c6d6de8f"]},{"id":"ITEM-2","itemData":{"DOI":"10.3390/ijerph17186719","ISSN":"16604601","PMID":"32942698","abstract":"This study outlines the impact of COVID-19 on paediatric emergency department (ED) utilisation and assesses the extent of healthcare avoidance during each stage of the public health response strategy. Records from five EDs and one urgent care centre in Ireland, representing approximately 48% of national annual public paediatric ED attendances, are analysed to determine changes in characteristics of attendance during the three month period following the first reported COVID-19 case in Ireland, with reference to specific national public health stages. ED attendance reduced by 27</w:instrText>
      </w:r>
      <w:r w:rsidR="00E0396B">
        <w:rPr>
          <w:rFonts w:ascii="Interface Regular" w:hAnsi="Interface Regular" w:hint="eastAsia"/>
          <w:lang w:val="en"/>
        </w:rPr>
        <w:instrText>–</w:instrText>
      </w:r>
      <w:r w:rsidR="00E0396B">
        <w:rPr>
          <w:rFonts w:ascii="Interface Regular" w:hAnsi="Interface Regular"/>
          <w:lang w:val="en"/>
        </w:rPr>
        <w:instrText>62% across all categories of diagnosis in the Delay phase and remained significantly below prior year levels as the country began Phase One of Reopening, with an incident rate ratio (IRR) of 0.58. The decrease was predominantly attributable to reduced attendance for injury and viral/viral induced conditions resulting from changed living conditions imposed by the public health response. However, attendance for complex chronic conditions also reduced and had yet to return to pre-COVID levels as reopening began. Attendances referred by general practitioners (GPs) dropped by 13 percentage points in the Delay phase and remained at that level. While changes in living conditions explain much of the decrease in overall attendance and in GP referrals, reduced attendance for complex chronic conditions may indicate avoidance behaviour and continued surveillance is necessary.","author":[{"dropping-particle":"","family":"McDonnell","given":"Th</w:instrText>
      </w:r>
      <w:r w:rsidR="00E0396B">
        <w:rPr>
          <w:rFonts w:ascii="Interface Regular" w:hAnsi="Interface Regular" w:hint="eastAsia"/>
          <w:lang w:val="en"/>
        </w:rPr>
        <w:instrText>é</w:instrText>
      </w:r>
      <w:r w:rsidR="00E0396B">
        <w:rPr>
          <w:rFonts w:ascii="Interface Regular" w:hAnsi="Interface Regular"/>
          <w:lang w:val="en"/>
        </w:rPr>
        <w:instrText>r</w:instrText>
      </w:r>
      <w:r w:rsidR="00E0396B">
        <w:rPr>
          <w:rFonts w:ascii="Interface Regular" w:hAnsi="Interface Regular" w:hint="eastAsia"/>
          <w:lang w:val="en"/>
        </w:rPr>
        <w:instrText>è</w:instrText>
      </w:r>
      <w:r w:rsidR="00E0396B">
        <w:rPr>
          <w:rFonts w:ascii="Interface Regular" w:hAnsi="Interface Regular"/>
          <w:lang w:val="en"/>
        </w:rPr>
        <w:instrText>se","non-dropping-particle":"","parse-names":false,"suffix":""},{"dropping-particle":"","family":"Nicholson","given":"Emma","non-dropping-particle":"","parse-names":false,"suffix":""},{"dropping-particle":"","family":"Conlon","given":"Ciara","non-dropping-particle":"","parse-names":false,"suffix":""},{"dropping-particle":"","family":"Barrett","given":"Michael","non-dropping-particle":"","parse-names":false,"suffix":""},{"dropping-particle":"","family":"Cummins","given":"Fergal","non-dropping-particle":"","parse-names":false,"suffix":""},{"dropping-particle":"","family":"Hensey","given":"Conor","non-dropping-particle":"","parse-names":false,"suffix":""},{"dropping-particle":"","family":"McAuliffe","given":"Eilish","non-dropping-particle":"","parse-names":false,"suffix":""}],"container-title":"International Journal of Environmental Research and Public Health","id":"ITEM-2","issue":"18","issued":{"date-parts":[["2020"]]},"page":"1-25","title":"Assessing the impact of COVID-19 public health stages on paediatric emergency attendance","type":"article-journal","volume":"17"},"uris":["http://www.mendeley.com/documents/?uuid=e66acccc-4bab-48a6-a947-37c82a9b8b4d"]},{"id":"ITEM-3","itemData":{"DOI":"10.1016/j.jpeds.2020.07.048","ISSN":"10976833","PMID":"32702427","abstract":"We conducted a descriptive time-series study of pediatric emergency healthcare use during the onset of severe acute respiratory syndrome coronavirus 2 pandemic after a state-wide stay-at-home order. Our study demonstrated decreased volume, increased acuity, and generally consistent chief complaints compared with the prior 3 years (2017 through 2019). Ingestions became a significantly more common chief complaint in 2020.","author":[{"dropping-particle":"","family":"Chaiyachati","given":"Barbara H.","non-dropping-particle":"","parse-names":false,"suffix":""},{"dropping-particle":"","family":"Agawu","given":"Atu","non-dropping-particle":"","parse-names":false,"suffix":""},{"dropping-particle":"","family":"Zorc","given":"Joseph J.","non-dropping-particle":"","parse-names":false,"suffix":""},{"dropping-particle":"","family":"Balamuth","given":"Fran","non-dropping-particle":"","parse-names":false,"suffix":""}],"container-title":"Journal of Pediatrics","id":"ITEM-3","issued":{"date-parts":[["2020"]]},"page":"274-277.e1","publisher":"Elsevier</w:instrText>
      </w:r>
      <w:r w:rsidR="00E0396B">
        <w:rPr>
          <w:rFonts w:ascii="Interface Regular" w:hAnsi="Interface Regular" w:hint="eastAsia"/>
          <w:lang w:val="en"/>
        </w:rPr>
        <w:instrText> </w:instrText>
      </w:r>
      <w:r w:rsidR="00E0396B">
        <w:rPr>
          <w:rFonts w:ascii="Interface Regular" w:hAnsi="Interface Regular"/>
          <w:lang w:val="en"/>
        </w:rPr>
        <w:instrText>Inc","title":"Trends in Pediatric Emergency Department Utilization after Institution of Coronavirus Disease-19 Mandatory Social Distancing","type":"article-journal","volume":"226"},"uris":["http://www.mendeley.com/documents/?uuid=670680e8-eed5-42b8-bb3b-dea3afa67bfd"]}],"mendeley":{"formattedCitation":"[1</w:instrText>
      </w:r>
      <w:r w:rsidR="00E0396B">
        <w:rPr>
          <w:rFonts w:ascii="Interface Regular" w:hAnsi="Interface Regular" w:hint="eastAsia"/>
          <w:lang w:val="en"/>
        </w:rPr>
        <w:instrText>–</w:instrText>
      </w:r>
      <w:r w:rsidR="00E0396B">
        <w:rPr>
          <w:rFonts w:ascii="Interface Regular" w:hAnsi="Interface Regular"/>
          <w:lang w:val="en"/>
        </w:rPr>
        <w:instrText>3]","plainTextFormattedCitation":"[1</w:instrText>
      </w:r>
      <w:r w:rsidR="00E0396B">
        <w:rPr>
          <w:rFonts w:ascii="Interface Regular" w:hAnsi="Interface Regular" w:hint="eastAsia"/>
          <w:lang w:val="en"/>
        </w:rPr>
        <w:instrText>–</w:instrText>
      </w:r>
      <w:r w:rsidR="00E0396B">
        <w:rPr>
          <w:rFonts w:ascii="Interface Regular" w:hAnsi="Interface Regular"/>
          <w:lang w:val="en"/>
        </w:rPr>
        <w:instrText>3]","previouslyFormattedCitation":"[1</w:instrText>
      </w:r>
      <w:r w:rsidR="00E0396B">
        <w:rPr>
          <w:rFonts w:ascii="Interface Regular" w:hAnsi="Interface Regular" w:hint="eastAsia"/>
          <w:lang w:val="en"/>
        </w:rPr>
        <w:instrText>–</w:instrText>
      </w:r>
      <w:r w:rsidR="00E0396B">
        <w:rPr>
          <w:rFonts w:ascii="Interface Regular" w:hAnsi="Interface Regular"/>
          <w:lang w:val="en"/>
        </w:rPr>
        <w:instrText>3]"},"properties":{"noteIndex":0},"schema":"https://github.com/citation-style-language/schema/raw/master/csl-citation.json"}</w:instrText>
      </w:r>
      <w:r w:rsidR="00E0396B">
        <w:rPr>
          <w:rFonts w:ascii="Interface Regular" w:hAnsi="Interface Regular"/>
          <w:lang w:val="en"/>
        </w:rPr>
        <w:fldChar w:fldCharType="separate"/>
      </w:r>
      <w:r w:rsidR="00E0396B" w:rsidRPr="00E0396B">
        <w:rPr>
          <w:rFonts w:ascii="Interface Regular" w:hAnsi="Interface Regular"/>
          <w:noProof/>
          <w:lang w:val="en"/>
        </w:rPr>
        <w:t>[1</w:t>
      </w:r>
      <w:r w:rsidR="00E0396B" w:rsidRPr="00E0396B">
        <w:rPr>
          <w:rFonts w:ascii="Interface Regular" w:hAnsi="Interface Regular" w:hint="eastAsia"/>
          <w:noProof/>
          <w:lang w:val="en"/>
        </w:rPr>
        <w:t>–</w:t>
      </w:r>
      <w:r w:rsidR="00E0396B" w:rsidRPr="00E0396B">
        <w:rPr>
          <w:rFonts w:ascii="Interface Regular" w:hAnsi="Interface Regular"/>
          <w:noProof/>
          <w:lang w:val="en"/>
        </w:rPr>
        <w:t>3]</w:t>
      </w:r>
      <w:r w:rsidR="00E0396B">
        <w:rPr>
          <w:rFonts w:ascii="Interface Regular" w:hAnsi="Interface Regular"/>
          <w:lang w:val="en"/>
        </w:rPr>
        <w:fldChar w:fldCharType="end"/>
      </w:r>
      <w:r w:rsidR="00E0396B">
        <w:rPr>
          <w:rFonts w:ascii="Interface Regular" w:hAnsi="Interface Regular"/>
          <w:lang w:val="en"/>
        </w:rPr>
        <w:t xml:space="preserve"> One </w:t>
      </w:r>
      <w:r w:rsidR="004D6830">
        <w:rPr>
          <w:rFonts w:ascii="Interface Regular" w:hAnsi="Interface Regular"/>
          <w:lang w:val="en"/>
        </w:rPr>
        <w:t>trauma</w:t>
      </w:r>
      <w:r w:rsidR="00E0396B">
        <w:rPr>
          <w:rFonts w:ascii="Interface Regular" w:hAnsi="Interface Regular"/>
          <w:lang w:val="en"/>
        </w:rPr>
        <w:t xml:space="preserve"> of </w:t>
      </w:r>
      <w:r w:rsidR="007C096A">
        <w:rPr>
          <w:rFonts w:ascii="Interface Regular" w:hAnsi="Interface Regular"/>
          <w:lang w:val="en"/>
        </w:rPr>
        <w:t>increasing</w:t>
      </w:r>
      <w:r w:rsidR="00E0396B">
        <w:rPr>
          <w:rFonts w:ascii="Interface Regular" w:hAnsi="Interface Regular"/>
          <w:lang w:val="en"/>
        </w:rPr>
        <w:t xml:space="preserve"> concern </w:t>
      </w:r>
      <w:r w:rsidR="00AB6CEF">
        <w:rPr>
          <w:rFonts w:ascii="Interface Regular" w:hAnsi="Interface Regular"/>
          <w:lang w:val="en"/>
        </w:rPr>
        <w:t>is</w:t>
      </w:r>
      <w:r w:rsidR="00E0396B">
        <w:rPr>
          <w:rFonts w:ascii="Interface Regular" w:hAnsi="Interface Regular"/>
          <w:lang w:val="en"/>
        </w:rPr>
        <w:t xml:space="preserve"> dog bites.</w:t>
      </w:r>
      <w:r w:rsidR="002610E4">
        <w:rPr>
          <w:rFonts w:ascii="Interface Regular" w:hAnsi="Interface Regular"/>
          <w:lang w:val="en"/>
        </w:rPr>
        <w:t xml:space="preserve"> </w:t>
      </w:r>
    </w:p>
    <w:p w14:paraId="7B853E77" w14:textId="3140DC32" w:rsidR="00F62364" w:rsidRDefault="00E60326" w:rsidP="00130E8C">
      <w:pPr>
        <w:spacing w:line="360" w:lineRule="auto"/>
        <w:jc w:val="both"/>
        <w:rPr>
          <w:rFonts w:ascii="Interface Regular" w:hAnsi="Interface Regular"/>
          <w:lang w:val="en"/>
        </w:rPr>
      </w:pPr>
      <w:r>
        <w:rPr>
          <w:rFonts w:ascii="Interface Regular" w:hAnsi="Interface Regular"/>
          <w:lang w:val="en"/>
        </w:rPr>
        <w:t>Dog bite hospital admission</w:t>
      </w:r>
      <w:r w:rsidR="006D7A20">
        <w:rPr>
          <w:rFonts w:ascii="Interface Regular" w:hAnsi="Interface Regular"/>
          <w:lang w:val="en"/>
        </w:rPr>
        <w:t xml:space="preserve"> rates across England</w:t>
      </w:r>
      <w:r>
        <w:rPr>
          <w:rFonts w:ascii="Interface Regular" w:hAnsi="Interface Regular"/>
          <w:lang w:val="en"/>
        </w:rPr>
        <w:t xml:space="preserve"> have </w:t>
      </w:r>
      <w:r w:rsidR="00ED3FDE">
        <w:rPr>
          <w:rFonts w:ascii="Interface Regular" w:hAnsi="Interface Regular"/>
          <w:lang w:val="en"/>
        </w:rPr>
        <w:t xml:space="preserve">tripled </w:t>
      </w:r>
      <w:r>
        <w:rPr>
          <w:rFonts w:ascii="Interface Regular" w:hAnsi="Interface Regular"/>
          <w:lang w:val="en"/>
        </w:rPr>
        <w:t>in adults between 1998 and 2018, yet remained stable in children</w:t>
      </w:r>
      <w:r w:rsidR="006D7A20">
        <w:rPr>
          <w:rFonts w:ascii="Interface Regular" w:hAnsi="Interface Regular"/>
          <w:lang w:val="en"/>
        </w:rPr>
        <w:t>,</w:t>
      </w:r>
      <w:r>
        <w:rPr>
          <w:rFonts w:ascii="Interface Regular" w:hAnsi="Interface Regular"/>
          <w:lang w:val="en"/>
        </w:rPr>
        <w:t xml:space="preserve"> with a mean </w:t>
      </w:r>
      <w:r w:rsidR="00ED3FDE">
        <w:rPr>
          <w:rFonts w:ascii="Interface Regular" w:hAnsi="Interface Regular"/>
          <w:lang w:val="en"/>
        </w:rPr>
        <w:t xml:space="preserve">child </w:t>
      </w:r>
      <w:r>
        <w:rPr>
          <w:rFonts w:ascii="Interface Regular" w:hAnsi="Interface Regular"/>
          <w:lang w:val="en"/>
        </w:rPr>
        <w:t>annual admission rate of 14.4 dog bite hospital admissions per 100,000 population per year</w:t>
      </w:r>
      <w:r w:rsidR="00A1134C">
        <w:rPr>
          <w:rFonts w:ascii="Interface Regular" w:hAnsi="Interface Regular"/>
          <w:lang w:val="en"/>
        </w:rPr>
        <w:t>.</w:t>
      </w:r>
      <w:r w:rsidR="007313C8">
        <w:rPr>
          <w:rFonts w:ascii="Interface Regular" w:hAnsi="Interface Regular"/>
          <w:lang w:val="en"/>
        </w:rPr>
        <w:fldChar w:fldCharType="begin" w:fldLock="1"/>
      </w:r>
      <w:r w:rsidR="00F5484D">
        <w:rPr>
          <w:rFonts w:ascii="Interface Regular" w:hAnsi="Interface Regular"/>
          <w:lang w:val="en"/>
        </w:rPr>
        <w:instrText xml:space="preserve">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w:instrText>
      </w:r>
      <w:r w:rsidR="00F5484D">
        <w:rPr>
          <w:rFonts w:ascii="Interface Regular" w:hAnsi="Interface Regular" w:hint="eastAsia"/>
          <w:lang w:val="en"/>
        </w:rPr>
        <w:instrText>–</w:instrText>
      </w:r>
      <w:r w:rsidR="00F5484D">
        <w:rPr>
          <w:rFonts w:ascii="Interface Regular" w:hAnsi="Interface Regular"/>
          <w:lang w:val="en"/>
        </w:rPr>
        <w:instrText xml:space="preserve"> 2018) reveal that the rise in dog bite hospital admissions is driven by adult cases","type":"article-journal"},"uris":["http://www.mendeley.com/documents/?uuid=cc0b1b1d-ad15-489c-88a4-8b03f6a84b6c"]}],"mendeley":{"formattedCitation":"[4]","plainTextFormattedCitation":"[4]","previouslyFormattedCitation":"[4]"},"properties":{"noteIndex":0},"schema":"https://github.com/citation-style-language/schema/raw/master/csl-citation.json"}</w:instrText>
      </w:r>
      <w:r w:rsidR="007313C8">
        <w:rPr>
          <w:rFonts w:ascii="Interface Regular" w:hAnsi="Interface Regular"/>
          <w:lang w:val="en"/>
        </w:rPr>
        <w:fldChar w:fldCharType="separate"/>
      </w:r>
      <w:r w:rsidR="007313C8" w:rsidRPr="007313C8">
        <w:rPr>
          <w:rFonts w:ascii="Interface Regular" w:hAnsi="Interface Regular"/>
          <w:noProof/>
          <w:lang w:val="en"/>
        </w:rPr>
        <w:t>[4]</w:t>
      </w:r>
      <w:r w:rsidR="007313C8">
        <w:rPr>
          <w:rFonts w:ascii="Interface Regular" w:hAnsi="Interface Regular"/>
          <w:lang w:val="en"/>
        </w:rPr>
        <w:fldChar w:fldCharType="end"/>
      </w:r>
      <w:r>
        <w:rPr>
          <w:rFonts w:ascii="Interface Regular" w:hAnsi="Interface Regular"/>
          <w:lang w:val="en"/>
        </w:rPr>
        <w:t xml:space="preserve"> Both sexes have their highest admission rates in childhood, peaking </w:t>
      </w:r>
      <w:r w:rsidR="000D17BC">
        <w:rPr>
          <w:rFonts w:ascii="Interface Regular" w:hAnsi="Interface Regular"/>
          <w:lang w:val="en"/>
        </w:rPr>
        <w:t>between</w:t>
      </w:r>
      <w:r>
        <w:rPr>
          <w:rFonts w:ascii="Interface Regular" w:hAnsi="Interface Regular"/>
          <w:lang w:val="en"/>
        </w:rPr>
        <w:t xml:space="preserve"> 5-14 years old</w:t>
      </w:r>
      <w:r w:rsidR="003E5468">
        <w:rPr>
          <w:rFonts w:ascii="Interface Regular" w:hAnsi="Interface Regular"/>
          <w:lang w:val="en"/>
        </w:rPr>
        <w:t xml:space="preserve"> for boys</w:t>
      </w:r>
      <w:r>
        <w:rPr>
          <w:rFonts w:ascii="Interface Regular" w:hAnsi="Interface Regular"/>
          <w:lang w:val="en"/>
        </w:rPr>
        <w:t xml:space="preserve"> and 5-9 years old</w:t>
      </w:r>
      <w:r w:rsidR="003E5468">
        <w:rPr>
          <w:rFonts w:ascii="Interface Regular" w:hAnsi="Interface Regular"/>
          <w:lang w:val="en"/>
        </w:rPr>
        <w:t xml:space="preserve"> for girls</w:t>
      </w:r>
      <w:r>
        <w:rPr>
          <w:rFonts w:ascii="Interface Regular" w:hAnsi="Interface Regular"/>
          <w:lang w:val="en"/>
        </w:rPr>
        <w:t xml:space="preserve">.  </w:t>
      </w:r>
    </w:p>
    <w:p w14:paraId="068D94B7" w14:textId="69F78765" w:rsidR="007C096A" w:rsidRDefault="00E60326" w:rsidP="00130E8C">
      <w:pPr>
        <w:spacing w:line="360" w:lineRule="auto"/>
        <w:jc w:val="both"/>
        <w:rPr>
          <w:rFonts w:ascii="Interface Regular" w:hAnsi="Interface Regular"/>
          <w:lang w:val="en"/>
        </w:rPr>
      </w:pPr>
      <w:r>
        <w:rPr>
          <w:rFonts w:ascii="Interface Regular" w:hAnsi="Interface Regular"/>
          <w:lang w:val="en"/>
        </w:rPr>
        <w:t>The majority of dog bite injuries to children occur to the head</w:t>
      </w:r>
      <w:r w:rsidR="00A1134C">
        <w:rPr>
          <w:rFonts w:ascii="Interface Regular" w:hAnsi="Interface Regular"/>
          <w:lang w:val="en"/>
        </w:rPr>
        <w:t>;</w:t>
      </w:r>
      <w:r>
        <w:rPr>
          <w:rFonts w:ascii="Interface Regular" w:hAnsi="Interface Regular"/>
          <w:lang w:val="en"/>
        </w:rPr>
        <w:fldChar w:fldCharType="begin" w:fldLock="1"/>
      </w:r>
      <w:r w:rsidR="007313C8">
        <w:rPr>
          <w:rFonts w:ascii="Interface Regular" w:hAnsi="Interface Regular"/>
          <w:lang w:val="en"/>
        </w:rPr>
        <w:instrText>ADDIN CSL_CITATION {"citationItems":[{"id":"ITEM-1","itemData":{"DOI":"10.1136/bmj.39105.659919.BE","ISSN":"0002838X","author":[{"dropping-particle":"","family":"Morgan","given":"M","non-dropping-particle":"","parse-names":false,"suffix":""},{"dropping-particle":"","family":"Palmer","given":"J","non-dropping-particle":"","parse-names":false,"suffix":""}],"container-title":"BMJ","id":"ITEM-1","issued":{"date-parts":[["2007"]]},"page":"413-417","title":"Dog bites.","type":"article-journal","volume":"334"},"uris":["http://www.mendeley.com/documents/?uuid=b25ffc69-e920-4f49-9757-ae6e8f61da91"]},{"id":"ITEM-2","itemData":{"DOI":"10.1016/j.bjps.2018.12.053","ISSN":"18780539","abstract":"Injuries from dog bites are increasing in the United Kingdom (UK). Our study aims to highlight the public health burden of dog bites within the United Kingdom, in particular to the plastic and reconstructive surgeon. National data relating to hospital attendances and admissions was obtained from the Health and Social Care Information Database. Data relating to demographics of the patients admitted, the site and nature of the injury and the epidemiology was analysed. A total of 14,010 patients with dog bites were admitted between March 2013 and February 2015 of which 52% were admitted to Plastic and Reconstructive surgery departments. The incidence in 2014 increased by 6.5% compared with the previous year. The most frequent patient group were children under the age of nine (16%, n=1159) who most commonly sustained bites to the face and head. In total 19% of all dog bite injuries were associated with underlying fractures. Individuals living in most socially deprived areas (based on the national Index of Multiple Deprivation) were 2.8 times more likely to be admitted to hospital with a dog bite. In spite of the current UK legislation, the incidence of dog bites is increasing. Morbidity, mortality and considerable costs to the health service are amongst some of the consequences of these injuries.","author":[{"dropping-particle":"","family":"Rollett","given":"Rebecca","non-dropping-particle":"","parse-names":false,"suffix":""},{"dropping-particle":"","family":"Clancy","given":"Rachel","non-dropping-particle":"","parse-names":false,"suffix":""},{"dropping-particle":"","family":"Taib","given":"Bilal G.","non-dropping-particle":"","parse-names":false,"suffix":""},{"dropping-particle":"","family":"Mannion","given":"Christopher","non-dropping-particle":"","parse-names":false,"suffix":""}],"container-title":"Journal of Plastic, Reconstructive and Aesthetic Surgery","id":"ITEM-2","issue":"4","issued":{"date-parts":[["2019"]]},"page":"685-710","publisher":"Elsevier</w:instrText>
      </w:r>
      <w:r w:rsidR="007313C8">
        <w:rPr>
          <w:rFonts w:ascii="Interface Regular" w:hAnsi="Interface Regular" w:hint="eastAsia"/>
          <w:lang w:val="en"/>
        </w:rPr>
        <w:instrText> </w:instrText>
      </w:r>
      <w:r w:rsidR="007313C8">
        <w:rPr>
          <w:rFonts w:ascii="Interface Regular" w:hAnsi="Interface Regular"/>
          <w:lang w:val="en"/>
        </w:rPr>
        <w:instrText>Ltd","title":"RE: Not a plastic surgeon's best friend: Dog bites an increasing burden on UK plastic surgery services","type":"article-journal","volume":"72"},"uris":["http://www.mendeley.com/documents/?uuid=62d7fc06-f479-4c9b-b282-35baa2fd287f"]},{"id":"ITEM-3","itemData":{"DOI":"10.12968/hmed.2016.77.10.C165","ISSN":"17508460","author":[{"dropping-particle":"","family":"Mannion","given":"Christopher J.","non-dropping-particle":"","parse-names":false,"suffix":""},{"dropping-particle":"","family":"Graham","given":"Aidan","non-dropping-particle":"","parse-names":false,"suffix":""}],"container-title":"British Journal of Hospital Medicine","id":"ITEM-3","issue":"October 2017","issued":{"date-parts":[["2016"]]},"page":"C165-C168","title":"Dog bite injuries in hospital practice","type":"article-journal","volume":"77"},"uris":["http://www.mendeley.com/documents/?uuid=04652460-e493-4b8d-9e4e-795f9c1aca2c"]},{"id":"ITEM-4","itemData":{"DOI":"10.1016/j.heliyon.2019.e01360","ISSN":"24058440","abstract":"Dog bites are a significant public health issue. There is no comprehensive study of dog bite demographics. It was the purpose of this study to perform such an analysis across the US. The National Electronic Injury Surveillance System All Injury Program data for the years 2005 through 2013 was accessed; dog bite injuries were extracted and analyzed. Statistical analyses were performed with SUDAAN 11.0.01</w:instrText>
      </w:r>
      <w:r w:rsidR="007313C8">
        <w:rPr>
          <w:rFonts w:ascii="Interface Regular" w:hAnsi="Interface Regular" w:hint="eastAsia"/>
          <w:lang w:val="en"/>
        </w:rPr>
        <w:instrText>™</w:instrText>
      </w:r>
      <w:r w:rsidR="007313C8">
        <w:rPr>
          <w:rFonts w:ascii="Interface Regular" w:hAnsi="Interface Regular"/>
          <w:lang w:val="en"/>
        </w:rPr>
        <w:instrText xml:space="preserve"> software to account for the weighted, stratified nature of the data. Incidence values were calculated using population data from the US Census Bureau. A P &lt; 0.05 was considered significant. There was an average 337,103 ED visits each year for dog bites. The average age was 28.9 years; 52.6% were male and 47.4% female. The bites were located on the upper extremity in 47.3%, head/neck in 26.8%, lower extremity in 21.5%, and trunk in 4.4%. Younger patients had more bites involving the head/neck, while older patients the upper extremity. More occurred in the summer and on weekends and 80.2% occurred at home. Hospital admission occurred in 1.7%. Logistic regression analysis demonstrated that the odds of admission was solely dependent upon the age group. The OR for admission was 11.03 [4.68, 26.01] for those &gt;85 years of age, 4.88 [2.89, 8.24] 75</w:instrText>
      </w:r>
      <w:r w:rsidR="007313C8">
        <w:rPr>
          <w:rFonts w:ascii="Interface Regular" w:hAnsi="Interface Regular" w:hint="eastAsia"/>
          <w:lang w:val="en"/>
        </w:rPr>
        <w:instrText>–</w:instrText>
      </w:r>
      <w:r w:rsidR="007313C8">
        <w:rPr>
          <w:rFonts w:ascii="Interface Regular" w:hAnsi="Interface Regular"/>
          <w:lang w:val="en"/>
        </w:rPr>
        <w:instrText>84 years, and 2.79 [1.77, 4.39] those ≤4 years of age, with the 10</w:instrText>
      </w:r>
      <w:r w:rsidR="007313C8">
        <w:rPr>
          <w:rFonts w:ascii="Interface Regular" w:hAnsi="Interface Regular" w:hint="eastAsia"/>
          <w:lang w:val="en"/>
        </w:rPr>
        <w:instrText>–</w:instrText>
      </w:r>
      <w:r w:rsidR="007313C8">
        <w:rPr>
          <w:rFonts w:ascii="Interface Regular" w:hAnsi="Interface Regular"/>
          <w:lang w:val="en"/>
        </w:rPr>
        <w:instrText>14 year age group the reference group. The average annual incidence was 1.1 per 1,000, and was slightly higher in males (1.18 vs 1.02 per 1,000). The estimated cost was at least 400 million US$ per year. Potential prevention strategies are educational programs directed at both children and parents/caretakers outlining the responsibilities of owning a dog. This information can be disseminated in health care facilities, radio/TV/Internet venues, and dog kennels/shelters.","author":[{"dropping-particle":"","family":"Loder","given":"Randall T.","non-dropping-particle":"","parse-names":false,"suffix":""}],"container-title":"Heliyon","id":"ITEM-4","issue":"3","issued":{"date-parts":[["2019"]]},"page":"e01360","publisher":"Elsevier Ltd","title":"The demographics of dog bites in the United States","type":"article-journal","volume":"5"},"uris":["http://www.mendeley.com/documents/?uuid=ceadc5bf-03bc-4e00-8551-5af43c837feb"]}],"mendeley":{"formattedCitation":"[5</w:instrText>
      </w:r>
      <w:r w:rsidR="007313C8">
        <w:rPr>
          <w:rFonts w:ascii="Interface Regular" w:hAnsi="Interface Regular" w:hint="eastAsia"/>
          <w:lang w:val="en"/>
        </w:rPr>
        <w:instrText>–</w:instrText>
      </w:r>
      <w:r w:rsidR="007313C8">
        <w:rPr>
          <w:rFonts w:ascii="Interface Regular" w:hAnsi="Interface Regular"/>
          <w:lang w:val="en"/>
        </w:rPr>
        <w:instrText>8]","plainTextFormattedCitation":"[5</w:instrText>
      </w:r>
      <w:r w:rsidR="007313C8">
        <w:rPr>
          <w:rFonts w:ascii="Interface Regular" w:hAnsi="Interface Regular" w:hint="eastAsia"/>
          <w:lang w:val="en"/>
        </w:rPr>
        <w:instrText>–</w:instrText>
      </w:r>
      <w:r w:rsidR="007313C8">
        <w:rPr>
          <w:rFonts w:ascii="Interface Regular" w:hAnsi="Interface Regular"/>
          <w:lang w:val="en"/>
        </w:rPr>
        <w:instrText>8]","previouslyFormattedCitation":"[5</w:instrText>
      </w:r>
      <w:r w:rsidR="007313C8">
        <w:rPr>
          <w:rFonts w:ascii="Interface Regular" w:hAnsi="Interface Regular" w:hint="eastAsia"/>
          <w:lang w:val="en"/>
        </w:rPr>
        <w:instrText>–</w:instrText>
      </w:r>
      <w:r w:rsidR="007313C8">
        <w:rPr>
          <w:rFonts w:ascii="Interface Regular" w:hAnsi="Interface Regular"/>
          <w:lang w:val="en"/>
        </w:rPr>
        <w:instrText>8]"},"properties":{"noteIndex":0},"schema":"https://github.com/citation-style-language/schema/raw/master/csl-citation.json"}</w:instrText>
      </w:r>
      <w:r>
        <w:rPr>
          <w:rFonts w:ascii="Interface Regular" w:hAnsi="Interface Regular"/>
          <w:lang w:val="en"/>
        </w:rPr>
        <w:fldChar w:fldCharType="separate"/>
      </w:r>
      <w:r w:rsidR="007313C8" w:rsidRPr="007313C8">
        <w:rPr>
          <w:rFonts w:ascii="Interface Regular" w:hAnsi="Interface Regular"/>
          <w:noProof/>
          <w:lang w:val="en"/>
        </w:rPr>
        <w:t>[5</w:t>
      </w:r>
      <w:r w:rsidR="007313C8" w:rsidRPr="007313C8">
        <w:rPr>
          <w:rFonts w:ascii="Interface Regular" w:hAnsi="Interface Regular" w:hint="eastAsia"/>
          <w:noProof/>
          <w:lang w:val="en"/>
        </w:rPr>
        <w:t>–</w:t>
      </w:r>
      <w:r w:rsidR="007313C8" w:rsidRPr="007313C8">
        <w:rPr>
          <w:rFonts w:ascii="Interface Regular" w:hAnsi="Interface Regular"/>
          <w:noProof/>
          <w:lang w:val="en"/>
        </w:rPr>
        <w:t>8]</w:t>
      </w:r>
      <w:r>
        <w:rPr>
          <w:rFonts w:ascii="Interface Regular" w:hAnsi="Interface Regular"/>
          <w:lang w:val="en"/>
        </w:rPr>
        <w:fldChar w:fldCharType="end"/>
      </w:r>
      <w:r>
        <w:rPr>
          <w:rFonts w:ascii="Interface Regular" w:hAnsi="Interface Regular"/>
          <w:lang w:val="en"/>
        </w:rPr>
        <w:t xml:space="preserve"> 73.3% in </w:t>
      </w:r>
      <w:r w:rsidR="002610E4">
        <w:rPr>
          <w:rFonts w:ascii="Interface Regular" w:hAnsi="Interface Regular"/>
          <w:lang w:val="en"/>
        </w:rPr>
        <w:t>Engl</w:t>
      </w:r>
      <w:r w:rsidR="00ED3FDE">
        <w:rPr>
          <w:rFonts w:ascii="Interface Regular" w:hAnsi="Interface Regular"/>
          <w:lang w:val="en"/>
        </w:rPr>
        <w:t>ish hospital admissions.</w:t>
      </w:r>
      <w:r>
        <w:rPr>
          <w:rFonts w:ascii="Interface Regular" w:hAnsi="Interface Regular"/>
          <w:lang w:val="en"/>
        </w:rPr>
        <w:t xml:space="preserve"> In Canadian paediatric emergency departments, 25% of bites were classified as severe, 15% of victims were </w:t>
      </w:r>
      <w:r w:rsidR="007C096A">
        <w:rPr>
          <w:rFonts w:ascii="Interface Regular" w:hAnsi="Interface Regular"/>
          <w:lang w:val="en"/>
        </w:rPr>
        <w:t>admitted</w:t>
      </w:r>
      <w:r>
        <w:rPr>
          <w:rFonts w:ascii="Interface Regular" w:hAnsi="Interface Regular"/>
          <w:lang w:val="en"/>
        </w:rPr>
        <w:t>, 7% needed operations, and 0.3% resulted in fataliti</w:t>
      </w:r>
      <w:r w:rsidR="007C096A">
        <w:rPr>
          <w:rFonts w:ascii="Interface Regular" w:hAnsi="Interface Regular"/>
          <w:lang w:val="en"/>
        </w:rPr>
        <w:t>es</w:t>
      </w:r>
      <w:r w:rsidR="00A1134C">
        <w:rPr>
          <w:rFonts w:ascii="Interface Regular" w:hAnsi="Interface Regular"/>
          <w:lang w:val="en"/>
        </w:rPr>
        <w:t>.</w:t>
      </w:r>
      <w:r w:rsidR="007C096A">
        <w:rPr>
          <w:rFonts w:ascii="Interface Regular" w:hAnsi="Interface Regular"/>
          <w:lang w:val="en"/>
        </w:rPr>
        <w:fldChar w:fldCharType="begin" w:fldLock="1"/>
      </w:r>
      <w:r w:rsidR="007313C8">
        <w:rPr>
          <w:rFonts w:ascii="Interface Regular" w:hAnsi="Interface Regular"/>
          <w:lang w:val="en"/>
        </w:rPr>
        <w:instrText xml:space="preserve">ADDIN CSL_CITATION {"citationItems":[{"id":"ITEM-1","itemData":{"DOI":"10.1017/S1481803500014494","ISSN":"14818035","PMID":"17355691","abstract":"Objectives: Dog bites are a common problem. The purpose of this study was to determine the characteristics of dog bites and their emergency department management in a Canadian pediatric population, and to provide treatment and prevention recommendations. Methods: The charts of all children ≤16 years of age presenting with a dog bite to either of the 2 tertiary emergency departments in Edmonton, Alberta, between 1998 and 2002 were retrospectively reviewed. Results: Overall, 287 cases were reviewed; 145 boys (50.5%) and 142 girls (49.5%). The mean age was 7.4 years. The patient's face was the most frequently bitten site (58.5%, n = 168), followed by an extremity (35.5%, n = 102). Most bites required sutures (54.5%, n = 155), and 72 (25.1%) were classified as severe, based on suture number (&gt; 10 sutures, n = 69), associated fractures (n = 4), operating room repair (n = 21) or fatality (n = 1). The mean age of children with severe bites was significantly lower than children with mild bites (6.3 v. 7.8 yr, p &lt; 0.01). Most patients were treated solely in the emergency department (84.7%, n = 243); however 44 (15.3%) were admitted to hospital and required a total of 144 days of inpatient care. Signs of infection were described in 16 cases (5.6%); of these 8 had received 2 or more prior doses of antibiotics. Public health or police notification was documented in 56 cases (19.5%), and safety or preventive discussion was documented in 3 cases (1.0%). Conclusions: Dog bites in Canadian children are common, often serious or even lethal, and not always managed ideally. Preventive discussion and public health contact is infrequently documented and likely seldom occurs. In addition to medical care, emergency department staff should provide and document preventive guidance and ensure involvement of public health or police when indicated. </w:instrText>
      </w:r>
      <w:r w:rsidR="007313C8">
        <w:rPr>
          <w:rFonts w:ascii="Interface Regular" w:hAnsi="Interface Regular" w:hint="eastAsia"/>
          <w:lang w:val="en"/>
        </w:rPr>
        <w:instrText>©</w:instrText>
      </w:r>
      <w:r w:rsidR="007313C8">
        <w:rPr>
          <w:rFonts w:ascii="Interface Regular" w:hAnsi="Interface Regular"/>
          <w:lang w:val="en"/>
        </w:rPr>
        <w:instrText xml:space="preserve"> 1998-2005 Canadian Association of Emergency Physicians.","author":[{"dropping-particle":"","family":"Lang","given":"Mia E.","non-dropping-particle":"","parse-names":false,"suffix":""},{"dropping-particle":"","family":"Klassen","given":"Terry","non-dropping-particle":"","parse-names":false,"suffix":""}],"container-title":"Canadian Journal of Emergency Medicine","id":"ITEM-1","issue":"5","issued":{"date-parts":[["2005"]]},"page":"309-314","title":"Dog bites in Canadian children: A five-year review of severity and emergency department management","type":"article-journal","volume":"7"},"uris":["http://www.mendeley.com/documents/?uuid=4028c173-a3ad-49db-8a29-f04881dd373f"]}],"mendeley":{"formattedCitation":"[9]","plainTextFormattedCitation":"[9]","previouslyFormattedCitation":"[9]"},"properties":{"noteIndex":0},"schema":"https://github.com/citation-style-language/schema/raw/master/csl-citation.json"}</w:instrText>
      </w:r>
      <w:r w:rsidR="007C096A">
        <w:rPr>
          <w:rFonts w:ascii="Interface Regular" w:hAnsi="Interface Regular"/>
          <w:lang w:val="en"/>
        </w:rPr>
        <w:fldChar w:fldCharType="separate"/>
      </w:r>
      <w:r w:rsidR="007313C8" w:rsidRPr="007313C8">
        <w:rPr>
          <w:rFonts w:ascii="Interface Regular" w:hAnsi="Interface Regular"/>
          <w:noProof/>
          <w:lang w:val="en"/>
        </w:rPr>
        <w:t>[9]</w:t>
      </w:r>
      <w:r w:rsidR="007C096A">
        <w:rPr>
          <w:rFonts w:ascii="Interface Regular" w:hAnsi="Interface Regular"/>
          <w:lang w:val="en"/>
        </w:rPr>
        <w:fldChar w:fldCharType="end"/>
      </w:r>
      <w:r w:rsidR="007C096A">
        <w:rPr>
          <w:rFonts w:ascii="Interface Regular" w:hAnsi="Interface Regular"/>
          <w:lang w:val="en"/>
        </w:rPr>
        <w:t xml:space="preserve"> Children are overrepresented in fatal dog attacks</w:t>
      </w:r>
      <w:r w:rsidR="00851892">
        <w:rPr>
          <w:rFonts w:ascii="Interface Regular" w:hAnsi="Interface Regular"/>
          <w:lang w:val="en"/>
        </w:rPr>
        <w:t>;</w:t>
      </w:r>
      <w:r w:rsidR="007C096A">
        <w:rPr>
          <w:rFonts w:ascii="Interface Regular" w:hAnsi="Interface Regular"/>
          <w:lang w:val="en"/>
        </w:rPr>
        <w:t xml:space="preserve"> in the USA 55.6% </w:t>
      </w:r>
      <w:r w:rsidR="003E5468">
        <w:rPr>
          <w:rFonts w:ascii="Interface Regular" w:hAnsi="Interface Regular"/>
          <w:lang w:val="en"/>
        </w:rPr>
        <w:t xml:space="preserve">of victims </w:t>
      </w:r>
      <w:r w:rsidR="007C096A">
        <w:rPr>
          <w:rFonts w:ascii="Interface Regular" w:hAnsi="Interface Regular"/>
          <w:lang w:val="en"/>
        </w:rPr>
        <w:t>were less than 10 years old</w:t>
      </w:r>
      <w:r w:rsidR="00A1134C">
        <w:rPr>
          <w:rFonts w:ascii="Interface Regular" w:hAnsi="Interface Regular"/>
          <w:lang w:val="en"/>
        </w:rPr>
        <w:t>,</w:t>
      </w:r>
      <w:r w:rsidR="007C096A">
        <w:rPr>
          <w:rFonts w:ascii="Interface Regular" w:hAnsi="Interface Regular"/>
          <w:lang w:val="en"/>
        </w:rPr>
        <w:fldChar w:fldCharType="begin" w:fldLock="1"/>
      </w:r>
      <w:r w:rsidR="007313C8">
        <w:rPr>
          <w:rFonts w:ascii="Interface Regular" w:hAnsi="Interface Regular"/>
          <w:lang w:val="en"/>
        </w:rPr>
        <w:instrText>ADDIN CSL_CITATION {"citationItems":[{"id":"ITEM-1","itemData":{"DOI":"10.1580/08-WEME-OR-213.1","ISSN":"10806032","abstract":"Introduction-Dog attacks are a major public health concern worldwide. Dogs bite over 4 million people resulting in the hospitalization of 6000 to 13000 people each year in the United States. Rarely deaths may occur after an attack. Methods-This study utilized the compressed mortality files from CDC WONDER to evaluate deaths from dog attacks over the 27-year period 1979-2005. Results-An average of approximately 19 deaths was reported annually from dog attacks during this time period. Males and children less than 10 years of age had the highest rate of death from dog attacks. Deaths have been reported in 49 states with Alaska reporting the highest death rate from dog attacks. The number of deaths and death rate from dog attacks appear to be increasing. Conclusions-Deaths from dog attacks appear to be increasing as the population of both humans and dogs has increased during this time period. Children have the greatest risk of death. There is a need for a national reporting system on dog bites to fully capture the extent of fatalities and look at risk factors surrounding the attack. The development of effective prevention practices is dependent upon examination of these risk factors.","author":[{"dropping-particle":"","family":"Langley","given":"Ricky L.","non-dropping-particle":"","parse-names":false,"suffix":""}],"container-title":"Wilderness and Environmental Medicine","id":"ITEM-1","issue":"1","issued":{"date-parts":[["2009"]]},"page":"19-25","publisher":"Elsevier","title":"Human fatalities resulting from dog attacks in the united states, 1979-2005","type":"article-journal","volume":"20"},"uris":["http://www.mendeley.com/documents/?uuid=7fe6738e-4373-4f21-b99a-a16b566bfea9"]}],"mendeley":{"formattedCitation":"[10]","plainTextFormattedCitation":"[10]","previouslyFormattedCitation":"[10]"},"properties":{"noteIndex":0},"schema":"https://github.com/citation-style-language/schema/raw/master/csl-citation.json"}</w:instrText>
      </w:r>
      <w:r w:rsidR="007C096A">
        <w:rPr>
          <w:rFonts w:ascii="Interface Regular" w:hAnsi="Interface Regular"/>
          <w:lang w:val="en"/>
        </w:rPr>
        <w:fldChar w:fldCharType="separate"/>
      </w:r>
      <w:r w:rsidR="007313C8" w:rsidRPr="007313C8">
        <w:rPr>
          <w:rFonts w:ascii="Interface Regular" w:hAnsi="Interface Regular"/>
          <w:noProof/>
          <w:lang w:val="en"/>
        </w:rPr>
        <w:t>[10]</w:t>
      </w:r>
      <w:r w:rsidR="007C096A">
        <w:rPr>
          <w:rFonts w:ascii="Interface Regular" w:hAnsi="Interface Regular"/>
          <w:lang w:val="en"/>
        </w:rPr>
        <w:fldChar w:fldCharType="end"/>
      </w:r>
      <w:r w:rsidR="007C096A">
        <w:rPr>
          <w:rFonts w:ascii="Interface Regular" w:hAnsi="Interface Regular"/>
          <w:lang w:val="en"/>
        </w:rPr>
        <w:t xml:space="preserve"> in Canada 86% were under twelve years old</w:t>
      </w:r>
      <w:r w:rsidR="00A1134C">
        <w:rPr>
          <w:rFonts w:ascii="Interface Regular" w:hAnsi="Interface Regular"/>
          <w:lang w:val="en"/>
        </w:rPr>
        <w:t>,</w:t>
      </w:r>
      <w:r w:rsidR="007C096A">
        <w:rPr>
          <w:rFonts w:ascii="Interface Regular" w:hAnsi="Interface Regular"/>
          <w:lang w:val="en"/>
        </w:rPr>
        <w:fldChar w:fldCharType="begin" w:fldLock="1"/>
      </w:r>
      <w:r w:rsidR="007313C8">
        <w:rPr>
          <w:rFonts w:ascii="Interface Regular" w:hAnsi="Interface Regular"/>
          <w:lang w:val="en"/>
        </w:rPr>
        <w:instrText>ADDIN CSL_CITATION {"citationItems":[{"id":"ITEM-1","itemData":{"ISSN":"00085286","abstract":"In Canada, public debates on dog attacks are dominated by studies from the United States. An electronic search of media reports in the Canadian Newsstand database, for the years 1990 to 2007, identified 28 fatalities from dog-bite injuries. Predominant factors in this case series were owned, known dogs; residential location; children's unsupervised access to area with dogs; and rural/remote areas, including aboriginal reserves in the prairies. A higher proportion of sled dogs and, possibly, mixed-breed dogs in Canada than in the United States caused fatalities, as did multiple dogs rather than single dogs. Free-roaming dog packs, reported only from rural communities, caused most on-reserve fatalities. Future studies are needed to assess if this rural/urban divide is observed in nonfatal attacks and if the breeds that bite in Canada are different from the breeds that killed. Breed representation in this paper and, perhaps, multiple-dog overrepresentation should be understood in the context of the overall Canadian dog population.","author":[{"dropping-particle":"","family":"Raghavan","given":"Malathi","non-dropping-particle":"","parse-names":false,"suffix":""}],"container-title":"Canadian Veterinary Journal","id":"ITEM-1","issue":"6","issued":{"date-parts":[["2008"]]},"page":"577-581","title":"Fatal dog attacks in Canada, 1990-2007","type":"article-journal","volume":"49"},"uris":["http://www.mendeley.com/documents/?uuid=d26f2131-5bc2-4c45-82f0-7197a58f7ff5"]}],"mendeley":{"formattedCitation":"[11]","plainTextFormattedCitation":"[11]","previouslyFormattedCitation":"[11]"},"properties":{"noteIndex":0},"schema":"https://github.com/citation-style-language/schema/raw/master/csl-citation.json"}</w:instrText>
      </w:r>
      <w:r w:rsidR="007C096A">
        <w:rPr>
          <w:rFonts w:ascii="Interface Regular" w:hAnsi="Interface Regular"/>
          <w:lang w:val="en"/>
        </w:rPr>
        <w:fldChar w:fldCharType="separate"/>
      </w:r>
      <w:r w:rsidR="007313C8" w:rsidRPr="007313C8">
        <w:rPr>
          <w:rFonts w:ascii="Interface Regular" w:hAnsi="Interface Regular"/>
          <w:noProof/>
          <w:lang w:val="en"/>
        </w:rPr>
        <w:t>[11]</w:t>
      </w:r>
      <w:r w:rsidR="007C096A">
        <w:rPr>
          <w:rFonts w:ascii="Interface Regular" w:hAnsi="Interface Regular"/>
          <w:lang w:val="en"/>
        </w:rPr>
        <w:fldChar w:fldCharType="end"/>
      </w:r>
      <w:r w:rsidR="007C096A">
        <w:rPr>
          <w:rFonts w:ascii="Interface Regular" w:hAnsi="Interface Regular"/>
          <w:lang w:val="en"/>
        </w:rPr>
        <w:t xml:space="preserve"> whilst in Europe 16% were less than 10, </w:t>
      </w:r>
      <w:r w:rsidR="002610E4">
        <w:rPr>
          <w:rFonts w:ascii="Interface Regular" w:hAnsi="Interface Regular"/>
          <w:lang w:val="en"/>
        </w:rPr>
        <w:t xml:space="preserve">with </w:t>
      </w:r>
      <w:r w:rsidR="007C096A">
        <w:rPr>
          <w:rFonts w:ascii="Interface Regular" w:hAnsi="Interface Regular"/>
          <w:lang w:val="en"/>
        </w:rPr>
        <w:t>3% less than a year old</w:t>
      </w:r>
      <w:r w:rsidR="00A1134C">
        <w:rPr>
          <w:rFonts w:ascii="Interface Regular" w:hAnsi="Interface Regular"/>
          <w:lang w:val="en"/>
        </w:rPr>
        <w:t>.</w:t>
      </w:r>
      <w:r w:rsidR="007C096A">
        <w:rPr>
          <w:rFonts w:ascii="Interface Regular" w:hAnsi="Interface Regular"/>
          <w:lang w:val="en"/>
        </w:rPr>
        <w:fldChar w:fldCharType="begin" w:fldLock="1"/>
      </w:r>
      <w:r w:rsidR="007313C8">
        <w:rPr>
          <w:rFonts w:ascii="Interface Regular" w:hAnsi="Interface Regular"/>
          <w:lang w:val="en"/>
        </w:rPr>
        <w:instrText>ADDIN CSL_CITATION {"citationItems":[{"id":"ITEM-1","itemData":{"DOI":"10.1016/j.forsciint.2020.110592","ISSN":"18726283","abstract":"We analyzed fatal dog attacks in Europe 1995</w:instrText>
      </w:r>
      <w:r w:rsidR="007313C8">
        <w:rPr>
          <w:rFonts w:ascii="Interface Regular" w:hAnsi="Interface Regular" w:hint="eastAsia"/>
          <w:lang w:val="en"/>
        </w:rPr>
        <w:instrText>–</w:instrText>
      </w:r>
      <w:r w:rsidR="007313C8">
        <w:rPr>
          <w:rFonts w:ascii="Interface Regular" w:hAnsi="Interface Regular"/>
          <w:lang w:val="en"/>
        </w:rPr>
        <w:instrText>2016 using official death cause data from Eurostat. The data comprised the number of fatalities assigned The International Statistical Classification of Diseases and Related Health Problems, Tenth Revision (ICD-10) code W54 \"bitten or struck by dog\", which includes deaths due to direct attacks but which excludes many complications following dog bites, such as rabies. In 2016, dogs killed 45 Europeans, which translates to an incidence of 0.009 per 100,000 inhabitants. This is comparable to estimates from the USA (0.011), and Canada (0.007), but higher than Australia (0.004). The number of European fatalities due to dog attacks increased significantly at a rate of several percent per year. This increase could not be explained by increases in the human or the dog populations. By taking all fatalities reported 1995</w:instrText>
      </w:r>
      <w:r w:rsidR="007313C8">
        <w:rPr>
          <w:rFonts w:ascii="Interface Regular" w:hAnsi="Interface Regular" w:hint="eastAsia"/>
          <w:lang w:val="en"/>
        </w:rPr>
        <w:instrText>–</w:instrText>
      </w:r>
      <w:r w:rsidR="007313C8">
        <w:rPr>
          <w:rFonts w:ascii="Interface Regular" w:hAnsi="Interface Regular"/>
          <w:lang w:val="en"/>
        </w:rPr>
        <w:instrText>2016 into account, we investigated the effects of age, gender and geography. First, children, including infants, were common victims, but also middle-aged and the elderly, while people between ages 10 and 39 were rarely killed by dogs. Second, boys and men were overrepresented, but only in certain age groups and in certain parts of Europe. Third, there were large national and regional differences, both in the effects of gender and in incidences, which ranged from 0 to 0.045 per 100,000 inhabitants. This study of dog-related fatalities at a European level is the first of its kind and forms a basis for more detailed, national studies.","author":[{"dropping-particle":"","family":"Sarenbo","given":"Sirkku","non-dropping-particle":"","parse-names":false,"suffix":""},{"dropping-particle":"","family":"Svensson","given":"P. Andreas","non-dropping-particle":"","parse-names":false,"suffix":""}],"container-title":"Forensic Science International","id":"ITEM-1","issue":"xxxx","issued":{"date-parts":[["2020"]]},"page":"110592","publisher":"Elsevier Ireland Ltd","title":"Bitten or struck by dog: A rising number of fatalities in Europe, 1995</w:instrText>
      </w:r>
      <w:r w:rsidR="007313C8">
        <w:rPr>
          <w:rFonts w:ascii="Interface Regular" w:hAnsi="Interface Regular" w:hint="eastAsia"/>
          <w:lang w:val="en"/>
        </w:rPr>
        <w:instrText>–</w:instrText>
      </w:r>
      <w:r w:rsidR="007313C8">
        <w:rPr>
          <w:rFonts w:ascii="Interface Regular" w:hAnsi="Interface Regular"/>
          <w:lang w:val="en"/>
        </w:rPr>
        <w:instrText>2016","type":"article-journal"},"uris":["http://www.mendeley.com/documents/?uuid=d77f2451-773e-47bd-9084-b43aa622066c"]}],"mendeley":{"formattedCitation":"[12]","plainTextFormattedCitation":"[12]","previouslyFormattedCitation":"[12]"},"properties":{"noteIndex":0},"schema":"https://github.com/citation-style-language/schema/raw/master/csl-citation.json"}</w:instrText>
      </w:r>
      <w:r w:rsidR="007C096A">
        <w:rPr>
          <w:rFonts w:ascii="Interface Regular" w:hAnsi="Interface Regular"/>
          <w:lang w:val="en"/>
        </w:rPr>
        <w:fldChar w:fldCharType="separate"/>
      </w:r>
      <w:r w:rsidR="007313C8" w:rsidRPr="007313C8">
        <w:rPr>
          <w:rFonts w:ascii="Interface Regular" w:hAnsi="Interface Regular"/>
          <w:noProof/>
          <w:lang w:val="en"/>
        </w:rPr>
        <w:t>[12]</w:t>
      </w:r>
      <w:r w:rsidR="007C096A">
        <w:rPr>
          <w:rFonts w:ascii="Interface Regular" w:hAnsi="Interface Regular"/>
          <w:lang w:val="en"/>
        </w:rPr>
        <w:fldChar w:fldCharType="end"/>
      </w:r>
      <w:r w:rsidR="007C096A">
        <w:rPr>
          <w:rFonts w:ascii="Interface Regular" w:hAnsi="Interface Regular"/>
          <w:lang w:val="en"/>
        </w:rPr>
        <w:t xml:space="preserve"> United Kingdom</w:t>
      </w:r>
      <w:r w:rsidR="00401240">
        <w:rPr>
          <w:rFonts w:ascii="Interface Regular" w:hAnsi="Interface Regular"/>
          <w:lang w:val="en"/>
        </w:rPr>
        <w:t xml:space="preserve"> (UK)</w:t>
      </w:r>
      <w:r w:rsidR="007C096A">
        <w:rPr>
          <w:rFonts w:ascii="Interface Regular" w:hAnsi="Interface Regular"/>
          <w:lang w:val="en"/>
        </w:rPr>
        <w:t xml:space="preserve"> fatality numbers are unknown.</w:t>
      </w:r>
      <w:r w:rsidR="00AB6CEF">
        <w:rPr>
          <w:rFonts w:ascii="Interface Regular" w:hAnsi="Interface Regular"/>
          <w:lang w:val="en"/>
        </w:rPr>
        <w:t xml:space="preserve"> Even with excellent management of wounds, the physical and psychological consequence</w:t>
      </w:r>
      <w:r w:rsidR="00851892">
        <w:rPr>
          <w:rFonts w:ascii="Interface Regular" w:hAnsi="Interface Regular"/>
          <w:lang w:val="en"/>
        </w:rPr>
        <w:t>s</w:t>
      </w:r>
      <w:r w:rsidR="00AB6CEF">
        <w:rPr>
          <w:rFonts w:ascii="Interface Regular" w:hAnsi="Interface Regular"/>
          <w:lang w:val="en"/>
        </w:rPr>
        <w:t xml:space="preserve"> may be long-lasting</w:t>
      </w:r>
      <w:r w:rsidR="00A1134C">
        <w:rPr>
          <w:rFonts w:ascii="Interface Regular" w:hAnsi="Interface Regular"/>
          <w:lang w:val="en"/>
        </w:rPr>
        <w:t>,</w:t>
      </w:r>
      <w:r w:rsidR="007C096A">
        <w:rPr>
          <w:rFonts w:ascii="Interface Regular" w:hAnsi="Interface Regular"/>
          <w:lang w:val="en"/>
        </w:rPr>
        <w:fldChar w:fldCharType="begin" w:fldLock="1"/>
      </w:r>
      <w:r w:rsidR="007313C8">
        <w:rPr>
          <w:rFonts w:ascii="Interface Regular" w:hAnsi="Interface Regular"/>
          <w:lang w:val="en"/>
        </w:rPr>
        <w:instrText>ADDIN CSL_CITATION {"citationItems":[{"id":"ITEM-1","itemData":{"DOI":"10.1136/bmjpo-2020-000726","ISSN":"23999772","abstract":"Dog bite injuries are a significant public health problem and many are sustained by children. These injuries can be complex, both physically and psychologically, and in rare cases fatal. This paper will review current evidence-based approaches to treatment, explore identified patterns in biting incidents and discuss the effectiveness of prevention strategies. Safe management of these patients requires a comprehensive approach. Physical injuries need to be accurately assessed with a high index of suspicion for underlying injuries, particularly in younger children less able to communicate. Treatment depends on severity and location, but all bites must be irrigated to reduce the risk of infection but may not always require prophylactic antibiotic use. Careful exploration of the circumstances in which the bite occurred is essential to make safeguarding decisions and prevent future bites. Reducing the incidence of paediatric dog bites requires education of both children and parents that any dog can bite, regardless of breed, and all child-dog interactions must be highly supervised. However, education alone is unlikely to prevent dog bites. Policies that support environmental changes need to be developed such as provision of pet dogs less likely to bite (or bite as severely), through breeding for temperament and appropriate socialisation. Additionally, investment in psychological support for bite victims and their families is required to reduce the long-term impacts of being bitten.","author":[{"dropping-particle":"","family":"Jakeman","given":"Molly","non-dropping-particle":"","parse-names":false,"suffix":""},{"dropping-particle":"","family":"Oxley","given":"James A.","non-dropping-particle":"","parse-names":false,"suffix":""},{"dropping-particle":"","family":"Owczarczak-Garstecka","given":"Sara C.","non-dropping-particle":"","parse-names":false,"suffix":""},{"dropping-particle":"","family":"Westgarth","given":"Carri","non-dropping-particle":"","parse-names":false,"suffix":""}],"container-title":"BMJ Paediatrics Open","id":"ITEM-1","issue":"1","issued":{"date-parts":[["2020"]]},"page":"15-18","title":"Pet dog bites in children: Management and prevention","type":"article-journal","volume":"4"},"uris":["http://www.mendeley.com/documents/?uuid=264303fe-1e34-4e20-bd0e-cf3914b0439b"]},{"id":"ITEM-2","itemData":{"DOI":"10.1177/0009922811435504","ISBN":"0009922811435","author":[{"dropping-particle":"","family":"Boat","given":"Barbara W","non-dropping-particle":"","parse-names":false,"suffix":""},{"dropping-particle":"","family":"Dixon","given":"Cinnamon A","non-dropping-particle":"","parse-names":false,"suffix":""},{"dropping-particle":"","family":"Pearl","given":"Erica","non-dropping-particle":"","parse-names":false,"suffix":""},{"dropping-particle":"","family":"Thieken","given":"Lacey","non-dropping-particle":"","parse-names":false,"suffix":""},{"dropping-particle":"","family":"Bucher","given":"Sarah E","non-dropping-particle":"","parse-names":false,"suffix":""}],"id":"ITEM-2","issued":{"date-parts":[["2012"]]},"title":"Pediatric Dog Bite Victims : A Need for a Continuum of Care","type":"article-journal"},"uris":["http://www.mendeley.com/documents/?uuid=7a14bc5d-b9b3-43a9-8af7-03883262d51c"]}],"mendeley":{"formattedCitation":"[13,14]","plainTextFormattedCitation":"[13,14]","previouslyFormattedCitation":"[13,14]"},"properties":{"noteIndex":0},"schema":"https://github.com/citation-style-language/schema/raw/master/csl-citation.json"}</w:instrText>
      </w:r>
      <w:r w:rsidR="007C096A">
        <w:rPr>
          <w:rFonts w:ascii="Interface Regular" w:hAnsi="Interface Regular"/>
          <w:lang w:val="en"/>
        </w:rPr>
        <w:fldChar w:fldCharType="separate"/>
      </w:r>
      <w:r w:rsidR="007313C8" w:rsidRPr="007313C8">
        <w:rPr>
          <w:rFonts w:ascii="Interface Regular" w:hAnsi="Interface Regular"/>
          <w:noProof/>
          <w:lang w:val="en"/>
        </w:rPr>
        <w:t>[13,14]</w:t>
      </w:r>
      <w:r w:rsidR="007C096A">
        <w:rPr>
          <w:rFonts w:ascii="Interface Regular" w:hAnsi="Interface Regular"/>
          <w:lang w:val="en"/>
        </w:rPr>
        <w:fldChar w:fldCharType="end"/>
      </w:r>
      <w:r w:rsidR="00AB6CEF">
        <w:rPr>
          <w:rFonts w:ascii="Interface Regular" w:hAnsi="Interface Regular"/>
          <w:lang w:val="en"/>
        </w:rPr>
        <w:t xml:space="preserve"> with 70%</w:t>
      </w:r>
      <w:r w:rsidR="007C096A">
        <w:rPr>
          <w:rFonts w:ascii="Interface Regular" w:hAnsi="Interface Regular"/>
          <w:lang w:val="en"/>
        </w:rPr>
        <w:t xml:space="preserve"> of parents of dog bite victims hav</w:t>
      </w:r>
      <w:r w:rsidR="00851892">
        <w:rPr>
          <w:rFonts w:ascii="Interface Regular" w:hAnsi="Interface Regular"/>
          <w:lang w:val="en"/>
        </w:rPr>
        <w:t>ing</w:t>
      </w:r>
      <w:r w:rsidR="007C096A">
        <w:rPr>
          <w:rFonts w:ascii="Interface Regular" w:hAnsi="Interface Regular"/>
          <w:lang w:val="en"/>
        </w:rPr>
        <w:t xml:space="preserve"> reported behavioural concerns in their children as a </w:t>
      </w:r>
      <w:r w:rsidR="00564130">
        <w:rPr>
          <w:rFonts w:ascii="Interface Regular" w:hAnsi="Interface Regular"/>
          <w:lang w:val="en"/>
        </w:rPr>
        <w:t>sequalae</w:t>
      </w:r>
      <w:r w:rsidR="007C096A">
        <w:rPr>
          <w:rFonts w:ascii="Interface Regular" w:hAnsi="Interface Regular"/>
          <w:lang w:val="en"/>
        </w:rPr>
        <w:t xml:space="preserve"> of the bite</w:t>
      </w:r>
      <w:r w:rsidR="00A1134C">
        <w:rPr>
          <w:rFonts w:ascii="Interface Regular" w:hAnsi="Interface Regular"/>
          <w:lang w:val="en"/>
        </w:rPr>
        <w:t>.</w:t>
      </w:r>
      <w:r w:rsidR="007C096A">
        <w:rPr>
          <w:rFonts w:ascii="Interface Regular" w:hAnsi="Interface Regular"/>
          <w:lang w:val="en"/>
        </w:rPr>
        <w:fldChar w:fldCharType="begin" w:fldLock="1"/>
      </w:r>
      <w:r w:rsidR="007313C8">
        <w:rPr>
          <w:rFonts w:ascii="Interface Regular" w:hAnsi="Interface Regular"/>
          <w:lang w:val="en"/>
        </w:rPr>
        <w:instrText>ADDIN CSL_CITATION {"citationItems":[{"id":"ITEM-1","itemData":{"DOI":"10.1177/0009922811435504","ISBN":"0009922811435","author":[{"dropping-particle":"","family":"Boat","given":"Barbara W","non-dropping-particle":"","parse-names":false,"suffix":""},{"dropping-particle":"","family":"Dixon","given":"Cinnamon A","non-dropping-particle":"","parse-names":false,"suffix":""},{"dropping-particle":"","family":"Pearl","given":"Erica","non-dropping-particle":"","parse-names":false,"suffix":""},{"dropping-particle":"","family":"Thieken","given":"Lacey","non-dropping-particle":"","parse-names":false,"suffix":""},{"dropping-particle":"","family":"Bucher","given":"Sarah E","non-dropping-particle":"","parse-names":false,"suffix":""}],"id":"ITEM-1","issued":{"date-parts":[["2012"]]},"title":"Pediatric Dog Bite Victims : A Need for a Continuum of Care","type":"article-journal"},"uris":["http://www.mendeley.com/documents/?uuid=7a14bc5d-b9b3-43a9-8af7-03883262d51c"]}],"mendeley":{"formattedCitation":"[14]","plainTextFormattedCitation":"[14]","previouslyFormattedCitation":"[14]"},"properties":{"noteIndex":0},"schema":"https://github.com/citation-style-language/schema/raw/master/csl-citation.json"}</w:instrText>
      </w:r>
      <w:r w:rsidR="007C096A">
        <w:rPr>
          <w:rFonts w:ascii="Interface Regular" w:hAnsi="Interface Regular"/>
          <w:lang w:val="en"/>
        </w:rPr>
        <w:fldChar w:fldCharType="separate"/>
      </w:r>
      <w:r w:rsidR="007313C8" w:rsidRPr="007313C8">
        <w:rPr>
          <w:rFonts w:ascii="Interface Regular" w:hAnsi="Interface Regular"/>
          <w:noProof/>
          <w:lang w:val="en"/>
        </w:rPr>
        <w:t>[14]</w:t>
      </w:r>
      <w:r w:rsidR="007C096A">
        <w:rPr>
          <w:rFonts w:ascii="Interface Regular" w:hAnsi="Interface Regular"/>
          <w:lang w:val="en"/>
        </w:rPr>
        <w:fldChar w:fldCharType="end"/>
      </w:r>
      <w:r w:rsidR="00564130">
        <w:rPr>
          <w:rFonts w:ascii="Interface Regular" w:hAnsi="Interface Regular"/>
          <w:lang w:val="en"/>
        </w:rPr>
        <w:t xml:space="preserve"> </w:t>
      </w:r>
    </w:p>
    <w:p w14:paraId="7FDA18DD" w14:textId="33211469" w:rsidR="000D17BC" w:rsidRPr="004D0164" w:rsidRDefault="00564130" w:rsidP="004D0164">
      <w:pPr>
        <w:spacing w:line="360" w:lineRule="auto"/>
        <w:jc w:val="both"/>
        <w:rPr>
          <w:rFonts w:ascii="Interface Regular" w:hAnsi="Interface Regular"/>
          <w:lang w:val="en"/>
        </w:rPr>
      </w:pPr>
      <w:r>
        <w:rPr>
          <w:rFonts w:ascii="Interface Regular" w:hAnsi="Interface Regular"/>
          <w:lang w:val="en"/>
        </w:rPr>
        <w:lastRenderedPageBreak/>
        <w:t>During the COVID-19 pandemic, many public health measures directly affected children, primarily the implementation of national lockdowns</w:t>
      </w:r>
      <w:r w:rsidR="001B1FA1">
        <w:rPr>
          <w:rFonts w:ascii="Interface Regular" w:hAnsi="Interface Regular"/>
          <w:lang w:val="en"/>
        </w:rPr>
        <w:t>,</w:t>
      </w:r>
      <w:r>
        <w:rPr>
          <w:rFonts w:ascii="Interface Regular" w:hAnsi="Interface Regular"/>
          <w:lang w:val="en"/>
        </w:rPr>
        <w:t xml:space="preserve"> ‘stay at home’ orders, </w:t>
      </w:r>
      <w:r w:rsidR="001B1FA1">
        <w:rPr>
          <w:rFonts w:ascii="Interface Regular" w:hAnsi="Interface Regular"/>
          <w:lang w:val="en"/>
        </w:rPr>
        <w:t xml:space="preserve">the restriction of </w:t>
      </w:r>
      <w:proofErr w:type="spellStart"/>
      <w:r w:rsidR="001B1FA1">
        <w:rPr>
          <w:rFonts w:ascii="Interface Regular" w:hAnsi="Interface Regular"/>
          <w:lang w:val="en"/>
        </w:rPr>
        <w:t>soci</w:t>
      </w:r>
      <w:r w:rsidR="00EE1FF2">
        <w:rPr>
          <w:rFonts w:ascii="Interface Regular" w:hAnsi="Interface Regular"/>
          <w:lang w:val="en"/>
        </w:rPr>
        <w:t>a</w:t>
      </w:r>
      <w:r w:rsidR="001B1FA1">
        <w:rPr>
          <w:rFonts w:ascii="Interface Regular" w:hAnsi="Interface Regular"/>
          <w:lang w:val="en"/>
        </w:rPr>
        <w:t>lisation</w:t>
      </w:r>
      <w:proofErr w:type="spellEnd"/>
      <w:r w:rsidR="001B1FA1">
        <w:rPr>
          <w:rFonts w:ascii="Interface Regular" w:hAnsi="Interface Regular"/>
          <w:lang w:val="en"/>
        </w:rPr>
        <w:t xml:space="preserve"> outside their household unit, </w:t>
      </w:r>
      <w:r>
        <w:rPr>
          <w:rFonts w:ascii="Interface Regular" w:hAnsi="Interface Regular"/>
          <w:lang w:val="en"/>
        </w:rPr>
        <w:t>and the closure of schools</w:t>
      </w:r>
      <w:r w:rsidR="00A1134C">
        <w:rPr>
          <w:rFonts w:ascii="Interface Regular" w:hAnsi="Interface Regular"/>
          <w:lang w:val="en"/>
        </w:rPr>
        <w:t>.</w:t>
      </w:r>
      <w:r w:rsidR="001B1FA1">
        <w:rPr>
          <w:rFonts w:ascii="Interface Regular" w:hAnsi="Interface Regular"/>
          <w:lang w:val="en"/>
        </w:rPr>
        <w:fldChar w:fldCharType="begin" w:fldLock="1"/>
      </w:r>
      <w:r w:rsidR="007313C8">
        <w:rPr>
          <w:rFonts w:ascii="Interface Regular" w:hAnsi="Interface Regular"/>
          <w:lang w:val="en"/>
        </w:rPr>
        <w:instrText>ADDIN CSL_CITATION {"citationItems":[{"id":"ITEM-1","itemData":{"id":"ITEM-1","issued":{"date-parts":[["2020"]]},"title":"Coronavirus Act 2020 (c7)","type":"legislation"},"uris":["http://www.mendeley.com/documents/?uuid=f24e46df-9e3c-4c94-b18a-7bd90467a550"]},{"id":"ITEM-2","itemData":{"id":"ITEM-2","issued":{"date-parts":[["2020"]]},"number":"350","title":"The Health Protection (Coronavirus, Restrictions) (England) Regulations 2020","type":"legislation"},"uris":["http://www.mendeley.com/documents/?uuid=787b3797-2f16-4e3e-bad9-24c5e0020949"]}],"mendeley":{"formattedCitation":"[15,16]","plainTextFormattedCitation":"[15,16]","previouslyFormattedCitation":"[15,16]"},"properties":{"noteIndex":0},"schema":"https://github.com/citation-style-language/schema/raw/master/csl-citation.json"}</w:instrText>
      </w:r>
      <w:r w:rsidR="001B1FA1">
        <w:rPr>
          <w:rFonts w:ascii="Interface Regular" w:hAnsi="Interface Regular"/>
          <w:lang w:val="en"/>
        </w:rPr>
        <w:fldChar w:fldCharType="separate"/>
      </w:r>
      <w:r w:rsidR="007313C8" w:rsidRPr="007313C8">
        <w:rPr>
          <w:rFonts w:ascii="Interface Regular" w:hAnsi="Interface Regular"/>
          <w:noProof/>
          <w:lang w:val="en"/>
        </w:rPr>
        <w:t>[15,16]</w:t>
      </w:r>
      <w:r w:rsidR="001B1FA1">
        <w:rPr>
          <w:rFonts w:ascii="Interface Regular" w:hAnsi="Interface Regular"/>
          <w:lang w:val="en"/>
        </w:rPr>
        <w:fldChar w:fldCharType="end"/>
      </w:r>
      <w:r>
        <w:rPr>
          <w:rFonts w:ascii="Interface Regular" w:hAnsi="Interface Regular"/>
          <w:lang w:val="en"/>
        </w:rPr>
        <w:t xml:space="preserve"> Such measures resulted in children spending more time than </w:t>
      </w:r>
      <w:r w:rsidR="001B1FA1">
        <w:rPr>
          <w:rFonts w:ascii="Interface Regular" w:hAnsi="Interface Regular"/>
          <w:lang w:val="en"/>
        </w:rPr>
        <w:t>usual</w:t>
      </w:r>
      <w:r>
        <w:rPr>
          <w:rFonts w:ascii="Interface Regular" w:hAnsi="Interface Regular"/>
          <w:lang w:val="en"/>
        </w:rPr>
        <w:t xml:space="preserve"> at home.</w:t>
      </w:r>
      <w:r w:rsidR="00F91EB6">
        <w:rPr>
          <w:rFonts w:ascii="Interface Regular" w:hAnsi="Interface Regular"/>
          <w:lang w:val="en"/>
        </w:rPr>
        <w:t xml:space="preserve"> Previous research has demonstrated that dogs provided people and families with many positive benefits in lockdown by reducing loneliness, and improving well-being</w:t>
      </w:r>
      <w:r w:rsidR="00A1134C">
        <w:rPr>
          <w:rFonts w:ascii="Interface Regular" w:hAnsi="Interface Regular"/>
          <w:lang w:val="en"/>
        </w:rPr>
        <w:t>.</w:t>
      </w:r>
      <w:r w:rsidR="00F91EB6">
        <w:rPr>
          <w:rFonts w:ascii="Interface Regular" w:hAnsi="Interface Regular"/>
          <w:lang w:val="en"/>
        </w:rPr>
        <w:fldChar w:fldCharType="begin" w:fldLock="1"/>
      </w:r>
      <w:r w:rsidR="00226C89">
        <w:rPr>
          <w:rFonts w:ascii="Interface Regular" w:hAnsi="Interface Regular"/>
          <w:lang w:val="en"/>
        </w:rPr>
        <w:instrText xml:space="preserve">ADDIN CSL_CITATION {"citationItems":[{"id":"ITEM-1","itemData":{"DOI":"10.1177/0020764020944195","ISSN":"17412854","abstract":"Background: The COVID-19 pandemic has resulted in many countries enforcing a </w:instrText>
      </w:r>
      <w:r w:rsidR="00226C89">
        <w:rPr>
          <w:rFonts w:ascii="Interface Regular" w:hAnsi="Interface Regular" w:hint="eastAsia"/>
          <w:lang w:val="en"/>
        </w:rPr>
        <w:instrText>‘</w:instrText>
      </w:r>
      <w:r w:rsidR="00226C89">
        <w:rPr>
          <w:rFonts w:ascii="Interface Regular" w:hAnsi="Interface Regular"/>
          <w:lang w:val="en"/>
        </w:rPr>
        <w:instrText>lockdown</w:instrText>
      </w:r>
      <w:r w:rsidR="00226C89">
        <w:rPr>
          <w:rFonts w:ascii="Interface Regular" w:hAnsi="Interface Regular" w:hint="eastAsia"/>
          <w:lang w:val="en"/>
        </w:rPr>
        <w:instrText>’</w:instrText>
      </w:r>
      <w:r w:rsidR="00226C89">
        <w:rPr>
          <w:rFonts w:ascii="Interface Regular" w:hAnsi="Interface Regular"/>
          <w:lang w:val="en"/>
        </w:rPr>
        <w:instrText>, whereby people are instructed to stay at home. Aim: The aim of this study was to capture the experience of such a lockdown in Australians living alone, with and without a dog or a cat. Method: Three hundred and eighty-four participants completed an online survey evaluating their levels of loneliness, mindfulness and mood. For participants who owned a dog or a cat, a measure of dog/cat interactions was also administered as well as two open-ended questions about how being a pet owner affected their experience of COVID-19 and how COVID-19 affected their pet. Results: Contrary to expectations, cat owners were found to be less mindful than non-owners and pet interactions did not account for levels of loneliness or levels of mindfulness. In line with our expectations, however, stress and depression positively predicted loneliness, while mindfulness and being a dog owner were protective against it. Insights from qualitative responses suggest that this might be due to the fact that dogs encourage a routine which involves getting out of the house and walking, which itself offers opportunities to socialise with other people doing the same thing. Conclusion: These findings add to the emerging literature on mental well-being during a lockdown and the unique role that pets play in their owners</w:instrText>
      </w:r>
      <w:r w:rsidR="00226C89">
        <w:rPr>
          <w:rFonts w:ascii="Interface Regular" w:hAnsi="Interface Regular" w:hint="eastAsia"/>
          <w:lang w:val="en"/>
        </w:rPr>
        <w:instrText>’</w:instrText>
      </w:r>
      <w:r w:rsidR="00226C89">
        <w:rPr>
          <w:rFonts w:ascii="Interface Regular" w:hAnsi="Interface Regular"/>
          <w:lang w:val="en"/>
        </w:rPr>
        <w:instrText xml:space="preserve"> experiences.","author":[{"dropping-particle":"","family":"Oliva","given":"Jessica Lee","non-dropping-particle":"","parse-names":false,"suffix":""},{"dropping-particle":"","family":"Johnston","given":"Kim Louise","non-dropping-particle":"","parse-names":false,"suffix":""}],"container-title":"International Journal of Social Psychiatry","id":"ITEM-1","issued":{"date-parts":[["2020"]]},"title":"Puppy love in the time of Corona: Dog ownership protects against loneliness for those living alone during the COVID-19 lockdown","type":"article-journal"},"uris":["http://www.mendeley.com/documents/?uuid=c4bb6159-b240-4e4b-af98-294d5e802acb"]}],"mendeley":{"formattedCitation":"[17]","plainTextFormattedCitation":"[17]","previouslyFormattedCitation":"[17]"},"properties":{"noteIndex":0},"schema":"https://github.com/citation-style-language/schema/raw/master/csl-citation.json"}</w:instrText>
      </w:r>
      <w:r w:rsidR="00F91EB6">
        <w:rPr>
          <w:rFonts w:ascii="Interface Regular" w:hAnsi="Interface Regular"/>
          <w:lang w:val="en"/>
        </w:rPr>
        <w:fldChar w:fldCharType="separate"/>
      </w:r>
      <w:r w:rsidR="00F91EB6" w:rsidRPr="00F91EB6">
        <w:rPr>
          <w:rFonts w:ascii="Interface Regular" w:hAnsi="Interface Regular"/>
          <w:noProof/>
          <w:lang w:val="en"/>
        </w:rPr>
        <w:t>[17]</w:t>
      </w:r>
      <w:r w:rsidR="00F91EB6">
        <w:rPr>
          <w:rFonts w:ascii="Interface Regular" w:hAnsi="Interface Regular"/>
          <w:lang w:val="en"/>
        </w:rPr>
        <w:fldChar w:fldCharType="end"/>
      </w:r>
      <w:r w:rsidR="00F91EB6">
        <w:rPr>
          <w:rFonts w:ascii="Interface Regular" w:hAnsi="Interface Regular"/>
          <w:lang w:val="en"/>
        </w:rPr>
        <w:t xml:space="preserve"> </w:t>
      </w:r>
      <w:r>
        <w:rPr>
          <w:rFonts w:ascii="Interface Regular" w:hAnsi="Interface Regular"/>
          <w:lang w:val="en"/>
        </w:rPr>
        <w:t xml:space="preserve"> </w:t>
      </w:r>
      <w:r w:rsidR="00F91EB6">
        <w:rPr>
          <w:rFonts w:ascii="Interface Regular" w:hAnsi="Interface Regular"/>
          <w:lang w:val="en"/>
        </w:rPr>
        <w:t>However, i</w:t>
      </w:r>
      <w:r>
        <w:rPr>
          <w:rFonts w:ascii="Interface Regular" w:hAnsi="Interface Regular"/>
          <w:lang w:val="en"/>
        </w:rPr>
        <w:t xml:space="preserve">t is known that the majority of child dog bite victims </w:t>
      </w:r>
      <w:r w:rsidR="001B1FA1">
        <w:rPr>
          <w:rFonts w:ascii="Interface Regular" w:hAnsi="Interface Regular"/>
          <w:lang w:val="en"/>
        </w:rPr>
        <w:t>are</w:t>
      </w:r>
      <w:r>
        <w:rPr>
          <w:rFonts w:ascii="Interface Regular" w:hAnsi="Interface Regular"/>
          <w:lang w:val="en"/>
        </w:rPr>
        <w:t xml:space="preserve"> bitten in</w:t>
      </w:r>
      <w:r w:rsidR="00ED3FDE">
        <w:rPr>
          <w:rFonts w:ascii="Interface Regular" w:hAnsi="Interface Regular"/>
          <w:lang w:val="en"/>
        </w:rPr>
        <w:t>side the</w:t>
      </w:r>
      <w:r>
        <w:rPr>
          <w:rFonts w:ascii="Interface Regular" w:hAnsi="Interface Regular"/>
          <w:lang w:val="en"/>
        </w:rPr>
        <w:t xml:space="preserve"> home, ranging from 41-91%</w:t>
      </w:r>
      <w:r w:rsidR="00A1134C">
        <w:rPr>
          <w:rFonts w:ascii="Interface Regular" w:hAnsi="Interface Regular"/>
          <w:lang w:val="en"/>
        </w:rPr>
        <w:t>,</w:t>
      </w:r>
      <w:r>
        <w:rPr>
          <w:rFonts w:ascii="Interface Regular" w:hAnsi="Interface Regular"/>
          <w:lang w:val="en"/>
        </w:rPr>
        <w:fldChar w:fldCharType="begin" w:fldLock="1"/>
      </w:r>
      <w:r w:rsidR="00226C89">
        <w:rPr>
          <w:rFonts w:ascii="Interface Regular" w:hAnsi="Interface Regular"/>
          <w:lang w:val="en"/>
        </w:rPr>
        <w:instrText xml:space="preserve">ADDIN CSL_CITATION {"citationItems":[{"id":"ITEM-1","itemData":{"DOI":"10.1016/j.jveb.2017.10.005","ISSN":"15587878","abstract":"Dog bites are a contentious issue within the United Kingdom due to their effect on public health and increasing incidence. Despite multiple expert-led dog bite prevention schemes being available, there is limited evidence regarding the surrounding factors and likely causes of a dog bite (e.g., dog/human behavior). An online convenience sample questionnaire was distributed through social media between December 2015 and February 2016 targeting self-identified dog bite victims within the United Kingdom. A total of 484 responses were received. Victims were aged between 1 and 77 years when bitten. Most dogs (66.1%) were known to the victim. The most common context of a dog bite is related to interacting or attempting to interact with the dog (e.g., stroking, playing, handling, and restraining); however, in many cases, the dog approached the victim (50%). In 27% of cases, the dog was known to have bitten someone previously. If the upper extremities were bitten, it was likely the person approached the dog, whereas for the lower extremities, it was more likely the dog approached the person. Most injuries did not require medical treatment (62.3%), and there was no follow-on consequence for the dog involved (59.9%). Bites to an owner from their own dog were more likely to be seen as </w:instrText>
      </w:r>
      <w:r w:rsidR="00226C89">
        <w:rPr>
          <w:rFonts w:ascii="Interface Regular" w:hAnsi="Interface Regular" w:hint="eastAsia"/>
          <w:lang w:val="en"/>
        </w:rPr>
        <w:instrText>“</w:instrText>
      </w:r>
      <w:r w:rsidR="00226C89">
        <w:rPr>
          <w:rFonts w:ascii="Interface Regular" w:hAnsi="Interface Regular"/>
          <w:lang w:val="en"/>
        </w:rPr>
        <w:instrText>accidental</w:instrText>
      </w:r>
      <w:r w:rsidR="00226C89">
        <w:rPr>
          <w:rFonts w:ascii="Interface Regular" w:hAnsi="Interface Regular" w:hint="eastAsia"/>
          <w:lang w:val="en"/>
        </w:rPr>
        <w:instrText>”</w:instrText>
      </w:r>
      <w:r w:rsidR="00226C89">
        <w:rPr>
          <w:rFonts w:ascii="Interface Regular" w:hAnsi="Interface Regular"/>
          <w:lang w:val="en"/>
        </w:rPr>
        <w:instrText xml:space="preserve"> and </w:instrText>
      </w:r>
      <w:r w:rsidR="00226C89">
        <w:rPr>
          <w:rFonts w:ascii="Interface Regular" w:hAnsi="Interface Regular" w:hint="eastAsia"/>
          <w:lang w:val="en"/>
        </w:rPr>
        <w:instrText>“</w:instrText>
      </w:r>
      <w:r w:rsidR="00226C89">
        <w:rPr>
          <w:rFonts w:ascii="Interface Regular" w:hAnsi="Interface Regular"/>
          <w:lang w:val="en"/>
        </w:rPr>
        <w:instrText>unintentional</w:instrText>
      </w:r>
      <w:r w:rsidR="00226C89">
        <w:rPr>
          <w:rFonts w:ascii="Interface Regular" w:hAnsi="Interface Regular" w:hint="eastAsia"/>
          <w:lang w:val="en"/>
        </w:rPr>
        <w:instrText>”</w:instrText>
      </w:r>
      <w:r w:rsidR="00226C89">
        <w:rPr>
          <w:rFonts w:ascii="Interface Regular" w:hAnsi="Interface Regular"/>
          <w:lang w:val="en"/>
        </w:rPr>
        <w:instrText xml:space="preserve"> than bites from a less familiar dog. This study found contexts in which dog bites occur vary widely, and thus, a number of different prevention measures are required, including addressing repeat biters.","author":[{"dropping-particle":"","family":"Oxley","given":"James Andrew","non-dropping-particle":"","parse-names":false,"suffix":""},{"dropping-particle":"","family":"Christley","given":"Rob","non-dropping-particle":"","parse-names":false,"suffix":""},{"dropping-particle":"","family":"Westgarth","given":"Carri","non-dropping-particle":"","parse-names":false,"suffix":""}],"container-title":"Journal of Veterinary Behavior: Clinical Applications and Research","id":"ITEM-1","issued":{"date-parts":[["2018"]]},"page":"33-39","publisher":"Elsevier Inc","title":"Contexts and consequences of dog bite incidents","type":"article-journal","volume":"23"},"uris":["http://www.mendeley.com/documents/?uuid=d916128b-1fa0-46cb-81cc-dd0b2f867908"]},{"id":"ITEM-2","itemData":{"DOI":"10.1016/j.tvjl.2009.10.001","ISSN":"10900233","PMID":"19879172","abstract":"As part of an evaluation of Dutch breed specific legislation, data were collected from dog bite victims (1078) and dog owners (6139) using Internet surveys. The incidence rate of dog bites and details of incidents (victims, injuries, circumstances and aggressors) are reported and the justification for using breed specific measurements to deal with dog bites are considered. For aggressors, attack records for breed groups and popular breeds were established by calculating breed risk indices using a reference population. Several breeds and breed groups were over- and under-represented in the biting population and there was a mismatch between risk indices and the then-current legislation. Mitigation strategies should not be based on attack records (since this would lead to the rejection of a significant proportion of the canine population) but on the circumstances of the incidents. Preventative measures must focus on a better understanding of how to handle dogs. </w:instrText>
      </w:r>
      <w:r w:rsidR="00226C89">
        <w:rPr>
          <w:rFonts w:ascii="Interface Regular" w:hAnsi="Interface Regular" w:hint="eastAsia"/>
          <w:lang w:val="en"/>
        </w:rPr>
        <w:instrText>©</w:instrText>
      </w:r>
      <w:r w:rsidR="00226C89">
        <w:rPr>
          <w:rFonts w:ascii="Interface Regular" w:hAnsi="Interface Regular"/>
          <w:lang w:val="en"/>
        </w:rPr>
        <w:instrText xml:space="preserve"> 2009 Elsevier Ltd.","author":[{"dropping-particle":"","family":"Cornelissen","given":"Jessica M.R.","non-dropping-particle":"","parse-names":false,"suffix":""},{"dropping-particle":"","family":"Hopster","given":"Hans","non-dropping-particle":"","parse-names":false,"suffix":""}],"container-title":"Veterinary Journal","id":"ITEM-2","issue":"3","issued":{"date-parts":[["2010"]]},"page":"292-298","publisher":"Elsevier Ltd","title":"Dog bites in The Netherlands: A study of victims, injuries, circumstances and aggressors to support evaluation of breed specific legislation","type":"article-journal","volume":"186"},"uris":["http://www.mendeley.com/documents/?uuid=9be8644a-ca7d-4b9f-83a4-efcc6aef0b6e"]},{"id":"ITEM-3","itemData":{"DOI":"10.1016/j.heliyon.2019.e01360","ISSN":"24058440","abstract":"Dog bites are a significant public health issue. There is no comprehensive study of dog bite demographics. It was the purpose of this study to perform such an analysis across the US. The National Electronic Injury Surveillance System All Injury Program data for the years 2005 through 2013 was accessed; dog bite injuries were extracted and analyzed. Statistical analyses were performed with SUDAAN 11.0.01</w:instrText>
      </w:r>
      <w:r w:rsidR="00226C89">
        <w:rPr>
          <w:rFonts w:ascii="Interface Regular" w:hAnsi="Interface Regular" w:hint="eastAsia"/>
          <w:lang w:val="en"/>
        </w:rPr>
        <w:instrText>™</w:instrText>
      </w:r>
      <w:r w:rsidR="00226C89">
        <w:rPr>
          <w:rFonts w:ascii="Interface Regular" w:hAnsi="Interface Regular"/>
          <w:lang w:val="en"/>
        </w:rPr>
        <w:instrText xml:space="preserve"> software to account for the weighted, stratified nature of the data. Incidence values were calculated using population data from the US Census Bureau. A P &lt; 0.05 was considered significant. There was an average 337,103 ED visits each year for dog bites. The average age was 28.9 years; 52.6% were male and 47.4% female. The bites were located on the upper extremity in 47.3%, head/neck in 26.8%, lower extremity in 21.5%, and trunk in 4.4%. Younger patients had more bites involving the head/neck, while older patients the upper extremity. More occurred in the summer and on weekends and 80.2% occurred at home. Hospital admission occurred in 1.7%. Logistic regression analysis demonstrated that the odds of admission was solely dependent upon the age group. The OR for admission was 11.03 [4.68, 26.01] for those &gt;85 years of age, 4.88 [2.89, 8.24] 75</w:instrText>
      </w:r>
      <w:r w:rsidR="00226C89">
        <w:rPr>
          <w:rFonts w:ascii="Interface Regular" w:hAnsi="Interface Regular" w:hint="eastAsia"/>
          <w:lang w:val="en"/>
        </w:rPr>
        <w:instrText>–</w:instrText>
      </w:r>
      <w:r w:rsidR="00226C89">
        <w:rPr>
          <w:rFonts w:ascii="Interface Regular" w:hAnsi="Interface Regular"/>
          <w:lang w:val="en"/>
        </w:rPr>
        <w:instrText>84 years, and 2.79 [1.77, 4.39] those ≤4 years of age, with the 10</w:instrText>
      </w:r>
      <w:r w:rsidR="00226C89">
        <w:rPr>
          <w:rFonts w:ascii="Interface Regular" w:hAnsi="Interface Regular" w:hint="eastAsia"/>
          <w:lang w:val="en"/>
        </w:rPr>
        <w:instrText>–</w:instrText>
      </w:r>
      <w:r w:rsidR="00226C89">
        <w:rPr>
          <w:rFonts w:ascii="Interface Regular" w:hAnsi="Interface Regular"/>
          <w:lang w:val="en"/>
        </w:rPr>
        <w:instrText xml:space="preserve">14 year age group the reference group. The average annual incidence was 1.1 per 1,000, and was slightly higher in males (1.18 vs 1.02 per 1,000). The estimated cost was at least 400 million US$ per year. Potential prevention strategies are educational programs directed at both children and parents/caretakers outlining the responsibilities of owning a dog. This information can be disseminated in health care facilities, radio/TV/Internet venues, and dog kennels/shelters.","author":[{"dropping-particle":"","family":"Loder","given":"Randall T.","non-dropping-particle":"","parse-names":false,"suffix":""}],"container-title":"Heliyon","id":"ITEM-3","issue":"3","issued":{"date-parts":[["2019"]]},"page":"e01360","publisher":"Elsevier Ltd","title":"The demographics of dog bites in the United States","type":"article-journal","volume":"5"},"uris":["http://www.mendeley.com/documents/?uuid=ceadc5bf-03bc-4e00-8551-5af43c837feb"]},{"id":"ITEM-4","itemData":{"author":[{"dropping-particle":"","family":"Tulloch","given":"John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Reports","id":"ITEM-4","issued":{"date-parts":[["2021"]]},"title":"English hospital episode data analysis (1998 </w:instrText>
      </w:r>
      <w:r w:rsidR="00226C89">
        <w:rPr>
          <w:rFonts w:ascii="Interface Regular" w:hAnsi="Interface Regular" w:hint="eastAsia"/>
          <w:lang w:val="en"/>
        </w:rPr>
        <w:instrText>–</w:instrText>
      </w:r>
      <w:r w:rsidR="00226C89">
        <w:rPr>
          <w:rFonts w:ascii="Interface Regular" w:hAnsi="Interface Regular"/>
          <w:lang w:val="en"/>
        </w:rPr>
        <w:instrText xml:space="preserve"> 2018) reveal that the rise in dog bite hospital admissions is driven by adult cases","type":"article-journal"},"uris":["http://www.mendeley.com/documents/?uuid=cc0b1b1d-ad15-489c-88a4-8b03f6a84b6c"]}],"mendeley":{"formattedCitation":"[4,8,18,19]","plainTextFormattedCitation":"[4,8,18,19]","previouslyFormattedCitation":"[4,8,18,19]"},"properties":{"noteIndex":0},"schema":"https://github.com/citation-style-language/schema/raw/master/csl-citation.json"}</w:instrText>
      </w:r>
      <w:r>
        <w:rPr>
          <w:rFonts w:ascii="Interface Regular" w:hAnsi="Interface Regular"/>
          <w:lang w:val="en"/>
        </w:rPr>
        <w:fldChar w:fldCharType="separate"/>
      </w:r>
      <w:r w:rsidR="00F91EB6" w:rsidRPr="00F91EB6">
        <w:rPr>
          <w:rFonts w:ascii="Interface Regular" w:hAnsi="Interface Regular"/>
          <w:noProof/>
          <w:lang w:val="en"/>
        </w:rPr>
        <w:t>[4,8,18,19]</w:t>
      </w:r>
      <w:r>
        <w:rPr>
          <w:rFonts w:ascii="Interface Regular" w:hAnsi="Interface Regular"/>
          <w:lang w:val="en"/>
        </w:rPr>
        <w:fldChar w:fldCharType="end"/>
      </w:r>
      <w:r w:rsidR="00635531">
        <w:rPr>
          <w:rFonts w:ascii="Interface Regular" w:hAnsi="Interface Regular"/>
          <w:lang w:val="en"/>
        </w:rPr>
        <w:t xml:space="preserve"> and most dogs involved are known to the victim</w:t>
      </w:r>
      <w:r w:rsidR="00A1134C">
        <w:rPr>
          <w:rFonts w:ascii="Interface Regular" w:hAnsi="Interface Regular"/>
          <w:lang w:val="en"/>
        </w:rPr>
        <w:t>.</w:t>
      </w:r>
      <w:r w:rsidR="00635531">
        <w:rPr>
          <w:rFonts w:ascii="Interface Regular" w:hAnsi="Interface Regular"/>
          <w:lang w:val="en"/>
        </w:rPr>
        <w:fldChar w:fldCharType="begin" w:fldLock="1"/>
      </w:r>
      <w:r w:rsidR="00226C89">
        <w:rPr>
          <w:rFonts w:ascii="Interface Regular" w:hAnsi="Interface Regular"/>
          <w:lang w:val="en"/>
        </w:rPr>
        <w:instrText xml:space="preserve">ADDIN CSL_CITATION {"citationItems":[{"id":"ITEM-1","itemData":{"DOI":"10.1017/S1481803500014494","ISSN":"14818035","PMID":"17355691","abstract":"Objectives: Dog bites are a common problem. The purpose of this study was to determine the characteristics of dog bites and their emergency department management in a Canadian pediatric population, and to provide treatment and prevention recommendations. Methods: The charts of all children ≤16 years of age presenting with a dog bite to either of the 2 tertiary emergency departments in Edmonton, Alberta, between 1998 and 2002 were retrospectively reviewed. Results: Overall, 287 cases were reviewed; 145 boys (50.5%) and 142 girls (49.5%). The mean age was 7.4 years. The patient's face was the most frequently bitten site (58.5%, n = 168), followed by an extremity (35.5%, n = 102). Most bites required sutures (54.5%, n = 155), and 72 (25.1%) were classified as severe, based on suture number (&gt; 10 sutures, n = 69), associated fractures (n = 4), operating room repair (n = 21) or fatality (n = 1). The mean age of children with severe bites was significantly lower than children with mild bites (6.3 v. 7.8 yr, p &lt; 0.01). Most patients were treated solely in the emergency department (84.7%, n = 243); however 44 (15.3%) were admitted to hospital and required a total of 144 days of inpatient care. Signs of infection were described in 16 cases (5.6%); of these 8 had received 2 or more prior doses of antibiotics. Public health or police notification was documented in 56 cases (19.5%), and safety or preventive discussion was documented in 3 cases (1.0%). Conclusions: Dog bites in Canadian children are common, often serious or even lethal, and not always managed ideally. Preventive discussion and public health contact is infrequently documented and likely seldom occurs. In addition to medical care, emergency department staff should provide and document preventive guidance and ensure involvement of public health or police when indicated. </w:instrText>
      </w:r>
      <w:r w:rsidR="00226C89">
        <w:rPr>
          <w:rFonts w:ascii="Interface Regular" w:hAnsi="Interface Regular" w:hint="eastAsia"/>
          <w:lang w:val="en"/>
        </w:rPr>
        <w:instrText>©</w:instrText>
      </w:r>
      <w:r w:rsidR="00226C89">
        <w:rPr>
          <w:rFonts w:ascii="Interface Regular" w:hAnsi="Interface Regular"/>
          <w:lang w:val="en"/>
        </w:rPr>
        <w:instrText xml:space="preserve"> 1998-2005 Canadian Association of Emergency Physicians.","author":[{"dropping-particle":"","family":"Lang","given":"Mia E.","non-dropping-particle":"","parse-names":false,"suffix":""},{"dropping-particle":"","family":"Klassen","given":"Terry","non-dropping-particle":"","parse-names":false,"suffix":""}],"container-title":"Canadian Journal of Emergency Medicine","id":"ITEM-1","issue":"5","issued":{"date-parts":[["2005"]]},"page":"309-314","title":"Dog bites in Canadian children: A five-year review of severity and emergency department management","type":"article-journal","volume":"7"},"uris":["http://www.mendeley.com/documents/?uuid=4028c173-a3ad-49db-8a29-f04881dd373f"]},{"id":"ITEM-2","itemData":{"DOI":"10.1016/j.jveb.2017.10.005","ISSN":"15587878","abstract":"Dog bites are a contentious issue within the United Kingdom due to their effect on public health and increasing incidence. Despite multiple expert-led dog bite prevention schemes being available, there is limited evidence regarding the surrounding factors and likely causes of a dog bite (e.g., dog/human behavior). An online convenience sample questionnaire was distributed through social media between December 2015 and February 2016 targeting self-identified dog bite victims within the United Kingdom. A total of 484 responses were received. Victims were aged between 1 and 77 years when bitten. Most dogs (66.1%) were known to the victim. The most common context of a dog bite is related to interacting or attempting to interact with the dog (e.g., stroking, playing, handling, and restraining); however, in many cases, the dog approached the victim (50%). In 27% of cases, the dog was known to have bitten someone previously. If the upper extremities were bitten, it was likely the person approached the dog, whereas for the lower extremities, it was more likely the dog approached the person. Most injuries did not require medical treatment (62.3%), and there was no follow-on consequence for the dog involved (59.9%). Bites to an owner from their own dog were more likely to be seen as </w:instrText>
      </w:r>
      <w:r w:rsidR="00226C89">
        <w:rPr>
          <w:rFonts w:ascii="Interface Regular" w:hAnsi="Interface Regular" w:hint="eastAsia"/>
          <w:lang w:val="en"/>
        </w:rPr>
        <w:instrText>“</w:instrText>
      </w:r>
      <w:r w:rsidR="00226C89">
        <w:rPr>
          <w:rFonts w:ascii="Interface Regular" w:hAnsi="Interface Regular"/>
          <w:lang w:val="en"/>
        </w:rPr>
        <w:instrText>accidental</w:instrText>
      </w:r>
      <w:r w:rsidR="00226C89">
        <w:rPr>
          <w:rFonts w:ascii="Interface Regular" w:hAnsi="Interface Regular" w:hint="eastAsia"/>
          <w:lang w:val="en"/>
        </w:rPr>
        <w:instrText>”</w:instrText>
      </w:r>
      <w:r w:rsidR="00226C89">
        <w:rPr>
          <w:rFonts w:ascii="Interface Regular" w:hAnsi="Interface Regular"/>
          <w:lang w:val="en"/>
        </w:rPr>
        <w:instrText xml:space="preserve"> and </w:instrText>
      </w:r>
      <w:r w:rsidR="00226C89">
        <w:rPr>
          <w:rFonts w:ascii="Interface Regular" w:hAnsi="Interface Regular" w:hint="eastAsia"/>
          <w:lang w:val="en"/>
        </w:rPr>
        <w:instrText>“</w:instrText>
      </w:r>
      <w:r w:rsidR="00226C89">
        <w:rPr>
          <w:rFonts w:ascii="Interface Regular" w:hAnsi="Interface Regular"/>
          <w:lang w:val="en"/>
        </w:rPr>
        <w:instrText>unintentional</w:instrText>
      </w:r>
      <w:r w:rsidR="00226C89">
        <w:rPr>
          <w:rFonts w:ascii="Interface Regular" w:hAnsi="Interface Regular" w:hint="eastAsia"/>
          <w:lang w:val="en"/>
        </w:rPr>
        <w:instrText>”</w:instrText>
      </w:r>
      <w:r w:rsidR="00226C89">
        <w:rPr>
          <w:rFonts w:ascii="Interface Regular" w:hAnsi="Interface Regular"/>
          <w:lang w:val="en"/>
        </w:rPr>
        <w:instrText xml:space="preserve"> than bites from a less familiar dog. This study found contexts in which dog bites occur vary widely, and thus, a number of different prevention measures are required, including addressing repeat biters.","author":[{"dropping-particle":"","family":"Oxley","given":"James Andrew","non-dropping-particle":"","parse-names":false,"suffix":""},{"dropping-particle":"","family":"Christley","given":"Rob","non-dropping-particle":"","parse-names":false,"suffix":""},{"dropping-particle":"","family":"Westgarth","given":"Carri","non-dropping-particle":"","parse-names":false,"suffix":""}],"container-title":"Journal of Veterinary Behavior: Clinical Applications and Research","id":"ITEM-2","issued":{"date-parts":[["2018"]]},"page":"33-39","publisher":"Elsevier Inc","title":"Contexts and consequences of dog bite incidents","type":"article-journal","volume":"23"},"uris":["http://www.mendeley.com/documents/?uuid=d916128b-1fa0-46cb-81cc-dd0b2f867908"]}],"mendeley":{"formattedCitation":"[9,18]","plainTextFormattedCitation":"[9,18]","previouslyFormattedCitation":"[9,18]"},"properties":{"noteIndex":0},"schema":"https://github.com/citation-style-language/schema/raw/master/csl-citation.json"}</w:instrText>
      </w:r>
      <w:r w:rsidR="00635531">
        <w:rPr>
          <w:rFonts w:ascii="Interface Regular" w:hAnsi="Interface Regular"/>
          <w:lang w:val="en"/>
        </w:rPr>
        <w:fldChar w:fldCharType="separate"/>
      </w:r>
      <w:r w:rsidR="00F91EB6" w:rsidRPr="00F91EB6">
        <w:rPr>
          <w:rFonts w:ascii="Interface Regular" w:hAnsi="Interface Regular"/>
          <w:noProof/>
          <w:lang w:val="en"/>
        </w:rPr>
        <w:t>[9,18]</w:t>
      </w:r>
      <w:r w:rsidR="00635531">
        <w:rPr>
          <w:rFonts w:ascii="Interface Regular" w:hAnsi="Interface Regular"/>
          <w:lang w:val="en"/>
        </w:rPr>
        <w:fldChar w:fldCharType="end"/>
      </w:r>
      <w:r>
        <w:rPr>
          <w:rFonts w:ascii="Interface Regular" w:hAnsi="Interface Regular"/>
          <w:lang w:val="en"/>
        </w:rPr>
        <w:t xml:space="preserve"> </w:t>
      </w:r>
      <w:r w:rsidR="009B4FFC">
        <w:rPr>
          <w:rFonts w:ascii="Interface Regular" w:hAnsi="Interface Regular"/>
          <w:lang w:val="en"/>
        </w:rPr>
        <w:t>We, and others, have</w:t>
      </w:r>
      <w:r>
        <w:rPr>
          <w:rFonts w:ascii="Interface Regular" w:hAnsi="Interface Regular"/>
          <w:lang w:val="en"/>
        </w:rPr>
        <w:t xml:space="preserve"> </w:t>
      </w:r>
      <w:proofErr w:type="spellStart"/>
      <w:r>
        <w:rPr>
          <w:rFonts w:ascii="Interface Regular" w:hAnsi="Interface Regular"/>
          <w:lang w:val="en"/>
        </w:rPr>
        <w:t>theorised</w:t>
      </w:r>
      <w:proofErr w:type="spellEnd"/>
      <w:r>
        <w:rPr>
          <w:rFonts w:ascii="Interface Regular" w:hAnsi="Interface Regular"/>
          <w:lang w:val="en"/>
        </w:rPr>
        <w:t xml:space="preserve"> that </w:t>
      </w:r>
      <w:r w:rsidR="000D17BC">
        <w:rPr>
          <w:rFonts w:ascii="Interface Regular" w:hAnsi="Interface Regular"/>
          <w:lang w:val="en"/>
        </w:rPr>
        <w:t>the</w:t>
      </w:r>
      <w:r>
        <w:rPr>
          <w:rFonts w:ascii="Interface Regular" w:hAnsi="Interface Regular"/>
          <w:lang w:val="en"/>
        </w:rPr>
        <w:t xml:space="preserve"> increased time at home</w:t>
      </w:r>
      <w:r w:rsidR="004D0164">
        <w:rPr>
          <w:rFonts w:ascii="Interface Regular" w:hAnsi="Interface Regular"/>
          <w:lang w:val="en"/>
        </w:rPr>
        <w:t>, and resultant increased contact time with a pet dog,</w:t>
      </w:r>
      <w:r>
        <w:rPr>
          <w:rFonts w:ascii="Interface Regular" w:hAnsi="Interface Regular"/>
          <w:lang w:val="en"/>
        </w:rPr>
        <w:t xml:space="preserve"> could </w:t>
      </w:r>
      <w:r w:rsidR="004D0164">
        <w:rPr>
          <w:rFonts w:ascii="Interface Regular" w:hAnsi="Interface Regular"/>
          <w:lang w:val="en"/>
        </w:rPr>
        <w:t xml:space="preserve">lead to </w:t>
      </w:r>
      <w:r w:rsidR="001B1FA1">
        <w:rPr>
          <w:rFonts w:ascii="Interface Regular" w:hAnsi="Interface Regular"/>
          <w:lang w:val="en"/>
        </w:rPr>
        <w:t>more dog bit</w:t>
      </w:r>
      <w:r w:rsidR="000D17BC">
        <w:rPr>
          <w:rFonts w:ascii="Interface Regular" w:hAnsi="Interface Regular"/>
          <w:lang w:val="en"/>
        </w:rPr>
        <w:t>e</w:t>
      </w:r>
      <w:r w:rsidR="001B1FA1">
        <w:rPr>
          <w:rFonts w:ascii="Interface Regular" w:hAnsi="Interface Regular"/>
          <w:lang w:val="en"/>
        </w:rPr>
        <w:t xml:space="preserve">s and </w:t>
      </w:r>
      <w:r w:rsidR="004D0164">
        <w:rPr>
          <w:rFonts w:ascii="Interface Regular" w:hAnsi="Interface Regular"/>
          <w:lang w:val="en"/>
        </w:rPr>
        <w:t>a</w:t>
      </w:r>
      <w:r w:rsidR="001B1FA1">
        <w:rPr>
          <w:rFonts w:ascii="Interface Regular" w:hAnsi="Interface Regular"/>
          <w:lang w:val="en"/>
        </w:rPr>
        <w:t xml:space="preserve"> subsequent</w:t>
      </w:r>
      <w:r w:rsidR="004D0164">
        <w:rPr>
          <w:rFonts w:ascii="Interface Regular" w:hAnsi="Interface Regular"/>
          <w:lang w:val="en"/>
        </w:rPr>
        <w:t xml:space="preserve"> increase</w:t>
      </w:r>
      <w:r w:rsidR="001B1FA1">
        <w:rPr>
          <w:rFonts w:ascii="Interface Regular" w:hAnsi="Interface Regular"/>
          <w:lang w:val="en"/>
        </w:rPr>
        <w:t xml:space="preserve"> in</w:t>
      </w:r>
      <w:r w:rsidR="004D0164">
        <w:rPr>
          <w:rFonts w:ascii="Interface Regular" w:hAnsi="Interface Regular"/>
          <w:lang w:val="en"/>
        </w:rPr>
        <w:t xml:space="preserve"> dog bite attendance</w:t>
      </w:r>
      <w:r w:rsidR="00F51DEA">
        <w:rPr>
          <w:rFonts w:ascii="Interface Regular" w:hAnsi="Interface Regular"/>
          <w:lang w:val="en"/>
        </w:rPr>
        <w:t>s</w:t>
      </w:r>
      <w:r w:rsidR="004D0164">
        <w:rPr>
          <w:rFonts w:ascii="Interface Regular" w:hAnsi="Interface Regular"/>
          <w:lang w:val="en"/>
        </w:rPr>
        <w:t xml:space="preserve"> at paediatric emergency departments</w:t>
      </w:r>
      <w:r w:rsidR="00A1134C">
        <w:rPr>
          <w:rFonts w:ascii="Interface Regular" w:hAnsi="Interface Regular"/>
          <w:lang w:val="en"/>
        </w:rPr>
        <w:t>.</w:t>
      </w:r>
      <w:r w:rsidR="004D0164">
        <w:rPr>
          <w:rFonts w:ascii="Interface Regular" w:hAnsi="Interface Regular"/>
          <w:lang w:val="en"/>
        </w:rPr>
        <w:fldChar w:fldCharType="begin" w:fldLock="1"/>
      </w:r>
      <w:r w:rsidR="00226C89">
        <w:rPr>
          <w:rFonts w:ascii="Interface Regular" w:hAnsi="Interface Regular"/>
          <w:lang w:val="en"/>
        </w:rPr>
        <w:instrText>ADDIN CSL_CITATION {"citationItems":[{"id":"ITEM-1","itemData":{"DOI":"10.1016/j.jpeds.2020.06.071","ISSN":"10976833","PMID":"32593686","author":[{"dropping-particle":"","family":"Dixon","given":"Cinnamon A.","non-dropping-particle":"","parse-names":false,"suffix":""},{"dropping-particle":"","family":"Mistry","given":"Rakesh D.","non-dropping-particle":"","parse-names":false,"suffix":""}],"container-title":"Journal of Pediatrics","id":"ITEM-1","issued":{"date-parts":[["2020"]]},"page":"231-232","publisher":"Elsevier</w:instrText>
      </w:r>
      <w:r w:rsidR="00226C89">
        <w:rPr>
          <w:rFonts w:ascii="Interface Regular" w:hAnsi="Interface Regular" w:hint="eastAsia"/>
          <w:lang w:val="en"/>
        </w:rPr>
        <w:instrText> </w:instrText>
      </w:r>
      <w:r w:rsidR="00226C89">
        <w:rPr>
          <w:rFonts w:ascii="Interface Regular" w:hAnsi="Interface Regular"/>
          <w:lang w:val="en"/>
        </w:rPr>
        <w:instrText>Inc","title":"Dog Bites in Children Surge during Coronavirus Disease-2019: A Case for Enhanced Prevention","type":"article-journal","volume":"225"},"uris":["http://www.mendeley.com/documents/?uuid=c4ea7253-9de8-4249-9ba5-a77afe36bc4c"]},{"id":"ITEM-2","itemData":{"URL":"https://merseydogsafe.co.uk/help-fight-covid-19-by-staying-safe-around-dogs/","accessed":{"date-parts":[["2021","1","14"]]},"author":[{"dropping-particle":"","family":"Partnership","given":"Merseyside Dog Safety","non-dropping-particle":"","parse-names":false,"suffix":""}],"id":"ITEM-2","issued":{"date-parts":[["2020"]]},"title":"Campaign: Help fight COVID-19 by staying safe around dogs","type":"webpage"},"uris":["http://www.mendeley.com/documents/?uuid=bf1c2dff-0fe5-42ec-80f4-77ea17941bfd"]}],"mendeley":{"formattedCitation":"[20,21]","plainTextFormattedCitation":"[20,21]","previouslyFormattedCitation":"[20,21]"},"properties":{"noteIndex":0},"schema":"https://github.com/citation-style-language/schema/raw/master/csl-citation.json"}</w:instrText>
      </w:r>
      <w:r w:rsidR="004D0164">
        <w:rPr>
          <w:rFonts w:ascii="Interface Regular" w:hAnsi="Interface Regular"/>
          <w:lang w:val="en"/>
        </w:rPr>
        <w:fldChar w:fldCharType="separate"/>
      </w:r>
      <w:r w:rsidR="00F91EB6" w:rsidRPr="00F91EB6">
        <w:rPr>
          <w:rFonts w:ascii="Interface Regular" w:hAnsi="Interface Regular"/>
          <w:noProof/>
          <w:lang w:val="en"/>
        </w:rPr>
        <w:t>[20,21]</w:t>
      </w:r>
      <w:r w:rsidR="004D0164">
        <w:rPr>
          <w:rFonts w:ascii="Interface Regular" w:hAnsi="Interface Regular"/>
          <w:lang w:val="en"/>
        </w:rPr>
        <w:fldChar w:fldCharType="end"/>
      </w:r>
      <w:r w:rsidR="001B1FA1">
        <w:rPr>
          <w:rFonts w:ascii="Interface Regular" w:hAnsi="Interface Regular"/>
          <w:lang w:val="en"/>
        </w:rPr>
        <w:t xml:space="preserve"> </w:t>
      </w:r>
      <w:r w:rsidR="004D0164">
        <w:rPr>
          <w:rFonts w:ascii="Interface Regular" w:hAnsi="Interface Regular"/>
          <w:lang w:val="en"/>
        </w:rPr>
        <w:t xml:space="preserve">The aim of this study was to understand the impact that English COVID-19 public health measures had on emergency department dog bite attendance </w:t>
      </w:r>
      <w:r w:rsidR="00F62364">
        <w:rPr>
          <w:rFonts w:ascii="Interface Regular" w:hAnsi="Interface Regular"/>
          <w:lang w:val="en"/>
        </w:rPr>
        <w:t>in a paediatric hospital.</w:t>
      </w:r>
    </w:p>
    <w:p w14:paraId="1DE9D183" w14:textId="351848CA" w:rsidR="00877FF1" w:rsidRDefault="00877FF1">
      <w:pPr>
        <w:rPr>
          <w:b/>
        </w:rPr>
      </w:pPr>
      <w:r>
        <w:rPr>
          <w:b/>
        </w:rPr>
        <w:t>Methods</w:t>
      </w:r>
    </w:p>
    <w:p w14:paraId="7BC36E88" w14:textId="7C4178CD" w:rsidR="004B58E2" w:rsidRDefault="00877FF1" w:rsidP="004B58E2">
      <w:pPr>
        <w:spacing w:line="360" w:lineRule="auto"/>
        <w:jc w:val="both"/>
      </w:pPr>
      <w:r>
        <w:t>An audit of emergency department records</w:t>
      </w:r>
      <w:r w:rsidR="00F62364">
        <w:t xml:space="preserve"> was performed</w:t>
      </w:r>
      <w:r>
        <w:t xml:space="preserve"> at Alder Hey Children’s Hospital</w:t>
      </w:r>
      <w:r w:rsidR="00AF23EF">
        <w:t xml:space="preserve"> to identify trends in</w:t>
      </w:r>
      <w:r w:rsidR="00595F88">
        <w:t xml:space="preserve"> the number of dog bites and the percentage of attendances due to </w:t>
      </w:r>
      <w:r w:rsidR="006A7986">
        <w:t>dog bites</w:t>
      </w:r>
      <w:r w:rsidR="00F62364">
        <w:t>,</w:t>
      </w:r>
      <w:r w:rsidR="006A7986">
        <w:t xml:space="preserve"> to explore patient</w:t>
      </w:r>
      <w:r w:rsidR="00AF23EF">
        <w:t xml:space="preserve"> demographics between the 1</w:t>
      </w:r>
      <w:r w:rsidR="00AF23EF" w:rsidRPr="00AF23EF">
        <w:rPr>
          <w:vertAlign w:val="superscript"/>
        </w:rPr>
        <w:t>st</w:t>
      </w:r>
      <w:r w:rsidR="00AF23EF">
        <w:t xml:space="preserve"> of January 2016 and the 30</w:t>
      </w:r>
      <w:r w:rsidR="00AF23EF" w:rsidRPr="00AF23EF">
        <w:rPr>
          <w:vertAlign w:val="superscript"/>
        </w:rPr>
        <w:t>th</w:t>
      </w:r>
      <w:r w:rsidR="00AF23EF">
        <w:t xml:space="preserve"> September 2020, and </w:t>
      </w:r>
      <w:r w:rsidR="006A7986">
        <w:t xml:space="preserve">identify </w:t>
      </w:r>
      <w:r w:rsidR="00AF23EF">
        <w:t xml:space="preserve">any impact </w:t>
      </w:r>
      <w:r w:rsidR="00EC6523">
        <w:t>associated with the</w:t>
      </w:r>
      <w:r w:rsidR="00AF23EF">
        <w:t xml:space="preserve"> COVID-19 p</w:t>
      </w:r>
      <w:r w:rsidR="00130E8C">
        <w:t>ublic health measures</w:t>
      </w:r>
      <w:r w:rsidR="00AF23EF">
        <w:t xml:space="preserve">. </w:t>
      </w:r>
      <w:r w:rsidR="00AF23EF" w:rsidRPr="004B58E2">
        <w:t xml:space="preserve">Alder Hey Children’s </w:t>
      </w:r>
      <w:r w:rsidR="00EC6523" w:rsidRPr="004B58E2">
        <w:t>Hospital</w:t>
      </w:r>
      <w:r w:rsidR="00AF23EF" w:rsidRPr="004B58E2">
        <w:t xml:space="preserve"> </w:t>
      </w:r>
      <w:r w:rsidR="004B58E2" w:rsidRPr="004B58E2">
        <w:t>has one of the busiest paediatric emergency departments in the UK. It primarily serves the children of Liverpool and surrounding areas, but major traumas are received from North-West England, North Wales, and the Isle of Man.</w:t>
      </w:r>
    </w:p>
    <w:p w14:paraId="5549572D" w14:textId="6AA9BA15" w:rsidR="009C65CE" w:rsidRDefault="004B58E2" w:rsidP="00AF23EF">
      <w:pPr>
        <w:spacing w:line="360" w:lineRule="auto"/>
        <w:jc w:val="both"/>
      </w:pPr>
      <w:r>
        <w:t xml:space="preserve">Anonymised data were collected from </w:t>
      </w:r>
      <w:r w:rsidR="00FF2C2E">
        <w:t xml:space="preserve">hospital </w:t>
      </w:r>
      <w:r>
        <w:t>patient electronic health records</w:t>
      </w:r>
      <w:r w:rsidR="00FF2C2E">
        <w:t>. These contain s</w:t>
      </w:r>
      <w:r>
        <w:t xml:space="preserve">tandard information regarding clinical and safeguarding aspects of the child presenting to the emergency department. </w:t>
      </w:r>
      <w:r w:rsidR="00923D83">
        <w:t xml:space="preserve">The following variables were captured for </w:t>
      </w:r>
      <w:r w:rsidR="005408ED">
        <w:t xml:space="preserve">all </w:t>
      </w:r>
      <w:r w:rsidR="00923D83">
        <w:t>attendees of the emergency department; date</w:t>
      </w:r>
      <w:r w:rsidR="000D17BC">
        <w:t xml:space="preserve"> of attendance</w:t>
      </w:r>
      <w:r w:rsidR="00923D83">
        <w:t xml:space="preserve">, age, sex, and whether a dog bite was their reason for attendance (as a binary term). </w:t>
      </w:r>
      <w:r w:rsidR="000C5D62">
        <w:t xml:space="preserve">Monthly </w:t>
      </w:r>
      <w:r w:rsidR="00595F88">
        <w:t>dog bite</w:t>
      </w:r>
      <w:r w:rsidR="003D6B14">
        <w:t xml:space="preserve"> attendance</w:t>
      </w:r>
      <w:r w:rsidR="00595F88">
        <w:t xml:space="preserve"> </w:t>
      </w:r>
      <w:r w:rsidR="000C5D62">
        <w:t>counts</w:t>
      </w:r>
      <w:r w:rsidR="00595F88">
        <w:t xml:space="preserve"> were plotted, alongside overall attendance </w:t>
      </w:r>
      <w:r w:rsidR="000C5D62">
        <w:t>figures</w:t>
      </w:r>
      <w:r w:rsidR="00595F88">
        <w:t xml:space="preserve">. </w:t>
      </w:r>
      <w:r w:rsidR="009C65CE">
        <w:t>The mean monthly number of dog bites prior to, and during, the COVID-19 public health measures were compared using a Chi-squared test</w:t>
      </w:r>
      <w:r w:rsidR="007934FD">
        <w:t>, and a linear trend with age further evaluated using a Chi-squared test for trend</w:t>
      </w:r>
      <w:r w:rsidR="00910FB6">
        <w:t xml:space="preserve"> (also known as a Cochran-Armitage test for trend)</w:t>
      </w:r>
      <w:r w:rsidR="009C65CE">
        <w:t>.</w:t>
      </w:r>
    </w:p>
    <w:p w14:paraId="4C52735F" w14:textId="6E5FF6AF" w:rsidR="00D12C34" w:rsidRPr="00FF2C2E" w:rsidRDefault="00891983" w:rsidP="00AF23EF">
      <w:pPr>
        <w:spacing w:line="360" w:lineRule="auto"/>
        <w:jc w:val="both"/>
        <w:rPr>
          <w:rFonts w:ascii="Segoe UI" w:eastAsia="Times New Roman" w:hAnsi="Segoe UI" w:cs="Segoe UI"/>
          <w:color w:val="212121"/>
          <w:sz w:val="23"/>
          <w:szCs w:val="23"/>
          <w:lang w:eastAsia="en-GB"/>
        </w:rPr>
      </w:pPr>
      <w:r>
        <w:t>The</w:t>
      </w:r>
      <w:r w:rsidR="00337BDA">
        <w:t xml:space="preserve"> monthly </w:t>
      </w:r>
      <w:r w:rsidR="00595F88">
        <w:t>percentage of attendances due to dog bites</w:t>
      </w:r>
      <w:r w:rsidR="00337BDA">
        <w:t xml:space="preserve"> were calculated</w:t>
      </w:r>
      <w:r w:rsidR="00C10ED7">
        <w:t>, for the whole audit period,</w:t>
      </w:r>
      <w:r w:rsidR="005408ED">
        <w:t xml:space="preserve"> with associated confidence intervals calculated using </w:t>
      </w:r>
      <w:proofErr w:type="spellStart"/>
      <w:r w:rsidR="005408ED">
        <w:t>Byar’s</w:t>
      </w:r>
      <w:proofErr w:type="spellEnd"/>
      <w:r w:rsidR="005408ED">
        <w:t xml:space="preserve"> method</w:t>
      </w:r>
      <w:r w:rsidR="00337BDA">
        <w:t xml:space="preserve">. Monthly attendance </w:t>
      </w:r>
      <w:r w:rsidR="00595F88">
        <w:t xml:space="preserve">percentages </w:t>
      </w:r>
      <w:r w:rsidR="00337BDA">
        <w:t>were smoothed using LOESS</w:t>
      </w:r>
      <w:r w:rsidR="005408ED">
        <w:t xml:space="preserve"> (locally estimated scatterplot smoothing)</w:t>
      </w:r>
      <w:r w:rsidR="00337BDA">
        <w:t xml:space="preserve"> methods</w:t>
      </w:r>
      <w:r w:rsidR="00A1134C">
        <w:t>.</w:t>
      </w:r>
      <w:r w:rsidR="005408ED">
        <w:fldChar w:fldCharType="begin" w:fldLock="1"/>
      </w:r>
      <w:r w:rsidR="00226C89">
        <w:instrText>ADDIN CSL_CITATION {"citationItems":[{"id":"ITEM-1","itemData":{"DOI":"10.1016/S0261-3794(99)00028-1","ISBN":"0261-3794","ISSN":"02613794","abstract":"Loess is a powerful but simple strategy for fitting smooth curves to empirical data. The term 'loess' is an acronym for 'local regression' and the entire procedure is a fairly direct generalization of traditional least-squares methods for data analysis. Loess is nonparametric in the sense that the fitting technique does not require an a priori specification of the relationship between the dependent and independent variables. Although it is used most frequently as a scatterplot smoother, loess can be generalized very easily to multivariate data; there are also inferential procedures for confidence intervals and other statistical tests. For all of these reasons, loess is a useful tool for data exploration and analysis in the social sciences. And, loess should be particularly helpful in the field of elections and voting behavior because theories often lead to expectations of nonlinear empirical relationships even though prior substantive considerations provide very little guidance about precise functional forms. (C) 1999 Elsevier Science Ltd. All rights reserved.","author":[{"dropping-particle":"","family":"Jacoby","given":"William G.","non-dropping-particle":"","parse-names":false,"suffix":""}],"container-title":"Electoral Studies","id":"ITEM-1","issue":"4","issued":{"date-parts":[["2000"]]},"page":"577-613","title":"Loess: A nonparametric, graphical tool for depicting relationships between variables","type":"article-journal","volume":"19"},"uris":["http://www.mendeley.com/documents/?uuid=bf488ab7-9d7d-44de-9c87-4473eff54098"]}],"mendeley":{"formattedCitation":"[22]","plainTextFormattedCitation":"[22]","previouslyFormattedCitation":"[22]"},"properties":{"noteIndex":0},"schema":"https://github.com/citation-style-language/schema/raw/master/csl-citation.json"}</w:instrText>
      </w:r>
      <w:r w:rsidR="005408ED">
        <w:fldChar w:fldCharType="separate"/>
      </w:r>
      <w:r w:rsidR="00F91EB6" w:rsidRPr="00F91EB6">
        <w:rPr>
          <w:noProof/>
        </w:rPr>
        <w:t>[22]</w:t>
      </w:r>
      <w:r w:rsidR="005408ED">
        <w:fldChar w:fldCharType="end"/>
      </w:r>
      <w:r w:rsidR="00337BDA">
        <w:t xml:space="preserve"> </w:t>
      </w:r>
      <w:r w:rsidR="00C10ED7">
        <w:t xml:space="preserve">Monthly attendance </w:t>
      </w:r>
      <w:r w:rsidR="00595F88">
        <w:t xml:space="preserve">percentages </w:t>
      </w:r>
      <w:r w:rsidR="00C10ED7">
        <w:t xml:space="preserve">for 2020 were predicted based on monthly </w:t>
      </w:r>
      <w:r w:rsidR="000C5D62">
        <w:t>data from</w:t>
      </w:r>
      <w:r w:rsidR="00C10ED7">
        <w:t xml:space="preserve"> 2016-2019, using the ETS (Error, trend and seasonality) method</w:t>
      </w:r>
      <w:r w:rsidR="00A1134C">
        <w:t>.</w:t>
      </w:r>
      <w:r w:rsidR="004F6A5B">
        <w:fldChar w:fldCharType="begin" w:fldLock="1"/>
      </w:r>
      <w:r w:rsidR="00226C89">
        <w:instrText>ADDIN CSL_CITATION {"citationItems":[{"id":"ITEM-1","itemData":{"author":[{"dropping-particle":"","family":"Hyndman","given":"RJ","non-dropping-particle":"","parse-names":false,"suffix":""},{"dropping-particle":"","family":"Khandakar","given":"Y","non-dropping-particle":"","parse-names":false,"suffix":""}],"container-title":"Journal of Statistical Software","id":"ITEM-1","issue":"3","issued":{"date-parts":[["2008"]]},"page":"1-22","title":"Automatic time series forecasting: the forecast package for R.","type":"article-journal","volume":"26"},"uris":["http://www.mendeley.com/documents/?uuid=36e9fec2-4356-4680-ae8f-86cbdd3d255a"]},{"id":"ITEM-2","itemData":{"DOI":"10.21105/joss.01686","ISSN":"2475-9066","abstract":"At a high level, the tidyverse is a language for solving data science challenges with R code. Its primary goal is to facilitate a conversation between a human and a computer about data. Less abstractly, the tidyverse is a collection of R packages that share a high-level design philosophy and low-level grammar and data structures, so that learning one package makes it easier to learn the next. The tidyverse encompasses the repeated tasks at the heart of every data science project: data import, tidying, manipulation, visualisation, and programming. We expect that almost every project will use multiple domain-specific packages outside of the tidyverse: our goal is to provide tooling for the most common challenges; not to solve every possible problem. Notably, the tidyverse doesn’t include tools for statistical modelling or communication. These toolkits are critical for data science, but are so large that they merit separate treatment. The tidyverse package allows users to install all tidyverse packages with a single command. There are a number of projects that are similar in scope to the tidyverse. The closest is perhaps Bioconductor (Gentleman et al., 2004; Huber et al., 2015), which provides an ecosystem of packages that support the analysis of high-throughput genomic data. The tidyverse has similar goals to R itself, but any comparison to the R Project (R Core Team, 2019) is fundamentally challenging as the tidyverse is written in R, and relies on R for its infrastructure; there is no tidyverse without R! That said, the biggest difference is in priorities: base R is highly focussed on stability, whereas the tidyverse will make breaking changes in the search for better interfaces. Another closely related project is data.table (Dowle &amp; Srinivasan, 2019), which provides tools roughly to the combination of dplyr, tidyr, tibble, and readr. data.tableThis paper describes the tidyverse package, the components of the tidyverse, and some of the underlying design principles. This is a lot of ground to cover in a brief paper, so we focus on a 50,000-foot view showing how all the pieces fit together with copious links to more detailed resources prioritises","author":[{"dropping-particle":"","family":"Wickham","given":"Hadley","non-dropping-particle":"","parse-names":false,"suffix":""},{"dropping-particle":"","family":"Averick","given":"Mara","non-dropping-particle":"","parse-names":false,"suffix":""},{"dropping-particle":"","family":"Bryan","given":"Jennifer","non-dropping-particle":"","parse-names":false,"suffix":""},{"dropping-particle":"","family":"Chang","given":"Winston","non-dropping-particle":"","parse-names":false,"suffix":""},{"dropping-particle":"","family":"McGowan","given":"Lucy","non-dropping-particle":"","parse-names":false,"suffix":""},{"dropping-particle":"","family":"François","given":"Romain","non-dropping-particle":"","parse-names":false,"suffix":""},{"dropping-particle":"","family":"Grolemund","given":"Garrett","non-dropping-particle":"","parse-names":false,"suffix":""},{"dropping-particle":"","family":"Hayes","given":"Alex","non-dropping-particle":"","parse-names":false,"suffix":""},{"dropping-particle":"","family":"Henry","given":"Lionel","non-dropping-particle":"","parse-names":false,"suffix":""},{"dropping-particle":"","family":"Hester","given":"Jim","non-dropping-particle":"","parse-names":false,"suffix":""},{"dropping-particle":"","family":"Kuhn","given":"Max","non-dropping-particle":"","parse-names":false,"suffix":""},{"dropping-particle":"","family":"Pedersen","given":"Thomas","non-dropping-particle":"","parse-names":false,"suffix":""},{"dropping-particle":"","family":"Miller","given":"Evan","non-dropping-particle":"","parse-names":false,"suffix":""},{"dropping-particle":"","family":"Bache","given":"Stephan","non-dropping-particle":"","parse-names":false,"suffix":""},{"dropping-particle":"","family":"Müller","given":"Kirill","non-dropping-particle":"","parse-names":false,"suffix":""},{"dropping-particle":"","family":"Ooms","given":"Jeroen","non-dropping-particle":"","parse-names":false,"suffix":""},{"dropping-particle":"","family":"Robinson","given":"David","non-dropping-particle":"","parse-names":false,"suffix":""},{"dropping-particle":"","family":"Seidel","given":"Dana","non-dropping-particle":"","parse-names":false,"suffix":""},{"dropping-particle":"","family":"Spinu","given":"Vitalie","non-dropping-particle":"","parse-names":false,"suffix":""},{"dropping-particle":"","family":"Takahashi","given":"Kohske","non-dropping-particle":"","parse-names":false,"suffix":""},{"dropping-particle":"","family":"Vaughan","given":"Davis","non-dropping-particle":"","parse-names":false,"suffix":""},{"dropping-particle":"","family":"Wilke","given":"Claus","non-dropping-particle":"","parse-names":false,"suffix":""},{"dropping-particle":"","family":"Woo","given":"Kara","non-dropping-particle":"","parse-names":false,"suffix":""},{"dropping-particle":"","family":"Yutani","given":"Hiroaki","non-dropping-particle":"","parse-names":false,"suffix":""}],"container-title":"Journal of Open Source Software","id":"ITEM-2","issue":"43","issued":{"date-parts":[["2019"]]},"page":"1686","title":"Welcome to the Tidyverse","type":"article-journal","volume":"4"},"uris":["http://www.mendeley.com/documents/?uuid=a9ddc2c9-21cd-4868-9db9-26349bb07262"]},{"id":"ITEM-3","itemData":{"author":[{"dropping-particle":"","family":"Hyndman","given":"RJ","non-dropping-particle":"","parse-names":false,"suffix":""},{"dropping-particle":"","family":"Athanasopoulos","given":"G","non-dropping-particle":"","parse-names":false,"suffix":""}],"id":"ITEM-3","issued":{"date-parts":[["2018"]]},"publisher":"OTexts:Melbourne, Australia","title":"Forecasting: principles and practice","type":"book"},"uris":["http://www.mendeley.com/documents/?uuid=bbca6c2f-5659-490b-8a12-9548e0eb9d79"]}],"mendeley":{"formattedCitation":"[23–25]","plainTextFormattedCitation":"[23–25]","previouslyFormattedCitation":"[23–25]"},"properties":{"noteIndex":0},"schema":"https://github.com/citation-style-language/schema/raw/master/csl-citation.json"}</w:instrText>
      </w:r>
      <w:r w:rsidR="004F6A5B">
        <w:fldChar w:fldCharType="separate"/>
      </w:r>
      <w:r w:rsidR="00F91EB6" w:rsidRPr="00F91EB6">
        <w:rPr>
          <w:noProof/>
        </w:rPr>
        <w:t>[23–25]</w:t>
      </w:r>
      <w:r w:rsidR="004F6A5B">
        <w:fldChar w:fldCharType="end"/>
      </w:r>
      <w:r w:rsidR="00C10ED7">
        <w:t xml:space="preserve"> </w:t>
      </w:r>
    </w:p>
    <w:p w14:paraId="7AA6EC93" w14:textId="035C20DB" w:rsidR="00D65ADA" w:rsidRDefault="00AE279E" w:rsidP="00AF23EF">
      <w:pPr>
        <w:spacing w:line="360" w:lineRule="auto"/>
        <w:jc w:val="both"/>
      </w:pPr>
      <w:r>
        <w:lastRenderedPageBreak/>
        <w:t>For this analysis, a binary variable (</w:t>
      </w:r>
      <w:r w:rsidR="00D12C34">
        <w:t>‘COVID-19 Public Health Measures’</w:t>
      </w:r>
      <w:r>
        <w:t>) was assigned to each patient to indicate</w:t>
      </w:r>
      <w:r w:rsidR="00D12C34">
        <w:t xml:space="preserve"> whether any national COVID-19 public health measures were in place at the time</w:t>
      </w:r>
      <w:r w:rsidR="00645486">
        <w:t xml:space="preserve"> of attendance</w:t>
      </w:r>
      <w:r w:rsidR="00D12C34">
        <w:t>;</w:t>
      </w:r>
      <w:r>
        <w:t xml:space="preserve"> this variable was assigned the value 1 for attendances within </w:t>
      </w:r>
      <w:r w:rsidR="00D12C34">
        <w:t>the months March-September 2020</w:t>
      </w:r>
      <w:r>
        <w:t>,</w:t>
      </w:r>
      <w:r w:rsidR="00D12C34">
        <w:fldChar w:fldCharType="begin" w:fldLock="1"/>
      </w:r>
      <w:r w:rsidR="00D12C34">
        <w:instrText>ADDIN CSL_CITATION {"citationItems":[{"id":"ITEM-1","itemData":{"id":"ITEM-1","issued":{"date-parts":[["2020"]]},"title":"Coronavirus Act 2020 (c7)","type":"legislation"},"uris":["http://www.mendeley.com/documents/?uuid=f24e46df-9e3c-4c94-b18a-7bd90467a550"]},{"id":"ITEM-2","itemData":{"id":"ITEM-2","issued":{"date-parts":[["2020"]]},"number":"350","title":"The Health Protection (Coronavirus, Restrictions) (England) Regulations 2020","type":"legislation"},"uris":["http://www.mendeley.com/documents/?uuid=787b3797-2f16-4e3e-bad9-24c5e0020949"]}],"mendeley":{"formattedCitation":"[15,16]","plainTextFormattedCitation":"[15,16]","previouslyFormattedCitation":"[15,16]"},"properties":{"noteIndex":0},"schema":"https://github.com/citation-style-language/schema/raw/master/csl-citation.json"}</w:instrText>
      </w:r>
      <w:r w:rsidR="00D12C34">
        <w:fldChar w:fldCharType="separate"/>
      </w:r>
      <w:r w:rsidR="00D12C34" w:rsidRPr="007313C8">
        <w:rPr>
          <w:noProof/>
        </w:rPr>
        <w:t>[15,16]</w:t>
      </w:r>
      <w:r w:rsidR="00D12C34">
        <w:fldChar w:fldCharType="end"/>
      </w:r>
      <w:r>
        <w:t xml:space="preserve"> and the value 0 otherwise.</w:t>
      </w:r>
      <w:r w:rsidR="00D12C34">
        <w:t xml:space="preserve"> To compare the demographics</w:t>
      </w:r>
      <w:r w:rsidR="00282687">
        <w:t xml:space="preserve"> (sex and age)</w:t>
      </w:r>
      <w:r w:rsidR="00D12C34">
        <w:t xml:space="preserve"> of dog bite victims</w:t>
      </w:r>
      <w:r w:rsidR="00282687">
        <w:t xml:space="preserve"> during and outside of COVID-19 public health measures</w:t>
      </w:r>
      <w:r w:rsidR="00172787">
        <w:t>,</w:t>
      </w:r>
      <w:r w:rsidR="00282687">
        <w:t xml:space="preserve"> Chi</w:t>
      </w:r>
      <w:r>
        <w:t>-squared</w:t>
      </w:r>
      <w:r w:rsidR="00282687">
        <w:rPr>
          <w:vertAlign w:val="superscript"/>
        </w:rPr>
        <w:t xml:space="preserve"> </w:t>
      </w:r>
      <w:r w:rsidR="00282687">
        <w:t>test</w:t>
      </w:r>
      <w:r w:rsidR="001B2A6A">
        <w:rPr>
          <w:bCs/>
        </w:rPr>
        <w:t>s were performed</w:t>
      </w:r>
      <w:r w:rsidR="00282687">
        <w:t>. Age groups were defined as infants (&lt;12 months old), toddlers (1-3 years old), early childhood (4-6 years old), middle childhood (7-12 years old), and adolescents (13-17 years old)</w:t>
      </w:r>
      <w:r w:rsidR="00A1134C">
        <w:t>.</w:t>
      </w:r>
      <w:r w:rsidR="00282687">
        <w:fldChar w:fldCharType="begin" w:fldLock="1"/>
      </w:r>
      <w:r w:rsidR="00226C89">
        <w:instrText>ADDIN CSL_CITATION {"citationItems":[{"id":"ITEM-1","itemData":{"DOI":"10.1016/j.clinthera.2012.09.014","ISBN":"6176321972","ISSN":"15378276","PMID":"23149009","author":[{"dropping-particle":"","family":"Abdel-Rahman","given":"SM","non-dropping-particle":"","parse-names":false,"suffix":""},{"dropping-particle":"","family":"Amidon","given":"GL","non-dropping-particle":"","parse-names":false,"suffix":""},{"dropping-particle":"","family":"Kaul","given":"A","non-dropping-particle":"","parse-names":false,"suffix":""},{"dropping-particle":"","family":"Lukacova","given":"V","non-dropping-particle":"","parse-names":false,"suffix":""},{"dropping-particle":"","family":"Vinks","given":"AA","non-dropping-particle":"","parse-names":false,"suffix":""},{"dropping-particle":"","family":"Knipp","given":"GT","non-dropping-particle":"","parse-names":false,"suffix":""},{"dropping-particle":"","family":"Force","given":"Members of the BCS Task","non-dropping-particle":"","parse-names":false,"suffix":""}],"container-title":"Clinical Therapeutics","id":"ITEM-1","issue":"11","issued":{"date-parts":[["2012"]]},"page":"S11-24","title":"Summary of the National Institute of Child Health and Human Development-best pharmaceuticals for Children Act Pediatric Formulation Initiatives Workshop-Pediatric Biopharmaceutics Classification System Working Group.","type":"article-journal","volume":"34"},"uris":["http://www.mendeley.com/documents/?uuid=13097668-4fe5-4234-a0f3-f4a1b57c1ad6"]}],"mendeley":{"formattedCitation":"[26]","plainTextFormattedCitation":"[26]","previouslyFormattedCitation":"[26]"},"properties":{"noteIndex":0},"schema":"https://github.com/citation-style-language/schema/raw/master/csl-citation.json"}</w:instrText>
      </w:r>
      <w:r w:rsidR="00282687">
        <w:fldChar w:fldCharType="separate"/>
      </w:r>
      <w:r w:rsidR="00F91EB6" w:rsidRPr="00F91EB6">
        <w:rPr>
          <w:noProof/>
        </w:rPr>
        <w:t>[26]</w:t>
      </w:r>
      <w:r w:rsidR="00282687">
        <w:fldChar w:fldCharType="end"/>
      </w:r>
      <w:r w:rsidR="00595F88">
        <w:t xml:space="preserve"> </w:t>
      </w:r>
    </w:p>
    <w:p w14:paraId="071B99A9" w14:textId="72878DF5" w:rsidR="00DF1366" w:rsidRDefault="00FF2C2E" w:rsidP="00AF23EF">
      <w:pPr>
        <w:spacing w:line="360" w:lineRule="auto"/>
        <w:jc w:val="both"/>
      </w:pPr>
      <w:r w:rsidRPr="00B52056">
        <w:t>Interrupted Poisson regression time series</w:t>
      </w:r>
      <w:r>
        <w:t xml:space="preserve"> were performed to asses</w:t>
      </w:r>
      <w:r w:rsidR="00B52056">
        <w:t>s</w:t>
      </w:r>
      <w:r>
        <w:t xml:space="preserve"> the following variables </w:t>
      </w:r>
      <w:r w:rsidR="00851892">
        <w:t>association with</w:t>
      </w:r>
      <w:r w:rsidR="00C10ED7">
        <w:t xml:space="preserve"> </w:t>
      </w:r>
      <w:r w:rsidR="00D65ADA">
        <w:t xml:space="preserve">monthly </w:t>
      </w:r>
      <w:r w:rsidR="00F5484D">
        <w:t>attendances for dog bites</w:t>
      </w:r>
      <w:r w:rsidR="00C10ED7">
        <w:t xml:space="preserve">; </w:t>
      </w:r>
      <w:r>
        <w:t>time</w:t>
      </w:r>
      <w:r w:rsidR="00C10ED7">
        <w:t xml:space="preserve"> (</w:t>
      </w:r>
      <w:r>
        <w:t>a linear term, with each unit equating to a</w:t>
      </w:r>
      <w:r w:rsidR="00645486">
        <w:t>n individual</w:t>
      </w:r>
      <w:r>
        <w:t xml:space="preserve"> month</w:t>
      </w:r>
      <w:r w:rsidR="00C10ED7">
        <w:t>), month</w:t>
      </w:r>
      <w:r w:rsidR="00645486">
        <w:t xml:space="preserve"> of the year</w:t>
      </w:r>
      <w:r w:rsidR="00C10ED7">
        <w:t>, sex, age</w:t>
      </w:r>
      <w:r w:rsidR="00195B59">
        <w:t xml:space="preserve"> group</w:t>
      </w:r>
      <w:r w:rsidR="00C10ED7">
        <w:t>, and COVID</w:t>
      </w:r>
      <w:r w:rsidR="000D17BC">
        <w:t>-19</w:t>
      </w:r>
      <w:r w:rsidR="00C10ED7">
        <w:t xml:space="preserve"> public health measures. The </w:t>
      </w:r>
      <w:r w:rsidR="00AE279E">
        <w:t>number of</w:t>
      </w:r>
      <w:r w:rsidR="00C10ED7">
        <w:t xml:space="preserve"> dog bite victims</w:t>
      </w:r>
      <w:r w:rsidR="00AE279E">
        <w:t xml:space="preserve"> per month was used as the numerator</w:t>
      </w:r>
      <w:r w:rsidR="00C10ED7">
        <w:t>, whilst the dominator w</w:t>
      </w:r>
      <w:r w:rsidR="00195B59">
        <w:t xml:space="preserve">as </w:t>
      </w:r>
      <w:r w:rsidR="00C10ED7">
        <w:t xml:space="preserve">the emergency department attending population. </w:t>
      </w:r>
      <w:r w:rsidR="00282687">
        <w:t>S</w:t>
      </w:r>
      <w:r w:rsidR="00065182">
        <w:t>ex specific multivariable models</w:t>
      </w:r>
      <w:r w:rsidR="00282687">
        <w:t xml:space="preserve"> were created</w:t>
      </w:r>
      <w:r w:rsidR="00065182">
        <w:t xml:space="preserve">. </w:t>
      </w:r>
      <w:r w:rsidR="00130E8C">
        <w:t>Interaction between age and sex often occurs</w:t>
      </w:r>
      <w:r w:rsidR="00E04E59">
        <w:t xml:space="preserve"> when analysing health care data.</w:t>
      </w:r>
      <w:r w:rsidR="00DB3450">
        <w:t xml:space="preserve"> </w:t>
      </w:r>
      <w:r w:rsidR="00065182">
        <w:t>Thus, p</w:t>
      </w:r>
      <w:r w:rsidR="00DB3450">
        <w:t>resenting sex stratified models provide</w:t>
      </w:r>
      <w:r w:rsidR="00AE279E">
        <w:t>d</w:t>
      </w:r>
      <w:r w:rsidR="00DB3450">
        <w:t xml:space="preserve"> clarity to our results</w:t>
      </w:r>
      <w:r w:rsidR="004D0164">
        <w:t>,</w:t>
      </w:r>
      <w:r w:rsidR="00DB3450">
        <w:t xml:space="preserve"> in addition to delivering clear</w:t>
      </w:r>
      <w:r w:rsidR="00E04E59">
        <w:t xml:space="preserve"> </w:t>
      </w:r>
      <w:r w:rsidR="00DB3450">
        <w:t>sex dis-aggregated data as recommended by the World Health Organization</w:t>
      </w:r>
      <w:r w:rsidR="00A1134C">
        <w:t>.</w:t>
      </w:r>
      <w:r w:rsidR="00DB3450">
        <w:fldChar w:fldCharType="begin" w:fldLock="1"/>
      </w:r>
      <w:r w:rsidR="00226C89">
        <w:instrText>ADDIN CSL_CITATION {"citationItems":[{"id":"ITEM-1","itemData":{"ISBN":"9789241565707","author":[{"dropping-particle":"","family":"Organization","given":"World Health","non-dropping-particle":"","parse-names":false,"suffix":""}],"id":"ITEM-1","issued":{"date-parts":[["0"]]},"title":"World health statistics 2019: monitoring health for the SDGs, sustainable development goals. World Health Organization","type":"book"},"uris":["http://www.mendeley.com/documents/?uuid=86ab3fd5-f10c-45c3-b914-c729350447c3"]}],"mendeley":{"formattedCitation":"[27]","plainTextFormattedCitation":"[27]","previouslyFormattedCitation":"[27]"},"properties":{"noteIndex":0},"schema":"https://github.com/citation-style-language/schema/raw/master/csl-citation.json"}</w:instrText>
      </w:r>
      <w:r w:rsidR="00DB3450">
        <w:fldChar w:fldCharType="separate"/>
      </w:r>
      <w:r w:rsidR="00F91EB6" w:rsidRPr="00F91EB6">
        <w:rPr>
          <w:noProof/>
        </w:rPr>
        <w:t>[27]</w:t>
      </w:r>
      <w:r w:rsidR="00DB3450">
        <w:fldChar w:fldCharType="end"/>
      </w:r>
      <w:r w:rsidR="00DB3450">
        <w:t xml:space="preserve"> </w:t>
      </w:r>
      <w:r w:rsidR="006116EC">
        <w:t>Each model used attendance data for each specifi</w:t>
      </w:r>
      <w:r w:rsidR="004D0164">
        <w:t>ed</w:t>
      </w:r>
      <w:r w:rsidR="006116EC">
        <w:t xml:space="preserve"> sex as their dominator.</w:t>
      </w:r>
      <w:r w:rsidR="00065182">
        <w:t xml:space="preserve"> </w:t>
      </w:r>
      <w:bookmarkStart w:id="3" w:name="_Hlk64903416"/>
      <w:r w:rsidR="00A1319F">
        <w:t>Substantive knowledge was used</w:t>
      </w:r>
      <w:r>
        <w:t xml:space="preserve"> to select the models with the best fit (only these will be presented). </w:t>
      </w:r>
      <w:bookmarkEnd w:id="3"/>
      <w:r w:rsidR="00207BD1">
        <w:t>All models were checked for the presence of any interaction terms.</w:t>
      </w:r>
      <w:r w:rsidR="006116EC">
        <w:t xml:space="preserve"> </w:t>
      </w:r>
      <w:r w:rsidR="00DF1366">
        <w:t>Goodness-of-fit Chi-squared tests for Poisson models were used to asses</w:t>
      </w:r>
      <w:r w:rsidR="000D17BC">
        <w:t>s</w:t>
      </w:r>
      <w:r w:rsidR="00DF1366">
        <w:t xml:space="preserve"> model performance</w:t>
      </w:r>
      <w:r w:rsidR="000E6EB3">
        <w:t>.</w:t>
      </w:r>
      <w:r w:rsidR="00DF1366">
        <w:t xml:space="preserve"> </w:t>
      </w:r>
    </w:p>
    <w:p w14:paraId="23C7FB8A" w14:textId="05B98967" w:rsidR="00CC6111" w:rsidRDefault="006116EC" w:rsidP="00AF23EF">
      <w:pPr>
        <w:spacing w:line="360" w:lineRule="auto"/>
        <w:jc w:val="both"/>
      </w:pPr>
      <w:r>
        <w:t xml:space="preserve">All statistical analyses were carried out using R language (version 3.5.3). Results were deemed statistically significant where p&lt;0.05. </w:t>
      </w:r>
      <w:r w:rsidR="00CC6111">
        <w:t>Patients or the public were not involved in this research.</w:t>
      </w:r>
      <w:r w:rsidR="00B22DF9">
        <w:t xml:space="preserve"> </w:t>
      </w:r>
    </w:p>
    <w:p w14:paraId="49788A45" w14:textId="3C45593F" w:rsidR="00877FF1" w:rsidRDefault="002759CE">
      <w:pPr>
        <w:rPr>
          <w:b/>
        </w:rPr>
      </w:pPr>
      <w:r>
        <w:rPr>
          <w:b/>
        </w:rPr>
        <w:t>Results</w:t>
      </w:r>
    </w:p>
    <w:p w14:paraId="60B79168" w14:textId="555DEFE8" w:rsidR="009C65CE" w:rsidRDefault="00F16DD0" w:rsidP="00D65ADA">
      <w:pPr>
        <w:spacing w:line="360" w:lineRule="auto"/>
        <w:jc w:val="both"/>
      </w:pPr>
      <w:r>
        <w:t>Between the 1</w:t>
      </w:r>
      <w:r w:rsidRPr="00F16DD0">
        <w:rPr>
          <w:vertAlign w:val="superscript"/>
        </w:rPr>
        <w:t>st</w:t>
      </w:r>
      <w:r>
        <w:t xml:space="preserve"> January 2016 and the 30</w:t>
      </w:r>
      <w:r w:rsidRPr="00F16DD0">
        <w:rPr>
          <w:vertAlign w:val="superscript"/>
        </w:rPr>
        <w:t>th</w:t>
      </w:r>
      <w:r>
        <w:t xml:space="preserve"> September 2020, 919 individuals attended Alder Hey Children’s Hospital’s emergency department for a dog bite</w:t>
      </w:r>
      <w:r w:rsidR="009C65CE">
        <w:t>; over the study period</w:t>
      </w:r>
      <w:r>
        <w:t xml:space="preserve"> </w:t>
      </w:r>
      <w:r w:rsidR="009C65CE">
        <w:t>0.33% (95% CI 0.31-0.36) of all attendances were due to dog bites.</w:t>
      </w:r>
    </w:p>
    <w:p w14:paraId="06F8BDC1" w14:textId="7568CC02" w:rsidR="006C219E" w:rsidRDefault="00D65ADA" w:rsidP="00F16DD0">
      <w:pPr>
        <w:spacing w:line="360" w:lineRule="auto"/>
        <w:jc w:val="both"/>
      </w:pPr>
      <w:r w:rsidRPr="00A403DB">
        <w:t xml:space="preserve">Prior to March 2020 the mean monthly </w:t>
      </w:r>
      <w:r>
        <w:t xml:space="preserve">total </w:t>
      </w:r>
      <w:r w:rsidR="00F57235">
        <w:t xml:space="preserve">emergency department </w:t>
      </w:r>
      <w:r w:rsidRPr="00A403DB">
        <w:t>attendance w</w:t>
      </w:r>
      <w:r>
        <w:t>as</w:t>
      </w:r>
      <w:r w:rsidRPr="00A403DB">
        <w:t xml:space="preserve"> 5035 (95% CI 4899-5171)</w:t>
      </w:r>
      <w:r w:rsidR="009C65CE">
        <w:t>.</w:t>
      </w:r>
      <w:r w:rsidRPr="00A403DB">
        <w:t xml:space="preserve"> The lowest monthly </w:t>
      </w:r>
      <w:r>
        <w:t xml:space="preserve">total </w:t>
      </w:r>
      <w:r w:rsidR="00AE279E">
        <w:t xml:space="preserve">number of </w:t>
      </w:r>
      <w:r w:rsidRPr="00A403DB">
        <w:t>attendance</w:t>
      </w:r>
      <w:r w:rsidR="00AE279E">
        <w:t xml:space="preserve">s </w:t>
      </w:r>
      <w:r w:rsidRPr="00A403DB">
        <w:t xml:space="preserve">was recorded in April </w:t>
      </w:r>
      <w:r>
        <w:t xml:space="preserve">2020 </w:t>
      </w:r>
      <w:r w:rsidRPr="009C65CE">
        <w:t>(n=2056),</w:t>
      </w:r>
      <w:r w:rsidRPr="00A403DB">
        <w:t xml:space="preserve"> this </w:t>
      </w:r>
      <w:r>
        <w:t>represents</w:t>
      </w:r>
      <w:r w:rsidRPr="00A403DB">
        <w:t xml:space="preserve"> a 2.45 times </w:t>
      </w:r>
      <w:r w:rsidRPr="006C219E">
        <w:t xml:space="preserve">reduction (Fig </w:t>
      </w:r>
      <w:r w:rsidR="009C65CE">
        <w:t>1</w:t>
      </w:r>
      <w:r w:rsidRPr="006C219E">
        <w:t>).</w:t>
      </w:r>
      <w:r>
        <w:t xml:space="preserve"> </w:t>
      </w:r>
      <w:r w:rsidR="009C65CE">
        <w:t>The mean monthly dog bite attendance was 15 cases (95% CI 14-16),</w:t>
      </w:r>
      <w:r w:rsidR="009C65CE" w:rsidRPr="00A403DB">
        <w:t xml:space="preserve"> </w:t>
      </w:r>
      <w:r w:rsidR="009C65CE">
        <w:t>t</w:t>
      </w:r>
      <w:r w:rsidR="00334CFB">
        <w:t>he</w:t>
      </w:r>
      <w:r>
        <w:t xml:space="preserve"> highest monthly dog bite attendance was in July 2020 (n=44), an almost three-fold increase (ratio</w:t>
      </w:r>
      <w:r w:rsidR="00AE279E">
        <w:t>:</w:t>
      </w:r>
      <w:r>
        <w:t xml:space="preserve"> 2.93)</w:t>
      </w:r>
      <w:r w:rsidR="007C5981">
        <w:t xml:space="preserve"> compared to mean monthly dog bite attendance</w:t>
      </w:r>
      <w:r>
        <w:t xml:space="preserve">. </w:t>
      </w:r>
      <w:r w:rsidR="009C65CE">
        <w:t>Overall, there was a significant increase in the mean monthly number of dog bite attendances from before the COVID-19 public health measures and during them</w:t>
      </w:r>
      <w:r w:rsidR="003D6B14">
        <w:t xml:space="preserve"> (Table 1)</w:t>
      </w:r>
      <w:r w:rsidR="009C65CE">
        <w:t>.</w:t>
      </w:r>
    </w:p>
    <w:tbl>
      <w:tblPr>
        <w:tblStyle w:val="TableGrid"/>
        <w:tblW w:w="0" w:type="auto"/>
        <w:tblLook w:val="04A0" w:firstRow="1" w:lastRow="0" w:firstColumn="1" w:lastColumn="0" w:noHBand="0" w:noVBand="1"/>
      </w:tblPr>
      <w:tblGrid>
        <w:gridCol w:w="2547"/>
        <w:gridCol w:w="2410"/>
        <w:gridCol w:w="2409"/>
        <w:gridCol w:w="1814"/>
      </w:tblGrid>
      <w:tr w:rsidR="003D6B14" w14:paraId="071C64F9" w14:textId="77777777" w:rsidTr="003A3A0C">
        <w:trPr>
          <w:trHeight w:val="440"/>
        </w:trPr>
        <w:tc>
          <w:tcPr>
            <w:tcW w:w="2547" w:type="dxa"/>
          </w:tcPr>
          <w:p w14:paraId="763119D3" w14:textId="77777777" w:rsidR="003D6B14" w:rsidRDefault="003D6B14" w:rsidP="001B2A6A"/>
        </w:tc>
        <w:tc>
          <w:tcPr>
            <w:tcW w:w="2410" w:type="dxa"/>
          </w:tcPr>
          <w:p w14:paraId="54B8B846" w14:textId="77777777" w:rsidR="003D6B14" w:rsidRDefault="003D6B14" w:rsidP="001B2A6A">
            <w:r>
              <w:t>COVID-19 Public Health Measures Absent</w:t>
            </w:r>
          </w:p>
          <w:p w14:paraId="4D8242C0" w14:textId="77777777" w:rsidR="003D6B14" w:rsidRDefault="003D6B14" w:rsidP="001B2A6A">
            <w:r>
              <w:t>(Jan 2016-Feb 2020)</w:t>
            </w:r>
          </w:p>
        </w:tc>
        <w:tc>
          <w:tcPr>
            <w:tcW w:w="2409" w:type="dxa"/>
          </w:tcPr>
          <w:p w14:paraId="19479A1E" w14:textId="77777777" w:rsidR="003D6B14" w:rsidRDefault="003D6B14" w:rsidP="001B2A6A">
            <w:r>
              <w:t>COVID-19 Public Health Measures Present</w:t>
            </w:r>
          </w:p>
          <w:p w14:paraId="6AF0269F" w14:textId="77777777" w:rsidR="003D6B14" w:rsidRDefault="003D6B14" w:rsidP="001B2A6A">
            <w:r>
              <w:t>(March 2020-Sept 2020)</w:t>
            </w:r>
          </w:p>
        </w:tc>
        <w:tc>
          <w:tcPr>
            <w:tcW w:w="1814" w:type="dxa"/>
          </w:tcPr>
          <w:p w14:paraId="1A0684AB" w14:textId="77777777" w:rsidR="003D6B14" w:rsidRDefault="003D6B14" w:rsidP="001B2A6A">
            <w:r>
              <w:t>p value</w:t>
            </w:r>
          </w:p>
        </w:tc>
      </w:tr>
      <w:tr w:rsidR="003D6B14" w14:paraId="16B30CFA" w14:textId="77777777" w:rsidTr="003A3A0C">
        <w:tc>
          <w:tcPr>
            <w:tcW w:w="2547" w:type="dxa"/>
          </w:tcPr>
          <w:p w14:paraId="675A578E" w14:textId="77777777" w:rsidR="003D6B14" w:rsidRPr="00851138" w:rsidRDefault="003D6B14" w:rsidP="001B2A6A">
            <w:pPr>
              <w:rPr>
                <w:b/>
                <w:bCs/>
              </w:rPr>
            </w:pPr>
            <w:r w:rsidRPr="00851138">
              <w:rPr>
                <w:b/>
                <w:bCs/>
              </w:rPr>
              <w:t xml:space="preserve">Sex </w:t>
            </w:r>
          </w:p>
        </w:tc>
        <w:tc>
          <w:tcPr>
            <w:tcW w:w="2410" w:type="dxa"/>
          </w:tcPr>
          <w:p w14:paraId="0FDDDE25" w14:textId="77777777" w:rsidR="003D6B14" w:rsidRDefault="003D6B14" w:rsidP="001B2A6A"/>
        </w:tc>
        <w:tc>
          <w:tcPr>
            <w:tcW w:w="2409" w:type="dxa"/>
          </w:tcPr>
          <w:p w14:paraId="4D9FF913" w14:textId="77777777" w:rsidR="003D6B14" w:rsidRDefault="003D6B14" w:rsidP="001B2A6A"/>
        </w:tc>
        <w:tc>
          <w:tcPr>
            <w:tcW w:w="1814" w:type="dxa"/>
          </w:tcPr>
          <w:p w14:paraId="0D231A42" w14:textId="094BFE75" w:rsidR="003D6B14" w:rsidRDefault="009A5499" w:rsidP="001B2A6A">
            <w:r>
              <w:t>p=0.68</w:t>
            </w:r>
          </w:p>
        </w:tc>
      </w:tr>
      <w:tr w:rsidR="003D6B14" w14:paraId="07AB2E27" w14:textId="77777777" w:rsidTr="003A3A0C">
        <w:tc>
          <w:tcPr>
            <w:tcW w:w="2547" w:type="dxa"/>
          </w:tcPr>
          <w:p w14:paraId="6E0592BB" w14:textId="77777777" w:rsidR="003D6B14" w:rsidRDefault="003D6B14" w:rsidP="001B2A6A">
            <w:r>
              <w:t>Male</w:t>
            </w:r>
          </w:p>
        </w:tc>
        <w:tc>
          <w:tcPr>
            <w:tcW w:w="2410" w:type="dxa"/>
          </w:tcPr>
          <w:p w14:paraId="66DB0DD0" w14:textId="77777777" w:rsidR="003D6B14" w:rsidRDefault="003D6B14" w:rsidP="001B2A6A">
            <w:r>
              <w:t>51.9% (n=393)</w:t>
            </w:r>
          </w:p>
        </w:tc>
        <w:tc>
          <w:tcPr>
            <w:tcW w:w="2409" w:type="dxa"/>
          </w:tcPr>
          <w:p w14:paraId="7CADC464" w14:textId="77777777" w:rsidR="003D6B14" w:rsidRDefault="003D6B14" w:rsidP="001B2A6A">
            <w:r>
              <w:t>53.7% (n=87)</w:t>
            </w:r>
          </w:p>
        </w:tc>
        <w:tc>
          <w:tcPr>
            <w:tcW w:w="1814" w:type="dxa"/>
          </w:tcPr>
          <w:p w14:paraId="31543CBF" w14:textId="77777777" w:rsidR="003D6B14" w:rsidRDefault="003D6B14" w:rsidP="001B2A6A"/>
        </w:tc>
      </w:tr>
      <w:tr w:rsidR="003D6B14" w14:paraId="6A252484" w14:textId="77777777" w:rsidTr="003A3A0C">
        <w:tc>
          <w:tcPr>
            <w:tcW w:w="2547" w:type="dxa"/>
          </w:tcPr>
          <w:p w14:paraId="4D163B93" w14:textId="77777777" w:rsidR="003D6B14" w:rsidRDefault="003D6B14" w:rsidP="001B2A6A">
            <w:r>
              <w:t>Female</w:t>
            </w:r>
          </w:p>
        </w:tc>
        <w:tc>
          <w:tcPr>
            <w:tcW w:w="2410" w:type="dxa"/>
          </w:tcPr>
          <w:p w14:paraId="68F85316" w14:textId="77777777" w:rsidR="003D6B14" w:rsidRDefault="003D6B14" w:rsidP="001B2A6A">
            <w:r>
              <w:t>48.1% (n=364)</w:t>
            </w:r>
          </w:p>
        </w:tc>
        <w:tc>
          <w:tcPr>
            <w:tcW w:w="2409" w:type="dxa"/>
          </w:tcPr>
          <w:p w14:paraId="19986749" w14:textId="77777777" w:rsidR="003D6B14" w:rsidRDefault="003D6B14" w:rsidP="001B2A6A">
            <w:r>
              <w:t>46.3% (n=75)</w:t>
            </w:r>
          </w:p>
        </w:tc>
        <w:tc>
          <w:tcPr>
            <w:tcW w:w="1814" w:type="dxa"/>
          </w:tcPr>
          <w:p w14:paraId="06BF0B67" w14:textId="50676AA7" w:rsidR="003D6B14" w:rsidRDefault="003D6B14" w:rsidP="001B2A6A"/>
        </w:tc>
      </w:tr>
      <w:tr w:rsidR="003D6B14" w14:paraId="7B44879A" w14:textId="77777777" w:rsidTr="003A3A0C">
        <w:tc>
          <w:tcPr>
            <w:tcW w:w="2547" w:type="dxa"/>
          </w:tcPr>
          <w:p w14:paraId="2DF6BB57" w14:textId="77777777" w:rsidR="003D6B14" w:rsidRPr="00851138" w:rsidRDefault="003D6B14" w:rsidP="001B2A6A">
            <w:pPr>
              <w:rPr>
                <w:b/>
                <w:bCs/>
              </w:rPr>
            </w:pPr>
            <w:r w:rsidRPr="00851138">
              <w:rPr>
                <w:b/>
                <w:bCs/>
              </w:rPr>
              <w:t>Age</w:t>
            </w:r>
          </w:p>
        </w:tc>
        <w:tc>
          <w:tcPr>
            <w:tcW w:w="2410" w:type="dxa"/>
          </w:tcPr>
          <w:p w14:paraId="6D7DB4D8" w14:textId="77777777" w:rsidR="003D6B14" w:rsidRDefault="003D6B14" w:rsidP="001B2A6A"/>
        </w:tc>
        <w:tc>
          <w:tcPr>
            <w:tcW w:w="2409" w:type="dxa"/>
          </w:tcPr>
          <w:p w14:paraId="0A8FC42C" w14:textId="77777777" w:rsidR="003D6B14" w:rsidRDefault="003D6B14" w:rsidP="001B2A6A"/>
        </w:tc>
        <w:tc>
          <w:tcPr>
            <w:tcW w:w="1814" w:type="dxa"/>
          </w:tcPr>
          <w:p w14:paraId="1796A38C" w14:textId="77777777" w:rsidR="003D6B14" w:rsidRDefault="009A5499" w:rsidP="001B2A6A">
            <w:r>
              <w:rPr>
                <w:rFonts w:cstheme="minorHAnsi"/>
              </w:rPr>
              <w:t xml:space="preserve">χ² </w:t>
            </w:r>
            <w:r>
              <w:t>p=0.42</w:t>
            </w:r>
          </w:p>
          <w:p w14:paraId="48658FA5" w14:textId="6C2EC7ED" w:rsidR="009A5499" w:rsidRDefault="009A5499" w:rsidP="001B2A6A">
            <w:r>
              <w:t xml:space="preserve">trend </w:t>
            </w:r>
            <w:r>
              <w:rPr>
                <w:rFonts w:cstheme="minorHAnsi"/>
              </w:rPr>
              <w:t>χ²</w:t>
            </w:r>
            <w:r w:rsidR="001F14B0">
              <w:rPr>
                <w:rFonts w:cstheme="minorHAnsi"/>
              </w:rPr>
              <w:t xml:space="preserve"> p = 0.71</w:t>
            </w:r>
          </w:p>
        </w:tc>
      </w:tr>
      <w:tr w:rsidR="003D6B14" w14:paraId="5268CC55" w14:textId="77777777" w:rsidTr="003A3A0C">
        <w:tc>
          <w:tcPr>
            <w:tcW w:w="2547" w:type="dxa"/>
          </w:tcPr>
          <w:p w14:paraId="0F1316E9" w14:textId="028E8E4D" w:rsidR="003D6B14" w:rsidRDefault="003D6B14" w:rsidP="001B2A6A">
            <w:r>
              <w:t>Infant (&lt;12 months)</w:t>
            </w:r>
          </w:p>
        </w:tc>
        <w:tc>
          <w:tcPr>
            <w:tcW w:w="2410" w:type="dxa"/>
          </w:tcPr>
          <w:p w14:paraId="6A6294C6" w14:textId="77777777" w:rsidR="003D6B14" w:rsidRDefault="003D6B14" w:rsidP="001B2A6A">
            <w:r>
              <w:t>3.6% (n=27)</w:t>
            </w:r>
          </w:p>
        </w:tc>
        <w:tc>
          <w:tcPr>
            <w:tcW w:w="2409" w:type="dxa"/>
          </w:tcPr>
          <w:p w14:paraId="62F26F9B" w14:textId="77777777" w:rsidR="003D6B14" w:rsidRDefault="003D6B14" w:rsidP="001B2A6A">
            <w:r>
              <w:t>1.9% (n=3)</w:t>
            </w:r>
          </w:p>
        </w:tc>
        <w:tc>
          <w:tcPr>
            <w:tcW w:w="1814" w:type="dxa"/>
          </w:tcPr>
          <w:p w14:paraId="09B07AEF" w14:textId="77777777" w:rsidR="003D6B14" w:rsidRDefault="003D6B14" w:rsidP="001B2A6A"/>
        </w:tc>
      </w:tr>
      <w:tr w:rsidR="003D6B14" w14:paraId="3E0023BC" w14:textId="77777777" w:rsidTr="003A3A0C">
        <w:tc>
          <w:tcPr>
            <w:tcW w:w="2547" w:type="dxa"/>
          </w:tcPr>
          <w:p w14:paraId="1973CAD9" w14:textId="77777777" w:rsidR="003D6B14" w:rsidRDefault="003D6B14" w:rsidP="001B2A6A">
            <w:r>
              <w:t>Toddler (1-3 years)</w:t>
            </w:r>
          </w:p>
        </w:tc>
        <w:tc>
          <w:tcPr>
            <w:tcW w:w="2410" w:type="dxa"/>
          </w:tcPr>
          <w:p w14:paraId="0A39A4E0" w14:textId="77777777" w:rsidR="003D6B14" w:rsidRDefault="003D6B14" w:rsidP="001B2A6A">
            <w:r>
              <w:t>26.6% (n=201)</w:t>
            </w:r>
          </w:p>
        </w:tc>
        <w:tc>
          <w:tcPr>
            <w:tcW w:w="2409" w:type="dxa"/>
          </w:tcPr>
          <w:p w14:paraId="6076E822" w14:textId="77777777" w:rsidR="003D6B14" w:rsidRDefault="003D6B14" w:rsidP="001B2A6A">
            <w:r>
              <w:t>26.5% (n=43)</w:t>
            </w:r>
          </w:p>
        </w:tc>
        <w:tc>
          <w:tcPr>
            <w:tcW w:w="1814" w:type="dxa"/>
          </w:tcPr>
          <w:p w14:paraId="4CB45A7C" w14:textId="77777777" w:rsidR="003D6B14" w:rsidRDefault="003D6B14" w:rsidP="001B2A6A"/>
        </w:tc>
      </w:tr>
      <w:tr w:rsidR="003D6B14" w14:paraId="181EC959" w14:textId="77777777" w:rsidTr="003A3A0C">
        <w:tc>
          <w:tcPr>
            <w:tcW w:w="2547" w:type="dxa"/>
          </w:tcPr>
          <w:p w14:paraId="2667B139" w14:textId="77777777" w:rsidR="003D6B14" w:rsidRDefault="003D6B14" w:rsidP="001B2A6A">
            <w:r>
              <w:t>Early Child (4-6 years)</w:t>
            </w:r>
          </w:p>
        </w:tc>
        <w:tc>
          <w:tcPr>
            <w:tcW w:w="2410" w:type="dxa"/>
          </w:tcPr>
          <w:p w14:paraId="7306ADF2" w14:textId="77777777" w:rsidR="003D6B14" w:rsidRDefault="003D6B14" w:rsidP="001B2A6A">
            <w:r>
              <w:t>21.9% (n=166)</w:t>
            </w:r>
          </w:p>
        </w:tc>
        <w:tc>
          <w:tcPr>
            <w:tcW w:w="2409" w:type="dxa"/>
          </w:tcPr>
          <w:p w14:paraId="624C1FBD" w14:textId="77777777" w:rsidR="003D6B14" w:rsidRDefault="003D6B14" w:rsidP="001B2A6A">
            <w:r>
              <w:t>27.2% (n=44)</w:t>
            </w:r>
          </w:p>
        </w:tc>
        <w:tc>
          <w:tcPr>
            <w:tcW w:w="1814" w:type="dxa"/>
          </w:tcPr>
          <w:p w14:paraId="1D6A7532" w14:textId="77777777" w:rsidR="003D6B14" w:rsidRDefault="003D6B14" w:rsidP="001B2A6A"/>
        </w:tc>
      </w:tr>
      <w:tr w:rsidR="003D6B14" w14:paraId="7D7BD75A" w14:textId="77777777" w:rsidTr="003A3A0C">
        <w:tc>
          <w:tcPr>
            <w:tcW w:w="2547" w:type="dxa"/>
          </w:tcPr>
          <w:p w14:paraId="701F0810" w14:textId="77777777" w:rsidR="003D6B14" w:rsidRDefault="003D6B14" w:rsidP="001B2A6A">
            <w:r>
              <w:t>Middle Child (7-12 years)</w:t>
            </w:r>
          </w:p>
        </w:tc>
        <w:tc>
          <w:tcPr>
            <w:tcW w:w="2410" w:type="dxa"/>
          </w:tcPr>
          <w:p w14:paraId="71853882" w14:textId="77777777" w:rsidR="003D6B14" w:rsidRDefault="003D6B14" w:rsidP="001B2A6A">
            <w:r>
              <w:t>33.4% (n=253)</w:t>
            </w:r>
          </w:p>
        </w:tc>
        <w:tc>
          <w:tcPr>
            <w:tcW w:w="2409" w:type="dxa"/>
          </w:tcPr>
          <w:p w14:paraId="1ED5C63E" w14:textId="77777777" w:rsidR="003D6B14" w:rsidRDefault="003D6B14" w:rsidP="001B2A6A">
            <w:r>
              <w:t>33.3% (n=54)</w:t>
            </w:r>
          </w:p>
        </w:tc>
        <w:tc>
          <w:tcPr>
            <w:tcW w:w="1814" w:type="dxa"/>
          </w:tcPr>
          <w:p w14:paraId="0A230B79" w14:textId="77777777" w:rsidR="003D6B14" w:rsidRDefault="003D6B14" w:rsidP="001B2A6A"/>
        </w:tc>
      </w:tr>
      <w:tr w:rsidR="003D6B14" w14:paraId="1653A553" w14:textId="77777777" w:rsidTr="003A3A0C">
        <w:tc>
          <w:tcPr>
            <w:tcW w:w="2547" w:type="dxa"/>
          </w:tcPr>
          <w:p w14:paraId="130192F5" w14:textId="77777777" w:rsidR="003D6B14" w:rsidRDefault="003D6B14" w:rsidP="001B2A6A">
            <w:r>
              <w:t>Adolescent (13-17 years)</w:t>
            </w:r>
          </w:p>
        </w:tc>
        <w:tc>
          <w:tcPr>
            <w:tcW w:w="2410" w:type="dxa"/>
          </w:tcPr>
          <w:p w14:paraId="3E6F6CD6" w14:textId="77777777" w:rsidR="003D6B14" w:rsidRDefault="003D6B14" w:rsidP="001B2A6A">
            <w:r>
              <w:t>14.5% (n=110)</w:t>
            </w:r>
          </w:p>
        </w:tc>
        <w:tc>
          <w:tcPr>
            <w:tcW w:w="2409" w:type="dxa"/>
          </w:tcPr>
          <w:p w14:paraId="53AF318C" w14:textId="77777777" w:rsidR="003D6B14" w:rsidRDefault="003D6B14" w:rsidP="001B2A6A">
            <w:r>
              <w:t>11.1% (n=18)</w:t>
            </w:r>
          </w:p>
        </w:tc>
        <w:tc>
          <w:tcPr>
            <w:tcW w:w="1814" w:type="dxa"/>
          </w:tcPr>
          <w:p w14:paraId="030C9F9B" w14:textId="7EBE40B1" w:rsidR="003D6B14" w:rsidRDefault="003D6B14" w:rsidP="001B2A6A"/>
        </w:tc>
      </w:tr>
      <w:tr w:rsidR="003D6B14" w14:paraId="5FAE6CA6" w14:textId="77777777" w:rsidTr="003A3A0C">
        <w:tc>
          <w:tcPr>
            <w:tcW w:w="2547" w:type="dxa"/>
          </w:tcPr>
          <w:p w14:paraId="21FA147C" w14:textId="77777777" w:rsidR="003D6B14" w:rsidRPr="00851138" w:rsidRDefault="003D6B14" w:rsidP="001B2A6A">
            <w:pPr>
              <w:rPr>
                <w:b/>
                <w:bCs/>
              </w:rPr>
            </w:pPr>
            <w:r w:rsidRPr="00851138">
              <w:rPr>
                <w:b/>
                <w:bCs/>
              </w:rPr>
              <w:t>Total</w:t>
            </w:r>
          </w:p>
        </w:tc>
        <w:tc>
          <w:tcPr>
            <w:tcW w:w="2410" w:type="dxa"/>
          </w:tcPr>
          <w:p w14:paraId="11F08D6D" w14:textId="77777777" w:rsidR="003D6B14" w:rsidRDefault="003D6B14" w:rsidP="001B2A6A">
            <w:r>
              <w:t>757</w:t>
            </w:r>
          </w:p>
        </w:tc>
        <w:tc>
          <w:tcPr>
            <w:tcW w:w="2409" w:type="dxa"/>
          </w:tcPr>
          <w:p w14:paraId="546E40CC" w14:textId="77777777" w:rsidR="003D6B14" w:rsidRDefault="003D6B14" w:rsidP="001B2A6A">
            <w:r>
              <w:t>162</w:t>
            </w:r>
          </w:p>
        </w:tc>
        <w:tc>
          <w:tcPr>
            <w:tcW w:w="1814" w:type="dxa"/>
          </w:tcPr>
          <w:p w14:paraId="24B8C6C6" w14:textId="77777777" w:rsidR="003D6B14" w:rsidRDefault="003D6B14" w:rsidP="001B2A6A"/>
        </w:tc>
      </w:tr>
      <w:tr w:rsidR="003D6B14" w14:paraId="65D4FA45" w14:textId="77777777" w:rsidTr="003A3A0C">
        <w:tc>
          <w:tcPr>
            <w:tcW w:w="2547" w:type="dxa"/>
          </w:tcPr>
          <w:p w14:paraId="418B0A86" w14:textId="6500A518" w:rsidR="003D6B14" w:rsidRPr="00851138" w:rsidRDefault="003D6B14" w:rsidP="001B2A6A">
            <w:pPr>
              <w:rPr>
                <w:b/>
                <w:bCs/>
              </w:rPr>
            </w:pPr>
            <w:r>
              <w:rPr>
                <w:b/>
                <w:bCs/>
              </w:rPr>
              <w:t xml:space="preserve">Mean number of </w:t>
            </w:r>
            <w:r w:rsidR="00DC3817">
              <w:rPr>
                <w:b/>
                <w:bCs/>
              </w:rPr>
              <w:t xml:space="preserve">dog </w:t>
            </w:r>
            <w:r>
              <w:rPr>
                <w:b/>
                <w:bCs/>
              </w:rPr>
              <w:t>bites per month (95% CI)</w:t>
            </w:r>
          </w:p>
        </w:tc>
        <w:tc>
          <w:tcPr>
            <w:tcW w:w="2410" w:type="dxa"/>
          </w:tcPr>
          <w:p w14:paraId="0E1F97F1" w14:textId="77777777" w:rsidR="003D6B14" w:rsidRDefault="003D6B14" w:rsidP="001B2A6A">
            <w:r>
              <w:t>15.14 (14.09-16.25)</w:t>
            </w:r>
          </w:p>
        </w:tc>
        <w:tc>
          <w:tcPr>
            <w:tcW w:w="2409" w:type="dxa"/>
          </w:tcPr>
          <w:p w14:paraId="6D14A32F" w14:textId="77777777" w:rsidR="003D6B14" w:rsidRDefault="003D6B14" w:rsidP="001B2A6A">
            <w:r>
              <w:t>23.14 (19.78-26.92)</w:t>
            </w:r>
          </w:p>
        </w:tc>
        <w:tc>
          <w:tcPr>
            <w:tcW w:w="1814" w:type="dxa"/>
          </w:tcPr>
          <w:p w14:paraId="4BC5297A" w14:textId="77777777" w:rsidR="003D6B14" w:rsidRDefault="003D6B14" w:rsidP="001B2A6A">
            <w:r>
              <w:t>p&lt;0.001</w:t>
            </w:r>
          </w:p>
        </w:tc>
      </w:tr>
    </w:tbl>
    <w:p w14:paraId="369217D0" w14:textId="500F9274" w:rsidR="003D6B14" w:rsidRDefault="003D6B14" w:rsidP="003D6B14">
      <w:pPr>
        <w:spacing w:line="360" w:lineRule="auto"/>
        <w:jc w:val="both"/>
        <w:rPr>
          <w:sz w:val="20"/>
          <w:szCs w:val="20"/>
        </w:rPr>
      </w:pPr>
      <w:r w:rsidRPr="006C219E">
        <w:rPr>
          <w:sz w:val="20"/>
          <w:szCs w:val="20"/>
        </w:rPr>
        <w:t>Table 1 Demographics of paediatric dog bite victims stratified by the presence of national COVID-19 public health measures.</w:t>
      </w:r>
    </w:p>
    <w:p w14:paraId="5CD1C2F5" w14:textId="63C4B4E5" w:rsidR="003D6B14" w:rsidRDefault="003D6B14" w:rsidP="00F16DD0">
      <w:pPr>
        <w:spacing w:line="360" w:lineRule="auto"/>
        <w:jc w:val="both"/>
      </w:pPr>
      <w:r>
        <w:t>There was no significant difference in the proportion of males and females attending based on whether they attended during COVID-19 public health measures or not (</w:t>
      </w:r>
      <w:r>
        <w:rPr>
          <w:rFonts w:cstheme="minorHAnsi"/>
        </w:rPr>
        <w:t>χ²</w:t>
      </w:r>
      <w:r>
        <w:t>=0.17, p=0.68), nor was there a difference in the proportion of ages attending (</w:t>
      </w:r>
      <w:r w:rsidR="001B2A6A">
        <w:rPr>
          <w:rFonts w:cstheme="minorHAnsi"/>
        </w:rPr>
        <w:t>χ²</w:t>
      </w:r>
      <w:r w:rsidR="001B2A6A">
        <w:t>=3.92, p=0.42</w:t>
      </w:r>
      <w:r>
        <w:t>)</w:t>
      </w:r>
      <w:r w:rsidR="0089313B">
        <w:t xml:space="preserve"> </w:t>
      </w:r>
      <w:r w:rsidR="00CC4546">
        <w:t>or</w:t>
      </w:r>
      <w:r w:rsidR="0089313B">
        <w:t xml:space="preserve"> evidence of a linear </w:t>
      </w:r>
      <w:r w:rsidR="00100939">
        <w:t xml:space="preserve">effect of age (Trend </w:t>
      </w:r>
      <w:r w:rsidR="00100939">
        <w:rPr>
          <w:rFonts w:cstheme="minorHAnsi"/>
        </w:rPr>
        <w:t>χ²</w:t>
      </w:r>
      <w:r w:rsidR="00804B81">
        <w:rPr>
          <w:rFonts w:cstheme="minorHAnsi"/>
        </w:rPr>
        <w:t xml:space="preserve"> = 0.13, p=0.71</w:t>
      </w:r>
      <w:r w:rsidR="00100939">
        <w:t>)</w:t>
      </w:r>
    </w:p>
    <w:p w14:paraId="1178538A" w14:textId="2F43330C" w:rsidR="00616FB4" w:rsidRDefault="009C65CE" w:rsidP="00F16DD0">
      <w:pPr>
        <w:spacing w:line="360" w:lineRule="auto"/>
        <w:jc w:val="both"/>
      </w:pPr>
      <w:r>
        <w:t>The</w:t>
      </w:r>
      <w:r w:rsidR="000C5D62">
        <w:t xml:space="preserve"> </w:t>
      </w:r>
      <w:r>
        <w:t>m</w:t>
      </w:r>
      <w:r w:rsidR="00B85D52">
        <w:t>onthly</w:t>
      </w:r>
      <w:r>
        <w:t xml:space="preserve"> percentage of</w:t>
      </w:r>
      <w:r w:rsidR="00B85D52">
        <w:t xml:space="preserve"> attendance</w:t>
      </w:r>
      <w:r>
        <w:t>s due to dog bites</w:t>
      </w:r>
      <w:r w:rsidR="00B85D52">
        <w:t xml:space="preserve"> prior to 2020 reveal</w:t>
      </w:r>
      <w:r w:rsidR="008D7055">
        <w:t>ed</w:t>
      </w:r>
      <w:r w:rsidR="00B85D52">
        <w:t xml:space="preserve"> a </w:t>
      </w:r>
      <w:r w:rsidR="00AE279E">
        <w:t>consistent</w:t>
      </w:r>
      <w:r w:rsidR="00B85D52">
        <w:t xml:space="preserve"> yet fluctuating</w:t>
      </w:r>
      <w:r w:rsidR="00F57235">
        <w:t xml:space="preserve"> pattern</w:t>
      </w:r>
      <w:r w:rsidR="00B85D52">
        <w:t xml:space="preserve">, ranging from </w:t>
      </w:r>
      <w:r>
        <w:t>0.13%</w:t>
      </w:r>
      <w:r w:rsidR="00B85D52">
        <w:t xml:space="preserve"> to </w:t>
      </w:r>
      <w:r w:rsidR="0045048A">
        <w:t>0.57%</w:t>
      </w:r>
      <w:r w:rsidR="00B85D52">
        <w:t xml:space="preserve">, with a mean monthly </w:t>
      </w:r>
      <w:r w:rsidR="0045048A">
        <w:t>percentage of 0.31 (95% CI 0.28-0.34</w:t>
      </w:r>
      <w:proofErr w:type="gramStart"/>
      <w:r w:rsidR="0045048A">
        <w:t xml:space="preserve">) </w:t>
      </w:r>
      <w:r w:rsidR="004D6BAB">
        <w:t xml:space="preserve"> </w:t>
      </w:r>
      <w:r w:rsidR="004D6BAB" w:rsidRPr="006C219E">
        <w:t>(</w:t>
      </w:r>
      <w:proofErr w:type="gramEnd"/>
      <w:r w:rsidR="004D6BAB" w:rsidRPr="006C219E">
        <w:t xml:space="preserve">Fig </w:t>
      </w:r>
      <w:r>
        <w:t>2</w:t>
      </w:r>
      <w:r w:rsidR="004D6BAB" w:rsidRPr="006C219E">
        <w:t>)</w:t>
      </w:r>
      <w:r w:rsidR="00B85D52" w:rsidRPr="006C219E">
        <w:t>.</w:t>
      </w:r>
      <w:r w:rsidR="0045048A">
        <w:t xml:space="preserve"> The monthly percentages in</w:t>
      </w:r>
      <w:r w:rsidR="00D65ADA">
        <w:t xml:space="preserve"> 2020</w:t>
      </w:r>
      <w:r w:rsidR="00F02258">
        <w:t xml:space="preserve"> </w:t>
      </w:r>
      <w:r w:rsidR="00462C86">
        <w:t>deviate</w:t>
      </w:r>
      <w:r w:rsidR="008D7055">
        <w:t>d</w:t>
      </w:r>
      <w:r w:rsidR="004D6BAB">
        <w:t xml:space="preserve"> from the projected data from May through to August, peak</w:t>
      </w:r>
      <w:r w:rsidR="00AE279E">
        <w:t>ing</w:t>
      </w:r>
      <w:r w:rsidR="004D6BAB">
        <w:t xml:space="preserve"> in July </w:t>
      </w:r>
      <w:r w:rsidR="00AE279E">
        <w:t xml:space="preserve">with </w:t>
      </w:r>
      <w:r w:rsidR="0045048A">
        <w:t>1.28% (95% CI 0.94-1.70) of all attendances due to dog bites.</w:t>
      </w:r>
      <w:r w:rsidR="005408ED">
        <w:t xml:space="preserve"> Th</w:t>
      </w:r>
      <w:r w:rsidR="00AE279E">
        <w:t>is</w:t>
      </w:r>
      <w:r w:rsidR="005408ED">
        <w:t xml:space="preserve"> peak reflect</w:t>
      </w:r>
      <w:r w:rsidR="008D7055">
        <w:t>ed</w:t>
      </w:r>
      <w:r w:rsidR="005408ED">
        <w:t xml:space="preserve"> a quadrupling (ratio</w:t>
      </w:r>
      <w:r w:rsidR="00AE279E">
        <w:t>:</w:t>
      </w:r>
      <w:r w:rsidR="005408ED">
        <w:t xml:space="preserve"> 4.1</w:t>
      </w:r>
      <w:r w:rsidR="0045048A">
        <w:t>3</w:t>
      </w:r>
      <w:r w:rsidR="005408ED">
        <w:t xml:space="preserve">) of the average monthly </w:t>
      </w:r>
      <w:r w:rsidR="0045048A">
        <w:t>percentage of attendances due to dog bites</w:t>
      </w:r>
      <w:r w:rsidR="005408ED">
        <w:t>.</w:t>
      </w:r>
      <w:r w:rsidR="004D6BAB">
        <w:t xml:space="preserve"> </w:t>
      </w:r>
    </w:p>
    <w:p w14:paraId="23D1A5CB" w14:textId="6DBBB3F3" w:rsidR="00920272" w:rsidRDefault="006B34EC" w:rsidP="00F16DD0">
      <w:pPr>
        <w:spacing w:line="360" w:lineRule="auto"/>
        <w:jc w:val="both"/>
      </w:pPr>
      <w:r>
        <w:t>COVID-19 public health measures were independently associated with a</w:t>
      </w:r>
      <w:r w:rsidR="005C3DD8">
        <w:t xml:space="preserve"> 66</w:t>
      </w:r>
      <w:r>
        <w:t xml:space="preserve">% increase in dog bite attendance rates in females, and a 78% increase in males </w:t>
      </w:r>
      <w:r w:rsidRPr="006C219E">
        <w:t>(Table 2).</w:t>
      </w:r>
      <w:r>
        <w:t xml:space="preserve"> </w:t>
      </w:r>
    </w:p>
    <w:p w14:paraId="54F352C2" w14:textId="15BAC275" w:rsidR="000C5D62" w:rsidRDefault="000C5D62" w:rsidP="00F16DD0">
      <w:pPr>
        <w:spacing w:line="360" w:lineRule="auto"/>
        <w:jc w:val="both"/>
      </w:pPr>
    </w:p>
    <w:p w14:paraId="38C2BE26" w14:textId="220581C3" w:rsidR="000C5D62" w:rsidRDefault="000C5D62" w:rsidP="00F16DD0">
      <w:pPr>
        <w:spacing w:line="360" w:lineRule="auto"/>
        <w:jc w:val="both"/>
      </w:pPr>
    </w:p>
    <w:p w14:paraId="484FD408" w14:textId="4EF35217" w:rsidR="000C5D62" w:rsidRDefault="000C5D62" w:rsidP="00F16DD0">
      <w:pPr>
        <w:spacing w:line="360" w:lineRule="auto"/>
        <w:jc w:val="both"/>
      </w:pPr>
    </w:p>
    <w:p w14:paraId="67A109C1" w14:textId="2800234E" w:rsidR="00F57235" w:rsidRDefault="00F57235" w:rsidP="00F16DD0">
      <w:pPr>
        <w:spacing w:line="360" w:lineRule="auto"/>
        <w:jc w:val="both"/>
      </w:pPr>
    </w:p>
    <w:p w14:paraId="28573A49" w14:textId="3563B8EB" w:rsidR="00F57235" w:rsidRDefault="00F57235" w:rsidP="00F16DD0">
      <w:pPr>
        <w:spacing w:line="360" w:lineRule="auto"/>
        <w:jc w:val="both"/>
      </w:pPr>
    </w:p>
    <w:p w14:paraId="4DB9E444" w14:textId="77777777" w:rsidR="00F57235" w:rsidRDefault="00F57235" w:rsidP="00F16DD0">
      <w:pPr>
        <w:spacing w:line="360" w:lineRule="auto"/>
        <w:jc w:val="both"/>
      </w:pPr>
    </w:p>
    <w:p w14:paraId="3D2CC89F" w14:textId="77777777" w:rsidR="00DD00BB" w:rsidRDefault="00DD00BB" w:rsidP="00F16DD0">
      <w:pPr>
        <w:spacing w:line="360" w:lineRule="auto"/>
        <w:jc w:val="both"/>
      </w:pPr>
    </w:p>
    <w:tbl>
      <w:tblPr>
        <w:tblStyle w:val="TableGrid"/>
        <w:tblW w:w="11341" w:type="dxa"/>
        <w:tblInd w:w="-998" w:type="dxa"/>
        <w:tblLayout w:type="fixed"/>
        <w:tblLook w:val="04A0" w:firstRow="1" w:lastRow="0" w:firstColumn="1" w:lastColumn="0" w:noHBand="0" w:noVBand="1"/>
      </w:tblPr>
      <w:tblGrid>
        <w:gridCol w:w="3261"/>
        <w:gridCol w:w="1701"/>
        <w:gridCol w:w="918"/>
        <w:gridCol w:w="1776"/>
        <w:gridCol w:w="992"/>
        <w:gridCol w:w="1701"/>
        <w:gridCol w:w="992"/>
      </w:tblGrid>
      <w:tr w:rsidR="006B34EC" w14:paraId="299E2830" w14:textId="77777777" w:rsidTr="006D7A20">
        <w:tc>
          <w:tcPr>
            <w:tcW w:w="3261" w:type="dxa"/>
          </w:tcPr>
          <w:p w14:paraId="7A58B70B" w14:textId="77777777" w:rsidR="006B34EC" w:rsidRPr="005875CD" w:rsidRDefault="006B34EC" w:rsidP="006D7A20">
            <w:pPr>
              <w:rPr>
                <w:b/>
              </w:rPr>
            </w:pPr>
          </w:p>
        </w:tc>
        <w:tc>
          <w:tcPr>
            <w:tcW w:w="2619" w:type="dxa"/>
            <w:gridSpan w:val="2"/>
            <w:vAlign w:val="center"/>
          </w:tcPr>
          <w:p w14:paraId="38732505" w14:textId="77777777" w:rsidR="006B34EC" w:rsidRPr="005875CD" w:rsidRDefault="006B34EC" w:rsidP="006D7A20">
            <w:pPr>
              <w:jc w:val="center"/>
              <w:rPr>
                <w:b/>
              </w:rPr>
            </w:pPr>
            <w:r>
              <w:rPr>
                <w:b/>
              </w:rPr>
              <w:t>Univariable Analysis</w:t>
            </w:r>
          </w:p>
        </w:tc>
        <w:tc>
          <w:tcPr>
            <w:tcW w:w="2768" w:type="dxa"/>
            <w:gridSpan w:val="2"/>
            <w:vAlign w:val="center"/>
          </w:tcPr>
          <w:p w14:paraId="34600CC1" w14:textId="77777777" w:rsidR="006B34EC" w:rsidRDefault="006B34EC" w:rsidP="006D7A20">
            <w:pPr>
              <w:jc w:val="center"/>
              <w:rPr>
                <w:b/>
              </w:rPr>
            </w:pPr>
            <w:r w:rsidRPr="005875CD">
              <w:rPr>
                <w:b/>
              </w:rPr>
              <w:t>Female</w:t>
            </w:r>
          </w:p>
          <w:p w14:paraId="63D61D15" w14:textId="77777777" w:rsidR="006B34EC" w:rsidRPr="005875CD" w:rsidRDefault="006B34EC" w:rsidP="006D7A20">
            <w:pPr>
              <w:jc w:val="center"/>
              <w:rPr>
                <w:b/>
              </w:rPr>
            </w:pPr>
            <w:r>
              <w:rPr>
                <w:b/>
              </w:rPr>
              <w:t>Multivariable Model</w:t>
            </w:r>
          </w:p>
        </w:tc>
        <w:tc>
          <w:tcPr>
            <w:tcW w:w="2693" w:type="dxa"/>
            <w:gridSpan w:val="2"/>
            <w:vAlign w:val="center"/>
          </w:tcPr>
          <w:p w14:paraId="282687B8" w14:textId="77777777" w:rsidR="006B34EC" w:rsidRDefault="006B34EC" w:rsidP="006D7A20">
            <w:pPr>
              <w:jc w:val="center"/>
              <w:rPr>
                <w:b/>
              </w:rPr>
            </w:pPr>
            <w:r w:rsidRPr="005875CD">
              <w:rPr>
                <w:b/>
              </w:rPr>
              <w:t>Male</w:t>
            </w:r>
          </w:p>
          <w:p w14:paraId="6931768F" w14:textId="77777777" w:rsidR="006B34EC" w:rsidRPr="005875CD" w:rsidRDefault="006B34EC" w:rsidP="006D7A20">
            <w:pPr>
              <w:jc w:val="center"/>
              <w:rPr>
                <w:b/>
              </w:rPr>
            </w:pPr>
            <w:r>
              <w:rPr>
                <w:b/>
              </w:rPr>
              <w:t>Multivariable Model</w:t>
            </w:r>
          </w:p>
        </w:tc>
      </w:tr>
      <w:tr w:rsidR="006B34EC" w14:paraId="2F39B1FF" w14:textId="77777777" w:rsidTr="006D7A20">
        <w:tc>
          <w:tcPr>
            <w:tcW w:w="3261" w:type="dxa"/>
          </w:tcPr>
          <w:p w14:paraId="337883EB" w14:textId="77777777" w:rsidR="006B34EC" w:rsidRPr="005875CD" w:rsidRDefault="006B34EC" w:rsidP="006D7A20">
            <w:pPr>
              <w:rPr>
                <w:b/>
              </w:rPr>
            </w:pPr>
            <w:r w:rsidRPr="005875CD">
              <w:rPr>
                <w:b/>
              </w:rPr>
              <w:t>Variable</w:t>
            </w:r>
          </w:p>
        </w:tc>
        <w:tc>
          <w:tcPr>
            <w:tcW w:w="1701" w:type="dxa"/>
          </w:tcPr>
          <w:p w14:paraId="316996FA" w14:textId="77777777" w:rsidR="006B34EC" w:rsidRPr="005875CD" w:rsidRDefault="006B34EC" w:rsidP="006D7A20">
            <w:pPr>
              <w:rPr>
                <w:b/>
              </w:rPr>
            </w:pPr>
            <w:r>
              <w:rPr>
                <w:b/>
              </w:rPr>
              <w:t>ARR (95% CI)</w:t>
            </w:r>
          </w:p>
        </w:tc>
        <w:tc>
          <w:tcPr>
            <w:tcW w:w="918" w:type="dxa"/>
          </w:tcPr>
          <w:p w14:paraId="3AD1CF09" w14:textId="77777777" w:rsidR="006B34EC" w:rsidRPr="005875CD" w:rsidRDefault="006B34EC" w:rsidP="006D7A20">
            <w:pPr>
              <w:rPr>
                <w:b/>
              </w:rPr>
            </w:pPr>
            <w:r>
              <w:rPr>
                <w:b/>
              </w:rPr>
              <w:t>p-value</w:t>
            </w:r>
          </w:p>
        </w:tc>
        <w:tc>
          <w:tcPr>
            <w:tcW w:w="1776" w:type="dxa"/>
          </w:tcPr>
          <w:p w14:paraId="1E005A6C" w14:textId="77777777" w:rsidR="006B34EC" w:rsidRDefault="006B34EC" w:rsidP="006D7A20">
            <w:pPr>
              <w:rPr>
                <w:b/>
              </w:rPr>
            </w:pPr>
            <w:r>
              <w:rPr>
                <w:b/>
              </w:rPr>
              <w:t>ARR (95% CI)</w:t>
            </w:r>
          </w:p>
        </w:tc>
        <w:tc>
          <w:tcPr>
            <w:tcW w:w="992" w:type="dxa"/>
          </w:tcPr>
          <w:p w14:paraId="0E99A606" w14:textId="77777777" w:rsidR="006B34EC" w:rsidRDefault="006B34EC" w:rsidP="006D7A20">
            <w:pPr>
              <w:rPr>
                <w:b/>
              </w:rPr>
            </w:pPr>
            <w:r>
              <w:rPr>
                <w:b/>
              </w:rPr>
              <w:t>p-value</w:t>
            </w:r>
          </w:p>
        </w:tc>
        <w:tc>
          <w:tcPr>
            <w:tcW w:w="1701" w:type="dxa"/>
          </w:tcPr>
          <w:p w14:paraId="3782DDEA" w14:textId="77777777" w:rsidR="006B34EC" w:rsidRPr="005875CD" w:rsidRDefault="006B34EC" w:rsidP="006D7A20">
            <w:pPr>
              <w:rPr>
                <w:b/>
              </w:rPr>
            </w:pPr>
            <w:r>
              <w:rPr>
                <w:b/>
              </w:rPr>
              <w:t>ARR (95% CI)</w:t>
            </w:r>
          </w:p>
        </w:tc>
        <w:tc>
          <w:tcPr>
            <w:tcW w:w="992" w:type="dxa"/>
          </w:tcPr>
          <w:p w14:paraId="32883A84" w14:textId="77777777" w:rsidR="006B34EC" w:rsidRPr="005875CD" w:rsidRDefault="006B34EC" w:rsidP="006D7A20">
            <w:pPr>
              <w:rPr>
                <w:b/>
              </w:rPr>
            </w:pPr>
            <w:r w:rsidRPr="005875CD">
              <w:rPr>
                <w:b/>
              </w:rPr>
              <w:t>p</w:t>
            </w:r>
            <w:r>
              <w:rPr>
                <w:b/>
              </w:rPr>
              <w:t>-value</w:t>
            </w:r>
          </w:p>
        </w:tc>
      </w:tr>
      <w:tr w:rsidR="005C3DD8" w14:paraId="1EE873D1" w14:textId="77777777" w:rsidTr="006D7A20">
        <w:tc>
          <w:tcPr>
            <w:tcW w:w="3261" w:type="dxa"/>
          </w:tcPr>
          <w:p w14:paraId="536E4785" w14:textId="77777777" w:rsidR="005C3DD8" w:rsidRPr="005875CD" w:rsidRDefault="005C3DD8" w:rsidP="005C3DD8">
            <w:pPr>
              <w:rPr>
                <w:b/>
              </w:rPr>
            </w:pPr>
            <w:r w:rsidRPr="005875CD">
              <w:rPr>
                <w:b/>
              </w:rPr>
              <w:t>COVID</w:t>
            </w:r>
            <w:r>
              <w:rPr>
                <w:b/>
              </w:rPr>
              <w:t>-19 Public Health Measures</w:t>
            </w:r>
            <w:r w:rsidRPr="005875CD">
              <w:rPr>
                <w:b/>
              </w:rPr>
              <w:t xml:space="preserve"> (Ref=</w:t>
            </w:r>
            <w:r>
              <w:rPr>
                <w:b/>
              </w:rPr>
              <w:t>Absent</w:t>
            </w:r>
            <w:r w:rsidRPr="005875CD">
              <w:rPr>
                <w:b/>
              </w:rPr>
              <w:t>)</w:t>
            </w:r>
          </w:p>
        </w:tc>
        <w:tc>
          <w:tcPr>
            <w:tcW w:w="1701" w:type="dxa"/>
          </w:tcPr>
          <w:p w14:paraId="48BAA8E2" w14:textId="77777777" w:rsidR="005C3DD8" w:rsidRDefault="005C3DD8" w:rsidP="005C3DD8">
            <w:pPr>
              <w:rPr>
                <w:b/>
              </w:rPr>
            </w:pPr>
          </w:p>
        </w:tc>
        <w:tc>
          <w:tcPr>
            <w:tcW w:w="918" w:type="dxa"/>
          </w:tcPr>
          <w:p w14:paraId="3BEDD1B3" w14:textId="77777777" w:rsidR="005C3DD8" w:rsidRDefault="005C3DD8" w:rsidP="005C3DD8">
            <w:pPr>
              <w:rPr>
                <w:b/>
              </w:rPr>
            </w:pPr>
          </w:p>
        </w:tc>
        <w:tc>
          <w:tcPr>
            <w:tcW w:w="1776" w:type="dxa"/>
          </w:tcPr>
          <w:p w14:paraId="2D929393" w14:textId="77777777" w:rsidR="005C3DD8" w:rsidRDefault="005C3DD8" w:rsidP="005C3DD8">
            <w:pPr>
              <w:rPr>
                <w:b/>
              </w:rPr>
            </w:pPr>
          </w:p>
        </w:tc>
        <w:tc>
          <w:tcPr>
            <w:tcW w:w="992" w:type="dxa"/>
          </w:tcPr>
          <w:p w14:paraId="6B34362E" w14:textId="77777777" w:rsidR="005C3DD8" w:rsidRDefault="005C3DD8" w:rsidP="005C3DD8">
            <w:pPr>
              <w:rPr>
                <w:b/>
              </w:rPr>
            </w:pPr>
          </w:p>
        </w:tc>
        <w:tc>
          <w:tcPr>
            <w:tcW w:w="1701" w:type="dxa"/>
          </w:tcPr>
          <w:p w14:paraId="4D0F835D" w14:textId="77777777" w:rsidR="005C3DD8" w:rsidRDefault="005C3DD8" w:rsidP="005C3DD8">
            <w:pPr>
              <w:rPr>
                <w:b/>
              </w:rPr>
            </w:pPr>
          </w:p>
        </w:tc>
        <w:tc>
          <w:tcPr>
            <w:tcW w:w="992" w:type="dxa"/>
          </w:tcPr>
          <w:p w14:paraId="672F5BFA" w14:textId="77777777" w:rsidR="005C3DD8" w:rsidRPr="005875CD" w:rsidRDefault="005C3DD8" w:rsidP="005C3DD8">
            <w:pPr>
              <w:rPr>
                <w:b/>
              </w:rPr>
            </w:pPr>
          </w:p>
        </w:tc>
      </w:tr>
      <w:tr w:rsidR="005C3DD8" w14:paraId="2F8A6738" w14:textId="77777777" w:rsidTr="006D7A20">
        <w:tc>
          <w:tcPr>
            <w:tcW w:w="3261" w:type="dxa"/>
          </w:tcPr>
          <w:p w14:paraId="56AFE547" w14:textId="77777777" w:rsidR="005C3DD8" w:rsidRPr="005875CD" w:rsidRDefault="005C3DD8" w:rsidP="005C3DD8">
            <w:pPr>
              <w:rPr>
                <w:b/>
              </w:rPr>
            </w:pPr>
            <w:r>
              <w:t>Present</w:t>
            </w:r>
          </w:p>
        </w:tc>
        <w:tc>
          <w:tcPr>
            <w:tcW w:w="1701" w:type="dxa"/>
          </w:tcPr>
          <w:p w14:paraId="34FBB228" w14:textId="77777777" w:rsidR="005C3DD8" w:rsidRDefault="005C3DD8" w:rsidP="005C3DD8">
            <w:pPr>
              <w:rPr>
                <w:b/>
              </w:rPr>
            </w:pPr>
            <w:r>
              <w:t>2.29 (1.93-2.71)</w:t>
            </w:r>
          </w:p>
        </w:tc>
        <w:tc>
          <w:tcPr>
            <w:tcW w:w="918" w:type="dxa"/>
          </w:tcPr>
          <w:p w14:paraId="36EE6872" w14:textId="77777777" w:rsidR="005C3DD8" w:rsidRDefault="005C3DD8" w:rsidP="005C3DD8">
            <w:pPr>
              <w:rPr>
                <w:b/>
              </w:rPr>
            </w:pPr>
            <w:r>
              <w:t>&lt;0.001</w:t>
            </w:r>
          </w:p>
        </w:tc>
        <w:tc>
          <w:tcPr>
            <w:tcW w:w="1776" w:type="dxa"/>
          </w:tcPr>
          <w:p w14:paraId="7329B4ED" w14:textId="7AE22A09" w:rsidR="005C3DD8" w:rsidRDefault="005C3DD8" w:rsidP="005C3DD8">
            <w:pPr>
              <w:rPr>
                <w:b/>
              </w:rPr>
            </w:pPr>
            <w:r>
              <w:rPr>
                <w:rFonts w:cstheme="minorHAnsi"/>
                <w:bCs/>
              </w:rPr>
              <w:t>1.66 (1.18-2.32)</w:t>
            </w:r>
          </w:p>
        </w:tc>
        <w:tc>
          <w:tcPr>
            <w:tcW w:w="992" w:type="dxa"/>
          </w:tcPr>
          <w:p w14:paraId="220EEE4C" w14:textId="5173A031" w:rsidR="005C3DD8" w:rsidRDefault="005C3DD8" w:rsidP="005C3DD8">
            <w:pPr>
              <w:rPr>
                <w:b/>
              </w:rPr>
            </w:pPr>
            <w:r>
              <w:rPr>
                <w:bCs/>
              </w:rPr>
              <w:t>&lt;0.001</w:t>
            </w:r>
          </w:p>
        </w:tc>
        <w:tc>
          <w:tcPr>
            <w:tcW w:w="1701" w:type="dxa"/>
          </w:tcPr>
          <w:p w14:paraId="31D89960" w14:textId="77777777" w:rsidR="005C3DD8" w:rsidRDefault="005C3DD8" w:rsidP="005C3DD8">
            <w:pPr>
              <w:rPr>
                <w:b/>
              </w:rPr>
            </w:pPr>
            <w:r>
              <w:rPr>
                <w:rFonts w:cstheme="minorHAnsi"/>
                <w:bCs/>
              </w:rPr>
              <w:t>1.78 (1.29-2.44)</w:t>
            </w:r>
          </w:p>
        </w:tc>
        <w:tc>
          <w:tcPr>
            <w:tcW w:w="992" w:type="dxa"/>
          </w:tcPr>
          <w:p w14:paraId="5D80C174" w14:textId="77777777" w:rsidR="005C3DD8" w:rsidRPr="005875CD" w:rsidRDefault="005C3DD8" w:rsidP="005C3DD8">
            <w:pPr>
              <w:rPr>
                <w:b/>
              </w:rPr>
            </w:pPr>
            <w:r>
              <w:rPr>
                <w:bCs/>
              </w:rPr>
              <w:t>&lt;0.001</w:t>
            </w:r>
          </w:p>
        </w:tc>
      </w:tr>
      <w:tr w:rsidR="005C3DD8" w14:paraId="475D2A24" w14:textId="77777777" w:rsidTr="006D7A20">
        <w:tc>
          <w:tcPr>
            <w:tcW w:w="3261" w:type="dxa"/>
          </w:tcPr>
          <w:p w14:paraId="6BA68E48" w14:textId="77777777" w:rsidR="005C3DD8" w:rsidRPr="005875CD" w:rsidRDefault="005C3DD8" w:rsidP="005C3DD8">
            <w:pPr>
              <w:rPr>
                <w:b/>
              </w:rPr>
            </w:pPr>
            <w:r>
              <w:rPr>
                <w:b/>
              </w:rPr>
              <w:t>Time (Linear)</w:t>
            </w:r>
          </w:p>
        </w:tc>
        <w:tc>
          <w:tcPr>
            <w:tcW w:w="1701" w:type="dxa"/>
          </w:tcPr>
          <w:p w14:paraId="6FAD502C" w14:textId="77777777" w:rsidR="005C3DD8" w:rsidRPr="00916AEA" w:rsidRDefault="005C3DD8" w:rsidP="005C3DD8">
            <w:pPr>
              <w:rPr>
                <w:bCs/>
              </w:rPr>
            </w:pPr>
            <w:r w:rsidRPr="00916AEA">
              <w:rPr>
                <w:bCs/>
              </w:rPr>
              <w:t>1.01</w:t>
            </w:r>
            <w:r>
              <w:rPr>
                <w:bCs/>
              </w:rPr>
              <w:t xml:space="preserve"> (1.01-1.02)</w:t>
            </w:r>
          </w:p>
        </w:tc>
        <w:tc>
          <w:tcPr>
            <w:tcW w:w="918" w:type="dxa"/>
          </w:tcPr>
          <w:p w14:paraId="66E9971A" w14:textId="77777777" w:rsidR="005C3DD8" w:rsidRPr="00916AEA" w:rsidRDefault="005C3DD8" w:rsidP="005C3DD8">
            <w:pPr>
              <w:rPr>
                <w:bCs/>
              </w:rPr>
            </w:pPr>
            <w:r>
              <w:rPr>
                <w:bCs/>
              </w:rPr>
              <w:t>&lt;0.001</w:t>
            </w:r>
          </w:p>
        </w:tc>
        <w:tc>
          <w:tcPr>
            <w:tcW w:w="1776" w:type="dxa"/>
          </w:tcPr>
          <w:p w14:paraId="2A56A8AC" w14:textId="5BD55AA1" w:rsidR="005C3DD8" w:rsidRDefault="005C3DD8" w:rsidP="005C3DD8">
            <w:pPr>
              <w:rPr>
                <w:bCs/>
              </w:rPr>
            </w:pPr>
            <w:r>
              <w:rPr>
                <w:bCs/>
              </w:rPr>
              <w:t>1.00 (1.00-1.01)</w:t>
            </w:r>
          </w:p>
        </w:tc>
        <w:tc>
          <w:tcPr>
            <w:tcW w:w="992" w:type="dxa"/>
          </w:tcPr>
          <w:p w14:paraId="59919B5C" w14:textId="2302C2BC" w:rsidR="005C3DD8" w:rsidRDefault="005C3DD8" w:rsidP="005C3DD8">
            <w:pPr>
              <w:rPr>
                <w:bCs/>
              </w:rPr>
            </w:pPr>
            <w:r>
              <w:rPr>
                <w:bCs/>
              </w:rPr>
              <w:t>0.38</w:t>
            </w:r>
          </w:p>
        </w:tc>
        <w:tc>
          <w:tcPr>
            <w:tcW w:w="1701" w:type="dxa"/>
          </w:tcPr>
          <w:p w14:paraId="42020033" w14:textId="77777777" w:rsidR="005C3DD8" w:rsidRPr="00916AEA" w:rsidRDefault="005C3DD8" w:rsidP="005C3DD8">
            <w:pPr>
              <w:rPr>
                <w:bCs/>
              </w:rPr>
            </w:pPr>
            <w:r>
              <w:rPr>
                <w:bCs/>
              </w:rPr>
              <w:t>1.01 (1.00-1.01)</w:t>
            </w:r>
          </w:p>
        </w:tc>
        <w:tc>
          <w:tcPr>
            <w:tcW w:w="992" w:type="dxa"/>
          </w:tcPr>
          <w:p w14:paraId="61CE6DF5" w14:textId="77777777" w:rsidR="005C3DD8" w:rsidRPr="00916AEA" w:rsidRDefault="005C3DD8" w:rsidP="005C3DD8">
            <w:pPr>
              <w:rPr>
                <w:bCs/>
              </w:rPr>
            </w:pPr>
            <w:r>
              <w:rPr>
                <w:bCs/>
              </w:rPr>
              <w:t>0.03</w:t>
            </w:r>
          </w:p>
        </w:tc>
      </w:tr>
      <w:tr w:rsidR="005C3DD8" w14:paraId="007BEC77" w14:textId="77777777" w:rsidTr="006D7A20">
        <w:tc>
          <w:tcPr>
            <w:tcW w:w="3261" w:type="dxa"/>
          </w:tcPr>
          <w:p w14:paraId="5C26949F" w14:textId="77777777" w:rsidR="005C3DD8" w:rsidRPr="005875CD" w:rsidRDefault="005C3DD8" w:rsidP="005C3DD8">
            <w:pPr>
              <w:rPr>
                <w:b/>
              </w:rPr>
            </w:pPr>
            <w:r w:rsidRPr="005875CD">
              <w:rPr>
                <w:b/>
              </w:rPr>
              <w:t>Year (</w:t>
            </w:r>
            <w:r>
              <w:rPr>
                <w:b/>
              </w:rPr>
              <w:t>Ref=2016</w:t>
            </w:r>
            <w:r w:rsidRPr="005875CD">
              <w:rPr>
                <w:b/>
              </w:rPr>
              <w:t>)</w:t>
            </w:r>
          </w:p>
        </w:tc>
        <w:tc>
          <w:tcPr>
            <w:tcW w:w="1701" w:type="dxa"/>
          </w:tcPr>
          <w:p w14:paraId="4F208708" w14:textId="77777777" w:rsidR="005C3DD8" w:rsidRPr="00916AEA" w:rsidRDefault="005C3DD8" w:rsidP="005C3DD8">
            <w:pPr>
              <w:rPr>
                <w:bCs/>
              </w:rPr>
            </w:pPr>
          </w:p>
        </w:tc>
        <w:tc>
          <w:tcPr>
            <w:tcW w:w="918" w:type="dxa"/>
          </w:tcPr>
          <w:p w14:paraId="2DE90DA2" w14:textId="77777777" w:rsidR="005C3DD8" w:rsidRPr="00916AEA" w:rsidRDefault="005C3DD8" w:rsidP="005C3DD8">
            <w:pPr>
              <w:rPr>
                <w:bCs/>
              </w:rPr>
            </w:pPr>
          </w:p>
        </w:tc>
        <w:tc>
          <w:tcPr>
            <w:tcW w:w="1776" w:type="dxa"/>
          </w:tcPr>
          <w:p w14:paraId="60BCBD84" w14:textId="77777777" w:rsidR="005C3DD8" w:rsidRPr="00916AEA" w:rsidRDefault="005C3DD8" w:rsidP="005C3DD8">
            <w:pPr>
              <w:rPr>
                <w:bCs/>
              </w:rPr>
            </w:pPr>
          </w:p>
        </w:tc>
        <w:tc>
          <w:tcPr>
            <w:tcW w:w="992" w:type="dxa"/>
          </w:tcPr>
          <w:p w14:paraId="43BF5D99" w14:textId="77777777" w:rsidR="005C3DD8" w:rsidRPr="00916AEA" w:rsidRDefault="005C3DD8" w:rsidP="005C3DD8">
            <w:pPr>
              <w:rPr>
                <w:bCs/>
              </w:rPr>
            </w:pPr>
          </w:p>
        </w:tc>
        <w:tc>
          <w:tcPr>
            <w:tcW w:w="1701" w:type="dxa"/>
          </w:tcPr>
          <w:p w14:paraId="1F769EF6" w14:textId="77777777" w:rsidR="005C3DD8" w:rsidRPr="00916AEA" w:rsidRDefault="005C3DD8" w:rsidP="005C3DD8">
            <w:pPr>
              <w:rPr>
                <w:bCs/>
              </w:rPr>
            </w:pPr>
          </w:p>
        </w:tc>
        <w:tc>
          <w:tcPr>
            <w:tcW w:w="992" w:type="dxa"/>
          </w:tcPr>
          <w:p w14:paraId="24BCF7D2" w14:textId="77777777" w:rsidR="005C3DD8" w:rsidRPr="00916AEA" w:rsidRDefault="005C3DD8" w:rsidP="005C3DD8">
            <w:pPr>
              <w:rPr>
                <w:bCs/>
              </w:rPr>
            </w:pPr>
          </w:p>
        </w:tc>
      </w:tr>
      <w:tr w:rsidR="005C3DD8" w14:paraId="11BD6E7A" w14:textId="77777777" w:rsidTr="006D7A20">
        <w:tc>
          <w:tcPr>
            <w:tcW w:w="3261" w:type="dxa"/>
          </w:tcPr>
          <w:p w14:paraId="2D2B350C" w14:textId="77777777" w:rsidR="005C3DD8" w:rsidRPr="006B34EC" w:rsidRDefault="005C3DD8" w:rsidP="005C3DD8">
            <w:pPr>
              <w:rPr>
                <w:bCs/>
              </w:rPr>
            </w:pPr>
            <w:r w:rsidRPr="006B34EC">
              <w:rPr>
                <w:bCs/>
              </w:rPr>
              <w:t>2017</w:t>
            </w:r>
          </w:p>
        </w:tc>
        <w:tc>
          <w:tcPr>
            <w:tcW w:w="1701" w:type="dxa"/>
          </w:tcPr>
          <w:p w14:paraId="6D9EE074" w14:textId="77777777" w:rsidR="005C3DD8" w:rsidRPr="00916AEA" w:rsidRDefault="005C3DD8" w:rsidP="005C3DD8">
            <w:pPr>
              <w:rPr>
                <w:bCs/>
              </w:rPr>
            </w:pPr>
            <w:r>
              <w:rPr>
                <w:bCs/>
              </w:rPr>
              <w:t>1.06 (0.85-1.32)</w:t>
            </w:r>
          </w:p>
        </w:tc>
        <w:tc>
          <w:tcPr>
            <w:tcW w:w="918" w:type="dxa"/>
          </w:tcPr>
          <w:p w14:paraId="0315B858" w14:textId="77777777" w:rsidR="005C3DD8" w:rsidRPr="00916AEA" w:rsidRDefault="005C3DD8" w:rsidP="005C3DD8">
            <w:pPr>
              <w:rPr>
                <w:bCs/>
              </w:rPr>
            </w:pPr>
            <w:r>
              <w:rPr>
                <w:bCs/>
              </w:rPr>
              <w:t>0.59</w:t>
            </w:r>
          </w:p>
        </w:tc>
        <w:tc>
          <w:tcPr>
            <w:tcW w:w="1776" w:type="dxa"/>
          </w:tcPr>
          <w:p w14:paraId="734DBCF1" w14:textId="3BF55D85" w:rsidR="005C3DD8" w:rsidRDefault="005C3DD8" w:rsidP="005C3DD8">
            <w:pPr>
              <w:rPr>
                <w:bCs/>
              </w:rPr>
            </w:pPr>
            <w:r>
              <w:rPr>
                <w:rFonts w:cstheme="minorHAnsi"/>
                <w:bCs/>
              </w:rPr>
              <w:t>N/A</w:t>
            </w:r>
          </w:p>
        </w:tc>
        <w:tc>
          <w:tcPr>
            <w:tcW w:w="992" w:type="dxa"/>
          </w:tcPr>
          <w:p w14:paraId="08565381" w14:textId="77777777" w:rsidR="005C3DD8" w:rsidRDefault="005C3DD8" w:rsidP="005C3DD8">
            <w:pPr>
              <w:rPr>
                <w:bCs/>
              </w:rPr>
            </w:pPr>
          </w:p>
        </w:tc>
        <w:tc>
          <w:tcPr>
            <w:tcW w:w="1701" w:type="dxa"/>
          </w:tcPr>
          <w:p w14:paraId="72CE4045" w14:textId="19EDB661" w:rsidR="005C3DD8" w:rsidRPr="00916AEA" w:rsidRDefault="005C3DD8" w:rsidP="005C3DD8">
            <w:pPr>
              <w:rPr>
                <w:bCs/>
              </w:rPr>
            </w:pPr>
            <w:r>
              <w:rPr>
                <w:bCs/>
              </w:rPr>
              <w:t>N/A</w:t>
            </w:r>
          </w:p>
        </w:tc>
        <w:tc>
          <w:tcPr>
            <w:tcW w:w="992" w:type="dxa"/>
          </w:tcPr>
          <w:p w14:paraId="6D84910C" w14:textId="77777777" w:rsidR="005C3DD8" w:rsidRPr="00916AEA" w:rsidRDefault="005C3DD8" w:rsidP="005C3DD8">
            <w:pPr>
              <w:rPr>
                <w:bCs/>
              </w:rPr>
            </w:pPr>
          </w:p>
        </w:tc>
      </w:tr>
      <w:tr w:rsidR="005C3DD8" w14:paraId="5F587200" w14:textId="77777777" w:rsidTr="006D7A20">
        <w:tc>
          <w:tcPr>
            <w:tcW w:w="3261" w:type="dxa"/>
          </w:tcPr>
          <w:p w14:paraId="2B43EE33" w14:textId="77777777" w:rsidR="005C3DD8" w:rsidRPr="006B34EC" w:rsidRDefault="005C3DD8" w:rsidP="005C3DD8">
            <w:pPr>
              <w:rPr>
                <w:bCs/>
              </w:rPr>
            </w:pPr>
            <w:r w:rsidRPr="006B34EC">
              <w:rPr>
                <w:bCs/>
              </w:rPr>
              <w:t>2018</w:t>
            </w:r>
          </w:p>
        </w:tc>
        <w:tc>
          <w:tcPr>
            <w:tcW w:w="1701" w:type="dxa"/>
          </w:tcPr>
          <w:p w14:paraId="6815F6FD" w14:textId="77777777" w:rsidR="005C3DD8" w:rsidRPr="00916AEA" w:rsidRDefault="005C3DD8" w:rsidP="005C3DD8">
            <w:pPr>
              <w:rPr>
                <w:bCs/>
              </w:rPr>
            </w:pPr>
            <w:r>
              <w:rPr>
                <w:bCs/>
              </w:rPr>
              <w:t>1.26 (1.02-1.55)</w:t>
            </w:r>
          </w:p>
        </w:tc>
        <w:tc>
          <w:tcPr>
            <w:tcW w:w="918" w:type="dxa"/>
          </w:tcPr>
          <w:p w14:paraId="2DB1274C" w14:textId="77777777" w:rsidR="005C3DD8" w:rsidRPr="00916AEA" w:rsidRDefault="005C3DD8" w:rsidP="005C3DD8">
            <w:pPr>
              <w:rPr>
                <w:bCs/>
              </w:rPr>
            </w:pPr>
            <w:r>
              <w:rPr>
                <w:bCs/>
              </w:rPr>
              <w:t>0.03</w:t>
            </w:r>
          </w:p>
        </w:tc>
        <w:tc>
          <w:tcPr>
            <w:tcW w:w="1776" w:type="dxa"/>
          </w:tcPr>
          <w:p w14:paraId="003D4ADB" w14:textId="4F118C22" w:rsidR="005C3DD8" w:rsidRDefault="005C3DD8" w:rsidP="005C3DD8">
            <w:pPr>
              <w:rPr>
                <w:bCs/>
              </w:rPr>
            </w:pPr>
            <w:r>
              <w:rPr>
                <w:rFonts w:cstheme="minorHAnsi"/>
                <w:bCs/>
              </w:rPr>
              <w:t>N/A</w:t>
            </w:r>
          </w:p>
        </w:tc>
        <w:tc>
          <w:tcPr>
            <w:tcW w:w="992" w:type="dxa"/>
          </w:tcPr>
          <w:p w14:paraId="4A6D6888" w14:textId="77777777" w:rsidR="005C3DD8" w:rsidRDefault="005C3DD8" w:rsidP="005C3DD8">
            <w:pPr>
              <w:rPr>
                <w:bCs/>
              </w:rPr>
            </w:pPr>
          </w:p>
        </w:tc>
        <w:tc>
          <w:tcPr>
            <w:tcW w:w="1701" w:type="dxa"/>
          </w:tcPr>
          <w:p w14:paraId="6250135B" w14:textId="7E9AF674" w:rsidR="005C3DD8" w:rsidRPr="00916AEA" w:rsidRDefault="005C3DD8" w:rsidP="005C3DD8">
            <w:pPr>
              <w:rPr>
                <w:bCs/>
              </w:rPr>
            </w:pPr>
            <w:r>
              <w:rPr>
                <w:bCs/>
              </w:rPr>
              <w:t>N/A</w:t>
            </w:r>
          </w:p>
        </w:tc>
        <w:tc>
          <w:tcPr>
            <w:tcW w:w="992" w:type="dxa"/>
          </w:tcPr>
          <w:p w14:paraId="35036C24" w14:textId="77777777" w:rsidR="005C3DD8" w:rsidRPr="00916AEA" w:rsidRDefault="005C3DD8" w:rsidP="005C3DD8">
            <w:pPr>
              <w:rPr>
                <w:bCs/>
              </w:rPr>
            </w:pPr>
          </w:p>
        </w:tc>
      </w:tr>
      <w:tr w:rsidR="005C3DD8" w14:paraId="69EA8846" w14:textId="77777777" w:rsidTr="006D7A20">
        <w:tc>
          <w:tcPr>
            <w:tcW w:w="3261" w:type="dxa"/>
          </w:tcPr>
          <w:p w14:paraId="5F1A4A6E" w14:textId="77777777" w:rsidR="005C3DD8" w:rsidRPr="006B34EC" w:rsidRDefault="005C3DD8" w:rsidP="005C3DD8">
            <w:pPr>
              <w:rPr>
                <w:bCs/>
              </w:rPr>
            </w:pPr>
            <w:r w:rsidRPr="006B34EC">
              <w:rPr>
                <w:bCs/>
              </w:rPr>
              <w:t>2019</w:t>
            </w:r>
          </w:p>
        </w:tc>
        <w:tc>
          <w:tcPr>
            <w:tcW w:w="1701" w:type="dxa"/>
          </w:tcPr>
          <w:p w14:paraId="0EA65566" w14:textId="77777777" w:rsidR="005C3DD8" w:rsidRPr="00916AEA" w:rsidRDefault="005C3DD8" w:rsidP="005C3DD8">
            <w:pPr>
              <w:rPr>
                <w:bCs/>
              </w:rPr>
            </w:pPr>
            <w:r>
              <w:rPr>
                <w:bCs/>
              </w:rPr>
              <w:t>1.20 (0.98-1.48)</w:t>
            </w:r>
          </w:p>
        </w:tc>
        <w:tc>
          <w:tcPr>
            <w:tcW w:w="918" w:type="dxa"/>
          </w:tcPr>
          <w:p w14:paraId="1E26F210" w14:textId="77777777" w:rsidR="005C3DD8" w:rsidRPr="00916AEA" w:rsidRDefault="005C3DD8" w:rsidP="005C3DD8">
            <w:pPr>
              <w:rPr>
                <w:bCs/>
              </w:rPr>
            </w:pPr>
            <w:r>
              <w:rPr>
                <w:bCs/>
              </w:rPr>
              <w:t>0.08</w:t>
            </w:r>
          </w:p>
        </w:tc>
        <w:tc>
          <w:tcPr>
            <w:tcW w:w="1776" w:type="dxa"/>
          </w:tcPr>
          <w:p w14:paraId="572118A4" w14:textId="6F39E5DE" w:rsidR="005C3DD8" w:rsidRDefault="005C3DD8" w:rsidP="005C3DD8">
            <w:pPr>
              <w:rPr>
                <w:bCs/>
              </w:rPr>
            </w:pPr>
            <w:r>
              <w:rPr>
                <w:rFonts w:cstheme="minorHAnsi"/>
                <w:bCs/>
              </w:rPr>
              <w:t>N/A</w:t>
            </w:r>
          </w:p>
        </w:tc>
        <w:tc>
          <w:tcPr>
            <w:tcW w:w="992" w:type="dxa"/>
          </w:tcPr>
          <w:p w14:paraId="2BBB3AB3" w14:textId="77777777" w:rsidR="005C3DD8" w:rsidRDefault="005C3DD8" w:rsidP="005C3DD8">
            <w:pPr>
              <w:rPr>
                <w:bCs/>
              </w:rPr>
            </w:pPr>
          </w:p>
        </w:tc>
        <w:tc>
          <w:tcPr>
            <w:tcW w:w="1701" w:type="dxa"/>
          </w:tcPr>
          <w:p w14:paraId="48C7A6D0" w14:textId="0AA532CF" w:rsidR="005C3DD8" w:rsidRPr="00916AEA" w:rsidRDefault="005C3DD8" w:rsidP="005C3DD8">
            <w:pPr>
              <w:rPr>
                <w:bCs/>
              </w:rPr>
            </w:pPr>
            <w:r>
              <w:rPr>
                <w:bCs/>
              </w:rPr>
              <w:t>N/A</w:t>
            </w:r>
          </w:p>
        </w:tc>
        <w:tc>
          <w:tcPr>
            <w:tcW w:w="992" w:type="dxa"/>
          </w:tcPr>
          <w:p w14:paraId="2E5765D6" w14:textId="77777777" w:rsidR="005C3DD8" w:rsidRPr="00916AEA" w:rsidRDefault="005C3DD8" w:rsidP="005C3DD8">
            <w:pPr>
              <w:rPr>
                <w:bCs/>
              </w:rPr>
            </w:pPr>
          </w:p>
        </w:tc>
      </w:tr>
      <w:tr w:rsidR="005C3DD8" w14:paraId="2F2AB2FF" w14:textId="77777777" w:rsidTr="006D7A20">
        <w:tc>
          <w:tcPr>
            <w:tcW w:w="3261" w:type="dxa"/>
          </w:tcPr>
          <w:p w14:paraId="657AD4D9" w14:textId="77777777" w:rsidR="005C3DD8" w:rsidRPr="006B34EC" w:rsidRDefault="005C3DD8" w:rsidP="005C3DD8">
            <w:pPr>
              <w:rPr>
                <w:bCs/>
              </w:rPr>
            </w:pPr>
            <w:r w:rsidRPr="006B34EC">
              <w:rPr>
                <w:bCs/>
              </w:rPr>
              <w:t>2020</w:t>
            </w:r>
          </w:p>
        </w:tc>
        <w:tc>
          <w:tcPr>
            <w:tcW w:w="1701" w:type="dxa"/>
          </w:tcPr>
          <w:p w14:paraId="3444667E" w14:textId="77777777" w:rsidR="005C3DD8" w:rsidRPr="00916AEA" w:rsidRDefault="005C3DD8" w:rsidP="005C3DD8">
            <w:pPr>
              <w:rPr>
                <w:bCs/>
              </w:rPr>
            </w:pPr>
            <w:r>
              <w:rPr>
                <w:bCs/>
              </w:rPr>
              <w:t>2.20 (1.78-2.71)</w:t>
            </w:r>
          </w:p>
        </w:tc>
        <w:tc>
          <w:tcPr>
            <w:tcW w:w="918" w:type="dxa"/>
          </w:tcPr>
          <w:p w14:paraId="3F1CCB90" w14:textId="77777777" w:rsidR="005C3DD8" w:rsidRPr="00916AEA" w:rsidRDefault="005C3DD8" w:rsidP="005C3DD8">
            <w:pPr>
              <w:rPr>
                <w:bCs/>
              </w:rPr>
            </w:pPr>
            <w:r>
              <w:rPr>
                <w:bCs/>
              </w:rPr>
              <w:t>&lt;0.001</w:t>
            </w:r>
          </w:p>
        </w:tc>
        <w:tc>
          <w:tcPr>
            <w:tcW w:w="1776" w:type="dxa"/>
          </w:tcPr>
          <w:p w14:paraId="4EBA1A58" w14:textId="1B34569C" w:rsidR="005C3DD8" w:rsidRDefault="005C3DD8" w:rsidP="005C3DD8">
            <w:pPr>
              <w:rPr>
                <w:bCs/>
              </w:rPr>
            </w:pPr>
            <w:r>
              <w:rPr>
                <w:rFonts w:cstheme="minorHAnsi"/>
                <w:bCs/>
              </w:rPr>
              <w:t>N/A</w:t>
            </w:r>
          </w:p>
        </w:tc>
        <w:tc>
          <w:tcPr>
            <w:tcW w:w="992" w:type="dxa"/>
          </w:tcPr>
          <w:p w14:paraId="5491834D" w14:textId="77777777" w:rsidR="005C3DD8" w:rsidRDefault="005C3DD8" w:rsidP="005C3DD8">
            <w:pPr>
              <w:rPr>
                <w:bCs/>
              </w:rPr>
            </w:pPr>
          </w:p>
        </w:tc>
        <w:tc>
          <w:tcPr>
            <w:tcW w:w="1701" w:type="dxa"/>
          </w:tcPr>
          <w:p w14:paraId="6D66F8F0" w14:textId="53CD6B96" w:rsidR="005C3DD8" w:rsidRPr="00916AEA" w:rsidRDefault="005C3DD8" w:rsidP="005C3DD8">
            <w:pPr>
              <w:rPr>
                <w:bCs/>
              </w:rPr>
            </w:pPr>
            <w:r>
              <w:rPr>
                <w:bCs/>
              </w:rPr>
              <w:t>N/A</w:t>
            </w:r>
          </w:p>
        </w:tc>
        <w:tc>
          <w:tcPr>
            <w:tcW w:w="992" w:type="dxa"/>
          </w:tcPr>
          <w:p w14:paraId="2268F278" w14:textId="77777777" w:rsidR="005C3DD8" w:rsidRPr="00916AEA" w:rsidRDefault="005C3DD8" w:rsidP="005C3DD8">
            <w:pPr>
              <w:rPr>
                <w:bCs/>
              </w:rPr>
            </w:pPr>
          </w:p>
        </w:tc>
      </w:tr>
      <w:tr w:rsidR="005C3DD8" w14:paraId="08486BB0" w14:textId="77777777" w:rsidTr="006D7A20">
        <w:tc>
          <w:tcPr>
            <w:tcW w:w="3261" w:type="dxa"/>
          </w:tcPr>
          <w:p w14:paraId="1421AC78" w14:textId="77777777" w:rsidR="005C3DD8" w:rsidRPr="005875CD" w:rsidRDefault="005C3DD8" w:rsidP="005C3DD8">
            <w:pPr>
              <w:rPr>
                <w:b/>
              </w:rPr>
            </w:pPr>
            <w:r w:rsidRPr="005875CD">
              <w:rPr>
                <w:b/>
              </w:rPr>
              <w:t>Month (Ref = Jan</w:t>
            </w:r>
            <w:r>
              <w:rPr>
                <w:b/>
              </w:rPr>
              <w:t>uary</w:t>
            </w:r>
            <w:r w:rsidRPr="005875CD">
              <w:rPr>
                <w:b/>
              </w:rPr>
              <w:t>)</w:t>
            </w:r>
          </w:p>
        </w:tc>
        <w:tc>
          <w:tcPr>
            <w:tcW w:w="1701" w:type="dxa"/>
          </w:tcPr>
          <w:p w14:paraId="6AE2242C" w14:textId="77777777" w:rsidR="005C3DD8" w:rsidRPr="00916AEA" w:rsidRDefault="005C3DD8" w:rsidP="005C3DD8">
            <w:pPr>
              <w:rPr>
                <w:bCs/>
              </w:rPr>
            </w:pPr>
          </w:p>
        </w:tc>
        <w:tc>
          <w:tcPr>
            <w:tcW w:w="918" w:type="dxa"/>
          </w:tcPr>
          <w:p w14:paraId="0092AF1D" w14:textId="77777777" w:rsidR="005C3DD8" w:rsidRPr="00916AEA" w:rsidRDefault="005C3DD8" w:rsidP="005C3DD8">
            <w:pPr>
              <w:rPr>
                <w:bCs/>
              </w:rPr>
            </w:pPr>
          </w:p>
        </w:tc>
        <w:tc>
          <w:tcPr>
            <w:tcW w:w="1776" w:type="dxa"/>
          </w:tcPr>
          <w:p w14:paraId="16549A38" w14:textId="77777777" w:rsidR="005C3DD8" w:rsidRPr="00916AEA" w:rsidRDefault="005C3DD8" w:rsidP="005C3DD8">
            <w:pPr>
              <w:rPr>
                <w:rFonts w:cstheme="minorHAnsi"/>
                <w:bCs/>
              </w:rPr>
            </w:pPr>
          </w:p>
        </w:tc>
        <w:tc>
          <w:tcPr>
            <w:tcW w:w="992" w:type="dxa"/>
          </w:tcPr>
          <w:p w14:paraId="46AD100A" w14:textId="77777777" w:rsidR="005C3DD8" w:rsidRPr="00916AEA" w:rsidRDefault="005C3DD8" w:rsidP="005C3DD8">
            <w:pPr>
              <w:rPr>
                <w:rFonts w:cstheme="minorHAnsi"/>
                <w:bCs/>
              </w:rPr>
            </w:pPr>
          </w:p>
        </w:tc>
        <w:tc>
          <w:tcPr>
            <w:tcW w:w="1701" w:type="dxa"/>
          </w:tcPr>
          <w:p w14:paraId="784D2FBA" w14:textId="77777777" w:rsidR="005C3DD8" w:rsidRPr="00916AEA" w:rsidRDefault="005C3DD8" w:rsidP="005C3DD8">
            <w:pPr>
              <w:rPr>
                <w:rFonts w:cstheme="minorHAnsi"/>
                <w:bCs/>
              </w:rPr>
            </w:pPr>
          </w:p>
        </w:tc>
        <w:tc>
          <w:tcPr>
            <w:tcW w:w="992" w:type="dxa"/>
          </w:tcPr>
          <w:p w14:paraId="442CDDDE" w14:textId="77777777" w:rsidR="005C3DD8" w:rsidRPr="00916AEA" w:rsidRDefault="005C3DD8" w:rsidP="005C3DD8">
            <w:pPr>
              <w:rPr>
                <w:bCs/>
              </w:rPr>
            </w:pPr>
          </w:p>
        </w:tc>
      </w:tr>
      <w:tr w:rsidR="005C3DD8" w14:paraId="2FF8E6EC" w14:textId="77777777" w:rsidTr="006D7A20">
        <w:tc>
          <w:tcPr>
            <w:tcW w:w="3261" w:type="dxa"/>
          </w:tcPr>
          <w:p w14:paraId="5D57F0D7" w14:textId="77777777" w:rsidR="005C3DD8" w:rsidRPr="005875CD" w:rsidRDefault="005C3DD8" w:rsidP="005C3DD8">
            <w:r w:rsidRPr="005875CD">
              <w:t>Feb</w:t>
            </w:r>
            <w:r>
              <w:t>ruary</w:t>
            </w:r>
          </w:p>
        </w:tc>
        <w:tc>
          <w:tcPr>
            <w:tcW w:w="1701" w:type="dxa"/>
          </w:tcPr>
          <w:p w14:paraId="11BF40E6" w14:textId="77777777" w:rsidR="005C3DD8" w:rsidRPr="00916AEA" w:rsidRDefault="005C3DD8" w:rsidP="005C3DD8">
            <w:pPr>
              <w:rPr>
                <w:bCs/>
              </w:rPr>
            </w:pPr>
            <w:r w:rsidRPr="005875CD">
              <w:t>1.23 (0.88-1.72)</w:t>
            </w:r>
          </w:p>
        </w:tc>
        <w:tc>
          <w:tcPr>
            <w:tcW w:w="918" w:type="dxa"/>
          </w:tcPr>
          <w:p w14:paraId="71297465" w14:textId="77777777" w:rsidR="005C3DD8" w:rsidRPr="00916AEA" w:rsidRDefault="005C3DD8" w:rsidP="005C3DD8">
            <w:pPr>
              <w:rPr>
                <w:bCs/>
              </w:rPr>
            </w:pPr>
            <w:r w:rsidRPr="005875CD">
              <w:t>0.23</w:t>
            </w:r>
          </w:p>
        </w:tc>
        <w:tc>
          <w:tcPr>
            <w:tcW w:w="1776" w:type="dxa"/>
          </w:tcPr>
          <w:p w14:paraId="5E633369" w14:textId="41EB53F2" w:rsidR="005C3DD8" w:rsidRDefault="005C3DD8" w:rsidP="005C3DD8">
            <w:pPr>
              <w:rPr>
                <w:rFonts w:cstheme="minorHAnsi"/>
                <w:bCs/>
              </w:rPr>
            </w:pPr>
            <w:r>
              <w:rPr>
                <w:rFonts w:cstheme="minorHAnsi"/>
                <w:bCs/>
              </w:rPr>
              <w:t>1.69 (1.02-2.88)</w:t>
            </w:r>
          </w:p>
        </w:tc>
        <w:tc>
          <w:tcPr>
            <w:tcW w:w="992" w:type="dxa"/>
          </w:tcPr>
          <w:p w14:paraId="1EB83291" w14:textId="7C004A5F" w:rsidR="005C3DD8" w:rsidRDefault="005C3DD8" w:rsidP="005C3DD8">
            <w:pPr>
              <w:rPr>
                <w:rFonts w:cstheme="minorHAnsi"/>
                <w:bCs/>
              </w:rPr>
            </w:pPr>
            <w:r>
              <w:rPr>
                <w:bCs/>
              </w:rPr>
              <w:t>0.05</w:t>
            </w:r>
          </w:p>
        </w:tc>
        <w:tc>
          <w:tcPr>
            <w:tcW w:w="1701" w:type="dxa"/>
          </w:tcPr>
          <w:p w14:paraId="1B789BFA" w14:textId="77777777" w:rsidR="005C3DD8" w:rsidRPr="00916AEA" w:rsidRDefault="005C3DD8" w:rsidP="005C3DD8">
            <w:pPr>
              <w:rPr>
                <w:rFonts w:cstheme="minorHAnsi"/>
                <w:bCs/>
              </w:rPr>
            </w:pPr>
            <w:r>
              <w:rPr>
                <w:rFonts w:cstheme="minorHAnsi"/>
                <w:bCs/>
              </w:rPr>
              <w:t>0.95 (0.60-1.48)</w:t>
            </w:r>
          </w:p>
        </w:tc>
        <w:tc>
          <w:tcPr>
            <w:tcW w:w="992" w:type="dxa"/>
          </w:tcPr>
          <w:p w14:paraId="7D047B3E" w14:textId="77777777" w:rsidR="005C3DD8" w:rsidRPr="00916AEA" w:rsidRDefault="005C3DD8" w:rsidP="005C3DD8">
            <w:pPr>
              <w:rPr>
                <w:bCs/>
              </w:rPr>
            </w:pPr>
            <w:r>
              <w:rPr>
                <w:bCs/>
              </w:rPr>
              <w:t>0.81</w:t>
            </w:r>
          </w:p>
        </w:tc>
      </w:tr>
      <w:tr w:rsidR="005C3DD8" w14:paraId="1FFF42CC" w14:textId="77777777" w:rsidTr="006D7A20">
        <w:tc>
          <w:tcPr>
            <w:tcW w:w="3261" w:type="dxa"/>
          </w:tcPr>
          <w:p w14:paraId="7ABFA6B3" w14:textId="77777777" w:rsidR="005C3DD8" w:rsidRPr="005875CD" w:rsidRDefault="005C3DD8" w:rsidP="005C3DD8">
            <w:r w:rsidRPr="005875CD">
              <w:t>Mar</w:t>
            </w:r>
            <w:r>
              <w:t>ch</w:t>
            </w:r>
          </w:p>
        </w:tc>
        <w:tc>
          <w:tcPr>
            <w:tcW w:w="1701" w:type="dxa"/>
          </w:tcPr>
          <w:p w14:paraId="256B1F5C" w14:textId="77777777" w:rsidR="005C3DD8" w:rsidRPr="00916AEA" w:rsidRDefault="005C3DD8" w:rsidP="005C3DD8">
            <w:pPr>
              <w:rPr>
                <w:bCs/>
              </w:rPr>
            </w:pPr>
            <w:r w:rsidRPr="005875CD">
              <w:t>0.97 (0.69-1.37)</w:t>
            </w:r>
          </w:p>
        </w:tc>
        <w:tc>
          <w:tcPr>
            <w:tcW w:w="918" w:type="dxa"/>
          </w:tcPr>
          <w:p w14:paraId="199EC97E" w14:textId="77777777" w:rsidR="005C3DD8" w:rsidRPr="00916AEA" w:rsidRDefault="005C3DD8" w:rsidP="005C3DD8">
            <w:pPr>
              <w:rPr>
                <w:bCs/>
              </w:rPr>
            </w:pPr>
            <w:r w:rsidRPr="005875CD">
              <w:t>0.87</w:t>
            </w:r>
          </w:p>
        </w:tc>
        <w:tc>
          <w:tcPr>
            <w:tcW w:w="1776" w:type="dxa"/>
          </w:tcPr>
          <w:p w14:paraId="7BA49BAB" w14:textId="32320816" w:rsidR="005C3DD8" w:rsidRDefault="005C3DD8" w:rsidP="005C3DD8">
            <w:pPr>
              <w:rPr>
                <w:rFonts w:cstheme="minorHAnsi"/>
                <w:bCs/>
              </w:rPr>
            </w:pPr>
            <w:r>
              <w:rPr>
                <w:rFonts w:cstheme="minorHAnsi"/>
                <w:bCs/>
              </w:rPr>
              <w:t>1.27 (0.75-2.19)</w:t>
            </w:r>
          </w:p>
        </w:tc>
        <w:tc>
          <w:tcPr>
            <w:tcW w:w="992" w:type="dxa"/>
          </w:tcPr>
          <w:p w14:paraId="74F4F876" w14:textId="446D0B49" w:rsidR="005C3DD8" w:rsidRDefault="005C3DD8" w:rsidP="005C3DD8">
            <w:pPr>
              <w:rPr>
                <w:rFonts w:cstheme="minorHAnsi"/>
                <w:bCs/>
              </w:rPr>
            </w:pPr>
            <w:r>
              <w:rPr>
                <w:bCs/>
              </w:rPr>
              <w:t>0.38</w:t>
            </w:r>
          </w:p>
        </w:tc>
        <w:tc>
          <w:tcPr>
            <w:tcW w:w="1701" w:type="dxa"/>
          </w:tcPr>
          <w:p w14:paraId="74ECC51E" w14:textId="77777777" w:rsidR="005C3DD8" w:rsidRPr="00916AEA" w:rsidRDefault="005C3DD8" w:rsidP="005C3DD8">
            <w:pPr>
              <w:rPr>
                <w:rFonts w:cstheme="minorHAnsi"/>
                <w:bCs/>
              </w:rPr>
            </w:pPr>
            <w:r>
              <w:rPr>
                <w:rFonts w:cstheme="minorHAnsi"/>
                <w:bCs/>
              </w:rPr>
              <w:t>0.60 (0.37-0.96)</w:t>
            </w:r>
          </w:p>
        </w:tc>
        <w:tc>
          <w:tcPr>
            <w:tcW w:w="992" w:type="dxa"/>
          </w:tcPr>
          <w:p w14:paraId="3A5312A6" w14:textId="77777777" w:rsidR="005C3DD8" w:rsidRPr="00916AEA" w:rsidRDefault="005C3DD8" w:rsidP="005C3DD8">
            <w:pPr>
              <w:rPr>
                <w:bCs/>
              </w:rPr>
            </w:pPr>
            <w:r>
              <w:rPr>
                <w:bCs/>
              </w:rPr>
              <w:t>0.04</w:t>
            </w:r>
          </w:p>
        </w:tc>
      </w:tr>
      <w:tr w:rsidR="005C3DD8" w14:paraId="6468AF7B" w14:textId="77777777" w:rsidTr="006D7A20">
        <w:tc>
          <w:tcPr>
            <w:tcW w:w="3261" w:type="dxa"/>
          </w:tcPr>
          <w:p w14:paraId="1EB25372" w14:textId="77777777" w:rsidR="005C3DD8" w:rsidRPr="005875CD" w:rsidRDefault="005C3DD8" w:rsidP="005C3DD8">
            <w:r w:rsidRPr="005875CD">
              <w:t>Apr</w:t>
            </w:r>
            <w:r>
              <w:t>il</w:t>
            </w:r>
          </w:p>
        </w:tc>
        <w:tc>
          <w:tcPr>
            <w:tcW w:w="1701" w:type="dxa"/>
          </w:tcPr>
          <w:p w14:paraId="3A37ECE5" w14:textId="77777777" w:rsidR="005C3DD8" w:rsidRPr="00916AEA" w:rsidRDefault="005C3DD8" w:rsidP="005C3DD8">
            <w:pPr>
              <w:rPr>
                <w:bCs/>
              </w:rPr>
            </w:pPr>
            <w:r w:rsidRPr="005875CD">
              <w:t>1.41 (1.02-1.97)</w:t>
            </w:r>
          </w:p>
        </w:tc>
        <w:tc>
          <w:tcPr>
            <w:tcW w:w="918" w:type="dxa"/>
          </w:tcPr>
          <w:p w14:paraId="0E87D4AD" w14:textId="77777777" w:rsidR="005C3DD8" w:rsidRPr="00916AEA" w:rsidRDefault="005C3DD8" w:rsidP="005C3DD8">
            <w:pPr>
              <w:rPr>
                <w:bCs/>
              </w:rPr>
            </w:pPr>
            <w:r w:rsidRPr="005875CD">
              <w:t>0.04</w:t>
            </w:r>
          </w:p>
        </w:tc>
        <w:tc>
          <w:tcPr>
            <w:tcW w:w="1776" w:type="dxa"/>
          </w:tcPr>
          <w:p w14:paraId="0BF6AF44" w14:textId="2656BA73" w:rsidR="005C3DD8" w:rsidRDefault="005C3DD8" w:rsidP="005C3DD8">
            <w:pPr>
              <w:rPr>
                <w:rFonts w:cstheme="minorHAnsi"/>
                <w:bCs/>
              </w:rPr>
            </w:pPr>
            <w:r>
              <w:rPr>
                <w:rFonts w:cstheme="minorHAnsi"/>
                <w:bCs/>
              </w:rPr>
              <w:t>1.66 (0.99-2.84)</w:t>
            </w:r>
          </w:p>
        </w:tc>
        <w:tc>
          <w:tcPr>
            <w:tcW w:w="992" w:type="dxa"/>
          </w:tcPr>
          <w:p w14:paraId="11AE82F2" w14:textId="683B99D4" w:rsidR="005C3DD8" w:rsidRDefault="005C3DD8" w:rsidP="005C3DD8">
            <w:pPr>
              <w:rPr>
                <w:rFonts w:cstheme="minorHAnsi"/>
                <w:bCs/>
              </w:rPr>
            </w:pPr>
            <w:r>
              <w:rPr>
                <w:bCs/>
              </w:rPr>
              <w:t>0.06</w:t>
            </w:r>
          </w:p>
        </w:tc>
        <w:tc>
          <w:tcPr>
            <w:tcW w:w="1701" w:type="dxa"/>
          </w:tcPr>
          <w:p w14:paraId="6EE23D13" w14:textId="77777777" w:rsidR="005C3DD8" w:rsidRPr="00916AEA" w:rsidRDefault="005C3DD8" w:rsidP="005C3DD8">
            <w:pPr>
              <w:rPr>
                <w:rFonts w:cstheme="minorHAnsi"/>
                <w:bCs/>
              </w:rPr>
            </w:pPr>
            <w:r>
              <w:rPr>
                <w:rFonts w:cstheme="minorHAnsi"/>
                <w:bCs/>
              </w:rPr>
              <w:t>1.08 (0.70-1.67)</w:t>
            </w:r>
          </w:p>
        </w:tc>
        <w:tc>
          <w:tcPr>
            <w:tcW w:w="992" w:type="dxa"/>
          </w:tcPr>
          <w:p w14:paraId="784E06D2" w14:textId="77777777" w:rsidR="005C3DD8" w:rsidRPr="00916AEA" w:rsidRDefault="005C3DD8" w:rsidP="005C3DD8">
            <w:pPr>
              <w:rPr>
                <w:bCs/>
              </w:rPr>
            </w:pPr>
            <w:r>
              <w:rPr>
                <w:bCs/>
              </w:rPr>
              <w:t>0.73</w:t>
            </w:r>
          </w:p>
        </w:tc>
      </w:tr>
      <w:tr w:rsidR="005C3DD8" w14:paraId="3ABF2E54" w14:textId="77777777" w:rsidTr="006D7A20">
        <w:tc>
          <w:tcPr>
            <w:tcW w:w="3261" w:type="dxa"/>
          </w:tcPr>
          <w:p w14:paraId="1F20F201" w14:textId="77777777" w:rsidR="005C3DD8" w:rsidRPr="005875CD" w:rsidRDefault="005C3DD8" w:rsidP="005C3DD8">
            <w:r w:rsidRPr="005875CD">
              <w:t>May</w:t>
            </w:r>
          </w:p>
        </w:tc>
        <w:tc>
          <w:tcPr>
            <w:tcW w:w="1701" w:type="dxa"/>
          </w:tcPr>
          <w:p w14:paraId="4DF0CE8E" w14:textId="77777777" w:rsidR="005C3DD8" w:rsidRPr="00916AEA" w:rsidRDefault="005C3DD8" w:rsidP="005C3DD8">
            <w:pPr>
              <w:rPr>
                <w:bCs/>
              </w:rPr>
            </w:pPr>
            <w:r w:rsidRPr="005875CD">
              <w:t>1.76 (1.29-2.40)</w:t>
            </w:r>
          </w:p>
        </w:tc>
        <w:tc>
          <w:tcPr>
            <w:tcW w:w="918" w:type="dxa"/>
          </w:tcPr>
          <w:p w14:paraId="2A30EE49" w14:textId="77777777" w:rsidR="005C3DD8" w:rsidRPr="00916AEA" w:rsidRDefault="005C3DD8" w:rsidP="005C3DD8">
            <w:pPr>
              <w:rPr>
                <w:bCs/>
              </w:rPr>
            </w:pPr>
            <w:r w:rsidRPr="005875CD">
              <w:t>&lt;0.001</w:t>
            </w:r>
          </w:p>
        </w:tc>
        <w:tc>
          <w:tcPr>
            <w:tcW w:w="1776" w:type="dxa"/>
          </w:tcPr>
          <w:p w14:paraId="3232320C" w14:textId="518941DE" w:rsidR="005C3DD8" w:rsidRDefault="005C3DD8" w:rsidP="005C3DD8">
            <w:pPr>
              <w:rPr>
                <w:rFonts w:cstheme="minorHAnsi"/>
                <w:bCs/>
              </w:rPr>
            </w:pPr>
            <w:r>
              <w:rPr>
                <w:rFonts w:cstheme="minorHAnsi"/>
                <w:bCs/>
              </w:rPr>
              <w:t>2.26 (1.41-3.76)</w:t>
            </w:r>
          </w:p>
        </w:tc>
        <w:tc>
          <w:tcPr>
            <w:tcW w:w="992" w:type="dxa"/>
          </w:tcPr>
          <w:p w14:paraId="4AB6D3CB" w14:textId="19B0B20D" w:rsidR="005C3DD8" w:rsidRDefault="005C3DD8" w:rsidP="005C3DD8">
            <w:pPr>
              <w:rPr>
                <w:rFonts w:cstheme="minorHAnsi"/>
                <w:bCs/>
              </w:rPr>
            </w:pPr>
            <w:r>
              <w:rPr>
                <w:bCs/>
              </w:rPr>
              <w:t>&lt;0.01</w:t>
            </w:r>
          </w:p>
        </w:tc>
        <w:tc>
          <w:tcPr>
            <w:tcW w:w="1701" w:type="dxa"/>
          </w:tcPr>
          <w:p w14:paraId="62E7FFFD" w14:textId="77777777" w:rsidR="005C3DD8" w:rsidRPr="00916AEA" w:rsidRDefault="005C3DD8" w:rsidP="005C3DD8">
            <w:pPr>
              <w:rPr>
                <w:rFonts w:cstheme="minorHAnsi"/>
                <w:bCs/>
              </w:rPr>
            </w:pPr>
            <w:r>
              <w:rPr>
                <w:rFonts w:cstheme="minorHAnsi"/>
                <w:bCs/>
              </w:rPr>
              <w:t>1.10 (0.73-1.67)</w:t>
            </w:r>
          </w:p>
        </w:tc>
        <w:tc>
          <w:tcPr>
            <w:tcW w:w="992" w:type="dxa"/>
          </w:tcPr>
          <w:p w14:paraId="795486AA" w14:textId="77777777" w:rsidR="005C3DD8" w:rsidRPr="00916AEA" w:rsidRDefault="005C3DD8" w:rsidP="005C3DD8">
            <w:pPr>
              <w:rPr>
                <w:bCs/>
              </w:rPr>
            </w:pPr>
            <w:r>
              <w:rPr>
                <w:bCs/>
              </w:rPr>
              <w:t>0.65</w:t>
            </w:r>
          </w:p>
        </w:tc>
      </w:tr>
      <w:tr w:rsidR="005C3DD8" w14:paraId="6F58C2F3" w14:textId="77777777" w:rsidTr="006D7A20">
        <w:tc>
          <w:tcPr>
            <w:tcW w:w="3261" w:type="dxa"/>
          </w:tcPr>
          <w:p w14:paraId="53612F0C" w14:textId="77777777" w:rsidR="005C3DD8" w:rsidRPr="005875CD" w:rsidRDefault="005C3DD8" w:rsidP="005C3DD8">
            <w:r w:rsidRPr="005875CD">
              <w:t>June</w:t>
            </w:r>
          </w:p>
        </w:tc>
        <w:tc>
          <w:tcPr>
            <w:tcW w:w="1701" w:type="dxa"/>
          </w:tcPr>
          <w:p w14:paraId="5256B3BA" w14:textId="77777777" w:rsidR="005C3DD8" w:rsidRPr="00916AEA" w:rsidRDefault="005C3DD8" w:rsidP="005C3DD8">
            <w:pPr>
              <w:rPr>
                <w:bCs/>
              </w:rPr>
            </w:pPr>
            <w:r w:rsidRPr="005875CD">
              <w:t>1.57 (1.14-2.17)</w:t>
            </w:r>
          </w:p>
        </w:tc>
        <w:tc>
          <w:tcPr>
            <w:tcW w:w="918" w:type="dxa"/>
          </w:tcPr>
          <w:p w14:paraId="6339D4A3" w14:textId="77777777" w:rsidR="005C3DD8" w:rsidRPr="00916AEA" w:rsidRDefault="005C3DD8" w:rsidP="005C3DD8">
            <w:pPr>
              <w:rPr>
                <w:bCs/>
              </w:rPr>
            </w:pPr>
            <w:r w:rsidRPr="005875CD">
              <w:t>&lt;0.01</w:t>
            </w:r>
          </w:p>
        </w:tc>
        <w:tc>
          <w:tcPr>
            <w:tcW w:w="1776" w:type="dxa"/>
          </w:tcPr>
          <w:p w14:paraId="3C9F6AE6" w14:textId="2AAB4C61" w:rsidR="005C3DD8" w:rsidRDefault="005C3DD8" w:rsidP="005C3DD8">
            <w:pPr>
              <w:rPr>
                <w:rFonts w:cstheme="minorHAnsi"/>
                <w:bCs/>
              </w:rPr>
            </w:pPr>
            <w:r>
              <w:rPr>
                <w:rFonts w:cstheme="minorHAnsi"/>
                <w:bCs/>
              </w:rPr>
              <w:t>1.68 (1.01-2.86)</w:t>
            </w:r>
          </w:p>
        </w:tc>
        <w:tc>
          <w:tcPr>
            <w:tcW w:w="992" w:type="dxa"/>
          </w:tcPr>
          <w:p w14:paraId="4AD4D2CB" w14:textId="089DECCC" w:rsidR="005C3DD8" w:rsidRDefault="005C3DD8" w:rsidP="005C3DD8">
            <w:pPr>
              <w:rPr>
                <w:rFonts w:cstheme="minorHAnsi"/>
                <w:bCs/>
              </w:rPr>
            </w:pPr>
            <w:r>
              <w:rPr>
                <w:bCs/>
              </w:rPr>
              <w:t>0.05</w:t>
            </w:r>
          </w:p>
        </w:tc>
        <w:tc>
          <w:tcPr>
            <w:tcW w:w="1701" w:type="dxa"/>
          </w:tcPr>
          <w:p w14:paraId="61A79C65" w14:textId="77777777" w:rsidR="005C3DD8" w:rsidRPr="00916AEA" w:rsidRDefault="005C3DD8" w:rsidP="005C3DD8">
            <w:pPr>
              <w:rPr>
                <w:rFonts w:cstheme="minorHAnsi"/>
                <w:bCs/>
              </w:rPr>
            </w:pPr>
            <w:r>
              <w:rPr>
                <w:rFonts w:cstheme="minorHAnsi"/>
                <w:bCs/>
              </w:rPr>
              <w:t>1.12 (0.74-1.70)</w:t>
            </w:r>
          </w:p>
        </w:tc>
        <w:tc>
          <w:tcPr>
            <w:tcW w:w="992" w:type="dxa"/>
          </w:tcPr>
          <w:p w14:paraId="7627C90C" w14:textId="77777777" w:rsidR="005C3DD8" w:rsidRPr="00916AEA" w:rsidRDefault="005C3DD8" w:rsidP="005C3DD8">
            <w:pPr>
              <w:rPr>
                <w:bCs/>
              </w:rPr>
            </w:pPr>
            <w:r>
              <w:rPr>
                <w:bCs/>
              </w:rPr>
              <w:t>0.60</w:t>
            </w:r>
          </w:p>
        </w:tc>
      </w:tr>
      <w:tr w:rsidR="005C3DD8" w14:paraId="755ACA77" w14:textId="77777777" w:rsidTr="006D7A20">
        <w:tc>
          <w:tcPr>
            <w:tcW w:w="3261" w:type="dxa"/>
          </w:tcPr>
          <w:p w14:paraId="3B3BCC34" w14:textId="77777777" w:rsidR="005C3DD8" w:rsidRPr="005875CD" w:rsidRDefault="005C3DD8" w:rsidP="005C3DD8">
            <w:r w:rsidRPr="005875CD">
              <w:t>July</w:t>
            </w:r>
          </w:p>
        </w:tc>
        <w:tc>
          <w:tcPr>
            <w:tcW w:w="1701" w:type="dxa"/>
          </w:tcPr>
          <w:p w14:paraId="0015BE56" w14:textId="77777777" w:rsidR="005C3DD8" w:rsidRPr="00916AEA" w:rsidRDefault="005C3DD8" w:rsidP="005C3DD8">
            <w:pPr>
              <w:rPr>
                <w:bCs/>
              </w:rPr>
            </w:pPr>
            <w:r w:rsidRPr="005875CD">
              <w:t>1.73 (1.27-2.37)</w:t>
            </w:r>
          </w:p>
        </w:tc>
        <w:tc>
          <w:tcPr>
            <w:tcW w:w="918" w:type="dxa"/>
          </w:tcPr>
          <w:p w14:paraId="5D339BBE" w14:textId="77777777" w:rsidR="005C3DD8" w:rsidRPr="00916AEA" w:rsidRDefault="005C3DD8" w:rsidP="005C3DD8">
            <w:pPr>
              <w:rPr>
                <w:bCs/>
              </w:rPr>
            </w:pPr>
            <w:r w:rsidRPr="005875CD">
              <w:t>&lt;0.001</w:t>
            </w:r>
          </w:p>
        </w:tc>
        <w:tc>
          <w:tcPr>
            <w:tcW w:w="1776" w:type="dxa"/>
          </w:tcPr>
          <w:p w14:paraId="1FEAB233" w14:textId="2D92137F" w:rsidR="005C3DD8" w:rsidRDefault="005C3DD8" w:rsidP="005C3DD8">
            <w:pPr>
              <w:rPr>
                <w:rFonts w:cstheme="minorHAnsi"/>
                <w:bCs/>
              </w:rPr>
            </w:pPr>
            <w:r>
              <w:rPr>
                <w:rFonts w:cstheme="minorHAnsi"/>
                <w:bCs/>
              </w:rPr>
              <w:t>2.05 (1.26-3.42)</w:t>
            </w:r>
          </w:p>
        </w:tc>
        <w:tc>
          <w:tcPr>
            <w:tcW w:w="992" w:type="dxa"/>
          </w:tcPr>
          <w:p w14:paraId="09C31E68" w14:textId="5802AA41" w:rsidR="005C3DD8" w:rsidRDefault="005C3DD8" w:rsidP="005C3DD8">
            <w:pPr>
              <w:rPr>
                <w:rFonts w:cstheme="minorHAnsi"/>
                <w:bCs/>
              </w:rPr>
            </w:pPr>
            <w:r>
              <w:rPr>
                <w:bCs/>
              </w:rPr>
              <w:t>&lt;0.01</w:t>
            </w:r>
          </w:p>
        </w:tc>
        <w:tc>
          <w:tcPr>
            <w:tcW w:w="1701" w:type="dxa"/>
          </w:tcPr>
          <w:p w14:paraId="1D722106" w14:textId="77777777" w:rsidR="005C3DD8" w:rsidRPr="00916AEA" w:rsidRDefault="005C3DD8" w:rsidP="005C3DD8">
            <w:pPr>
              <w:rPr>
                <w:rFonts w:cstheme="minorHAnsi"/>
                <w:bCs/>
              </w:rPr>
            </w:pPr>
            <w:r>
              <w:rPr>
                <w:rFonts w:cstheme="minorHAnsi"/>
                <w:bCs/>
              </w:rPr>
              <w:t>1.11 (0.74-1.69)</w:t>
            </w:r>
          </w:p>
        </w:tc>
        <w:tc>
          <w:tcPr>
            <w:tcW w:w="992" w:type="dxa"/>
          </w:tcPr>
          <w:p w14:paraId="3E69A139" w14:textId="77777777" w:rsidR="005C3DD8" w:rsidRPr="00916AEA" w:rsidRDefault="005C3DD8" w:rsidP="005C3DD8">
            <w:pPr>
              <w:rPr>
                <w:bCs/>
              </w:rPr>
            </w:pPr>
            <w:r>
              <w:rPr>
                <w:bCs/>
              </w:rPr>
              <w:t>0.61</w:t>
            </w:r>
          </w:p>
        </w:tc>
      </w:tr>
      <w:tr w:rsidR="005C3DD8" w14:paraId="6E91C40C" w14:textId="77777777" w:rsidTr="006D7A20">
        <w:tc>
          <w:tcPr>
            <w:tcW w:w="3261" w:type="dxa"/>
          </w:tcPr>
          <w:p w14:paraId="3716315D" w14:textId="77777777" w:rsidR="005C3DD8" w:rsidRPr="005875CD" w:rsidRDefault="005C3DD8" w:rsidP="005C3DD8">
            <w:r w:rsidRPr="005875CD">
              <w:t>Aug</w:t>
            </w:r>
            <w:r>
              <w:t>ust</w:t>
            </w:r>
          </w:p>
        </w:tc>
        <w:tc>
          <w:tcPr>
            <w:tcW w:w="1701" w:type="dxa"/>
          </w:tcPr>
          <w:p w14:paraId="6970999E" w14:textId="77777777" w:rsidR="005C3DD8" w:rsidRPr="00916AEA" w:rsidRDefault="005C3DD8" w:rsidP="005C3DD8">
            <w:pPr>
              <w:rPr>
                <w:bCs/>
              </w:rPr>
            </w:pPr>
            <w:r w:rsidRPr="005875CD">
              <w:t>1.98 (1.45-2.72)</w:t>
            </w:r>
          </w:p>
        </w:tc>
        <w:tc>
          <w:tcPr>
            <w:tcW w:w="918" w:type="dxa"/>
          </w:tcPr>
          <w:p w14:paraId="1FC244A0" w14:textId="77777777" w:rsidR="005C3DD8" w:rsidRPr="00916AEA" w:rsidRDefault="005C3DD8" w:rsidP="005C3DD8">
            <w:pPr>
              <w:rPr>
                <w:bCs/>
              </w:rPr>
            </w:pPr>
            <w:r w:rsidRPr="005875CD">
              <w:t>&lt;0.001</w:t>
            </w:r>
          </w:p>
        </w:tc>
        <w:tc>
          <w:tcPr>
            <w:tcW w:w="1776" w:type="dxa"/>
          </w:tcPr>
          <w:p w14:paraId="7ACF7C1F" w14:textId="794A6583" w:rsidR="005C3DD8" w:rsidRDefault="005C3DD8" w:rsidP="005C3DD8">
            <w:pPr>
              <w:rPr>
                <w:rFonts w:cstheme="minorHAnsi"/>
                <w:bCs/>
              </w:rPr>
            </w:pPr>
            <w:r>
              <w:rPr>
                <w:rFonts w:cstheme="minorHAnsi"/>
                <w:bCs/>
              </w:rPr>
              <w:t>2.28 (1.39-3.83)</w:t>
            </w:r>
          </w:p>
        </w:tc>
        <w:tc>
          <w:tcPr>
            <w:tcW w:w="992" w:type="dxa"/>
          </w:tcPr>
          <w:p w14:paraId="04D9B4D7" w14:textId="362553FE" w:rsidR="005C3DD8" w:rsidRDefault="005C3DD8" w:rsidP="005C3DD8">
            <w:pPr>
              <w:rPr>
                <w:rFonts w:cstheme="minorHAnsi"/>
                <w:bCs/>
              </w:rPr>
            </w:pPr>
            <w:r>
              <w:rPr>
                <w:bCs/>
              </w:rPr>
              <w:t>&lt;0.01</w:t>
            </w:r>
          </w:p>
        </w:tc>
        <w:tc>
          <w:tcPr>
            <w:tcW w:w="1701" w:type="dxa"/>
          </w:tcPr>
          <w:p w14:paraId="2EFB4E16" w14:textId="77777777" w:rsidR="005C3DD8" w:rsidRPr="00916AEA" w:rsidRDefault="005C3DD8" w:rsidP="005C3DD8">
            <w:pPr>
              <w:rPr>
                <w:rFonts w:cstheme="minorHAnsi"/>
                <w:bCs/>
              </w:rPr>
            </w:pPr>
            <w:r>
              <w:rPr>
                <w:rFonts w:cstheme="minorHAnsi"/>
                <w:bCs/>
              </w:rPr>
              <w:t>1.26 (0.83-1.93)</w:t>
            </w:r>
          </w:p>
        </w:tc>
        <w:tc>
          <w:tcPr>
            <w:tcW w:w="992" w:type="dxa"/>
          </w:tcPr>
          <w:p w14:paraId="79EF5B62" w14:textId="77777777" w:rsidR="005C3DD8" w:rsidRPr="00916AEA" w:rsidRDefault="005C3DD8" w:rsidP="005C3DD8">
            <w:pPr>
              <w:rPr>
                <w:bCs/>
              </w:rPr>
            </w:pPr>
            <w:r>
              <w:rPr>
                <w:bCs/>
              </w:rPr>
              <w:t>0.28</w:t>
            </w:r>
          </w:p>
        </w:tc>
      </w:tr>
      <w:tr w:rsidR="005C3DD8" w14:paraId="27DAD6E8" w14:textId="77777777" w:rsidTr="006D7A20">
        <w:tc>
          <w:tcPr>
            <w:tcW w:w="3261" w:type="dxa"/>
          </w:tcPr>
          <w:p w14:paraId="691AED87" w14:textId="77777777" w:rsidR="005C3DD8" w:rsidRPr="005875CD" w:rsidRDefault="005C3DD8" w:rsidP="005C3DD8">
            <w:r w:rsidRPr="005875CD">
              <w:t>Sept</w:t>
            </w:r>
            <w:r>
              <w:t>ember</w:t>
            </w:r>
          </w:p>
        </w:tc>
        <w:tc>
          <w:tcPr>
            <w:tcW w:w="1701" w:type="dxa"/>
          </w:tcPr>
          <w:p w14:paraId="491746E8" w14:textId="77777777" w:rsidR="005C3DD8" w:rsidRPr="00916AEA" w:rsidRDefault="005C3DD8" w:rsidP="005C3DD8">
            <w:pPr>
              <w:rPr>
                <w:bCs/>
              </w:rPr>
            </w:pPr>
            <w:r w:rsidRPr="005875CD">
              <w:t>1.36 (0.99-1.90)</w:t>
            </w:r>
          </w:p>
        </w:tc>
        <w:tc>
          <w:tcPr>
            <w:tcW w:w="918" w:type="dxa"/>
          </w:tcPr>
          <w:p w14:paraId="1D081D95" w14:textId="77777777" w:rsidR="005C3DD8" w:rsidRPr="00916AEA" w:rsidRDefault="005C3DD8" w:rsidP="005C3DD8">
            <w:pPr>
              <w:rPr>
                <w:bCs/>
              </w:rPr>
            </w:pPr>
            <w:r w:rsidRPr="005875CD">
              <w:t>0.06</w:t>
            </w:r>
          </w:p>
        </w:tc>
        <w:tc>
          <w:tcPr>
            <w:tcW w:w="1776" w:type="dxa"/>
          </w:tcPr>
          <w:p w14:paraId="5B6394CD" w14:textId="5114056C" w:rsidR="005C3DD8" w:rsidRDefault="005C3DD8" w:rsidP="005C3DD8">
            <w:pPr>
              <w:rPr>
                <w:rFonts w:cstheme="minorHAnsi"/>
                <w:bCs/>
              </w:rPr>
            </w:pPr>
            <w:r>
              <w:rPr>
                <w:rFonts w:cstheme="minorHAnsi"/>
                <w:bCs/>
              </w:rPr>
              <w:t>1.75 (1.06-2.96)</w:t>
            </w:r>
          </w:p>
        </w:tc>
        <w:tc>
          <w:tcPr>
            <w:tcW w:w="992" w:type="dxa"/>
          </w:tcPr>
          <w:p w14:paraId="165054BE" w14:textId="0820EB63" w:rsidR="005C3DD8" w:rsidRDefault="005C3DD8" w:rsidP="005C3DD8">
            <w:pPr>
              <w:rPr>
                <w:rFonts w:cstheme="minorHAnsi"/>
                <w:bCs/>
              </w:rPr>
            </w:pPr>
            <w:r>
              <w:rPr>
                <w:bCs/>
              </w:rPr>
              <w:t>0.03</w:t>
            </w:r>
          </w:p>
        </w:tc>
        <w:tc>
          <w:tcPr>
            <w:tcW w:w="1701" w:type="dxa"/>
          </w:tcPr>
          <w:p w14:paraId="22CFAF74" w14:textId="77777777" w:rsidR="005C3DD8" w:rsidRPr="00916AEA" w:rsidRDefault="005C3DD8" w:rsidP="005C3DD8">
            <w:pPr>
              <w:rPr>
                <w:rFonts w:cstheme="minorHAnsi"/>
                <w:bCs/>
              </w:rPr>
            </w:pPr>
            <w:r>
              <w:rPr>
                <w:rFonts w:cstheme="minorHAnsi"/>
                <w:bCs/>
              </w:rPr>
              <w:t>0.75 (0.48-1.17)</w:t>
            </w:r>
          </w:p>
        </w:tc>
        <w:tc>
          <w:tcPr>
            <w:tcW w:w="992" w:type="dxa"/>
          </w:tcPr>
          <w:p w14:paraId="148AB1FC" w14:textId="77777777" w:rsidR="005C3DD8" w:rsidRPr="00916AEA" w:rsidRDefault="005C3DD8" w:rsidP="005C3DD8">
            <w:pPr>
              <w:rPr>
                <w:bCs/>
              </w:rPr>
            </w:pPr>
            <w:r>
              <w:rPr>
                <w:bCs/>
              </w:rPr>
              <w:t>0.20</w:t>
            </w:r>
          </w:p>
        </w:tc>
      </w:tr>
      <w:tr w:rsidR="005C3DD8" w14:paraId="6F90311E" w14:textId="77777777" w:rsidTr="006D7A20">
        <w:tc>
          <w:tcPr>
            <w:tcW w:w="3261" w:type="dxa"/>
          </w:tcPr>
          <w:p w14:paraId="11734B44" w14:textId="77777777" w:rsidR="005C3DD8" w:rsidRPr="005875CD" w:rsidRDefault="005C3DD8" w:rsidP="005C3DD8">
            <w:r w:rsidRPr="005875CD">
              <w:t>Oct</w:t>
            </w:r>
            <w:r>
              <w:t>ober</w:t>
            </w:r>
          </w:p>
        </w:tc>
        <w:tc>
          <w:tcPr>
            <w:tcW w:w="1701" w:type="dxa"/>
          </w:tcPr>
          <w:p w14:paraId="0F1B2009" w14:textId="77777777" w:rsidR="005C3DD8" w:rsidRPr="00916AEA" w:rsidRDefault="005C3DD8" w:rsidP="005C3DD8">
            <w:pPr>
              <w:rPr>
                <w:bCs/>
              </w:rPr>
            </w:pPr>
            <w:r w:rsidRPr="005875CD">
              <w:t>0.99 (0.69-1.41)</w:t>
            </w:r>
          </w:p>
        </w:tc>
        <w:tc>
          <w:tcPr>
            <w:tcW w:w="918" w:type="dxa"/>
          </w:tcPr>
          <w:p w14:paraId="1EA8B2D1" w14:textId="77777777" w:rsidR="005C3DD8" w:rsidRPr="00916AEA" w:rsidRDefault="005C3DD8" w:rsidP="005C3DD8">
            <w:pPr>
              <w:rPr>
                <w:bCs/>
              </w:rPr>
            </w:pPr>
            <w:r w:rsidRPr="005875CD">
              <w:t>0.94</w:t>
            </w:r>
          </w:p>
        </w:tc>
        <w:tc>
          <w:tcPr>
            <w:tcW w:w="1776" w:type="dxa"/>
          </w:tcPr>
          <w:p w14:paraId="48E0C295" w14:textId="71F2DEB2" w:rsidR="005C3DD8"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rFonts w:cstheme="minorHAnsi"/>
                <w:bCs/>
              </w:rPr>
              <w:t>1.28 (0.73-2.27)</w:t>
            </w:r>
          </w:p>
        </w:tc>
        <w:tc>
          <w:tcPr>
            <w:tcW w:w="992" w:type="dxa"/>
          </w:tcPr>
          <w:p w14:paraId="7195B2FB" w14:textId="0D56598A" w:rsidR="005C3DD8"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bCs/>
              </w:rPr>
              <w:t>0.39</w:t>
            </w:r>
          </w:p>
        </w:tc>
        <w:tc>
          <w:tcPr>
            <w:tcW w:w="1701" w:type="dxa"/>
          </w:tcPr>
          <w:p w14:paraId="170033C2" w14:textId="77777777" w:rsidR="005C3DD8" w:rsidRPr="00916AEA"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rFonts w:cstheme="minorHAnsi"/>
                <w:bCs/>
              </w:rPr>
              <w:t>0.84 (0.52-1.34)</w:t>
            </w:r>
          </w:p>
        </w:tc>
        <w:tc>
          <w:tcPr>
            <w:tcW w:w="992" w:type="dxa"/>
          </w:tcPr>
          <w:p w14:paraId="7DCE5497" w14:textId="77777777" w:rsidR="005C3DD8" w:rsidRPr="00916AEA" w:rsidRDefault="005C3DD8" w:rsidP="005C3DD8">
            <w:pPr>
              <w:rPr>
                <w:bCs/>
              </w:rPr>
            </w:pPr>
            <w:r>
              <w:rPr>
                <w:bCs/>
              </w:rPr>
              <w:t>0.47</w:t>
            </w:r>
          </w:p>
        </w:tc>
      </w:tr>
      <w:tr w:rsidR="005C3DD8" w14:paraId="3AFB50AB" w14:textId="77777777" w:rsidTr="006D7A20">
        <w:tc>
          <w:tcPr>
            <w:tcW w:w="3261" w:type="dxa"/>
          </w:tcPr>
          <w:p w14:paraId="09B94D4E" w14:textId="77777777" w:rsidR="005C3DD8" w:rsidRPr="005875CD" w:rsidRDefault="005C3DD8" w:rsidP="005C3DD8">
            <w:r>
              <w:t>November</w:t>
            </w:r>
          </w:p>
        </w:tc>
        <w:tc>
          <w:tcPr>
            <w:tcW w:w="1701" w:type="dxa"/>
          </w:tcPr>
          <w:p w14:paraId="24D75120" w14:textId="77777777" w:rsidR="005C3DD8" w:rsidRPr="00916AEA" w:rsidRDefault="005C3DD8" w:rsidP="005C3DD8">
            <w:pPr>
              <w:rPr>
                <w:bCs/>
              </w:rPr>
            </w:pPr>
            <w:r w:rsidRPr="005875CD">
              <w:t>0.68 (0.45-1.00)</w:t>
            </w:r>
          </w:p>
        </w:tc>
        <w:tc>
          <w:tcPr>
            <w:tcW w:w="918" w:type="dxa"/>
          </w:tcPr>
          <w:p w14:paraId="734FFD68" w14:textId="77777777" w:rsidR="005C3DD8" w:rsidRPr="00916AEA" w:rsidRDefault="005C3DD8" w:rsidP="005C3DD8">
            <w:pPr>
              <w:rPr>
                <w:bCs/>
              </w:rPr>
            </w:pPr>
            <w:r w:rsidRPr="005875CD">
              <w:t>0.05</w:t>
            </w:r>
          </w:p>
        </w:tc>
        <w:tc>
          <w:tcPr>
            <w:tcW w:w="1776" w:type="dxa"/>
          </w:tcPr>
          <w:p w14:paraId="5EB9753E" w14:textId="44B5B4CF" w:rsidR="005C3DD8" w:rsidRDefault="005C3DD8" w:rsidP="005C3DD8">
            <w:pPr>
              <w:rPr>
                <w:rFonts w:cstheme="minorHAnsi"/>
                <w:bCs/>
              </w:rPr>
            </w:pPr>
            <w:r>
              <w:rPr>
                <w:rFonts w:cstheme="minorHAnsi"/>
                <w:bCs/>
              </w:rPr>
              <w:t>1.08 (0.60-1.93)</w:t>
            </w:r>
          </w:p>
        </w:tc>
        <w:tc>
          <w:tcPr>
            <w:tcW w:w="992" w:type="dxa"/>
          </w:tcPr>
          <w:p w14:paraId="0BD3AC1C" w14:textId="09E65373" w:rsidR="005C3DD8" w:rsidRDefault="005C3DD8" w:rsidP="005C3DD8">
            <w:pPr>
              <w:rPr>
                <w:rFonts w:cstheme="minorHAnsi"/>
                <w:bCs/>
              </w:rPr>
            </w:pPr>
            <w:r>
              <w:rPr>
                <w:bCs/>
              </w:rPr>
              <w:t>0.81</w:t>
            </w:r>
          </w:p>
        </w:tc>
        <w:tc>
          <w:tcPr>
            <w:tcW w:w="1701" w:type="dxa"/>
          </w:tcPr>
          <w:p w14:paraId="527E66D1" w14:textId="77777777" w:rsidR="005C3DD8" w:rsidRPr="00916AEA" w:rsidRDefault="005C3DD8" w:rsidP="005C3DD8">
            <w:pPr>
              <w:rPr>
                <w:rFonts w:cstheme="minorHAnsi"/>
                <w:bCs/>
              </w:rPr>
            </w:pPr>
            <w:r>
              <w:rPr>
                <w:rFonts w:cstheme="minorHAnsi"/>
                <w:bCs/>
              </w:rPr>
              <w:t>0.48 (0.27-0.82)</w:t>
            </w:r>
          </w:p>
        </w:tc>
        <w:tc>
          <w:tcPr>
            <w:tcW w:w="992" w:type="dxa"/>
          </w:tcPr>
          <w:p w14:paraId="563B460D" w14:textId="77777777" w:rsidR="005C3DD8" w:rsidRPr="00916AEA" w:rsidRDefault="005C3DD8" w:rsidP="005C3DD8">
            <w:pPr>
              <w:rPr>
                <w:bCs/>
              </w:rPr>
            </w:pPr>
            <w:r>
              <w:rPr>
                <w:bCs/>
              </w:rPr>
              <w:t>0.01</w:t>
            </w:r>
          </w:p>
        </w:tc>
      </w:tr>
      <w:tr w:rsidR="005C3DD8" w14:paraId="5E90E758" w14:textId="77777777" w:rsidTr="006D7A20">
        <w:tc>
          <w:tcPr>
            <w:tcW w:w="3261" w:type="dxa"/>
          </w:tcPr>
          <w:p w14:paraId="565271D5" w14:textId="77777777" w:rsidR="005C3DD8" w:rsidRPr="005875CD" w:rsidRDefault="005C3DD8" w:rsidP="005C3DD8">
            <w:r>
              <w:t>December</w:t>
            </w:r>
          </w:p>
        </w:tc>
        <w:tc>
          <w:tcPr>
            <w:tcW w:w="1701" w:type="dxa"/>
          </w:tcPr>
          <w:p w14:paraId="33E5DDAF" w14:textId="77777777" w:rsidR="005C3DD8" w:rsidRPr="00916AEA" w:rsidRDefault="005C3DD8" w:rsidP="005C3DD8">
            <w:pPr>
              <w:rPr>
                <w:bCs/>
              </w:rPr>
            </w:pPr>
            <w:r w:rsidRPr="005875CD">
              <w:t>1.03 (0.72-1.48)</w:t>
            </w:r>
          </w:p>
        </w:tc>
        <w:tc>
          <w:tcPr>
            <w:tcW w:w="918" w:type="dxa"/>
          </w:tcPr>
          <w:p w14:paraId="14764C3B" w14:textId="77777777" w:rsidR="005C3DD8" w:rsidRPr="00916AEA" w:rsidRDefault="005C3DD8" w:rsidP="005C3DD8">
            <w:pPr>
              <w:rPr>
                <w:bCs/>
              </w:rPr>
            </w:pPr>
            <w:r w:rsidRPr="005875CD">
              <w:t>0.86</w:t>
            </w:r>
          </w:p>
        </w:tc>
        <w:tc>
          <w:tcPr>
            <w:tcW w:w="1776" w:type="dxa"/>
          </w:tcPr>
          <w:p w14:paraId="19573C1E" w14:textId="641C2BFB" w:rsidR="005C3DD8"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rFonts w:cstheme="minorHAnsi"/>
                <w:bCs/>
              </w:rPr>
              <w:t>1.05 (0.57-1.91)</w:t>
            </w:r>
          </w:p>
        </w:tc>
        <w:tc>
          <w:tcPr>
            <w:tcW w:w="992" w:type="dxa"/>
          </w:tcPr>
          <w:p w14:paraId="42AA05B8" w14:textId="27D027C8" w:rsidR="005C3DD8"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bCs/>
              </w:rPr>
              <w:t>0.87</w:t>
            </w:r>
          </w:p>
        </w:tc>
        <w:tc>
          <w:tcPr>
            <w:tcW w:w="1701" w:type="dxa"/>
          </w:tcPr>
          <w:p w14:paraId="0FAA2DE0" w14:textId="77777777" w:rsidR="005C3DD8" w:rsidRPr="00916AEA"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rFonts w:cstheme="minorHAnsi"/>
                <w:bCs/>
              </w:rPr>
              <w:t>1.06 (0.67-1.66)</w:t>
            </w:r>
          </w:p>
        </w:tc>
        <w:tc>
          <w:tcPr>
            <w:tcW w:w="992" w:type="dxa"/>
          </w:tcPr>
          <w:p w14:paraId="0EAEAF8A" w14:textId="77777777" w:rsidR="005C3DD8" w:rsidRPr="00916AEA" w:rsidRDefault="005C3DD8" w:rsidP="005C3DD8">
            <w:pPr>
              <w:rPr>
                <w:bCs/>
              </w:rPr>
            </w:pPr>
            <w:r>
              <w:rPr>
                <w:bCs/>
              </w:rPr>
              <w:t>0.81</w:t>
            </w:r>
          </w:p>
        </w:tc>
      </w:tr>
      <w:tr w:rsidR="005C3DD8" w14:paraId="4B995864" w14:textId="77777777" w:rsidTr="006D7A20">
        <w:tc>
          <w:tcPr>
            <w:tcW w:w="3261" w:type="dxa"/>
          </w:tcPr>
          <w:p w14:paraId="78080D3B" w14:textId="77777777" w:rsidR="005C3DD8" w:rsidRPr="005875CD" w:rsidRDefault="005C3DD8" w:rsidP="005C3DD8">
            <w:r w:rsidRPr="005875CD">
              <w:rPr>
                <w:b/>
              </w:rPr>
              <w:t>Sex (Ref=F</w:t>
            </w:r>
            <w:r>
              <w:rPr>
                <w:b/>
              </w:rPr>
              <w:t>emale</w:t>
            </w:r>
            <w:r w:rsidRPr="005875CD">
              <w:rPr>
                <w:b/>
              </w:rPr>
              <w:t>)</w:t>
            </w:r>
          </w:p>
        </w:tc>
        <w:tc>
          <w:tcPr>
            <w:tcW w:w="1701" w:type="dxa"/>
          </w:tcPr>
          <w:p w14:paraId="67F090B5" w14:textId="77777777" w:rsidR="005C3DD8" w:rsidRPr="00916AEA" w:rsidRDefault="005C3DD8" w:rsidP="005C3DD8">
            <w:pPr>
              <w:rPr>
                <w:bCs/>
              </w:rPr>
            </w:pPr>
          </w:p>
        </w:tc>
        <w:tc>
          <w:tcPr>
            <w:tcW w:w="918" w:type="dxa"/>
          </w:tcPr>
          <w:p w14:paraId="12EC6EC3" w14:textId="77777777" w:rsidR="005C3DD8" w:rsidRPr="00916AEA" w:rsidRDefault="005C3DD8" w:rsidP="005C3DD8">
            <w:pPr>
              <w:rPr>
                <w:bCs/>
              </w:rPr>
            </w:pPr>
          </w:p>
        </w:tc>
        <w:tc>
          <w:tcPr>
            <w:tcW w:w="1776" w:type="dxa"/>
          </w:tcPr>
          <w:p w14:paraId="1361DDBF" w14:textId="77777777" w:rsidR="005C3DD8" w:rsidRPr="00916AEA" w:rsidRDefault="005C3DD8" w:rsidP="005C3DD8">
            <w:pPr>
              <w:rPr>
                <w:rFonts w:cstheme="minorHAnsi"/>
                <w:bCs/>
              </w:rPr>
            </w:pPr>
          </w:p>
        </w:tc>
        <w:tc>
          <w:tcPr>
            <w:tcW w:w="992" w:type="dxa"/>
          </w:tcPr>
          <w:p w14:paraId="2C84B6FD" w14:textId="77777777" w:rsidR="005C3DD8" w:rsidRPr="00916AEA" w:rsidRDefault="005C3DD8" w:rsidP="005C3DD8">
            <w:pPr>
              <w:rPr>
                <w:rFonts w:cstheme="minorHAnsi"/>
                <w:bCs/>
              </w:rPr>
            </w:pPr>
          </w:p>
        </w:tc>
        <w:tc>
          <w:tcPr>
            <w:tcW w:w="1701" w:type="dxa"/>
          </w:tcPr>
          <w:p w14:paraId="7A6CD023" w14:textId="77777777" w:rsidR="005C3DD8" w:rsidRPr="00916AEA" w:rsidRDefault="005C3DD8" w:rsidP="005C3DD8">
            <w:pPr>
              <w:rPr>
                <w:rFonts w:cstheme="minorHAnsi"/>
                <w:bCs/>
              </w:rPr>
            </w:pPr>
          </w:p>
        </w:tc>
        <w:tc>
          <w:tcPr>
            <w:tcW w:w="992" w:type="dxa"/>
          </w:tcPr>
          <w:p w14:paraId="3B79D2D0" w14:textId="77777777" w:rsidR="005C3DD8" w:rsidRPr="00916AEA" w:rsidRDefault="005C3DD8" w:rsidP="005C3DD8">
            <w:pPr>
              <w:rPr>
                <w:bCs/>
              </w:rPr>
            </w:pPr>
          </w:p>
        </w:tc>
      </w:tr>
      <w:tr w:rsidR="005C3DD8" w14:paraId="305F0798" w14:textId="77777777" w:rsidTr="006D7A20">
        <w:tc>
          <w:tcPr>
            <w:tcW w:w="3261" w:type="dxa"/>
          </w:tcPr>
          <w:p w14:paraId="54E0E492" w14:textId="77777777" w:rsidR="005C3DD8" w:rsidRPr="005875CD" w:rsidRDefault="005C3DD8" w:rsidP="005C3DD8">
            <w:r w:rsidRPr="005875CD">
              <w:t>Male</w:t>
            </w:r>
          </w:p>
        </w:tc>
        <w:tc>
          <w:tcPr>
            <w:tcW w:w="1701" w:type="dxa"/>
          </w:tcPr>
          <w:p w14:paraId="52AD92A0" w14:textId="77777777" w:rsidR="005C3DD8" w:rsidRPr="00916AEA" w:rsidRDefault="005C3DD8" w:rsidP="005C3DD8">
            <w:pPr>
              <w:rPr>
                <w:bCs/>
              </w:rPr>
            </w:pPr>
            <w:r w:rsidRPr="005875CD">
              <w:t>0.91 (0.80-1.03)</w:t>
            </w:r>
          </w:p>
        </w:tc>
        <w:tc>
          <w:tcPr>
            <w:tcW w:w="918" w:type="dxa"/>
          </w:tcPr>
          <w:p w14:paraId="67DED8F1" w14:textId="77777777" w:rsidR="005C3DD8" w:rsidRPr="00916AEA" w:rsidRDefault="005C3DD8" w:rsidP="005C3DD8">
            <w:pPr>
              <w:rPr>
                <w:bCs/>
              </w:rPr>
            </w:pPr>
            <w:r w:rsidRPr="005875CD">
              <w:t>0.14</w:t>
            </w:r>
          </w:p>
        </w:tc>
        <w:tc>
          <w:tcPr>
            <w:tcW w:w="1776" w:type="dxa"/>
          </w:tcPr>
          <w:p w14:paraId="6B358711" w14:textId="7792F733" w:rsidR="005C3DD8" w:rsidRDefault="005C3DD8" w:rsidP="005C3DD8">
            <w:pPr>
              <w:rPr>
                <w:rFonts w:cstheme="minorHAnsi"/>
                <w:bCs/>
              </w:rPr>
            </w:pPr>
            <w:r>
              <w:rPr>
                <w:rFonts w:cstheme="minorHAnsi"/>
                <w:bCs/>
              </w:rPr>
              <w:t>N/A</w:t>
            </w:r>
          </w:p>
        </w:tc>
        <w:tc>
          <w:tcPr>
            <w:tcW w:w="992" w:type="dxa"/>
          </w:tcPr>
          <w:p w14:paraId="7F8B7821" w14:textId="77777777" w:rsidR="005C3DD8" w:rsidRDefault="005C3DD8" w:rsidP="005C3DD8">
            <w:pPr>
              <w:rPr>
                <w:rFonts w:cstheme="minorHAnsi"/>
                <w:bCs/>
              </w:rPr>
            </w:pPr>
          </w:p>
        </w:tc>
        <w:tc>
          <w:tcPr>
            <w:tcW w:w="1701" w:type="dxa"/>
          </w:tcPr>
          <w:p w14:paraId="248C8BFE" w14:textId="16B25E04" w:rsidR="005C3DD8" w:rsidRPr="00916AEA" w:rsidRDefault="005C3DD8" w:rsidP="005C3DD8">
            <w:pPr>
              <w:rPr>
                <w:rFonts w:cstheme="minorHAnsi"/>
                <w:bCs/>
              </w:rPr>
            </w:pPr>
            <w:r>
              <w:rPr>
                <w:rFonts w:cstheme="minorHAnsi"/>
                <w:bCs/>
              </w:rPr>
              <w:t>N/A</w:t>
            </w:r>
          </w:p>
        </w:tc>
        <w:tc>
          <w:tcPr>
            <w:tcW w:w="992" w:type="dxa"/>
          </w:tcPr>
          <w:p w14:paraId="3EE34872" w14:textId="77777777" w:rsidR="005C3DD8" w:rsidRPr="00916AEA" w:rsidRDefault="005C3DD8" w:rsidP="005C3DD8">
            <w:pPr>
              <w:rPr>
                <w:bCs/>
              </w:rPr>
            </w:pPr>
          </w:p>
        </w:tc>
      </w:tr>
      <w:tr w:rsidR="005C3DD8" w14:paraId="2638A08F" w14:textId="77777777" w:rsidTr="006D7A20">
        <w:tc>
          <w:tcPr>
            <w:tcW w:w="3261" w:type="dxa"/>
          </w:tcPr>
          <w:p w14:paraId="48B32550" w14:textId="77777777" w:rsidR="005C3DD8" w:rsidRPr="005875CD" w:rsidRDefault="005C3DD8" w:rsidP="005C3DD8">
            <w:pPr>
              <w:rPr>
                <w:b/>
              </w:rPr>
            </w:pPr>
            <w:r w:rsidRPr="005875CD">
              <w:rPr>
                <w:b/>
              </w:rPr>
              <w:t>Age (Ref = Toddler, 1-3</w:t>
            </w:r>
            <w:r>
              <w:rPr>
                <w:b/>
              </w:rPr>
              <w:t xml:space="preserve"> years old</w:t>
            </w:r>
            <w:r w:rsidRPr="005875CD">
              <w:rPr>
                <w:b/>
              </w:rPr>
              <w:t>)</w:t>
            </w:r>
          </w:p>
        </w:tc>
        <w:tc>
          <w:tcPr>
            <w:tcW w:w="1701" w:type="dxa"/>
          </w:tcPr>
          <w:p w14:paraId="1BAB58C3" w14:textId="77777777" w:rsidR="005C3DD8" w:rsidRPr="00916AEA" w:rsidRDefault="005C3DD8" w:rsidP="005C3DD8">
            <w:pPr>
              <w:rPr>
                <w:bCs/>
              </w:rPr>
            </w:pPr>
          </w:p>
        </w:tc>
        <w:tc>
          <w:tcPr>
            <w:tcW w:w="918" w:type="dxa"/>
          </w:tcPr>
          <w:p w14:paraId="1778FD7F" w14:textId="77777777" w:rsidR="005C3DD8" w:rsidRPr="00916AEA" w:rsidRDefault="005C3DD8" w:rsidP="005C3DD8">
            <w:pPr>
              <w:rPr>
                <w:bCs/>
              </w:rPr>
            </w:pPr>
          </w:p>
        </w:tc>
        <w:tc>
          <w:tcPr>
            <w:tcW w:w="1776" w:type="dxa"/>
          </w:tcPr>
          <w:p w14:paraId="17A19DA6" w14:textId="77777777" w:rsidR="005C3DD8" w:rsidRPr="00916AEA" w:rsidRDefault="005C3DD8" w:rsidP="005C3DD8">
            <w:pPr>
              <w:rPr>
                <w:rFonts w:cstheme="minorHAnsi"/>
                <w:bCs/>
              </w:rPr>
            </w:pPr>
          </w:p>
        </w:tc>
        <w:tc>
          <w:tcPr>
            <w:tcW w:w="992" w:type="dxa"/>
          </w:tcPr>
          <w:p w14:paraId="2E2998BC" w14:textId="77777777" w:rsidR="005C3DD8" w:rsidRPr="00916AEA" w:rsidRDefault="005C3DD8" w:rsidP="005C3DD8">
            <w:pPr>
              <w:rPr>
                <w:rFonts w:cstheme="minorHAnsi"/>
                <w:bCs/>
              </w:rPr>
            </w:pPr>
          </w:p>
        </w:tc>
        <w:tc>
          <w:tcPr>
            <w:tcW w:w="1701" w:type="dxa"/>
          </w:tcPr>
          <w:p w14:paraId="0CD53D51" w14:textId="77777777" w:rsidR="005C3DD8" w:rsidRPr="00916AEA" w:rsidRDefault="005C3DD8" w:rsidP="005C3DD8">
            <w:pPr>
              <w:rPr>
                <w:rFonts w:cstheme="minorHAnsi"/>
                <w:bCs/>
              </w:rPr>
            </w:pPr>
          </w:p>
        </w:tc>
        <w:tc>
          <w:tcPr>
            <w:tcW w:w="992" w:type="dxa"/>
          </w:tcPr>
          <w:p w14:paraId="6B9DF7CF" w14:textId="77777777" w:rsidR="005C3DD8" w:rsidRPr="00916AEA" w:rsidRDefault="005C3DD8" w:rsidP="005C3DD8">
            <w:pPr>
              <w:rPr>
                <w:bCs/>
              </w:rPr>
            </w:pPr>
          </w:p>
        </w:tc>
      </w:tr>
      <w:tr w:rsidR="005C3DD8" w14:paraId="5AC786F8" w14:textId="77777777" w:rsidTr="006D7A20">
        <w:tc>
          <w:tcPr>
            <w:tcW w:w="3261" w:type="dxa"/>
          </w:tcPr>
          <w:p w14:paraId="65745834" w14:textId="77777777" w:rsidR="005C3DD8" w:rsidRPr="005875CD" w:rsidRDefault="005C3DD8" w:rsidP="005C3DD8">
            <w:r w:rsidRPr="005875CD">
              <w:t>Infant (&lt;12</w:t>
            </w:r>
            <w:r>
              <w:t xml:space="preserve"> </w:t>
            </w:r>
            <w:r w:rsidRPr="005875CD">
              <w:t>months)</w:t>
            </w:r>
          </w:p>
        </w:tc>
        <w:tc>
          <w:tcPr>
            <w:tcW w:w="1701" w:type="dxa"/>
          </w:tcPr>
          <w:p w14:paraId="3B689CF4" w14:textId="77777777" w:rsidR="005C3DD8" w:rsidRPr="00916AEA" w:rsidRDefault="005C3DD8" w:rsidP="005C3DD8">
            <w:pPr>
              <w:rPr>
                <w:bCs/>
              </w:rPr>
            </w:pPr>
            <w:r w:rsidRPr="005875CD">
              <w:t>0.19 (0.13-0.28)</w:t>
            </w:r>
          </w:p>
        </w:tc>
        <w:tc>
          <w:tcPr>
            <w:tcW w:w="918" w:type="dxa"/>
          </w:tcPr>
          <w:p w14:paraId="375A2338" w14:textId="77777777" w:rsidR="005C3DD8" w:rsidRPr="00916AEA" w:rsidRDefault="005C3DD8" w:rsidP="005C3DD8">
            <w:pPr>
              <w:rPr>
                <w:bCs/>
              </w:rPr>
            </w:pPr>
            <w:r w:rsidRPr="005875CD">
              <w:t>&lt;0.001</w:t>
            </w:r>
          </w:p>
        </w:tc>
        <w:tc>
          <w:tcPr>
            <w:tcW w:w="1776" w:type="dxa"/>
          </w:tcPr>
          <w:p w14:paraId="1805E85F" w14:textId="5C224DAC" w:rsidR="005C3DD8" w:rsidRDefault="005C3DD8" w:rsidP="005C3DD8">
            <w:pPr>
              <w:rPr>
                <w:rFonts w:cstheme="minorHAnsi"/>
                <w:bCs/>
              </w:rPr>
            </w:pPr>
            <w:r>
              <w:rPr>
                <w:rFonts w:cstheme="minorHAnsi"/>
                <w:bCs/>
              </w:rPr>
              <w:t>0.17 (0.09-0.29)</w:t>
            </w:r>
          </w:p>
        </w:tc>
        <w:tc>
          <w:tcPr>
            <w:tcW w:w="992" w:type="dxa"/>
          </w:tcPr>
          <w:p w14:paraId="35B053DD" w14:textId="2B0A99ED" w:rsidR="005C3DD8" w:rsidRDefault="005C3DD8" w:rsidP="005C3DD8">
            <w:pPr>
              <w:rPr>
                <w:rFonts w:cstheme="minorHAnsi"/>
                <w:bCs/>
              </w:rPr>
            </w:pPr>
            <w:r>
              <w:rPr>
                <w:bCs/>
              </w:rPr>
              <w:t>&lt;0.001</w:t>
            </w:r>
          </w:p>
        </w:tc>
        <w:tc>
          <w:tcPr>
            <w:tcW w:w="1701" w:type="dxa"/>
          </w:tcPr>
          <w:p w14:paraId="488E0679" w14:textId="77777777" w:rsidR="005C3DD8" w:rsidRPr="00916AEA" w:rsidRDefault="005C3DD8" w:rsidP="005C3DD8">
            <w:pPr>
              <w:rPr>
                <w:rFonts w:cstheme="minorHAnsi"/>
                <w:bCs/>
              </w:rPr>
            </w:pPr>
            <w:r>
              <w:rPr>
                <w:rFonts w:cstheme="minorHAnsi"/>
                <w:bCs/>
              </w:rPr>
              <w:t>0.21 (0.12-0.35)</w:t>
            </w:r>
          </w:p>
        </w:tc>
        <w:tc>
          <w:tcPr>
            <w:tcW w:w="992" w:type="dxa"/>
          </w:tcPr>
          <w:p w14:paraId="0B9B2AD9" w14:textId="77777777" w:rsidR="005C3DD8" w:rsidRPr="00916AEA" w:rsidRDefault="005C3DD8" w:rsidP="005C3DD8">
            <w:pPr>
              <w:rPr>
                <w:bCs/>
              </w:rPr>
            </w:pPr>
            <w:r>
              <w:rPr>
                <w:bCs/>
              </w:rPr>
              <w:t>&lt;0.001</w:t>
            </w:r>
          </w:p>
        </w:tc>
      </w:tr>
      <w:tr w:rsidR="005C3DD8" w14:paraId="071CE350" w14:textId="77777777" w:rsidTr="006D7A20">
        <w:tc>
          <w:tcPr>
            <w:tcW w:w="3261" w:type="dxa"/>
          </w:tcPr>
          <w:p w14:paraId="3391C484" w14:textId="77777777" w:rsidR="005C3DD8" w:rsidRPr="005875CD" w:rsidRDefault="005C3DD8" w:rsidP="005C3DD8">
            <w:r w:rsidRPr="005875CD">
              <w:t>Early Childhood (4-6</w:t>
            </w:r>
            <w:r>
              <w:t xml:space="preserve"> years old</w:t>
            </w:r>
            <w:r w:rsidRPr="005875CD">
              <w:t>)</w:t>
            </w:r>
          </w:p>
        </w:tc>
        <w:tc>
          <w:tcPr>
            <w:tcW w:w="1701" w:type="dxa"/>
          </w:tcPr>
          <w:p w14:paraId="7A2CCF6C" w14:textId="77777777" w:rsidR="005C3DD8" w:rsidRPr="00916AEA" w:rsidRDefault="005C3DD8" w:rsidP="005C3DD8">
            <w:pPr>
              <w:rPr>
                <w:bCs/>
              </w:rPr>
            </w:pPr>
            <w:r w:rsidRPr="005875CD">
              <w:t>1.75 (1.45-2.10)</w:t>
            </w:r>
          </w:p>
        </w:tc>
        <w:tc>
          <w:tcPr>
            <w:tcW w:w="918" w:type="dxa"/>
          </w:tcPr>
          <w:p w14:paraId="241E496A" w14:textId="77777777" w:rsidR="005C3DD8" w:rsidRPr="00916AEA" w:rsidRDefault="005C3DD8" w:rsidP="005C3DD8">
            <w:pPr>
              <w:rPr>
                <w:bCs/>
              </w:rPr>
            </w:pPr>
            <w:r w:rsidRPr="005875CD">
              <w:t>&lt;0.001</w:t>
            </w:r>
          </w:p>
        </w:tc>
        <w:tc>
          <w:tcPr>
            <w:tcW w:w="1776" w:type="dxa"/>
          </w:tcPr>
          <w:p w14:paraId="38F31FA1" w14:textId="50BFD5CA" w:rsidR="005C3DD8" w:rsidRDefault="005C3DD8" w:rsidP="005C3DD8">
            <w:pPr>
              <w:rPr>
                <w:rFonts w:cstheme="minorHAnsi"/>
                <w:bCs/>
              </w:rPr>
            </w:pPr>
            <w:r>
              <w:rPr>
                <w:rFonts w:cstheme="minorHAnsi"/>
                <w:bCs/>
              </w:rPr>
              <w:t>1.89 (1.46-2.45)</w:t>
            </w:r>
          </w:p>
        </w:tc>
        <w:tc>
          <w:tcPr>
            <w:tcW w:w="992" w:type="dxa"/>
          </w:tcPr>
          <w:p w14:paraId="62113F33" w14:textId="6A79852A" w:rsidR="005C3DD8" w:rsidRDefault="005C3DD8" w:rsidP="005C3DD8">
            <w:pPr>
              <w:rPr>
                <w:rFonts w:cstheme="minorHAnsi"/>
                <w:bCs/>
              </w:rPr>
            </w:pPr>
            <w:r>
              <w:rPr>
                <w:bCs/>
              </w:rPr>
              <w:t>&lt;0.001</w:t>
            </w:r>
          </w:p>
        </w:tc>
        <w:tc>
          <w:tcPr>
            <w:tcW w:w="1701" w:type="dxa"/>
          </w:tcPr>
          <w:p w14:paraId="4AB26DF4" w14:textId="77777777" w:rsidR="005C3DD8" w:rsidRPr="00916AEA" w:rsidRDefault="005C3DD8" w:rsidP="005C3DD8">
            <w:pPr>
              <w:rPr>
                <w:rFonts w:cstheme="minorHAnsi"/>
                <w:bCs/>
              </w:rPr>
            </w:pPr>
            <w:r>
              <w:rPr>
                <w:rFonts w:cstheme="minorHAnsi"/>
                <w:bCs/>
              </w:rPr>
              <w:t>1.53 (1.17-2.00)</w:t>
            </w:r>
          </w:p>
        </w:tc>
        <w:tc>
          <w:tcPr>
            <w:tcW w:w="992" w:type="dxa"/>
          </w:tcPr>
          <w:p w14:paraId="3A310F18" w14:textId="77777777" w:rsidR="005C3DD8" w:rsidRPr="00916AEA" w:rsidRDefault="005C3DD8" w:rsidP="005C3DD8">
            <w:pPr>
              <w:rPr>
                <w:bCs/>
              </w:rPr>
            </w:pPr>
            <w:r>
              <w:rPr>
                <w:bCs/>
              </w:rPr>
              <w:t>&lt;0.01</w:t>
            </w:r>
          </w:p>
        </w:tc>
      </w:tr>
      <w:tr w:rsidR="005C3DD8" w14:paraId="56222054" w14:textId="77777777" w:rsidTr="006D7A20">
        <w:tc>
          <w:tcPr>
            <w:tcW w:w="3261" w:type="dxa"/>
          </w:tcPr>
          <w:p w14:paraId="7A49347F" w14:textId="77777777" w:rsidR="005C3DD8" w:rsidRPr="005875CD" w:rsidRDefault="005C3DD8" w:rsidP="005C3DD8">
            <w:r w:rsidRPr="005875CD">
              <w:t>Middle Childhood (7-12</w:t>
            </w:r>
            <w:r>
              <w:t xml:space="preserve"> years old</w:t>
            </w:r>
            <w:r w:rsidRPr="005875CD">
              <w:t>)</w:t>
            </w:r>
          </w:p>
        </w:tc>
        <w:tc>
          <w:tcPr>
            <w:tcW w:w="1701" w:type="dxa"/>
          </w:tcPr>
          <w:p w14:paraId="656FF46E" w14:textId="77777777" w:rsidR="005C3DD8" w:rsidRPr="00916AEA" w:rsidRDefault="005C3DD8" w:rsidP="005C3DD8">
            <w:pPr>
              <w:rPr>
                <w:bCs/>
              </w:rPr>
            </w:pPr>
            <w:r w:rsidRPr="005875CD">
              <w:t>1.70 (1.44-2.01)</w:t>
            </w:r>
          </w:p>
        </w:tc>
        <w:tc>
          <w:tcPr>
            <w:tcW w:w="918" w:type="dxa"/>
          </w:tcPr>
          <w:p w14:paraId="13010963" w14:textId="77777777" w:rsidR="005C3DD8" w:rsidRPr="00916AEA" w:rsidRDefault="005C3DD8" w:rsidP="005C3DD8">
            <w:pPr>
              <w:rPr>
                <w:bCs/>
              </w:rPr>
            </w:pPr>
            <w:r w:rsidRPr="005875CD">
              <w:t>&lt;0.001</w:t>
            </w:r>
          </w:p>
        </w:tc>
        <w:tc>
          <w:tcPr>
            <w:tcW w:w="1776" w:type="dxa"/>
          </w:tcPr>
          <w:p w14:paraId="29D1E43F" w14:textId="52F693D8" w:rsidR="005C3DD8"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rFonts w:cstheme="minorHAnsi"/>
                <w:bCs/>
              </w:rPr>
              <w:t>1.44 (1.13-1.85)</w:t>
            </w:r>
          </w:p>
        </w:tc>
        <w:tc>
          <w:tcPr>
            <w:tcW w:w="992" w:type="dxa"/>
          </w:tcPr>
          <w:p w14:paraId="742E1116" w14:textId="58929B69" w:rsidR="005C3DD8"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bCs/>
              </w:rPr>
              <w:t>&lt;0.01</w:t>
            </w:r>
          </w:p>
        </w:tc>
        <w:tc>
          <w:tcPr>
            <w:tcW w:w="1701" w:type="dxa"/>
          </w:tcPr>
          <w:p w14:paraId="26526EC8" w14:textId="77777777" w:rsidR="005C3DD8" w:rsidRPr="00916AEA" w:rsidRDefault="005C3DD8" w:rsidP="005C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theme="minorHAnsi"/>
                <w:bCs/>
              </w:rPr>
            </w:pPr>
            <w:r>
              <w:rPr>
                <w:rFonts w:cstheme="minorHAnsi"/>
                <w:bCs/>
              </w:rPr>
              <w:t>1.83 (1.46-2.31)</w:t>
            </w:r>
          </w:p>
        </w:tc>
        <w:tc>
          <w:tcPr>
            <w:tcW w:w="992" w:type="dxa"/>
          </w:tcPr>
          <w:p w14:paraId="4370B6D0" w14:textId="77777777" w:rsidR="005C3DD8" w:rsidRPr="00916AEA" w:rsidRDefault="005C3DD8" w:rsidP="005C3DD8">
            <w:pPr>
              <w:rPr>
                <w:bCs/>
              </w:rPr>
            </w:pPr>
            <w:r>
              <w:rPr>
                <w:bCs/>
              </w:rPr>
              <w:t>&lt;0.001</w:t>
            </w:r>
          </w:p>
        </w:tc>
      </w:tr>
      <w:tr w:rsidR="005C3DD8" w14:paraId="4EF0F9DD" w14:textId="77777777" w:rsidTr="006D7A20">
        <w:tc>
          <w:tcPr>
            <w:tcW w:w="3261" w:type="dxa"/>
          </w:tcPr>
          <w:p w14:paraId="763F1D64" w14:textId="77777777" w:rsidR="005C3DD8" w:rsidRPr="005875CD" w:rsidRDefault="005C3DD8" w:rsidP="005C3DD8">
            <w:r w:rsidRPr="005875CD">
              <w:t>Adolescent (13-17</w:t>
            </w:r>
            <w:r>
              <w:t xml:space="preserve"> years old</w:t>
            </w:r>
            <w:r w:rsidRPr="005875CD">
              <w:t>)</w:t>
            </w:r>
          </w:p>
        </w:tc>
        <w:tc>
          <w:tcPr>
            <w:tcW w:w="1701" w:type="dxa"/>
          </w:tcPr>
          <w:p w14:paraId="6E576E3A" w14:textId="77777777" w:rsidR="005C3DD8" w:rsidRPr="00916AEA" w:rsidRDefault="005C3DD8" w:rsidP="005C3DD8">
            <w:pPr>
              <w:rPr>
                <w:bCs/>
              </w:rPr>
            </w:pPr>
            <w:r w:rsidRPr="005875CD">
              <w:t>1.30 (1.05-1.61)</w:t>
            </w:r>
          </w:p>
        </w:tc>
        <w:tc>
          <w:tcPr>
            <w:tcW w:w="918" w:type="dxa"/>
          </w:tcPr>
          <w:p w14:paraId="2B2C8C4D" w14:textId="77777777" w:rsidR="005C3DD8" w:rsidRPr="00916AEA" w:rsidRDefault="005C3DD8" w:rsidP="005C3DD8">
            <w:pPr>
              <w:rPr>
                <w:bCs/>
              </w:rPr>
            </w:pPr>
            <w:r w:rsidRPr="005875CD">
              <w:t>0.01</w:t>
            </w:r>
          </w:p>
        </w:tc>
        <w:tc>
          <w:tcPr>
            <w:tcW w:w="1776" w:type="dxa"/>
          </w:tcPr>
          <w:p w14:paraId="670F28BB" w14:textId="0B60F219" w:rsidR="005C3DD8" w:rsidRDefault="005C3DD8" w:rsidP="005C3DD8">
            <w:pPr>
              <w:rPr>
                <w:rFonts w:cstheme="minorHAnsi"/>
                <w:bCs/>
              </w:rPr>
            </w:pPr>
            <w:r>
              <w:rPr>
                <w:rFonts w:cstheme="minorHAnsi"/>
                <w:bCs/>
              </w:rPr>
              <w:t>0.94 (0.68-1.30)</w:t>
            </w:r>
          </w:p>
        </w:tc>
        <w:tc>
          <w:tcPr>
            <w:tcW w:w="992" w:type="dxa"/>
          </w:tcPr>
          <w:p w14:paraId="4B9A8811" w14:textId="21347297" w:rsidR="005C3DD8" w:rsidRDefault="005C3DD8" w:rsidP="005C3DD8">
            <w:pPr>
              <w:rPr>
                <w:rFonts w:cstheme="minorHAnsi"/>
                <w:bCs/>
              </w:rPr>
            </w:pPr>
            <w:r>
              <w:rPr>
                <w:bCs/>
              </w:rPr>
              <w:t>0.72</w:t>
            </w:r>
          </w:p>
        </w:tc>
        <w:tc>
          <w:tcPr>
            <w:tcW w:w="1701" w:type="dxa"/>
          </w:tcPr>
          <w:p w14:paraId="0262D0DE" w14:textId="77777777" w:rsidR="005C3DD8" w:rsidRPr="00916AEA" w:rsidRDefault="005C3DD8" w:rsidP="005C3DD8">
            <w:pPr>
              <w:rPr>
                <w:rFonts w:cstheme="minorHAnsi"/>
                <w:bCs/>
              </w:rPr>
            </w:pPr>
            <w:r>
              <w:rPr>
                <w:rFonts w:cstheme="minorHAnsi"/>
                <w:bCs/>
              </w:rPr>
              <w:t>1.65 (1.23-2.19)</w:t>
            </w:r>
          </w:p>
        </w:tc>
        <w:tc>
          <w:tcPr>
            <w:tcW w:w="992" w:type="dxa"/>
          </w:tcPr>
          <w:p w14:paraId="23F37C36" w14:textId="77777777" w:rsidR="005C3DD8" w:rsidRPr="00916AEA" w:rsidRDefault="005C3DD8" w:rsidP="005C3DD8">
            <w:pPr>
              <w:rPr>
                <w:bCs/>
              </w:rPr>
            </w:pPr>
            <w:r>
              <w:rPr>
                <w:bCs/>
              </w:rPr>
              <w:t>&lt;0.001</w:t>
            </w:r>
          </w:p>
        </w:tc>
      </w:tr>
    </w:tbl>
    <w:p w14:paraId="27F91923" w14:textId="7A194D95" w:rsidR="006C219E" w:rsidRDefault="00920272" w:rsidP="006C219E">
      <w:pPr>
        <w:jc w:val="both"/>
        <w:rPr>
          <w:sz w:val="20"/>
          <w:szCs w:val="20"/>
        </w:rPr>
      </w:pPr>
      <w:r w:rsidRPr="006C219E">
        <w:rPr>
          <w:sz w:val="20"/>
          <w:szCs w:val="20"/>
        </w:rPr>
        <w:t xml:space="preserve">Table </w:t>
      </w:r>
      <w:r w:rsidR="00616FB4" w:rsidRPr="006C219E">
        <w:rPr>
          <w:sz w:val="20"/>
          <w:szCs w:val="20"/>
        </w:rPr>
        <w:t xml:space="preserve">2 </w:t>
      </w:r>
      <w:r w:rsidR="00CD1CB1" w:rsidRPr="006C219E">
        <w:rPr>
          <w:sz w:val="20"/>
          <w:szCs w:val="20"/>
        </w:rPr>
        <w:t>–</w:t>
      </w:r>
      <w:r w:rsidR="00616FB4" w:rsidRPr="006C219E">
        <w:rPr>
          <w:sz w:val="20"/>
          <w:szCs w:val="20"/>
        </w:rPr>
        <w:t xml:space="preserve"> </w:t>
      </w:r>
      <w:r w:rsidR="00CD1CB1" w:rsidRPr="006C219E">
        <w:rPr>
          <w:sz w:val="20"/>
          <w:szCs w:val="20"/>
        </w:rPr>
        <w:t xml:space="preserve">Univariable and multivariable Poisson analysis of </w:t>
      </w:r>
      <w:r w:rsidR="006C219E">
        <w:rPr>
          <w:sz w:val="20"/>
          <w:szCs w:val="20"/>
        </w:rPr>
        <w:t xml:space="preserve">monthly </w:t>
      </w:r>
      <w:r w:rsidR="00CD1CB1" w:rsidRPr="006C219E">
        <w:rPr>
          <w:sz w:val="20"/>
          <w:szCs w:val="20"/>
        </w:rPr>
        <w:t xml:space="preserve">paediatric dog bite attendance rates in an emergency department </w:t>
      </w:r>
      <w:r w:rsidR="006C219E" w:rsidRPr="006C219E">
        <w:rPr>
          <w:sz w:val="20"/>
          <w:szCs w:val="20"/>
        </w:rPr>
        <w:t>(COVID-19 Public Health Measure were present March 2020 to September 2020. ARR=Attendance Rate Ratio. CI = Confidence interval)</w:t>
      </w:r>
    </w:p>
    <w:p w14:paraId="37C23475" w14:textId="77777777" w:rsidR="00DD00BB" w:rsidRPr="006C219E" w:rsidRDefault="00DD00BB" w:rsidP="006C219E">
      <w:pPr>
        <w:jc w:val="both"/>
        <w:rPr>
          <w:sz w:val="20"/>
          <w:szCs w:val="20"/>
        </w:rPr>
      </w:pPr>
    </w:p>
    <w:p w14:paraId="2DEC9ABC" w14:textId="4DA12A1B" w:rsidR="006B34EC" w:rsidRPr="00616FB4" w:rsidRDefault="006B34EC" w:rsidP="00F16DD0">
      <w:pPr>
        <w:spacing w:line="360" w:lineRule="auto"/>
        <w:jc w:val="both"/>
        <w:rPr>
          <w:sz w:val="20"/>
          <w:szCs w:val="20"/>
        </w:rPr>
      </w:pPr>
      <w:r w:rsidRPr="00CA28E8">
        <w:t xml:space="preserve">Females had </w:t>
      </w:r>
      <w:r w:rsidR="00CE3253">
        <w:t>the highest dog bite</w:t>
      </w:r>
      <w:r w:rsidRPr="00CA28E8">
        <w:t xml:space="preserve"> attendance rates from May through</w:t>
      </w:r>
      <w:r>
        <w:t xml:space="preserve"> to September. In contrast, male attendance rates were similar throughout the year except in March and November which displayed significantly lower rates. Female attendance rates showed similar attendance rates between </w:t>
      </w:r>
      <w:r w:rsidR="00CA28E8">
        <w:t>toddler</w:t>
      </w:r>
      <w:r w:rsidR="00CE3253">
        <w:t>s</w:t>
      </w:r>
      <w:r w:rsidR="00CA28E8">
        <w:t xml:space="preserve"> </w:t>
      </w:r>
      <w:r>
        <w:t>and adolescents, with early and middle childhood showing the highest rates (peaking in early childhood)</w:t>
      </w:r>
      <w:r w:rsidR="00CE3253">
        <w:t>, and infants the lowest</w:t>
      </w:r>
      <w:r>
        <w:t>. Male age attendance rates peaked in middle childhood</w:t>
      </w:r>
      <w:r w:rsidR="00CE3253">
        <w:t xml:space="preserve">. All </w:t>
      </w:r>
      <w:r w:rsidR="00851892">
        <w:t xml:space="preserve">male </w:t>
      </w:r>
      <w:r w:rsidR="00CE3253">
        <w:t xml:space="preserve">age groups had significantly higher rates than toddlers except </w:t>
      </w:r>
      <w:r w:rsidR="00851892">
        <w:t>infants</w:t>
      </w:r>
      <w:r w:rsidR="00CE3253">
        <w:t xml:space="preserve"> who were significantly lower.</w:t>
      </w:r>
      <w:r>
        <w:t xml:space="preserve"> To achieve final model fit the ‘year’ </w:t>
      </w:r>
      <w:r w:rsidR="00502B7F">
        <w:t>variable was excluded f</w:t>
      </w:r>
      <w:r w:rsidR="00CE3253">
        <w:t>rom</w:t>
      </w:r>
      <w:r w:rsidR="00502B7F">
        <w:t xml:space="preserve"> both models.</w:t>
      </w:r>
      <w:r w:rsidR="00851892" w:rsidDel="00851892">
        <w:t xml:space="preserve"> </w:t>
      </w:r>
      <w:r>
        <w:lastRenderedPageBreak/>
        <w:t>Both male and female models had good model fits with small residual differences (male model p=0.66, female model p=0.94). No interaction terms were identified.</w:t>
      </w:r>
    </w:p>
    <w:p w14:paraId="0D29C0D4" w14:textId="75A1101A" w:rsidR="004D6BAB" w:rsidRDefault="00877FF1" w:rsidP="004D6BAB">
      <w:pPr>
        <w:rPr>
          <w:b/>
        </w:rPr>
      </w:pPr>
      <w:r>
        <w:rPr>
          <w:b/>
        </w:rPr>
        <w:t>Discussion</w:t>
      </w:r>
    </w:p>
    <w:p w14:paraId="1DD32543" w14:textId="14BAB0F9" w:rsidR="007B65D4" w:rsidRDefault="007B65D4" w:rsidP="007B65D4">
      <w:pPr>
        <w:spacing w:line="360" w:lineRule="auto"/>
        <w:jc w:val="both"/>
        <w:rPr>
          <w:bCs/>
        </w:rPr>
      </w:pPr>
      <w:r>
        <w:rPr>
          <w:bCs/>
        </w:rPr>
        <w:t xml:space="preserve">This study highlights that </w:t>
      </w:r>
      <w:r w:rsidR="00636D81">
        <w:rPr>
          <w:bCs/>
        </w:rPr>
        <w:t xml:space="preserve">COVID-19 public health measures were associated with an increase in </w:t>
      </w:r>
      <w:r w:rsidR="00F51DEA">
        <w:rPr>
          <w:bCs/>
        </w:rPr>
        <w:t xml:space="preserve">the number </w:t>
      </w:r>
      <w:r w:rsidR="00636D81">
        <w:rPr>
          <w:bCs/>
        </w:rPr>
        <w:t>paediatric dog bite emergency department attendance</w:t>
      </w:r>
      <w:r w:rsidR="00F51DEA">
        <w:rPr>
          <w:bCs/>
        </w:rPr>
        <w:t>s</w:t>
      </w:r>
      <w:r w:rsidR="00636D81">
        <w:rPr>
          <w:bCs/>
        </w:rPr>
        <w:t xml:space="preserve">, potentially due to children spending more time at home, with greater exposure to dogs. Additionally, </w:t>
      </w:r>
      <w:r w:rsidR="00C841B8">
        <w:rPr>
          <w:bCs/>
        </w:rPr>
        <w:t xml:space="preserve">the demographics of </w:t>
      </w:r>
      <w:r>
        <w:rPr>
          <w:bCs/>
        </w:rPr>
        <w:t xml:space="preserve">children at risk of dog bites have remained the same during </w:t>
      </w:r>
      <w:r w:rsidR="00636D81">
        <w:rPr>
          <w:bCs/>
        </w:rPr>
        <w:t>this period</w:t>
      </w:r>
      <w:r>
        <w:rPr>
          <w:bCs/>
        </w:rPr>
        <w:t>. These results can be used to underpin</w:t>
      </w:r>
      <w:r w:rsidR="00636D81">
        <w:rPr>
          <w:bCs/>
        </w:rPr>
        <w:t xml:space="preserve"> the need for</w:t>
      </w:r>
      <w:r>
        <w:rPr>
          <w:bCs/>
        </w:rPr>
        <w:t xml:space="preserve"> </w:t>
      </w:r>
      <w:r w:rsidR="007A3913">
        <w:rPr>
          <w:bCs/>
        </w:rPr>
        <w:t xml:space="preserve">an </w:t>
      </w:r>
      <w:r>
        <w:rPr>
          <w:bCs/>
        </w:rPr>
        <w:t xml:space="preserve">evidence-based approach to dog bite injury prevention strategies targeted at children and their </w:t>
      </w:r>
      <w:r w:rsidR="00C841B8">
        <w:rPr>
          <w:bCs/>
        </w:rPr>
        <w:t>guardians</w:t>
      </w:r>
      <w:r>
        <w:rPr>
          <w:bCs/>
        </w:rPr>
        <w:t xml:space="preserve"> during</w:t>
      </w:r>
      <w:r w:rsidR="007A3913">
        <w:rPr>
          <w:bCs/>
        </w:rPr>
        <w:t xml:space="preserve"> </w:t>
      </w:r>
      <w:proofErr w:type="gramStart"/>
      <w:r w:rsidR="007A3913">
        <w:rPr>
          <w:bCs/>
        </w:rPr>
        <w:t>this pandemic</w:t>
      </w:r>
      <w:r w:rsidR="00C841B8">
        <w:rPr>
          <w:bCs/>
        </w:rPr>
        <w:t>,</w:t>
      </w:r>
      <w:r w:rsidR="007A3913">
        <w:rPr>
          <w:bCs/>
        </w:rPr>
        <w:t xml:space="preserve"> and future ones</w:t>
      </w:r>
      <w:proofErr w:type="gramEnd"/>
      <w:r w:rsidR="007A3913">
        <w:rPr>
          <w:bCs/>
        </w:rPr>
        <w:t>.</w:t>
      </w:r>
    </w:p>
    <w:p w14:paraId="63978F95" w14:textId="37B715D7" w:rsidR="004F6A5B" w:rsidRDefault="00AE4AF6" w:rsidP="00AE4AF6">
      <w:pPr>
        <w:spacing w:line="360" w:lineRule="auto"/>
        <w:jc w:val="both"/>
      </w:pPr>
      <w:r>
        <w:t xml:space="preserve">Following four years of stable </w:t>
      </w:r>
      <w:r w:rsidR="00E31AEE">
        <w:t>monthly</w:t>
      </w:r>
      <w:r w:rsidR="000E6EB3">
        <w:t xml:space="preserve"> patterns </w:t>
      </w:r>
      <w:r w:rsidR="00F549DE">
        <w:t>dog bite</w:t>
      </w:r>
      <w:r w:rsidR="000C5D62">
        <w:t xml:space="preserve"> attendance</w:t>
      </w:r>
      <w:r>
        <w:t xml:space="preserve">, </w:t>
      </w:r>
      <w:r w:rsidR="000E6EB3">
        <w:t>there was a</w:t>
      </w:r>
      <w:r>
        <w:t xml:space="preserve"> sharp increase in </w:t>
      </w:r>
      <w:r w:rsidR="000C5D62">
        <w:t xml:space="preserve">dog bites and attendance </w:t>
      </w:r>
      <w:r w:rsidR="00F51DEA">
        <w:t>percentage</w:t>
      </w:r>
      <w:r>
        <w:t xml:space="preserve"> between April and </w:t>
      </w:r>
      <w:r w:rsidR="00B04FE6">
        <w:t xml:space="preserve">July </w:t>
      </w:r>
      <w:r>
        <w:t>2020</w:t>
      </w:r>
      <w:r w:rsidR="00B04FE6">
        <w:t>.</w:t>
      </w:r>
      <w:r>
        <w:t xml:space="preserve"> </w:t>
      </w:r>
      <w:r w:rsidR="00B04FE6">
        <w:t>A</w:t>
      </w:r>
      <w:r>
        <w:t>n effective</w:t>
      </w:r>
      <w:r w:rsidR="00B04FE6">
        <w:t xml:space="preserve"> tripling in dog bite attendances, and</w:t>
      </w:r>
      <w:r>
        <w:t xml:space="preserve"> quadrupling</w:t>
      </w:r>
      <w:r w:rsidR="00B04FE6">
        <w:t xml:space="preserve"> in percentage of attendances</w:t>
      </w:r>
      <w:r>
        <w:t>.</w:t>
      </w:r>
      <w:r w:rsidR="00B45CDB">
        <w:t xml:space="preserve"> </w:t>
      </w:r>
      <w:r w:rsidR="000E6EB3">
        <w:t xml:space="preserve">This is confirmed by </w:t>
      </w:r>
      <w:r w:rsidR="00B45CDB">
        <w:t xml:space="preserve">a clear </w:t>
      </w:r>
      <w:r w:rsidR="000E6EB3">
        <w:t xml:space="preserve">statistical </w:t>
      </w:r>
      <w:r w:rsidR="00B45CDB">
        <w:t>association between the period of COVID</w:t>
      </w:r>
      <w:r w:rsidR="008F35FA">
        <w:t>-</w:t>
      </w:r>
      <w:r w:rsidR="00B45CDB">
        <w:t xml:space="preserve">19 public health </w:t>
      </w:r>
      <w:r w:rsidR="000D17BC">
        <w:t>measures</w:t>
      </w:r>
      <w:r w:rsidR="00A616C4">
        <w:t xml:space="preserve"> and a rise in</w:t>
      </w:r>
      <w:r w:rsidR="00B45CDB">
        <w:t xml:space="preserve"> dog bite attendances.</w:t>
      </w:r>
      <w:r w:rsidR="00A616C4">
        <w:t xml:space="preserve"> </w:t>
      </w:r>
      <w:r w:rsidR="00F81D5E" w:rsidRPr="00F81D5E">
        <w:t xml:space="preserve"> </w:t>
      </w:r>
    </w:p>
    <w:p w14:paraId="5DCC309D" w14:textId="05CDAA55" w:rsidR="002545A0" w:rsidRDefault="00852E85" w:rsidP="002545A0">
      <w:pPr>
        <w:spacing w:line="360" w:lineRule="auto"/>
        <w:jc w:val="both"/>
      </w:pPr>
      <w:r>
        <w:t>The national lockdown</w:t>
      </w:r>
      <w:r w:rsidR="00F81D5E">
        <w:t xml:space="preserve"> </w:t>
      </w:r>
      <w:r w:rsidR="00B14CF8">
        <w:t>(March-May 2020)</w:t>
      </w:r>
      <w:r w:rsidR="00A1134C">
        <w:t>,</w:t>
      </w:r>
      <w:r w:rsidR="00B14CF8">
        <w:rPr>
          <w:vertAlign w:val="superscript"/>
        </w:rPr>
        <w:fldChar w:fldCharType="begin" w:fldLock="1"/>
      </w:r>
      <w:r w:rsidR="00B14CF8">
        <w:rPr>
          <w:vertAlign w:val="superscript"/>
        </w:rPr>
        <w:instrText>ADDIN CSL_CITATION {"citationItems":[{"id":"ITEM-1","itemData":{"id":"ITEM-1","issued":{"date-parts":[["2020"]]},"title":"Coronavirus Act 2020 (c7)","type":"legislation"},"uris":["http://www.mendeley.com/documents/?uuid=f24e46df-9e3c-4c94-b18a-7bd90467a550"]},{"id":"ITEM-2","itemData":{"id":"ITEM-2","issued":{"date-parts":[["2020"]]},"number":"350","title":"The Health Protection (Coronavirus, Restrictions) (England) Regulations 2020","type":"legislation"},"uris":["http://www.mendeley.com/documents/?uuid=787b3797-2f16-4e3e-bad9-24c5e0020949"]}],"mendeley":{"formattedCitation":"[15,16]","plainTextFormattedCitation":"[15,16]","previouslyFormattedCitation":"[15,16]"},"properties":{"noteIndex":0},"schema":"https://github.com/citation-style-language/schema/raw/master/csl-citation.json"}</w:instrText>
      </w:r>
      <w:r w:rsidR="00B14CF8">
        <w:rPr>
          <w:vertAlign w:val="superscript"/>
        </w:rPr>
        <w:fldChar w:fldCharType="separate"/>
      </w:r>
      <w:r w:rsidR="00B14CF8" w:rsidRPr="007313C8">
        <w:rPr>
          <w:noProof/>
        </w:rPr>
        <w:t>[15,16]</w:t>
      </w:r>
      <w:r w:rsidR="00B14CF8">
        <w:rPr>
          <w:vertAlign w:val="superscript"/>
        </w:rPr>
        <w:fldChar w:fldCharType="end"/>
      </w:r>
      <w:r w:rsidR="00B14CF8">
        <w:t xml:space="preserve"> </w:t>
      </w:r>
      <w:r w:rsidR="00B176D6">
        <w:t>saw a rapid reduction in over</w:t>
      </w:r>
      <w:r w:rsidR="00462E83">
        <w:t>all</w:t>
      </w:r>
      <w:r w:rsidR="00B176D6">
        <w:t xml:space="preserve"> </w:t>
      </w:r>
      <w:r w:rsidR="00C412CF">
        <w:t>e</w:t>
      </w:r>
      <w:r w:rsidR="00D52C92">
        <w:t xml:space="preserve">mergency </w:t>
      </w:r>
      <w:r w:rsidR="00B176D6">
        <w:t>attendance levels, which reache</w:t>
      </w:r>
      <w:r w:rsidR="00462E83">
        <w:t>d</w:t>
      </w:r>
      <w:r w:rsidR="00B176D6">
        <w:t xml:space="preserve"> their lowest in April</w:t>
      </w:r>
      <w:r w:rsidR="00F549DE">
        <w:t>.</w:t>
      </w:r>
      <w:r w:rsidR="00462E83">
        <w:t xml:space="preserve"> </w:t>
      </w:r>
      <w:r w:rsidR="009B1B5A">
        <w:t>It was expected that overall attendance levels would decline as patients and parents were fearful of hospital acquired COVID-19 and</w:t>
      </w:r>
      <w:r w:rsidR="00F81D5E">
        <w:t xml:space="preserve"> </w:t>
      </w:r>
      <w:r w:rsidR="009B1B5A">
        <w:t>were told not to seek medical aid unless absolutely necessary</w:t>
      </w:r>
      <w:r w:rsidR="00A1134C">
        <w:t>.</w:t>
      </w:r>
      <w:r w:rsidR="009B1B5A">
        <w:fldChar w:fldCharType="begin" w:fldLock="1"/>
      </w:r>
      <w:r w:rsidR="009B1B5A">
        <w:instrText>ADDIN CSL_CITATION {"citationItems":[{"id":"ITEM-1","itemData":{"DOI":"10.1016/j.jpeds.2020.07.048","ISSN":"10976833","PMID":"32702427","abstract":"We conducted a descriptive time-series study of pediatric emergency healthcare use during the onset of severe acute respiratory syndrome coronavirus 2 pandemic after a state-wide stay-at-home order. Our study demonstrated decreased volume, increased acuity, and generally consistent chief complaints compared with the prior 3 years (2017 through 2019). Ingestions became a significantly more common chief complaint in 2020.","author":[{"dropping-particle":"","family":"Chaiyachati","given":"Barbara H.","non-dropping-particle":"","parse-names":false,"suffix":""},{"dropping-particle":"","family":"Agawu","given":"Atu","non-dropping-particle":"","parse-names":false,"suffix":""},{"dropping-particle":"","family":"Zorc","given":"Joseph J.","non-dropping-particle":"","parse-names":false,"suffix":""},{"dropping-particle":"","family":"Balamuth","given":"Fran","non-dropping-particle":"","parse-names":false,"suffix":""}],"container-title":"Journal of Pediatrics","id":"ITEM-1","issued":{"date-parts":[["2020"]]},"page":"274-277.e1","publisher":"Elsevier Inc","title":"Trends in Pediatric Emergency Department Utilization after Institution of Coronavirus Disease-19 Mandatory Social Distancing","type":"article-journal","volume":"226"},"uris":["http://www.mendeley.com/documents/?uuid=670680e8-eed5-42b8-bb3b-dea3afa67bfd"]},{"id":"ITEM-2","itemData":{"DOI":"10.24095/hpcdp.40.11/12.02","ISSN":"2368-738X","abstract":"INTRODUCTION: Research has shown that during the 2003 SARS pandemic, emergency  department (ED) visits among the pediatric population decreased. We set out to investigate if this was also true for injury-related ED visits during the COVID-19 pandemic. METHODS: Using data from the Canadian Hospitals Injury Reporting and Prevention Program (CHIRPP), we looked at 28 years of injury-related ED visits at the Montreal Children's Hospital, a provincially designated Pediatric Trauma Centre. We compared data from a two-month period during the COVID-19 lockdown (16 March to 15 May) to the same period in previous years (1993-2019) to determine whether the 2020 decrease in ED visit numbers was unprecedented (i.e. a similar decrease had never occurred) for different age groups, nature of injuries, mechanisms and severity. RESULTS: The 2020 decrease was unprecedented across all age groups between 1993 and 2019. When compared with the 2015 to 2019 average, the decrease was smallest in children aged 2 to 5 years (a 35% decrease), and greatest in the group aged 12 to 17 years (83%). Motor vehicle collisions and sports-related injuries practically vanished during the COVID-19 lockdown. Surprisingly, more children aged 6 to 17 years presented with less urgent injuries during the COVID-19 lockdown than in previous years. CONCLUSION: As was the case with SARS in 2003, COVID-19 acted as a deterrent for pediatric ED visits. The lockdown in particular had a profound impact on injury-related visits. The de-confinement period will be monitored to determine the impact in both the short and the long term.","author":[{"dropping-particle":"","family":"Keays","given":"Glenn","non-dropping-particle":"","parse-names":false,"suffix":""},{"dropping-particle":"","family":"Freeman","given":"Debbie","non-dropping-particle":"","parse-names":false,"suffix":""},{"dropping-particle":"","family":"Gagnon","given":"Isabelle","non-dropping-particle":"","parse-names":false,"suffix":""}],"container-title":"Health Promotion and Chronic Disease Prevention in Canada","id":"ITEM-2","issue":"11/12","issued":{"date-parts":[["2020"]]},"page":"336-341","title":"Injuries in the time of COVID-19","type":"article-journal","volume":"40"},"uris":["http://www.mendeley.com/documents/?uuid=f89bf447-562d-462e-9843-e381c6d6de8f"]},{"id":"ITEM-3","itemData":{"DOI":"10.3390/ijerph17186719","ISSN":"16604601","PMID":"32942698","abstract":"This study outlines the impact of COVID-19 on paediatric emergency department (ED) utilisation and assesses the extent of healthcare avoidance during each stage of the public health response strategy. Records from five EDs and one urgent care centre in Ireland, representing approximately 48% of national annual public paediatric ED attendances, are analysed to determine changes in characteristics of attendance during the three month period following the first reported COVID-19 case in Ireland, with reference to specific national public health stages. ED attendance reduced by 27–62% across all categories of diagnosis in the Delay phase and remained significantly below prior year levels as the country began Phase One of Reopening, with an incident rate ratio (IRR) of 0.58. The decrease was predominantly attributable to reduced attendance for injury and viral/viral induced conditions resulting from changed living conditions imposed by the public health response. However, attendance for complex chronic conditions also reduced and had yet to return to pre-COVID levels as reopening began. Attendances referred by general practitioners (GPs) dropped by 13 percentage points in the Delay phase and remained at that level. While changes in living conditions explain much of the decrease in overall attendance and in GP referrals, reduced attendance for complex chronic conditions may indicate avoidance behaviour and continued surveillance is necessary.","author":[{"dropping-particle":"","family":"McDonnell","given":"Thérèse","non-dropping-particle":"","parse-names":false,"suffix":""},{"dropping-particle":"","family":"Nicholson","given":"Emma","non-dropping-particle":"","parse-names":false,"suffix":""},{"dropping-particle":"","family":"Conlon","given":"Ciara","non-dropping-particle":"","parse-names":false,"suffix":""},{"dropping-particle":"","family":"Barrett","given":"Michael","non-dropping-particle":"","parse-names":false,"suffix":""},{"dropping-particle":"","family":"Cummins","given":"Fergal","non-dropping-particle":"","parse-names":false,"suffix":""},{"dropping-particle":"","family":"Hensey","given":"Conor","non-dropping-particle":"","parse-names":false,"suffix":""},{"dropping-particle":"","family":"McAuliffe","given":"Eilish","non-dropping-particle":"","parse-names":false,"suffix":""}],"container-title":"International Journal of Environmental Research and Public Health","id":"ITEM-3","issue":"18","issued":{"date-parts":[["2020"]]},"page":"1-25","title":"Assessing the impact of COVID-19 public health stages on paediatric emergency attendance","type":"article-journal","volume":"17"},"uris":["http://www.mendeley.com/documents/?uuid=e66acccc-4bab-48a6-a947-37c82a9b8b4d"]}],"mendeley":{"formattedCitation":"[1–3]","plainTextFormattedCitation":"[1–3]","previouslyFormattedCitation":"[1–3]"},"properties":{"noteIndex":0},"schema":"https://github.com/citation-style-language/schema/raw/master/csl-citation.json"}</w:instrText>
      </w:r>
      <w:r w:rsidR="009B1B5A">
        <w:fldChar w:fldCharType="separate"/>
      </w:r>
      <w:r w:rsidR="009B1B5A" w:rsidRPr="009B1B5A">
        <w:rPr>
          <w:noProof/>
        </w:rPr>
        <w:t>[1–3]</w:t>
      </w:r>
      <w:r w:rsidR="009B1B5A">
        <w:fldChar w:fldCharType="end"/>
      </w:r>
      <w:r w:rsidR="009B1B5A">
        <w:t xml:space="preserve"> </w:t>
      </w:r>
      <w:bookmarkStart w:id="4" w:name="_Hlk64988102"/>
      <w:r w:rsidR="009B1B5A">
        <w:t xml:space="preserve">However, </w:t>
      </w:r>
      <w:r w:rsidR="00D52C92">
        <w:t xml:space="preserve">children continued to attend </w:t>
      </w:r>
      <w:r w:rsidR="00566014">
        <w:t>Alder Hey</w:t>
      </w:r>
      <w:r w:rsidR="00D52C92">
        <w:t xml:space="preserve"> for dog bites</w:t>
      </w:r>
      <w:r w:rsidR="00B04FE6">
        <w:t>, with no clear decrease in attendance</w:t>
      </w:r>
      <w:r w:rsidR="00D52C92">
        <w:t xml:space="preserve">, despite </w:t>
      </w:r>
      <w:r w:rsidR="00B04FE6">
        <w:t>overall</w:t>
      </w:r>
      <w:r w:rsidR="00D52C92">
        <w:t xml:space="preserve"> attendance</w:t>
      </w:r>
      <w:r w:rsidR="00B04FE6">
        <w:t xml:space="preserve"> numbers dramatically</w:t>
      </w:r>
      <w:r w:rsidR="00D52C92">
        <w:t xml:space="preserve"> decreasing</w:t>
      </w:r>
      <w:bookmarkEnd w:id="4"/>
      <w:r w:rsidR="00F51DEA">
        <w:t xml:space="preserve"> (Fig 1)</w:t>
      </w:r>
      <w:r w:rsidR="00D52C92">
        <w:t xml:space="preserve">. </w:t>
      </w:r>
      <w:r w:rsidR="00DF5AA8" w:rsidDel="00DF5AA8">
        <w:t xml:space="preserve"> </w:t>
      </w:r>
    </w:p>
    <w:p w14:paraId="2D2DDC0B" w14:textId="3E0C2E75" w:rsidR="00B52056" w:rsidRDefault="00DD31AE" w:rsidP="00AE4AF6">
      <w:pPr>
        <w:spacing w:line="360" w:lineRule="auto"/>
        <w:jc w:val="both"/>
      </w:pPr>
      <w:r>
        <w:t>Dog</w:t>
      </w:r>
      <w:r w:rsidR="00636D81">
        <w:t xml:space="preserve"> bites</w:t>
      </w:r>
      <w:r w:rsidR="00F51DEA">
        <w:t xml:space="preserve"> numbers</w:t>
      </w:r>
      <w:r w:rsidR="00636D81">
        <w:t xml:space="preserve"> did not dramatically increase until May, over a month into the lockdown period. </w:t>
      </w:r>
      <w:r w:rsidR="00D52C92">
        <w:t>The</w:t>
      </w:r>
      <w:r w:rsidR="00852E85">
        <w:t xml:space="preserve"> initial</w:t>
      </w:r>
      <w:r w:rsidR="00D52C92">
        <w:t xml:space="preserve"> stable level of dog bites </w:t>
      </w:r>
      <w:r w:rsidR="00852E85">
        <w:t>during lockdown</w:t>
      </w:r>
      <w:r w:rsidR="00D52C92">
        <w:t xml:space="preserve"> was unexpected </w:t>
      </w:r>
      <w:r w:rsidR="00700A72">
        <w:t xml:space="preserve">given </w:t>
      </w:r>
      <w:r w:rsidR="00D52C92">
        <w:t>another study reported a rapid increase in dog bite attendance as soon as their lockdown began</w:t>
      </w:r>
      <w:r w:rsidR="00A1134C">
        <w:t>.</w:t>
      </w:r>
      <w:r w:rsidR="00D52C92">
        <w:fldChar w:fldCharType="begin" w:fldLock="1"/>
      </w:r>
      <w:r w:rsidR="00226C89">
        <w:instrText>ADDIN CSL_CITATION {"citationItems":[{"id":"ITEM-1","itemData":{"DOI":"10.1016/j.jpeds.2020.06.071","ISSN":"10976833","PMID":"32593686","author":[{"dropping-particle":"","family":"Dixon","given":"Cinnamon A.","non-dropping-particle":"","parse-names":false,"suffix":""},{"dropping-particle":"","family":"Mistry","given":"Rakesh D.","non-dropping-particle":"","parse-names":false,"suffix":""}],"container-title":"Journal of Pediatrics","id":"ITEM-1","issued":{"date-parts":[["2020"]]},"page":"231-232","publisher":"Elsevier Inc","title":"Dog Bites in Children Surge during Coronavirus Disease-2019: A Case for Enhanced Prevention","type":"article-journal","volume":"225"},"uris":["http://www.mendeley.com/documents/?uuid=c4ea7253-9de8-4249-9ba5-a77afe36bc4c"]}],"mendeley":{"formattedCitation":"[20]","plainTextFormattedCitation":"[20]","previouslyFormattedCitation":"[20]"},"properties":{"noteIndex":0},"schema":"https://github.com/citation-style-language/schema/raw/master/csl-citation.json"}</w:instrText>
      </w:r>
      <w:r w:rsidR="00D52C92">
        <w:fldChar w:fldCharType="separate"/>
      </w:r>
      <w:r w:rsidR="00F91EB6" w:rsidRPr="00F91EB6">
        <w:rPr>
          <w:noProof/>
        </w:rPr>
        <w:t>[20]</w:t>
      </w:r>
      <w:r w:rsidR="00D52C92">
        <w:fldChar w:fldCharType="end"/>
      </w:r>
      <w:r w:rsidR="00D52C92">
        <w:t xml:space="preserve"> </w:t>
      </w:r>
      <w:r w:rsidR="00B14CF8">
        <w:t>During th</w:t>
      </w:r>
      <w:r w:rsidR="00B975A0">
        <w:t>e</w:t>
      </w:r>
      <w:r w:rsidR="00B14CF8">
        <w:t xml:space="preserve"> </w:t>
      </w:r>
      <w:r w:rsidR="00B975A0">
        <w:t xml:space="preserve">initial </w:t>
      </w:r>
      <w:r w:rsidR="00B14CF8">
        <w:t>period</w:t>
      </w:r>
      <w:r w:rsidR="00636D81">
        <w:t>,</w:t>
      </w:r>
      <w:r w:rsidR="00B14CF8">
        <w:t xml:space="preserve"> life satisfaction and happiness in adults declined, with anxiety levels raised</w:t>
      </w:r>
      <w:r w:rsidR="00A1134C">
        <w:t>.</w:t>
      </w:r>
      <w:r w:rsidR="00B14CF8">
        <w:fldChar w:fldCharType="begin" w:fldLock="1"/>
      </w:r>
      <w:r w:rsidR="00166D3D">
        <w:instrText>ADDIN CSL_CITATION {"citationItems":[{"id":"ITEM-1","itemData":{"URL":"https://www.ons.gov.uk/peoplepopulationandcommunity/healthandsocialcare/healthandwellbeing/bulletins/coronavirusandthesocialimpactsongreatbritain/8january2021","accessed":{"date-parts":[["2021","1","9"]]},"author":[{"dropping-particle":"","family":"Office for National Statistics","given":"","non-dropping-particle":"","parse-names":false,"suffix":""}],"id":"ITEM-1","issued":{"date-parts":[["2021"]]},"title":"Coronavirus and the social impacts on Great Britain: 8 January 2021","type":"webpage"},"uris":["http://www.mendeley.com/documents/?uuid=bd24976b-02a5-42ab-bb9a-02e37b9274fc"]}],"mendeley":{"formattedCitation":"[28]","plainTextFormattedCitation":"[28]","previouslyFormattedCitation":"[28]"},"properties":{"noteIndex":0},"schema":"https://github.com/citation-style-language/schema/raw/master/csl-citation.json"}</w:instrText>
      </w:r>
      <w:r w:rsidR="00B14CF8">
        <w:fldChar w:fldCharType="separate"/>
      </w:r>
      <w:r w:rsidR="00226C89" w:rsidRPr="00226C89">
        <w:rPr>
          <w:noProof/>
        </w:rPr>
        <w:t>[28]</w:t>
      </w:r>
      <w:r w:rsidR="00B14CF8">
        <w:fldChar w:fldCharType="end"/>
      </w:r>
      <w:r w:rsidR="00B14CF8">
        <w:t xml:space="preserve"> Rates of self-harm and domestic violence also rose</w:t>
      </w:r>
      <w:r w:rsidR="00A1134C">
        <w:t>.</w:t>
      </w:r>
      <w:r w:rsidR="00B14CF8">
        <w:fldChar w:fldCharType="begin" w:fldLock="1"/>
      </w:r>
      <w:r w:rsidR="00166D3D">
        <w:instrText>ADDIN CSL_CITATION {"citationItems":[{"id":"ITEM-1","itemData":{"DOI":"10.1016/j.surge.2020.07.004","ISSN":"1479666X","abstract":"Introduction: The restrictions imposed on social activity in response to the Covid-19 pandemic have had a profound impact globally. In the UK, the NHS was placed on a war-footing, with elective surgery, face-to-face outpatient clinics, and community care facilities all scaled back as a temporary measure to redistribute scarce resources. There has been concern during this period over increasing levels of violence in the domestic setting, as well as self-harm. Methods: Data was collected on all patients presenting with traumatic penetrating injuries during the ‘lockdown’ period of 23rd March to 29th April 2020. Demographics and injury details were compared with the same period in the two preceding years. Results: Overall trauma fell by 35% compared with the previous year. Over one in four penetrating injuries seen were a result of self-harm, which was significantly higher than in previous years (11% in 2019, 2% in 2018). There were two cases of injuries due to domestic violence, while a total of 4 cases of injury arose in separate violent domestic incidents. Self-harm commonly involved penetrating injury to the neck. Discussion: Our centre has seen an increase in the proportion of penetrating injuries as a result of both self-harm and violence in the domestic setting. The number of penetrating neck injury cases, which can represent suicidal intent or a major presentation of psychiatric illness, is of particular concern. We must further investigate the effect of social restrictions on violent injury, and how home confinement may influence a changing demographic picture of victims.","author":[{"dropping-particle":"","family":"Olding","given":"James","non-dropping-particle":"","parse-names":false,"suffix":""},{"dropping-particle":"","family":"Zisman","given":"Sophia","non-dropping-particle":"","parse-names":false,"suffix":""},{"dropping-particle":"","family":"Olding","given":"Carole","non-dropping-particle":"","parse-names":false,"suffix":""},{"dropping-particle":"","family":"Fan","given":"Kathleen","non-dropping-particle":"","parse-names":false,"suffix":""}],"container-title":"Surgeon","id":"ITEM-1","issued":{"date-parts":[["2020"]]},"page":"337-339","title":"Penetrating trauma during a global pandemic: Changing patterns in interpersonal violence, self-harm and domestic violence in the Covid-19 outbreak","type":"article-journal","volume":"14(4)"},"uris":["http://www.mendeley.com/documents/?uuid=839c1a9e-76cb-48eb-baca-4b2cb6cfd882"]},{"id":"ITEM-2","itemData":{"DOI":"10.1192/bjp.2020.130","ISSN":"14721465","PMID":"32654678","abstract":"This study explored patterns of abuse, self-harm and thoughts of suicide/self-harm in the UK during the first month of the COVID-19 pandemic using data from the COVID-19 Social Study (n=44 775), a non-probability sample weighted to population proportions. The reported frequency of abuse, self-harm and thoughts of suicide/self-harm was higher among women, Black, Asian and minority ethnic (BAME) groups and people experiencing socioeconomic disadvantage, unemployment, disability, chronic physical illnesses, mental disorders and COVID-19 diagnosis. Psychiatric medications were the most common type of support being used, but fewer than half of those affected were accessing formal or informal support.","author":[{"dropping-particle":"","family":"Iob","given":"Eleonora","non-dropping-particle":"","parse-names":false,"suffix":""},{"dropping-particle":"","family":"Steptoe","given":"Andrew","non-dropping-particle":"","parse-names":false,"suffix":""},{"dropping-particle":"","family":"Fancourt","given":"Daisy","non-dropping-particle":"","parse-names":false,"suffix":""}],"container-title":"British Journal of Psychiatry","id":"ITEM-2","issue":"4","issued":{"date-parts":[["2020"]]},"page":"543-546","title":"Abuse, self-harm and suicidal ideation in the UK during the COVID-19 pandemic","type":"article-journal","volume":"217"},"uris":["http://www.mendeley.com/documents/?uuid=80af4c7b-bf5b-4dd7-8f90-9b41fc8c4ee6"]}],"mendeley":{"formattedCitation":"[29,30]","plainTextFormattedCitation":"[29,30]","previouslyFormattedCitation":"[29,30]"},"properties":{"noteIndex":0},"schema":"https://github.com/citation-style-language/schema/raw/master/csl-citation.json"}</w:instrText>
      </w:r>
      <w:r w:rsidR="00B14CF8">
        <w:fldChar w:fldCharType="separate"/>
      </w:r>
      <w:r w:rsidR="00226C89" w:rsidRPr="00226C89">
        <w:rPr>
          <w:noProof/>
        </w:rPr>
        <w:t>[29,30]</w:t>
      </w:r>
      <w:r w:rsidR="00B14CF8">
        <w:fldChar w:fldCharType="end"/>
      </w:r>
      <w:r w:rsidR="00B14CF8">
        <w:t xml:space="preserve"> These studies highlight that in some households the normal emotional palette had been disrupted, and this could feasibly include dogs, who are viewed as family members.</w:t>
      </w:r>
      <w:r w:rsidR="008F35FA">
        <w:t xml:space="preserve"> </w:t>
      </w:r>
      <w:r w:rsidR="00283CE6">
        <w:t>Dogs</w:t>
      </w:r>
      <w:r w:rsidR="00313012">
        <w:t>’</w:t>
      </w:r>
      <w:r w:rsidR="00283CE6">
        <w:t xml:space="preserve"> routines </w:t>
      </w:r>
      <w:r w:rsidR="00B14CF8">
        <w:t xml:space="preserve">also changed drastically </w:t>
      </w:r>
      <w:r w:rsidR="00283CE6">
        <w:t>during the first lockdown with 80% spending more time with children, and</w:t>
      </w:r>
      <w:r w:rsidR="00566014">
        <w:t xml:space="preserve"> having</w:t>
      </w:r>
      <w:r w:rsidR="00283CE6">
        <w:t xml:space="preserve"> less socialisation with other dogs</w:t>
      </w:r>
      <w:r w:rsidR="00636D81">
        <w:t xml:space="preserve"> and less exercise</w:t>
      </w:r>
      <w:r w:rsidR="00A1134C">
        <w:t>.</w:t>
      </w:r>
      <w:r w:rsidR="00283CE6">
        <w:rPr>
          <w:rFonts w:ascii="Interface Regular" w:hAnsi="Interface Regular"/>
          <w:lang w:val="en"/>
        </w:rPr>
        <w:fldChar w:fldCharType="begin" w:fldLock="1"/>
      </w:r>
      <w:r w:rsidR="00166D3D">
        <w:rPr>
          <w:rFonts w:ascii="Interface Regular" w:hAnsi="Interface Regular"/>
          <w:lang w:val="en"/>
        </w:rPr>
        <w:instrText>ADDIN CSL_CITATION {"citationItems":[{"id":"ITEM-1","itemData":{"abstract":"Initial COVID-19 lockdown restrictions in the United Kingdom (23 March</w:instrText>
      </w:r>
      <w:r w:rsidR="00166D3D">
        <w:rPr>
          <w:rFonts w:ascii="Interface Regular" w:hAnsi="Interface Regular" w:hint="eastAsia"/>
          <w:lang w:val="en"/>
        </w:rPr>
        <w:instrText>–</w:instrText>
      </w:r>
      <w:r w:rsidR="00166D3D">
        <w:rPr>
          <w:rFonts w:ascii="Interface Regular" w:hAnsi="Interface Regular"/>
          <w:lang w:val="en"/>
        </w:rPr>
        <w:instrText>12 May 2020) prompted lifestyle changes for many people. We explored the impact of this lockdown phase on pet dogs using an online survey completed by 6004 dog owners, who provided information including dog management data for the 7 days prior to survey completion (4</w:instrText>
      </w:r>
      <w:r w:rsidR="00166D3D">
        <w:rPr>
          <w:rFonts w:ascii="Interface Regular" w:hAnsi="Interface Regular" w:hint="eastAsia"/>
          <w:lang w:val="en"/>
        </w:rPr>
        <w:instrText>–</w:instrText>
      </w:r>
      <w:r w:rsidR="00166D3D">
        <w:rPr>
          <w:rFonts w:ascii="Interface Regular" w:hAnsi="Interface Regular"/>
          <w:lang w:val="en"/>
        </w:rPr>
        <w:instrText>12 May 2020), and for February 2020 (pre-lockdown). We explored associations between potential predictors and four outcomes relating to changes pre-/during lockdown (reduction in number and duration of walks; increased frequency of play/training, and provision of toys). Most owners (79.5%) reported their dog</w:instrText>
      </w:r>
      <w:r w:rsidR="00166D3D">
        <w:rPr>
          <w:rFonts w:ascii="Interface Regular" w:hAnsi="Interface Regular" w:hint="eastAsia"/>
          <w:lang w:val="en"/>
        </w:rPr>
        <w:instrText>’</w:instrText>
      </w:r>
      <w:r w:rsidR="00166D3D">
        <w:rPr>
          <w:rFonts w:ascii="Interface Regular" w:hAnsi="Interface Regular"/>
          <w:lang w:val="en"/>
        </w:rPr>
        <w:instrText>s routine had changed compared to pre-lockdown. There was a four-fold increase in the proportion not left alone for &gt;5 min on any day during a weekly period (14.6% pre-lockdown, 58.0% during lockdown), with the proportion being left for 3 h at a time decreasing from 48.5% to 5.4%. Dogs were walked less often and for less time daily during lockdown, with factors related to the dog, owner, household, and home location associated with changes to walking practices. Many dogs had more play/training sessions and were given toys more frequently during lockdown. Decreased walk duration was associated with increased odds of play/training opportunities and toy provision. These changes to dog management have the potential for immediate and longer-term welfare problems.","author":[{"dropping-particle":"","family":"Christley","given":"Robert M","non-dropping-particle":"","parse-names":false,"suffix":""},{"dropping-particle":"","family":"Murray","given":"Jane K","non-dropping-particle":"","parse-names":false,"suffix":""},{"dropping-particle":"","family":"Anderson","given":"Katharine L","non-dropping-particle":"","parse-names":false,"suffix":""},{"dropping-particle":"","family":"Buckland","given":"Emma L","non-dropping-particle":"","parse-names":false,"suffix":""},{"dropping-particle":"","family":"Casey","given":"Rachel A","non-dropping-particle":"","parse-names":false,"suffix":""},{"dropping-particle":"","family":"Harvey","given":"Naomi D","non-dropping-particle":"","parse-names":false,"suffix":""},{"dropping-particle":"","family":"Harris","given":"Lauren","non-dropping-particle":"","parse-names":false,"suffix":""},{"dropping-particle":"","family":"Holland","given":"Katrina E","non-dropping-particle":"","parse-names":false,"suffix":""},{"dropping-particle":"","family":"Mcmillan","given":"Kirsten M","non-dropping-particle":"","parse-names":false,"suffix":""},{"dropping-particle":"","family":"Mead","given":"Rebecca","non-dropping-particle":"","parse-names":false,"suffix":""},{"dropping-particle":"","family":"Owczarczak-garstecka","given":"Sara C","non-dropping-particle":"","parse-names":false,"suffix":""},{"dropping-particle":"","family":"Upjohn","given":"Melissa M","non-dropping-particle":"","parse-names":false,"suffix":""}],"id":"ITEM-1","issued":{"date-parts":[["2021"]]},"title":"Impact of the First COVID-19 Lockdown on Management of Pet Dogs in the UK","type":"article-journal"},"uris":["http://www.mendeley.com/documents/?uuid=d7499679-c7b6-461c-868b-0adef9760e73"]}],"mendeley":{"formattedCitation":"[31]","plainTextFormattedCitation":"[31]","previouslyFormattedCitation":"[31]"},"properties":{"noteIndex":0},"schema":"https://github.com/citation-style-language/schema/raw/master/csl-citation.json"}</w:instrText>
      </w:r>
      <w:r w:rsidR="00283CE6">
        <w:rPr>
          <w:rFonts w:ascii="Interface Regular" w:hAnsi="Interface Regular"/>
          <w:lang w:val="en"/>
        </w:rPr>
        <w:fldChar w:fldCharType="separate"/>
      </w:r>
      <w:r w:rsidR="00226C89" w:rsidRPr="00226C89">
        <w:rPr>
          <w:rFonts w:ascii="Interface Regular" w:hAnsi="Interface Regular"/>
          <w:noProof/>
          <w:lang w:val="en"/>
        </w:rPr>
        <w:t>[31]</w:t>
      </w:r>
      <w:r w:rsidR="00283CE6">
        <w:rPr>
          <w:rFonts w:ascii="Interface Regular" w:hAnsi="Interface Regular"/>
          <w:lang w:val="en"/>
        </w:rPr>
        <w:fldChar w:fldCharType="end"/>
      </w:r>
      <w:r w:rsidR="00283CE6">
        <w:rPr>
          <w:rFonts w:ascii="Interface Regular" w:hAnsi="Interface Regular"/>
          <w:lang w:val="en"/>
        </w:rPr>
        <w:t xml:space="preserve"> Dog owners </w:t>
      </w:r>
      <w:r w:rsidR="00074CB7">
        <w:rPr>
          <w:rFonts w:ascii="Interface Regular" w:hAnsi="Interface Regular"/>
          <w:lang w:val="en"/>
        </w:rPr>
        <w:t xml:space="preserve">reported behavioural changes </w:t>
      </w:r>
      <w:r w:rsidR="00283CE6">
        <w:rPr>
          <w:rFonts w:ascii="Interface Regular" w:hAnsi="Interface Regular"/>
          <w:lang w:val="en"/>
        </w:rPr>
        <w:t>in their dogs</w:t>
      </w:r>
      <w:r w:rsidR="00074CB7">
        <w:rPr>
          <w:rFonts w:ascii="Interface Regular" w:hAnsi="Interface Regular"/>
          <w:lang w:val="en"/>
        </w:rPr>
        <w:t xml:space="preserve"> </w:t>
      </w:r>
      <w:r w:rsidR="00283CE6">
        <w:rPr>
          <w:rFonts w:ascii="Interface Regular" w:hAnsi="Interface Regular"/>
          <w:lang w:val="en"/>
        </w:rPr>
        <w:t>and many reported a hesitancy to walk their dog due to COVID-19 infection risks</w:t>
      </w:r>
      <w:r w:rsidR="00A1134C">
        <w:rPr>
          <w:rFonts w:ascii="Interface Regular" w:hAnsi="Interface Regular"/>
          <w:lang w:val="en"/>
        </w:rPr>
        <w:t>.</w:t>
      </w:r>
      <w:r w:rsidR="00283CE6">
        <w:rPr>
          <w:rFonts w:ascii="Interface Regular" w:hAnsi="Interface Regular"/>
          <w:lang w:val="en"/>
        </w:rPr>
        <w:fldChar w:fldCharType="begin" w:fldLock="1"/>
      </w:r>
      <w:r w:rsidR="00166D3D">
        <w:rPr>
          <w:rFonts w:ascii="Interface Regular" w:hAnsi="Interface Regular"/>
          <w:lang w:val="en"/>
        </w:rPr>
        <w:instrText>ADDIN CSL_CITATION {"citationItems":[{"id":"ITEM-1","itemData":{"DOI":"10.3390/ani10101882","ISSN":"20762615","abstract":"Pets may be a positive presence for their owners during the Coronavirus Disease 2019 (COVID-19) pandemic. However, it is pertinent to identify the hardships associated with pet ownership. We conducted a large-scale survey of U.S. pet owners (n = 2254) in spring and summer 2020 to assess the ways that relationships with pets impacted life during COVID-19. We used thematic analysis to analyze 3671 open-ended responses to three prompts. Reported concerns fell into three major categories: (1) pet-focused (meeting needs of pets; procuring supplies; accessing veterinary care; new and emerging behavioral issues; fate of the pet if owner becomes ill; general safety and well-being), (2) human-focused (issues with working from home; well-being and mental health; balancing responsibilities), and (3) household-focused (disease spread; economic issues). Quantitative analyses showed that the owner</w:instrText>
      </w:r>
      <w:r w:rsidR="00166D3D">
        <w:rPr>
          <w:rFonts w:ascii="Interface Regular" w:hAnsi="Interface Regular" w:hint="eastAsia"/>
          <w:lang w:val="en"/>
        </w:rPr>
        <w:instrText>’</w:instrText>
      </w:r>
      <w:r w:rsidR="00166D3D">
        <w:rPr>
          <w:rFonts w:ascii="Interface Regular" w:hAnsi="Interface Regular"/>
          <w:lang w:val="en"/>
        </w:rPr>
        <w:instrText>s strength of attachment to their pet, economic resources, and relationship status were associated with the types of concerns expressed. Results from this study indicate that pet owners experienced unique hardships related to changes in everyday life from the COVID-19 pandemic. These hardships should be considered alongside the potential benefits found in other studies in order to manage pet owner expectations, prevent pet relinquishment, and more fully understand multifaceted human-companion animal relationships.","author":[{"dropping-particle":"","family":"Applebaum","given":"Jennifer W.","non-dropping-particle":"","parse-names":false,"suffix":""},{"dropping-particle":"","family":"Tomlinson","given":"Camie A.","non-dropping-particle":"","parse-names":false,"suffix":""},{"dropping-particle":"","family":"Matijczak","given":"Angela","non-dropping-particle":"","parse-names":false,"suffix":""},{"dropping-particle":"","family":"McDonald","given":"Shelby E.","non-dropping-particle":"","parse-names":false,"suffix":""},{"dropping-particle":"","family":"Zsembik","given":"Barbara A.","non-dropping-particle":"","parse-names":false,"suffix":""}],"container-title":"Animals","id":"ITEM-1","issue":"10","issued":{"date-parts":[["2020"]]},"page":"1-14","title":"The concerns, difficulties, and stressors of caring for pets during covid-19: Results from a large survey of U.S. pet owners","type":"article-journal","volume":"10"},"uris":["http://www.mendeley.com/documents/?uuid=4505f87b-18ea-4ef4-b68f-fd6e6cf29e6e"]}],"mendeley":{"formattedCitation":"[32]","plainTextFormattedCitation":"[32]","previouslyFormattedCitation":"[32]"},"properties":{"noteIndex":0},"schema":"https://github.com/citation-style-language/schema/raw/master/csl-citation.json"}</w:instrText>
      </w:r>
      <w:r w:rsidR="00283CE6">
        <w:rPr>
          <w:rFonts w:ascii="Interface Regular" w:hAnsi="Interface Regular"/>
          <w:lang w:val="en"/>
        </w:rPr>
        <w:fldChar w:fldCharType="separate"/>
      </w:r>
      <w:r w:rsidR="00226C89" w:rsidRPr="00226C89">
        <w:rPr>
          <w:rFonts w:ascii="Interface Regular" w:hAnsi="Interface Regular"/>
          <w:noProof/>
          <w:lang w:val="en"/>
        </w:rPr>
        <w:t>[32]</w:t>
      </w:r>
      <w:r w:rsidR="00283CE6">
        <w:rPr>
          <w:rFonts w:ascii="Interface Regular" w:hAnsi="Interface Regular"/>
          <w:lang w:val="en"/>
        </w:rPr>
        <w:fldChar w:fldCharType="end"/>
      </w:r>
      <w:r w:rsidR="00283CE6">
        <w:rPr>
          <w:rFonts w:ascii="Interface Regular" w:hAnsi="Interface Regular"/>
          <w:lang w:val="en"/>
        </w:rPr>
        <w:t xml:space="preserve"> </w:t>
      </w:r>
      <w:r w:rsidR="00B975A0">
        <w:t xml:space="preserve">The observed time lag in attendances for bites may be due to a lag in household risk or a lag in attending hospitals. </w:t>
      </w:r>
    </w:p>
    <w:p w14:paraId="3051BAF9" w14:textId="41E677AF" w:rsidR="00FC5A97" w:rsidRPr="00566014" w:rsidRDefault="00FC5A97" w:rsidP="00317EAA">
      <w:pPr>
        <w:spacing w:line="360" w:lineRule="auto"/>
        <w:jc w:val="both"/>
      </w:pPr>
      <w:r>
        <w:lastRenderedPageBreak/>
        <w:t>Bite risk may not have increased immediately due to a range of reasons.</w:t>
      </w:r>
      <w:r w:rsidR="00317EAA" w:rsidRPr="00317EAA">
        <w:t xml:space="preserve"> It may have taken some time for dogs to exceed their tolerance </w:t>
      </w:r>
      <w:r w:rsidR="00D64996">
        <w:t>threshold</w:t>
      </w:r>
      <w:r w:rsidR="00317EAA" w:rsidRPr="00317EAA">
        <w:t xml:space="preserve"> for behaviours directed towards them, </w:t>
      </w:r>
      <w:r w:rsidR="00D64996">
        <w:t>and/</w:t>
      </w:r>
      <w:r w:rsidR="00317EAA" w:rsidRPr="00317EAA">
        <w:t>or due to the accumulative effect of separate triggering experiences</w:t>
      </w:r>
      <w:r w:rsidR="00317EAA">
        <w:t>,</w:t>
      </w:r>
      <w:r w:rsidR="00317EAA">
        <w:fldChar w:fldCharType="begin" w:fldLock="1"/>
      </w:r>
      <w:r w:rsidR="00317EAA">
        <w:instrText>ADDIN CSL_CITATION {"citationItems":[{"id":"ITEM-1","itemData":{"ISBN":"9781118458792","author":[{"dropping-particle":"","family":"Mills","given":"Daniel S.","non-dropping-particle":"","parse-names":false,"suffix":""},{"dropping-particle":"","family":"Braem Dube","given":"Maya","non-dropping-particle":"","parse-names":false,"suffix":""},{"dropping-particle":"","family":"Zulch","given":"Helen","non-dropping-particle":"","parse-names":false,"suffix":""}],"id":"ITEM-1","issued":{"date-parts":[["2013"]]},"publisher":"Wiley Blackwell","publisher-place":"Chichester","title":"Stress and pheromonatherapy in small animal clinical behaviour","type":"book"},"uris":["http://www.mendeley.com/documents/?uuid=862db571-28be-4f21-ad6f-7ddbf3318fd0"]}],"mendeley":{"formattedCitation":"[33]","plainTextFormattedCitation":"[33]","previouslyFormattedCitation":"[33]"},"properties":{"noteIndex":0},"schema":"https://github.com/citation-style-language/schema/raw/master/csl-citation.json"}</w:instrText>
      </w:r>
      <w:r w:rsidR="00317EAA">
        <w:fldChar w:fldCharType="separate"/>
      </w:r>
      <w:r w:rsidR="00317EAA" w:rsidRPr="00166D3D">
        <w:rPr>
          <w:noProof/>
        </w:rPr>
        <w:t>[33]</w:t>
      </w:r>
      <w:r w:rsidR="00317EAA">
        <w:fldChar w:fldCharType="end"/>
      </w:r>
      <w:r w:rsidR="00317EAA" w:rsidRPr="00317EAA">
        <w:t xml:space="preserve"> particularly where there was greater activity occurring within homes during lockdown.</w:t>
      </w:r>
      <w:r>
        <w:t xml:space="preserve"> Parental supervision of their children with dogs within the home is often limited</w:t>
      </w:r>
      <w:r w:rsidR="00166D3D">
        <w:t>,</w:t>
      </w:r>
      <w:r w:rsidR="00166D3D">
        <w:fldChar w:fldCharType="begin" w:fldLock="1"/>
      </w:r>
      <w:r w:rsidR="00166D3D">
        <w:instrText>ADDIN CSL_CITATION {"citationItems":[{"id":"ITEM-1","itemData":{"DOI":"10.1016/j.jveb.2016.06.007","ISSN":"15587878","abstract":"Dog bites suffered by young children are often inflicted by the family dog and preceded by an interaction. As poor supervision of child-dog interactions may be a key cause of these incidents, we set out to investigate dog owners' attitudes to supervision of everyday interactions of their children with the family dog and whether interactions with family dogs were judged differently than those with unfamiliar dogs. An online survey was conducted over a 4-month period. To take part, respondents had to live with a child (≤6 years) and to own a dog. The questionnaire contained sections about demographics (participant, child, dog), supervision and daily management of the child and dog, intervention in interactions, and awareness of risks of interactions (all scored on a scale from 1 to 6). Questions about intervention included 5 pictures of child-dog interactions which were chosen based on concordant expert ratings. Respondents' average level of tolerance of unsafe behaviors was in the middle of a scale from 1 to 6 (3.05, standard deviation [SD] 1.29), and their level of attentiveness they reported during supervision of child and dog was similar (mean 3.12, SD 1.47). Environmental control of interactions, in particular by giving the dog a resting place separated from the child, was reported on a low level (mean 2.83, SD 1.47). However, respondents rated the need for an intervention in child-dog interactions very differently than experts (U = −13.52, P &lt; 0.001): on average, participants agreed with experts on only 2 depicted situations involving the family dog and on 4 encounters with an unfamiliar dog. Overall, many dog owners need to improve their supervision of child-dog interactions. It is vital to educate caregivers about potentially unsafe behaviors and safety measures to use with the family dog.","author":[{"dropping-particle":"","family":"Arhant","given":"Christine","non-dropping-particle":"","parse-names":false,"suffix":""},{"dropping-particle":"","family":"Landenberger","given":"Ricarda","non-dropping-particle":"","parse-names":false,"suffix":""},{"dropping-particle":"","family":"Beetz","given":"Andrea","non-dropping-particle":"","parse-names":false,"suffix":""},{"dropping-particle":"","family":"Troxler","given":"Josef","non-dropping-particle":"","parse-names":false,"suffix":""}],"container-title":"Journal of Veterinary Behavior: Clinical Applications and Research","id":"ITEM-1","issued":{"date-parts":[["2016"]]},"page":"10-16","publisher":"Elsevier Inc","title":"Attitudes of caregivers to supervision of child–family dog interactions in children up to 6 years—An exploratory study","type":"article-journal","volume":"14"},"uris":["http://www.mendeley.com/documents/?uuid=cbd54035-c24f-4126-86e1-75f31e333e31"]}],"mendeley":{"formattedCitation":"[34]","plainTextFormattedCitation":"[34]","previouslyFormattedCitation":"[34]"},"properties":{"noteIndex":0},"schema":"https://github.com/citation-style-language/schema/raw/master/csl-citation.json"}</w:instrText>
      </w:r>
      <w:r w:rsidR="00166D3D">
        <w:fldChar w:fldCharType="separate"/>
      </w:r>
      <w:r w:rsidR="00166D3D" w:rsidRPr="00166D3D">
        <w:rPr>
          <w:noProof/>
        </w:rPr>
        <w:t>[34]</w:t>
      </w:r>
      <w:r w:rsidR="00166D3D">
        <w:fldChar w:fldCharType="end"/>
      </w:r>
      <w:r>
        <w:t xml:space="preserve"> and this may have been further impacted during lockdown with parents having to juggle multiple conflicting demands on their time. In lockdown there was also a fear of attending hospitals,</w:t>
      </w:r>
      <w:r w:rsidR="003505C7">
        <w:fldChar w:fldCharType="begin" w:fldLock="1"/>
      </w:r>
      <w:r w:rsidR="003505C7">
        <w:instrText>ADDIN CSL_CITATION {"citationItems":[{"id":"ITEM-1","itemData":{"DOI":"10.1017/dmp.2020.265","ISSN":"1938744X","abstract":"ObjectiveAn unprecedented wave of patients with acute respiratory failure due to severe acute respiratory syndrome coronavirus 2 (SARS-CoV-2) disease (COVID-19) hit Emergency Departments (EDs) in Lombardy, starting in the second half of February 2020. This study describes the direct and indirect impacts of the SARS-CoV-2 outbreak on an urban major-hospital ED.MethodsData regarding all patients diagnosed with COVID-19 presenting from February 1st to March 31st 2020 were prospectively collected, while data regarding non-COVID patients presenting within the same period were retrospectively retrieved.ResultsED attendance dropped by 37% in 2020. Two-thirds of this reduction occurred early after the identification of the first autochthonous COVID-19 case in Lombardy, before lockdown measures were enforced. Hospital admissions of non-COVID patients fell by 26%. During the peak of COVID-19 attendance, the ED faced an extraordinary increase in: patients needing oxygen (+239%) or NIV (+725%), transfers to the intensive care unit (+57%), and in-hospital mortality (+309%), as compared to the same period in 2019.ConclusionsThe COVID-19 outbreak determined an unprecedented upsurge in respiratory failure cases and mortality. Fear of contagion triggered a spontaneous, marked reduction of ED attendance, and, presumably, some as yet unknown quantity of missed or delayed diagnoses for conditions other than COVID-19.","author":[{"dropping-particle":"","family":"Franchini","given":"Stefano","non-dropping-particle":"","parse-names":false,"suffix":""},{"dropping-particle":"","family":"Spessot","given":"Marzia","non-dropping-particle":"","parse-names":false,"suffix":""},{"dropping-particle":"","family":"Landoni","given":"Giovanni","non-dropping-particle":"","parse-names":false,"suffix":""},{"dropping-particle":"","family":"Piani","given":"Cecilia","non-dropping-particle":"","parse-names":false,"suffix":""},{"dropping-particle":"","family":"Cappelletti","given":"Chiara","non-dropping-particle":"","parse-names":false,"suffix":""},{"dropping-particle":"","family":"Mariani","given":"Federica","non-dropping-particle":"","parse-names":false,"suffix":""},{"dropping-particle":"","family":"Mauri","given":"Simona","non-dropping-particle":"","parse-names":false,"suffix":""},{"dropping-particle":"","family":"Taglietti","given":"Maria Vittoria","non-dropping-particle":"","parse-names":false,"suffix":""},{"dropping-particle":"","family":"Fortunato","given":"Manuela","non-dropping-particle":"","parse-names":false,"suffix":""},{"dropping-particle":"","family":"Furlan","given":"Federico","non-dropping-particle":"","parse-names":false,"suffix":""},{"dropping-particle":"","family":"Guglielmi","given":"Barbara","non-dropping-particle":"","parse-names":false,"suffix":""},{"dropping-particle":"","family":"Setti","given":"Eleonora","non-dropping-particle":"","parse-names":false,"suffix":""},{"dropping-particle":"","family":"Napoli","given":"Davide","non-dropping-particle":"Di","parse-names":false,"suffix":""},{"dropping-particle":"","family":"Borghi","given":"Giovanni","non-dropping-particle":"","parse-names":false,"suffix":""},{"dropping-particle":"","family":"Pascucci","given":"Federico","non-dropping-particle":"","parse-names":false,"suffix":""},{"dropping-particle":"","family":"Sannicandro","given":"Riccardo","non-dropping-particle":"","parse-names":false,"suffix":""},{"dropping-particle":"","family":"Moro","given":"Matteo","non-dropping-particle":"","parse-names":false,"suffix":""},{"dropping-particle":"","family":"Colombo","given":"Sergio","non-dropping-particle":"","parse-names":false,"suffix":""},{"dropping-particle":"","family":"Dagna","given":"Lorenzo","non-dropping-particle":"","parse-names":false,"suffix":""},{"dropping-particle":"","family":"Castagna","given":"Antonella","non-dropping-particle":"","parse-names":false,"suffix":""},{"dropping-particle":"","family":"Tresoldi","given":"Moreno","non-dropping-particle":"","parse-names":false,"suffix":""},{"dropping-particle":"","family":"Rovere-Querini","given":"Patrizia","non-dropping-particle":"","parse-names":false,"suffix":""},{"dropping-particle":"","family":"Ambrosio","given":"Alberto","non-dropping-particle":"","parse-names":false,"suffix":""},{"dropping-particle":"","family":"Ciceri","given":"Fabio","non-dropping-particle":"","parse-names":false,"suffix":""},{"dropping-particle":"","family":"Zangrillo","given":"Alberto","non-dropping-particle":"","parse-names":false,"suffix":""},{"dropping-particle":"","family":"Carlucci","given":"Michele","non-dropping-particle":"","parse-names":false,"suffix":""},{"dropping-particle":"","family":"Faccincani","given":"Roberto","non-dropping-particle":"","parse-names":false,"suffix":""}],"container-title":"Disaster Medicine and Public Health Preparedness","id":"ITEM-1","issue":"March","issued":{"date-parts":[["2020"]]},"page":"1-10","title":"Stranger months: How SARS-CoV-2, fear of contagion, and lockdown measures impacted attendance and clinical activity during February and March 2020 at an urban Emergency Department in Milan","type":"article-journal"},"uris":["http://www.mendeley.com/documents/?uuid=d6833f9d-66c1-456b-9858-b1cd0e65f9b1"]}],"mendeley":{"formattedCitation":"[35]","plainTextFormattedCitation":"[35]"},"properties":{"noteIndex":0},"schema":"https://github.com/citation-style-language/schema/raw/master/csl-citation.json"}</w:instrText>
      </w:r>
      <w:r w:rsidR="003505C7">
        <w:fldChar w:fldCharType="separate"/>
      </w:r>
      <w:r w:rsidR="003505C7" w:rsidRPr="003505C7">
        <w:rPr>
          <w:noProof/>
        </w:rPr>
        <w:t>[35]</w:t>
      </w:r>
      <w:r w:rsidR="003505C7">
        <w:fldChar w:fldCharType="end"/>
      </w:r>
      <w:r>
        <w:t xml:space="preserve"> so it is possible that less severe dog bite injuries were managed at home.</w:t>
      </w:r>
    </w:p>
    <w:p w14:paraId="49099601" w14:textId="012CC303" w:rsidR="00B52056" w:rsidRDefault="00B52056" w:rsidP="00D32AEC">
      <w:pPr>
        <w:spacing w:line="360" w:lineRule="auto"/>
        <w:jc w:val="both"/>
      </w:pPr>
      <w:r>
        <w:t>From May through to July</w:t>
      </w:r>
      <w:r w:rsidR="00074CB7">
        <w:t xml:space="preserve"> </w:t>
      </w:r>
      <w:r w:rsidR="00695FDC">
        <w:t xml:space="preserve">the </w:t>
      </w:r>
      <w:r>
        <w:t xml:space="preserve">number </w:t>
      </w:r>
      <w:r w:rsidR="00695FDC">
        <w:t>of dog bite attendance</w:t>
      </w:r>
      <w:r>
        <w:t>s</w:t>
      </w:r>
      <w:r w:rsidR="00695FDC">
        <w:t xml:space="preserve"> increase</w:t>
      </w:r>
      <w:r>
        <w:t>d</w:t>
      </w:r>
      <w:r w:rsidR="00695FDC">
        <w:t xml:space="preserve"> faster than overall attendance</w:t>
      </w:r>
      <w:r>
        <w:t xml:space="preserve"> number, leading to a </w:t>
      </w:r>
      <w:r w:rsidR="00F51DEA">
        <w:t>higher percentage of attendances being due to dog bites.</w:t>
      </w:r>
      <w:r w:rsidR="00695FDC">
        <w:t xml:space="preserve"> </w:t>
      </w:r>
      <w:r w:rsidR="00D32AEC">
        <w:t>During</w:t>
      </w:r>
      <w:r w:rsidR="004F5CD2">
        <w:t xml:space="preserve"> th</w:t>
      </w:r>
      <w:r w:rsidR="00695FDC">
        <w:t>is</w:t>
      </w:r>
      <w:r w:rsidR="00D32AEC">
        <w:t xml:space="preserve"> </w:t>
      </w:r>
      <w:r>
        <w:t>period</w:t>
      </w:r>
      <w:r w:rsidR="000E6EB3">
        <w:t>,</w:t>
      </w:r>
      <w:r>
        <w:t xml:space="preserve"> </w:t>
      </w:r>
      <w:r w:rsidR="00F81D5E">
        <w:t xml:space="preserve">relaxation of </w:t>
      </w:r>
      <w:r>
        <w:t xml:space="preserve">public health </w:t>
      </w:r>
      <w:r w:rsidR="00F81D5E">
        <w:t>restrictions and summer weather meant</w:t>
      </w:r>
      <w:r w:rsidR="004F5CD2">
        <w:t xml:space="preserve"> </w:t>
      </w:r>
      <w:r w:rsidR="00D32AEC">
        <w:t xml:space="preserve">there was </w:t>
      </w:r>
      <w:r w:rsidR="004F5CD2">
        <w:t xml:space="preserve">potentially </w:t>
      </w:r>
      <w:r w:rsidR="00D32AEC">
        <w:t xml:space="preserve">more opportunity for children to be exposed to non-household dogs, providing another source of risk </w:t>
      </w:r>
      <w:r w:rsidR="004F5CD2">
        <w:t xml:space="preserve">perhaps more </w:t>
      </w:r>
      <w:r w:rsidR="00682257">
        <w:t>absent</w:t>
      </w:r>
      <w:r w:rsidR="00D32AEC">
        <w:t xml:space="preserve"> </w:t>
      </w:r>
      <w:r w:rsidR="00B975A0">
        <w:t>previously</w:t>
      </w:r>
      <w:r w:rsidR="00D32AEC">
        <w:t xml:space="preserve">. </w:t>
      </w:r>
      <w:r w:rsidR="00EF7F34">
        <w:t>There may also have been</w:t>
      </w:r>
      <w:r w:rsidR="00226BD9">
        <w:t xml:space="preserve"> increased exposure due to </w:t>
      </w:r>
      <w:r w:rsidR="00C52285">
        <w:t>proliferation of dog adoptions and acquisition of ‘pandemic puppies’</w:t>
      </w:r>
      <w:r w:rsidR="00226BD9">
        <w:t xml:space="preserve"> as 2020 progressed</w:t>
      </w:r>
      <w:r w:rsidR="00A1134C">
        <w:t>.</w:t>
      </w:r>
      <w:r w:rsidR="005B1E7B">
        <w:fldChar w:fldCharType="begin" w:fldLock="1"/>
      </w:r>
      <w:r w:rsidR="003505C7">
        <w:instrText>ADDIN CSL_CITATION {"citationItems":[{"id":"ITEM-1","itemData":{"DOI":"https://doi.org/10.1057/s41599-020-00649-x","abstract":"The recent COVID-19 pandemic led to uncertainty and severe health and economic concerns. Previous studies indicated that owning a companion animal, such as a dog or a cat, has benefits for good mental health. Interactions with animals may help with depression, anxiety, and stress, in particular under stress-prone conditions. Companion animals provide companionship, improve mood, and may ease loneliness; human-animal interactions may even improve peer-to-peer social relationships, as well as enhance feelings such as respect, trust, and empathy between people. Interestingly, it has also been shown that stress and poor well-being of dog owners negatively affect the stress and well-being of their companion animals. Accordingly, we hypothesized that the COVID-19 pandemic, and the related social isolation, might lead to dramatic changes in human-dog bidirectional relationships. Using unique prospective and retrospective datasets, our objectives were to investigate how people perceived and acted during the COVID-19 pandemic social isolation, in regards to dog adoption and abandonment; and to examine the bidirectional relationships between dog owners' well-being to that of their dogs. Overall, according to our analysis, the stricter the social isolation became during the pandemic, the interest in dog adoption as well as adoption rate increased significantly, while abandonment did not change. Moreover, there was a clear association between individuals' impaired quality of life and their perceptions of poorer life quality of their dogs as well as the development of new behavioral problems. These findings suggest potential benefits for human-dog relationship during the COVID-19 pandemic, in compliance with the One Welfare approach. 2","author":[{"dropping-particle":"","family":"Morgan","given":"Liat","non-dropping-particle":"","parse-names":false,"suffix":""},{"dropping-particle":"","family":"Protopopova","given":"Alexandra","non-dropping-particle":"","parse-names":false,"suffix":""},{"dropping-particle":"","family":"Birkler","given":"Rune Isak Dupont","non-dropping-particle":"","parse-names":false,"suffix":""},{"dropping-particle":"","family":"Itin-Shwartz","given":"Beata","non-dropping-particle":"","parse-names":false,"suffix":""},{"dropping-particle":"","family":"Sutton","given":"Gila Abells","non-dropping-particle":"","parse-names":false,"suffix":""},{"dropping-particle":"","family":"Gamliel","given":"Alexandra","non-dropping-particle":"","parse-names":false,"suffix":""},{"dropping-particle":"","family":"Yakobson","given":"Boris","non-dropping-particle":"","parse-names":false,"suffix":""},{"dropping-particle":"","family":"Raz","given":"Tal","non-dropping-particle":"","parse-names":false,"suffix":""}],"container-title":"Humanities and social sciences communication","id":"ITEM-1","issued":{"date-parts":[["2020"]]},"page":"155","title":"Human-dog relationships during COVID-19 pandemic; booming dog adoption during social isolation","type":"article-journal","volume":"7"},"uris":["http://www.mendeley.com/documents/?uuid=3199dc61-e009-43f7-a062-7b1c801c157d"]},{"id":"ITEM-2","itemData":{"author":[{"dropping-particle":"","family":"Club","given":"The Kennel","non-dropping-particle":"","parse-names":false,"suffix":""}],"id":"ITEM-2","issued":{"date-parts":[["0"]]},"title":"Breed registration statistics","type":"article-journal"},"uris":["http://www.mendeley.com/documents/?uuid=04abafd4-0445-42f5-8668-65c2236cf152"]}],"mendeley":{"formattedCitation":"[36,37]","plainTextFormattedCitation":"[36,37]","previouslyFormattedCitation":"[35,36]"},"properties":{"noteIndex":0},"schema":"https://github.com/citation-style-language/schema/raw/master/csl-citation.json"}</w:instrText>
      </w:r>
      <w:r w:rsidR="005B1E7B">
        <w:fldChar w:fldCharType="separate"/>
      </w:r>
      <w:r w:rsidR="003505C7" w:rsidRPr="003505C7">
        <w:rPr>
          <w:noProof/>
        </w:rPr>
        <w:t>[36,37]</w:t>
      </w:r>
      <w:r w:rsidR="005B1E7B">
        <w:fldChar w:fldCharType="end"/>
      </w:r>
      <w:r w:rsidR="00682257">
        <w:t xml:space="preserve"> </w:t>
      </w:r>
      <w:r w:rsidR="00226BD9">
        <w:t>Further, according</w:t>
      </w:r>
      <w:r w:rsidR="00502B7F">
        <w:t xml:space="preserve"> to</w:t>
      </w:r>
      <w:r w:rsidR="00226BD9">
        <w:t xml:space="preserve"> UK Kennel Club research, m</w:t>
      </w:r>
      <w:r w:rsidR="00682257">
        <w:t xml:space="preserve">any </w:t>
      </w:r>
      <w:r w:rsidR="00283CE6">
        <w:t xml:space="preserve">new puppies </w:t>
      </w:r>
      <w:r w:rsidR="00682257">
        <w:t>were bought on impulse with little research</w:t>
      </w:r>
      <w:r w:rsidR="00A1134C">
        <w:rPr>
          <w:rFonts w:eastAsia="Times New Roman"/>
          <w:color w:val="000000"/>
          <w:lang w:eastAsia="en-GB"/>
        </w:rPr>
        <w:t>.</w:t>
      </w:r>
      <w:r w:rsidR="005B1E7B">
        <w:fldChar w:fldCharType="begin" w:fldLock="1"/>
      </w:r>
      <w:r w:rsidR="003505C7">
        <w:instrText>ADDIN CSL_CITATION {"citationItems":[{"id":"ITEM-1","itemData":{"URL":"https://www.thekennelclub.org.uk/media-centre/2020/august/the-covid-19-puppy-boom-one-in-four-admit-impulse-buying-a-pandemic-puppy/","accessed":{"date-parts":[["2021","1","14"]]},"author":[{"dropping-particle":"","family":"Club","given":"The Kennel","non-dropping-particle":"","parse-names":false,"suffix":""}],"id":"ITEM-1","issued":{"date-parts":[["2020"]]},"title":"The COVID-19 puppy boom - one in four admit impulse buying a pandemic puppy","type":"webpage"},"uris":["http://www.mendeley.com/documents/?uuid=ada357f8-f6da-45c6-9b66-6849bc273621"]}],"mendeley":{"formattedCitation":"[38]","plainTextFormattedCitation":"[38]","previouslyFormattedCitation":"[37]"},"properties":{"noteIndex":0},"schema":"https://github.com/citation-style-language/schema/raw/master/csl-citation.json"}</w:instrText>
      </w:r>
      <w:r w:rsidR="005B1E7B">
        <w:fldChar w:fldCharType="separate"/>
      </w:r>
      <w:r w:rsidR="003505C7" w:rsidRPr="003505C7">
        <w:rPr>
          <w:noProof/>
        </w:rPr>
        <w:t>[38]</w:t>
      </w:r>
      <w:r w:rsidR="005B1E7B">
        <w:fldChar w:fldCharType="end"/>
      </w:r>
      <w:r w:rsidR="00682257">
        <w:t xml:space="preserve"> </w:t>
      </w:r>
      <w:r w:rsidR="00226BD9">
        <w:t xml:space="preserve">Compounded by difficulty accessing </w:t>
      </w:r>
      <w:r w:rsidR="00636D81">
        <w:t>professional advice due to</w:t>
      </w:r>
      <w:r w:rsidR="00226BD9">
        <w:t xml:space="preserve"> ‘emergency only’ veterinary provision</w:t>
      </w:r>
      <w:r w:rsidR="00A1134C">
        <w:t>,</w:t>
      </w:r>
      <w:r w:rsidR="00852E85">
        <w:fldChar w:fldCharType="begin" w:fldLock="1"/>
      </w:r>
      <w:r w:rsidR="003505C7">
        <w:instrText>ADDIN CSL_CITATION {"citationItems":[{"id":"ITEM-1","itemData":{"URL":"https://www.rcvs.org.uk/setting-standards/advice-and-guidance/coronavirus-covid-19/","accessed":{"date-parts":[["2021","1","20"]]},"author":[{"dropping-particle":"","family":"RCVS","given":"","non-dropping-particle":"","parse-names":false,"suffix":""}],"id":"ITEM-1","issued":{"date-parts":[["2021"]]},"title":"Coronavirus (Covid-19)","type":"webpage"},"uris":["http://www.mendeley.com/documents/?uuid=2f50e144-efa3-47a2-9846-b8aa58e3f828"]}],"mendeley":{"formattedCitation":"[39]","plainTextFormattedCitation":"[39]","previouslyFormattedCitation":"[38]"},"properties":{"noteIndex":0},"schema":"https://github.com/citation-style-language/schema/raw/master/csl-citation.json"}</w:instrText>
      </w:r>
      <w:r w:rsidR="00852E85">
        <w:fldChar w:fldCharType="separate"/>
      </w:r>
      <w:r w:rsidR="003505C7" w:rsidRPr="003505C7">
        <w:rPr>
          <w:noProof/>
        </w:rPr>
        <w:t>[39]</w:t>
      </w:r>
      <w:r w:rsidR="00852E85">
        <w:fldChar w:fldCharType="end"/>
      </w:r>
      <w:r w:rsidR="00226BD9">
        <w:t xml:space="preserve"> and closure of training classes, many dogs acquired during 2020</w:t>
      </w:r>
      <w:r w:rsidR="00C52285">
        <w:t xml:space="preserve"> </w:t>
      </w:r>
      <w:r w:rsidR="00636D81">
        <w:t>may have had</w:t>
      </w:r>
      <w:r w:rsidR="00C52285">
        <w:t xml:space="preserve"> </w:t>
      </w:r>
      <w:r w:rsidR="00ED7811">
        <w:t xml:space="preserve">inadequate training and socialisation, </w:t>
      </w:r>
      <w:r w:rsidR="00226BD9">
        <w:t>which may result in a</w:t>
      </w:r>
      <w:r w:rsidR="00ED7811">
        <w:t xml:space="preserve"> greater likelihood to </w:t>
      </w:r>
      <w:r w:rsidR="00636D81">
        <w:t>biting</w:t>
      </w:r>
      <w:r w:rsidR="00ED7811">
        <w:t xml:space="preserve">. </w:t>
      </w:r>
    </w:p>
    <w:p w14:paraId="462DC87A" w14:textId="0BC31926" w:rsidR="004D0164" w:rsidRDefault="00B52056" w:rsidP="00AE4AF6">
      <w:pPr>
        <w:spacing w:line="360" w:lineRule="auto"/>
        <w:jc w:val="both"/>
      </w:pPr>
      <w:r>
        <w:t>August and September</w:t>
      </w:r>
      <w:r w:rsidR="00695FDC">
        <w:t xml:space="preserve"> saw declining </w:t>
      </w:r>
      <w:r w:rsidR="00636D81">
        <w:t>dog bite</w:t>
      </w:r>
      <w:r w:rsidR="00F51DEA">
        <w:t xml:space="preserve"> attendances and the percentage of attendances due to dog bites lowered</w:t>
      </w:r>
      <w:r w:rsidR="00695FDC">
        <w:t>,</w:t>
      </w:r>
      <w:r w:rsidR="00F51DEA">
        <w:t xml:space="preserve"> both measures</w:t>
      </w:r>
      <w:r w:rsidR="00695FDC">
        <w:t xml:space="preserve"> </w:t>
      </w:r>
      <w:r w:rsidR="00F57235">
        <w:t xml:space="preserve">returned </w:t>
      </w:r>
      <w:r w:rsidR="00695FDC">
        <w:t>to the normal range in September</w:t>
      </w:r>
      <w:r w:rsidR="00F81D5E">
        <w:t xml:space="preserve"> </w:t>
      </w:r>
      <w:r w:rsidR="00636D81">
        <w:t xml:space="preserve">coincident with </w:t>
      </w:r>
      <w:r>
        <w:t>schools reopen</w:t>
      </w:r>
      <w:r w:rsidR="00636D81">
        <w:t>ing</w:t>
      </w:r>
      <w:r w:rsidR="00A1134C">
        <w:t>,</w:t>
      </w:r>
      <w:r>
        <w:fldChar w:fldCharType="begin" w:fldLock="1"/>
      </w:r>
      <w:r w:rsidR="00166D3D">
        <w:instrText>ADDIN CSL_CITATION {"citationItems":[{"id":"ITEM-1","itemData":{"id":"ITEM-1","issued":{"date-parts":[["2020"]]},"title":"Coronavirus Act 2020 (c7)","type":"legislation"},"uris":["http://www.mendeley.com/documents/?uuid=f24e46df-9e3c-4c94-b18a-7bd90467a550"]},{"id":"ITEM-2","itemData":{"id":"ITEM-2","issued":{"date-parts":[["2020"]]},"number":"350","title":"The Health Protection (Coronavirus, Restrictions) (England) Regulations 2020","type":"legislation"},"uris":["http://www.mendeley.com/documents/?uuid=787b3797-2f16-4e3e-bad9-24c5e0020949"]}],"mendeley":{"formattedCitation":"[15,16]","plainTextFormattedCitation":"[15,16]","previouslyFormattedCitation":"[15,16]"},"properties":{"noteIndex":0},"schema":"https://github.com/citation-style-language/schema/raw/master/csl-citation.json"}</w:instrText>
      </w:r>
      <w:r>
        <w:fldChar w:fldCharType="separate"/>
      </w:r>
      <w:r w:rsidR="00166D3D" w:rsidRPr="00166D3D">
        <w:rPr>
          <w:noProof/>
        </w:rPr>
        <w:t>[15,16]</w:t>
      </w:r>
      <w:r>
        <w:fldChar w:fldCharType="end"/>
      </w:r>
      <w:r>
        <w:t xml:space="preserve"> </w:t>
      </w:r>
      <w:r w:rsidR="00B975A0">
        <w:t>and likely result</w:t>
      </w:r>
      <w:r w:rsidR="00A1134C">
        <w:t xml:space="preserve">ed </w:t>
      </w:r>
      <w:r w:rsidR="0095419E">
        <w:t xml:space="preserve">in </w:t>
      </w:r>
      <w:r w:rsidR="00ED7811">
        <w:t>children spending less time at home</w:t>
      </w:r>
      <w:r w:rsidR="00EF7F34">
        <w:t xml:space="preserve"> with dogs</w:t>
      </w:r>
      <w:r w:rsidR="00EF7F34" w:rsidRPr="00B52056">
        <w:t xml:space="preserve">. </w:t>
      </w:r>
      <w:r w:rsidR="00040262">
        <w:t xml:space="preserve">In </w:t>
      </w:r>
      <w:r w:rsidR="005025B2">
        <w:t>a study in</w:t>
      </w:r>
      <w:r w:rsidR="007C6C8A">
        <w:t xml:space="preserve"> </w:t>
      </w:r>
      <w:r w:rsidR="00040262">
        <w:t>Colorado</w:t>
      </w:r>
      <w:r w:rsidR="00BB3DA3">
        <w:t>,</w:t>
      </w:r>
      <w:r w:rsidR="00040262">
        <w:t xml:space="preserve"> </w:t>
      </w:r>
      <w:r w:rsidR="00BB3DA3">
        <w:t xml:space="preserve">dog bite </w:t>
      </w:r>
      <w:r w:rsidR="00040262">
        <w:t>attendance</w:t>
      </w:r>
      <w:r w:rsidR="00F51DEA">
        <w:t xml:space="preserve"> numbers</w:t>
      </w:r>
      <w:r w:rsidR="00040262">
        <w:t xml:space="preserve"> were not </w:t>
      </w:r>
      <w:r w:rsidR="005025B2">
        <w:t>assessed beyond cessation of</w:t>
      </w:r>
      <w:r w:rsidR="00040262">
        <w:t xml:space="preserve"> their lockdown</w:t>
      </w:r>
      <w:r w:rsidR="00A1134C">
        <w:t>,</w:t>
      </w:r>
      <w:r w:rsidR="00040262">
        <w:fldChar w:fldCharType="begin" w:fldLock="1"/>
      </w:r>
      <w:r w:rsidR="00226C89">
        <w:instrText>ADDIN CSL_CITATION {"citationItems":[{"id":"ITEM-1","itemData":{"DOI":"10.1016/j.jpeds.2020.06.071","ISSN":"10976833","PMID":"32593686","author":[{"dropping-particle":"","family":"Dixon","given":"Cinnamon A.","non-dropping-particle":"","parse-names":false,"suffix":""},{"dropping-particle":"","family":"Mistry","given":"Rakesh D.","non-dropping-particle":"","parse-names":false,"suffix":""}],"container-title":"Journal of Pediatrics","id":"ITEM-1","issued":{"date-parts":[["2020"]]},"page":"231-232","publisher":"Elsevier Inc","title":"Dog Bites in Children Surge during Coronavirus Disease-2019: A Case for Enhanced Prevention","type":"article-journal","volume":"225"},"uris":["http://www.mendeley.com/documents/?uuid=c4ea7253-9de8-4249-9ba5-a77afe36bc4c"]}],"mendeley":{"formattedCitation":"[20]","plainTextFormattedCitation":"[20]","previouslyFormattedCitation":"[20]"},"properties":{"noteIndex":0},"schema":"https://github.com/citation-style-language/schema/raw/master/csl-citation.json"}</w:instrText>
      </w:r>
      <w:r w:rsidR="00040262">
        <w:fldChar w:fldCharType="separate"/>
      </w:r>
      <w:r w:rsidR="00F91EB6" w:rsidRPr="00F91EB6">
        <w:rPr>
          <w:noProof/>
        </w:rPr>
        <w:t>[20]</w:t>
      </w:r>
      <w:r w:rsidR="00040262">
        <w:fldChar w:fldCharType="end"/>
      </w:r>
      <w:r w:rsidR="00040262">
        <w:t xml:space="preserve"> </w:t>
      </w:r>
      <w:r w:rsidR="005025B2">
        <w:t>and it is possible</w:t>
      </w:r>
      <w:r w:rsidR="00040262">
        <w:t xml:space="preserve"> that</w:t>
      </w:r>
      <w:r w:rsidR="005025B2">
        <w:t>,</w:t>
      </w:r>
      <w:r w:rsidR="00040262">
        <w:t xml:space="preserve"> as public health measures eased attendance rates would have returned to normal</w:t>
      </w:r>
      <w:r w:rsidR="00605E98">
        <w:t xml:space="preserve"> as our data </w:t>
      </w:r>
      <w:r w:rsidR="00E31AEE">
        <w:t>has</w:t>
      </w:r>
      <w:r w:rsidR="00040262">
        <w:t>.</w:t>
      </w:r>
      <w:r w:rsidR="0095419E">
        <w:t xml:space="preserve"> </w:t>
      </w:r>
    </w:p>
    <w:p w14:paraId="30368FA3" w14:textId="0D731F87" w:rsidR="00035C9A" w:rsidRDefault="002F30E9" w:rsidP="00040262">
      <w:pPr>
        <w:spacing w:line="360" w:lineRule="auto"/>
        <w:jc w:val="both"/>
        <w:rPr>
          <w:b/>
          <w:bCs/>
        </w:rPr>
      </w:pPr>
      <w:r>
        <w:t xml:space="preserve">This study found that the sex and age profile of dog bite victims remained the same </w:t>
      </w:r>
      <w:r w:rsidR="00AF7AF8">
        <w:t>during the</w:t>
      </w:r>
      <w:r>
        <w:t xml:space="preserve"> COVID-19 public health measures</w:t>
      </w:r>
      <w:r w:rsidR="00A70D0E">
        <w:t>, in line with available international trauma data</w:t>
      </w:r>
      <w:r w:rsidR="00A1134C">
        <w:t>.</w:t>
      </w:r>
      <w:r>
        <w:rPr>
          <w:rFonts w:ascii="Interface Regular" w:hAnsi="Interface Regular"/>
          <w:lang w:val="en"/>
        </w:rPr>
        <w:fldChar w:fldCharType="begin" w:fldLock="1"/>
      </w:r>
      <w:r w:rsidR="00CF2FA9">
        <w:rPr>
          <w:rFonts w:ascii="Interface Regular" w:hAnsi="Interface Regular"/>
          <w:lang w:val="en"/>
        </w:rPr>
        <w:instrText>ADDIN CSL_CITATION {"citationItems":[{"id":"ITEM-1","itemData":{"DOI":"10.1016/j.jpeds.2020.07.048","ISSN":"10976833","PMID":"32702427","abstract":"We conducted a descriptive time-series study of pediatric emergency healthcare use during the onset of severe acute respiratory syndrome coronavirus 2 pandemic after a state-wide stay-at-home order. Our study demonstrated decreased volume, increased acuity, and generally consistent chief complaints compared with the prior 3 years (2017 through 2019). Ingestions became a significantly more common chief complaint in 2020.","author":[{"dropping-particle":"","family":"Chaiyachati","given":"Barbara H.","non-dropping-particle":"","parse-names":false,"suffix":""},{"dropping-particle":"","family":"Agawu","given":"Atu","non-dropping-particle":"","parse-names":false,"suffix":""},{"dropping-particle":"","family":"Zorc","given":"Joseph J.","non-dropping-particle":"","parse-names":false,"suffix":""},{"dropping-particle":"","family":"Balamuth","given":"Fran","non-dropping-particle":"","parse-names":false,"suffix":""}],"container-title":"Journal of Pediatrics","id":"ITEM-1","issued":{"date-parts":[["2020"]]},"page":"274-277.e1","publisher":"Elsevier</w:instrText>
      </w:r>
      <w:r w:rsidR="00CF2FA9">
        <w:rPr>
          <w:rFonts w:ascii="Interface Regular" w:hAnsi="Interface Regular" w:hint="eastAsia"/>
          <w:lang w:val="en"/>
        </w:rPr>
        <w:instrText> </w:instrText>
      </w:r>
      <w:r w:rsidR="00CF2FA9">
        <w:rPr>
          <w:rFonts w:ascii="Interface Regular" w:hAnsi="Interface Regular"/>
          <w:lang w:val="en"/>
        </w:rPr>
        <w:instrText>Inc","title":"Trends in Pediatric Emergency Department Utilization after Institution of Coronavirus Disease-19 Mandatory Social Distancing","type":"article-journal","volume":"226"},"uris":["http://www.mendeley.com/documents/?uuid=670680e8-eed5-42b8-bb3b-dea3afa67bfd"]},{"id":"ITEM-2","itemData":{"DOI":"10.3390/ijerph17186719","ISSN":"16604601","PMID":"32942698","abstract":"This study outlines the impact of COVID-19 on paediatric emergency department (ED) utilisation and assesses the extent of healthcare avoidance during each stage of the public health response strategy. Records from five EDs and one urgent care centre in Ireland, representing approximately 48% of national annual public paediatric ED attendances, are analysed to determine changes in characteristics of attendance during the three month period following the first reported COVID-19 case in Ireland, with reference to specific national public health stages. ED attendance reduced by 27</w:instrText>
      </w:r>
      <w:r w:rsidR="00CF2FA9">
        <w:rPr>
          <w:rFonts w:ascii="Interface Regular" w:hAnsi="Interface Regular" w:hint="eastAsia"/>
          <w:lang w:val="en"/>
        </w:rPr>
        <w:instrText>–</w:instrText>
      </w:r>
      <w:r w:rsidR="00CF2FA9">
        <w:rPr>
          <w:rFonts w:ascii="Interface Regular" w:hAnsi="Interface Regular"/>
          <w:lang w:val="en"/>
        </w:rPr>
        <w:instrText>62% across all categories of diagnosis in the Delay phase and remained significantly below prior year levels as the country began Phase One of Reopening, with an incident rate ratio (IRR) of 0.58. The decrease was predominantly attributable to reduced attendance for injury and viral/viral induced conditions resulting from changed living conditions imposed by the public health response. However, attendance for complex chronic conditions also reduced and had yet to return to pre-COVID levels as reopening began. Attendances referred by general practitioners (GPs) dropped by 13 percentage points in the Delay phase and remained at that level. While changes in living conditions explain much of the decrease in overall attendance and in GP referrals, reduced attendance for complex chronic conditions may indicate avoidance behaviour and continued surveillance is necessary.","author":[{"dropping-particle":"","family":"McDonnell","given":"Th</w:instrText>
      </w:r>
      <w:r w:rsidR="00CF2FA9">
        <w:rPr>
          <w:rFonts w:ascii="Interface Regular" w:hAnsi="Interface Regular" w:hint="eastAsia"/>
          <w:lang w:val="en"/>
        </w:rPr>
        <w:instrText>é</w:instrText>
      </w:r>
      <w:r w:rsidR="00CF2FA9">
        <w:rPr>
          <w:rFonts w:ascii="Interface Regular" w:hAnsi="Interface Regular"/>
          <w:lang w:val="en"/>
        </w:rPr>
        <w:instrText>r</w:instrText>
      </w:r>
      <w:r w:rsidR="00CF2FA9">
        <w:rPr>
          <w:rFonts w:ascii="Interface Regular" w:hAnsi="Interface Regular" w:hint="eastAsia"/>
          <w:lang w:val="en"/>
        </w:rPr>
        <w:instrText>è</w:instrText>
      </w:r>
      <w:r w:rsidR="00CF2FA9">
        <w:rPr>
          <w:rFonts w:ascii="Interface Regular" w:hAnsi="Interface Regular"/>
          <w:lang w:val="en"/>
        </w:rPr>
        <w:instrText>se","non-dropping-particle":"","parse-names":false,"suffix":""},{"dropping-particle":"","family":"Nicholson","given":"Emma","non-dropping-particle":"","parse-names":false,"suffix":""},{"dropping-particle":"","family":"Conlon","given":"Ciara","non-dropping-particle":"","parse-names":false,"suffix":""},{"dropping-particle":"","family":"Barrett","given":"Michael","non-dropping-particle":"","parse-names":false,"suffix":""},{"dropping-particle":"","family":"Cummins","given":"Fergal","non-dropping-particle":"","parse-names":false,"suffix":""},{"dropping-particle":"","family":"Hensey","given":"Conor","non-dropping-particle":"","parse-names":false,"suffix":""},{"dropping-particle":"","family":"McAuliffe","given":"Eilish","non-dropping-particle":"","parse-names":false,"suffix":""}],"container-title":"International Journal of Environmental Research and Public Health","id":"ITEM-2","issue":"18","issued":{"date-parts":[["2020"]]},"page":"1-25","title":"Assessing the impact of COVID-19 public health stages on paediatric emergency attendance","type":"article-journal","volume":"17"},"uris":["http://www.mendeley.com/documents/?uuid=e66acccc-4bab-48a6-a947-37c82a9b8b4d"]}],"mendeley":{"formattedCitation":"[1,3]","plainTextFormattedCitation":"[1,3]","previouslyFormattedCitation":"[1,3]"},"properties":{"noteIndex":0},"schema":"https://github.com/citation-style-language/schema/raw/master/csl-citation.json"}</w:instrText>
      </w:r>
      <w:r>
        <w:rPr>
          <w:rFonts w:ascii="Interface Regular" w:hAnsi="Interface Regular"/>
          <w:lang w:val="en"/>
        </w:rPr>
        <w:fldChar w:fldCharType="separate"/>
      </w:r>
      <w:r w:rsidRPr="002F30E9">
        <w:rPr>
          <w:rFonts w:ascii="Interface Regular" w:hAnsi="Interface Regular"/>
          <w:noProof/>
          <w:lang w:val="en"/>
        </w:rPr>
        <w:t>[1,3]</w:t>
      </w:r>
      <w:r>
        <w:rPr>
          <w:rFonts w:ascii="Interface Regular" w:hAnsi="Interface Regular"/>
          <w:lang w:val="en"/>
        </w:rPr>
        <w:fldChar w:fldCharType="end"/>
      </w:r>
      <w:r>
        <w:rPr>
          <w:rFonts w:ascii="Interface Regular" w:hAnsi="Interface Regular"/>
          <w:lang w:val="en"/>
        </w:rPr>
        <w:t xml:space="preserve"> </w:t>
      </w:r>
      <w:r w:rsidR="00FC11CA">
        <w:rPr>
          <w:rFonts w:ascii="Interface Regular" w:hAnsi="Interface Regular"/>
          <w:lang w:val="en"/>
        </w:rPr>
        <w:t>Our data confirms dog bite seasonality</w:t>
      </w:r>
      <w:r w:rsidR="004560B4">
        <w:rPr>
          <w:rFonts w:ascii="Interface Regular" w:hAnsi="Interface Regular"/>
          <w:lang w:val="en"/>
        </w:rPr>
        <w:t>,</w:t>
      </w:r>
      <w:r w:rsidR="00035C9A">
        <w:rPr>
          <w:rFonts w:ascii="Interface Regular" w:hAnsi="Interface Regular"/>
          <w:lang w:val="en"/>
        </w:rPr>
        <w:fldChar w:fldCharType="begin" w:fldLock="1"/>
      </w:r>
      <w:r w:rsidR="00226C89">
        <w:rPr>
          <w:rFonts w:ascii="Interface Regular" w:hAnsi="Interface Regular"/>
          <w:lang w:val="en"/>
        </w:rPr>
        <w:instrText>ADDIN CSL_CITATION {"citationItems":[{"id":"ITEM-1","itemData":{"DOI":"10.1016/j.heliyon.2019.e01360","ISSN":"24058440","abstract":"Dog bites are a significant public health issue. There is no comprehensive study of dog bite demographics. It was the purpose of this study to perform such an analysis across the US. The National Electronic Injury Surveillance System All Injury Program data for the years 2005 through 2013 was accessed; dog bite injuries were extracted and analyzed. Statistical analyses were performed with SUDAAN 11.0.01</w:instrText>
      </w:r>
      <w:r w:rsidR="00226C89">
        <w:rPr>
          <w:rFonts w:ascii="Interface Regular" w:hAnsi="Interface Regular" w:hint="eastAsia"/>
          <w:lang w:val="en"/>
        </w:rPr>
        <w:instrText>™</w:instrText>
      </w:r>
      <w:r w:rsidR="00226C89">
        <w:rPr>
          <w:rFonts w:ascii="Interface Regular" w:hAnsi="Interface Regular"/>
          <w:lang w:val="en"/>
        </w:rPr>
        <w:instrText xml:space="preserve"> software to account for the weighted, stratified nature of the data. Incidence values were calculated using population data from the US Census Bureau. A P &lt; 0.05 was considered significant. There was an average 337,103 ED visits each year for dog bites. The average age was 28.9 years; 52.6% were male and 47.4% female. The bites were located on the upper extremity in 47.3%, head/neck in 26.8%, lower extremity in 21.5%, and trunk in 4.4%. Younger patients had more bites involving the head/neck, while older patients the upper extremity. More occurred in the summer and on weekends and 80.2% occurred at home. Hospital admission occurred in 1.7%. Logistic regression analysis demonstrated that the odds of admission was solely dependent upon the age group. The OR for admission was 11.03 [4.68, 26.01] for those &gt;85 years of age, 4.88 [2.89, 8.24] 75</w:instrText>
      </w:r>
      <w:r w:rsidR="00226C89">
        <w:rPr>
          <w:rFonts w:ascii="Interface Regular" w:hAnsi="Interface Regular" w:hint="eastAsia"/>
          <w:lang w:val="en"/>
        </w:rPr>
        <w:instrText>–</w:instrText>
      </w:r>
      <w:r w:rsidR="00226C89">
        <w:rPr>
          <w:rFonts w:ascii="Interface Regular" w:hAnsi="Interface Regular"/>
          <w:lang w:val="en"/>
        </w:rPr>
        <w:instrText>84 years, and 2.79 [1.77, 4.39] those ≤4 years of age, with the 10</w:instrText>
      </w:r>
      <w:r w:rsidR="00226C89">
        <w:rPr>
          <w:rFonts w:ascii="Interface Regular" w:hAnsi="Interface Regular" w:hint="eastAsia"/>
          <w:lang w:val="en"/>
        </w:rPr>
        <w:instrText>–</w:instrText>
      </w:r>
      <w:r w:rsidR="00226C89">
        <w:rPr>
          <w:rFonts w:ascii="Interface Regular" w:hAnsi="Interface Regular"/>
          <w:lang w:val="en"/>
        </w:rPr>
        <w:instrText xml:space="preserve">14 year age group the reference group. The average annual incidence was 1.1 per 1,000, and was slightly higher in males (1.18 vs 1.02 per 1,000). The estimated cost was at least 400 million US$ per year. Potential prevention strategies are educational programs directed at both children and parents/caretakers outlining the responsibilities of owning a dog. This information can be disseminated in health care facilities, radio/TV/Internet venues, and dog kennels/shelters.","author":[{"dropping-particle":"","family":"Loder","given":"Randall T.","non-dropping-particle":"","parse-names":false,"suffix":""}],"container-title":"Heliyon","id":"ITEM-1","issue":"3","issued":{"date-parts":[["2019"]]},"page":"e01360","publisher":"Elsevier Ltd","title":"The demographics of dog bites in the United States","type":"article-journal","volume":"5"},"uris":["http://www.mendeley.com/documents/?uuid=ceadc5bf-03bc-4e00-8551-5af43c837feb"]},{"id":"ITEM-2","itemData":{"DOI":"10.1016/j.tvjl.2009.10.001","ISSN":"10900233","PMID":"19879172","abstract":"As part of an evaluation of Dutch breed specific legislation, data were collected from dog bite victims (1078) and dog owners (6139) using Internet surveys. The incidence rate of dog bites and details of incidents (victims, injuries, circumstances and aggressors) are reported and the justification for using breed specific measurements to deal with dog bites are considered. For aggressors, attack records for breed groups and popular breeds were established by calculating breed risk indices using a reference population. Several breeds and breed groups were over- and under-represented in the biting population and there was a mismatch between risk indices and the then-current legislation. Mitigation strategies should not be based on attack records (since this would lead to the rejection of a significant proportion of the canine population) but on the circumstances of the incidents. Preventative measures must focus on a better understanding of how to handle dogs. </w:instrText>
      </w:r>
      <w:r w:rsidR="00226C89">
        <w:rPr>
          <w:rFonts w:ascii="Interface Regular" w:hAnsi="Interface Regular" w:hint="eastAsia"/>
          <w:lang w:val="en"/>
        </w:rPr>
        <w:instrText>©</w:instrText>
      </w:r>
      <w:r w:rsidR="00226C89">
        <w:rPr>
          <w:rFonts w:ascii="Interface Regular" w:hAnsi="Interface Regular"/>
          <w:lang w:val="en"/>
        </w:rPr>
        <w:instrText xml:space="preserve"> 2009 Elsevier Ltd.","author":[{"dropping-particle":"","family":"Cornelissen","given":"Jessica M.R.","non-dropping-particle":"","parse-names":false,"suffix":""},{"dropping-particle":"","family":"Hopster","given":"Hans","non-dropping-particle":"","parse-names":false,"suffix":""}],"container-title":"Veterinary Journal","id":"ITEM-2","issue":"3","issued":{"date-parts":[["2010"]]},"page":"292-298","publisher":"Elsevier Ltd","title":"Dog bites in The Netherlands: A study of victims, injuries, circumstances and aggressors to support evaluation of breed specific legislation","type":"article-journal","volume":"186"},"uris":["http://www.mendeley.com/documents/?uuid=9be8644a-ca7d-4b9f-83a4-efcc6aef0b6e"]},{"id":"ITEM-3","itemData":{"author":[{"dropping-particle":"","family":"Tulloch","given":"John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Reports","id":"ITEM-3","issued":{"date-parts":[["2021"]]},"title":"English hospital episode data analysis (1998 </w:instrText>
      </w:r>
      <w:r w:rsidR="00226C89">
        <w:rPr>
          <w:rFonts w:ascii="Interface Regular" w:hAnsi="Interface Regular" w:hint="eastAsia"/>
          <w:lang w:val="en"/>
        </w:rPr>
        <w:instrText>–</w:instrText>
      </w:r>
      <w:r w:rsidR="00226C89">
        <w:rPr>
          <w:rFonts w:ascii="Interface Regular" w:hAnsi="Interface Regular"/>
          <w:lang w:val="en"/>
        </w:rPr>
        <w:instrText xml:space="preserve"> 2018) reveal that the rise in dog bite hospital admissions is driven by adult cases","type":"article-journal"},"uris":["http://www.mendeley.com/documents/?uuid=cc0b1b1d-ad15-489c-88a4-8b03f6a84b6c"]}],"mendeley":{"formattedCitation":"[4,8,19]","plainTextFormattedCitation":"[4,8,19]","previouslyFormattedCitation":"[4,8,19]"},"properties":{"noteIndex":0},"schema":"https://github.com/citation-style-language/schema/raw/master/csl-citation.json"}</w:instrText>
      </w:r>
      <w:r w:rsidR="00035C9A">
        <w:rPr>
          <w:rFonts w:ascii="Interface Regular" w:hAnsi="Interface Regular"/>
          <w:lang w:val="en"/>
        </w:rPr>
        <w:fldChar w:fldCharType="separate"/>
      </w:r>
      <w:r w:rsidR="00F91EB6" w:rsidRPr="00F91EB6">
        <w:rPr>
          <w:rFonts w:ascii="Interface Regular" w:hAnsi="Interface Regular"/>
          <w:noProof/>
          <w:lang w:val="en"/>
        </w:rPr>
        <w:t>[4,8,19]</w:t>
      </w:r>
      <w:r w:rsidR="00035C9A">
        <w:rPr>
          <w:rFonts w:ascii="Interface Regular" w:hAnsi="Interface Regular"/>
          <w:lang w:val="en"/>
        </w:rPr>
        <w:fldChar w:fldCharType="end"/>
      </w:r>
      <w:r w:rsidR="00FC11CA">
        <w:rPr>
          <w:rFonts w:ascii="Interface Regular" w:hAnsi="Interface Regular"/>
          <w:lang w:val="en"/>
        </w:rPr>
        <w:t xml:space="preserve"> but t</w:t>
      </w:r>
      <w:r w:rsidR="00035C9A">
        <w:rPr>
          <w:rFonts w:ascii="Interface Regular" w:hAnsi="Interface Regular"/>
          <w:lang w:val="en"/>
        </w:rPr>
        <w:t xml:space="preserve">o the best of our knowledge, this work is the first to describe sex differences related to </w:t>
      </w:r>
      <w:r w:rsidR="00635531">
        <w:rPr>
          <w:rFonts w:ascii="Interface Regular" w:hAnsi="Interface Regular"/>
          <w:lang w:val="en"/>
        </w:rPr>
        <w:t xml:space="preserve">dog bite </w:t>
      </w:r>
      <w:r w:rsidR="00035C9A">
        <w:rPr>
          <w:rFonts w:ascii="Interface Regular" w:hAnsi="Interface Regular"/>
          <w:lang w:val="en"/>
        </w:rPr>
        <w:t>seasonality</w:t>
      </w:r>
      <w:r w:rsidR="00FC11CA">
        <w:rPr>
          <w:rFonts w:ascii="Interface Regular" w:hAnsi="Interface Regular"/>
          <w:lang w:val="en"/>
        </w:rPr>
        <w:t>, with dog bites to girls increasing during</w:t>
      </w:r>
      <w:r w:rsidR="00635531">
        <w:rPr>
          <w:rFonts w:ascii="Interface Regular" w:hAnsi="Interface Regular"/>
          <w:lang w:val="en"/>
        </w:rPr>
        <w:t xml:space="preserve"> the</w:t>
      </w:r>
      <w:r w:rsidR="00FC11CA">
        <w:rPr>
          <w:rFonts w:ascii="Interface Regular" w:hAnsi="Interface Regular"/>
          <w:lang w:val="en"/>
        </w:rPr>
        <w:t xml:space="preserve"> summer, </w:t>
      </w:r>
      <w:r w:rsidR="00635531">
        <w:rPr>
          <w:rFonts w:ascii="Interface Regular" w:hAnsi="Interface Regular"/>
          <w:lang w:val="en"/>
        </w:rPr>
        <w:t xml:space="preserve">but </w:t>
      </w:r>
      <w:r w:rsidR="00FC11CA">
        <w:rPr>
          <w:rFonts w:ascii="Interface Regular" w:hAnsi="Interface Regular"/>
          <w:lang w:val="en"/>
        </w:rPr>
        <w:t>not</w:t>
      </w:r>
      <w:r w:rsidR="00635531">
        <w:rPr>
          <w:rFonts w:ascii="Interface Regular" w:hAnsi="Interface Regular"/>
          <w:lang w:val="en"/>
        </w:rPr>
        <w:t xml:space="preserve"> to</w:t>
      </w:r>
      <w:r w:rsidR="00FC11CA">
        <w:rPr>
          <w:rFonts w:ascii="Interface Regular" w:hAnsi="Interface Regular"/>
          <w:lang w:val="en"/>
        </w:rPr>
        <w:t xml:space="preserve"> boys</w:t>
      </w:r>
      <w:r w:rsidR="005025B2">
        <w:rPr>
          <w:rFonts w:ascii="Interface Regular" w:hAnsi="Interface Regular"/>
          <w:lang w:val="en"/>
        </w:rPr>
        <w:t>; r</w:t>
      </w:r>
      <w:r w:rsidR="00040262">
        <w:rPr>
          <w:rFonts w:ascii="Interface Regular" w:hAnsi="Interface Regular"/>
          <w:lang w:val="en"/>
        </w:rPr>
        <w:t>esearch is needed to understand why.</w:t>
      </w:r>
    </w:p>
    <w:p w14:paraId="2843745B" w14:textId="22805481" w:rsidR="00EC6523" w:rsidRPr="002F30E9" w:rsidRDefault="00EC6523" w:rsidP="004D6BAB">
      <w:pPr>
        <w:rPr>
          <w:b/>
          <w:bCs/>
        </w:rPr>
      </w:pPr>
      <w:r w:rsidRPr="002F30E9">
        <w:rPr>
          <w:b/>
          <w:bCs/>
        </w:rPr>
        <w:t>Limitations</w:t>
      </w:r>
    </w:p>
    <w:p w14:paraId="466A45A7" w14:textId="09E2A29C" w:rsidR="00401240" w:rsidRDefault="00F91C3B" w:rsidP="00F91C3B">
      <w:pPr>
        <w:spacing w:line="360" w:lineRule="auto"/>
        <w:jc w:val="both"/>
      </w:pPr>
      <w:r>
        <w:t xml:space="preserve">The main limitation </w:t>
      </w:r>
      <w:r w:rsidR="00B239C8">
        <w:t xml:space="preserve">of </w:t>
      </w:r>
      <w:r w:rsidR="006001E3">
        <w:t xml:space="preserve">these </w:t>
      </w:r>
      <w:r w:rsidR="00B239C8">
        <w:t>data is</w:t>
      </w:r>
      <w:r w:rsidR="00040262">
        <w:t xml:space="preserve"> how representative</w:t>
      </w:r>
      <w:r w:rsidR="00BB3DA3">
        <w:t xml:space="preserve"> </w:t>
      </w:r>
      <w:r w:rsidR="006001E3">
        <w:t>they are</w:t>
      </w:r>
      <w:r w:rsidR="00040262">
        <w:t xml:space="preserve"> of the</w:t>
      </w:r>
      <w:r w:rsidR="00B239C8">
        <w:t xml:space="preserve"> wider</w:t>
      </w:r>
      <w:r w:rsidR="00040262">
        <w:t xml:space="preserve"> </w:t>
      </w:r>
      <w:r w:rsidR="00401240">
        <w:t>UK</w:t>
      </w:r>
      <w:r w:rsidR="00153B05">
        <w:t xml:space="preserve"> population</w:t>
      </w:r>
      <w:r w:rsidR="00040262">
        <w:t>. Alder Hey Children’s Hospital is one of</w:t>
      </w:r>
      <w:r w:rsidR="005025B2">
        <w:t xml:space="preserve"> Europe’s</w:t>
      </w:r>
      <w:r w:rsidR="00040262">
        <w:t xml:space="preserve"> largest paediatric hospital</w:t>
      </w:r>
      <w:r w:rsidR="00153B05">
        <w:t>s</w:t>
      </w:r>
      <w:r w:rsidR="00040262">
        <w:t>, and the community it serves has one of the largest hospital admission rates for dog bites in the country</w:t>
      </w:r>
      <w:r w:rsidR="004560B4">
        <w:t>.</w:t>
      </w:r>
      <w:r w:rsidR="00040262">
        <w:fldChar w:fldCharType="begin" w:fldLock="1"/>
      </w:r>
      <w:r w:rsidR="00321956">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[4]","plainTextFormattedCitation":"[4]","previouslyFormattedCitation":"[4]"},"properties":{"noteIndex":0},"schema":"https://github.com/citation-style-language/schema/raw/master/csl-citation.json"}</w:instrText>
      </w:r>
      <w:r w:rsidR="00040262">
        <w:fldChar w:fldCharType="separate"/>
      </w:r>
      <w:r w:rsidR="00040262" w:rsidRPr="00040262">
        <w:rPr>
          <w:noProof/>
        </w:rPr>
        <w:t>[4]</w:t>
      </w:r>
      <w:r w:rsidR="00040262">
        <w:fldChar w:fldCharType="end"/>
      </w:r>
      <w:r w:rsidR="00040262">
        <w:t xml:space="preserve"> This research needs to </w:t>
      </w:r>
      <w:r w:rsidR="00040262">
        <w:lastRenderedPageBreak/>
        <w:t>be repeated at a national scale</w:t>
      </w:r>
      <w:r w:rsidR="00B239C8">
        <w:t>.</w:t>
      </w:r>
      <w:r w:rsidR="00074CB7">
        <w:t xml:space="preserve"> </w:t>
      </w:r>
      <w:r>
        <w:t>For this audit</w:t>
      </w:r>
      <w:r w:rsidR="00BB3DA3">
        <w:t>,</w:t>
      </w:r>
      <w:r>
        <w:t xml:space="preserve"> only case count and basic demographic information of the victims was captured. </w:t>
      </w:r>
      <w:r w:rsidR="00A70D0E">
        <w:t>Further work exploring the association of COVID-19 public health measures with severity and anatomical location of the bites, and the context of the bite</w:t>
      </w:r>
      <w:r w:rsidR="004911FA">
        <w:t>,</w:t>
      </w:r>
      <w:r w:rsidR="00A70D0E">
        <w:t xml:space="preserve"> is critically important if we are to understand </w:t>
      </w:r>
      <w:r w:rsidR="004911FA">
        <w:t>why dog bites increased</w:t>
      </w:r>
      <w:r w:rsidR="00A70D0E">
        <w:t>.</w:t>
      </w:r>
      <w:r w:rsidR="00A70D0E" w:rsidRPr="00A70D0E">
        <w:t xml:space="preserve"> </w:t>
      </w:r>
      <w:r w:rsidR="00A70D0E">
        <w:t xml:space="preserve">The variable ‘COVID-19 Public Health Measures’ encompasses a complex range of measures varying in timing and likely impact. </w:t>
      </w:r>
      <w:r w:rsidR="00401240">
        <w:t>It is likely that multiple confounding and interacting factors led to the increase in dog bite attendance rates</w:t>
      </w:r>
      <w:r w:rsidR="00A70D0E">
        <w:t>.</w:t>
      </w:r>
      <w:r w:rsidR="00401240">
        <w:t xml:space="preserve"> </w:t>
      </w:r>
      <w:r w:rsidR="00A70D0E">
        <w:t>I</w:t>
      </w:r>
      <w:r w:rsidR="00BB3DA3">
        <w:t>t was felt that</w:t>
      </w:r>
      <w:r w:rsidR="00401240">
        <w:t xml:space="preserve"> the pragmatic decision to choose a broad definition was justified.</w:t>
      </w:r>
      <w:r w:rsidR="00605E98" w:rsidRPr="00605E98">
        <w:t xml:space="preserve"> </w:t>
      </w:r>
      <w:r w:rsidR="00605E98">
        <w:t>All our hypotheses as to why dog bites rose are speculative, and more research is needed.</w:t>
      </w:r>
    </w:p>
    <w:p w14:paraId="25513FC0" w14:textId="2655C3F8" w:rsidR="00040262" w:rsidRDefault="00EC6523" w:rsidP="004D6BAB">
      <w:pPr>
        <w:rPr>
          <w:b/>
          <w:bCs/>
        </w:rPr>
      </w:pPr>
      <w:r w:rsidRPr="002F30E9">
        <w:rPr>
          <w:b/>
          <w:bCs/>
        </w:rPr>
        <w:t>Conclusions</w:t>
      </w:r>
      <w:r w:rsidR="00F91C3B">
        <w:rPr>
          <w:b/>
          <w:bCs/>
        </w:rPr>
        <w:t xml:space="preserve"> </w:t>
      </w:r>
    </w:p>
    <w:p w14:paraId="04E5C461" w14:textId="747CF7BA" w:rsidR="00CE3253" w:rsidRDefault="00AC7A6B" w:rsidP="006C219E">
      <w:pPr>
        <w:spacing w:line="360" w:lineRule="auto"/>
        <w:jc w:val="both"/>
      </w:pPr>
      <w:r>
        <w:t>On the 5</w:t>
      </w:r>
      <w:r w:rsidRPr="00AC7A6B">
        <w:rPr>
          <w:vertAlign w:val="superscript"/>
        </w:rPr>
        <w:t>th</w:t>
      </w:r>
      <w:r>
        <w:t xml:space="preserve"> January 2021 the UK was once again told to ‘Stay at Home’; this third</w:t>
      </w:r>
      <w:r w:rsidR="00D2727C">
        <w:t xml:space="preserve"> COVID-19</w:t>
      </w:r>
      <w:r>
        <w:t xml:space="preserve"> lockdown is expected to last at least two months. </w:t>
      </w:r>
      <w:r w:rsidR="00D2727C">
        <w:t>L</w:t>
      </w:r>
      <w:r>
        <w:t xml:space="preserve">ockdowns across the world </w:t>
      </w:r>
      <w:r w:rsidR="00D2727C">
        <w:t>will</w:t>
      </w:r>
      <w:r>
        <w:t xml:space="preserve"> continue until public health measures are successful in </w:t>
      </w:r>
      <w:r w:rsidR="00D2727C">
        <w:t xml:space="preserve">bringing the </w:t>
      </w:r>
      <w:r>
        <w:t>COVID-19</w:t>
      </w:r>
      <w:r w:rsidR="00D2727C">
        <w:t xml:space="preserve"> pandemic to an end</w:t>
      </w:r>
      <w:r>
        <w:t xml:space="preserve">. </w:t>
      </w:r>
      <w:r w:rsidR="00C55591">
        <w:t xml:space="preserve">Until </w:t>
      </w:r>
      <w:r>
        <w:t xml:space="preserve">that time, lockdowns and school closures </w:t>
      </w:r>
      <w:r w:rsidR="00C55591">
        <w:t xml:space="preserve">are likely to </w:t>
      </w:r>
      <w:r>
        <w:t>be associated with a rise in paediatric dog bites. The victims who attend emergency department</w:t>
      </w:r>
      <w:r w:rsidR="00D2727C">
        <w:t>s</w:t>
      </w:r>
      <w:r>
        <w:t xml:space="preserve"> </w:t>
      </w:r>
      <w:r w:rsidR="00C55591">
        <w:t>probably</w:t>
      </w:r>
      <w:r>
        <w:t xml:space="preserve"> </w:t>
      </w:r>
      <w:r w:rsidR="00D2727C">
        <w:t xml:space="preserve">have the most severe injuries and represent only a portion of the bitten population. There will be potentially thousands of children who </w:t>
      </w:r>
      <w:r w:rsidR="009A27E7">
        <w:t>receive</w:t>
      </w:r>
      <w:r w:rsidR="00D2727C">
        <w:t xml:space="preserve"> preventable and life changing physical and </w:t>
      </w:r>
      <w:r w:rsidR="00BB3DA3">
        <w:t>psychological</w:t>
      </w:r>
      <w:r w:rsidR="00D2727C">
        <w:t xml:space="preserve"> injuries. Urgent public health communication and education is needed to raise awareness of </w:t>
      </w:r>
      <w:r w:rsidR="00C55591">
        <w:t xml:space="preserve">increased </w:t>
      </w:r>
      <w:r w:rsidR="009A27E7">
        <w:t>dog bite</w:t>
      </w:r>
      <w:r w:rsidR="00C55591">
        <w:t xml:space="preserve"> risk </w:t>
      </w:r>
      <w:r w:rsidR="00D2727C">
        <w:t>and promo</w:t>
      </w:r>
      <w:r w:rsidR="00C55591">
        <w:t>t</w:t>
      </w:r>
      <w:r w:rsidR="00D12C34">
        <w:t>e</w:t>
      </w:r>
      <w:r w:rsidR="00D2727C">
        <w:t xml:space="preserve"> safe interactions with dogs, t</w:t>
      </w:r>
      <w:r w:rsidR="009A27E7">
        <w:t>hus</w:t>
      </w:r>
      <w:r w:rsidR="00D2727C">
        <w:t xml:space="preserve"> ensur</w:t>
      </w:r>
      <w:r w:rsidR="0092085E">
        <w:t>ing</w:t>
      </w:r>
      <w:r w:rsidR="00D2727C">
        <w:t xml:space="preserve"> that waves of dog bites do not follow strict COVID-19 public health measures.</w:t>
      </w:r>
    </w:p>
    <w:p w14:paraId="340C55D1" w14:textId="56FD07DB" w:rsidR="00DD00BB" w:rsidRDefault="00DD00BB" w:rsidP="004D6BAB"/>
    <w:p w14:paraId="6E7EFAC5" w14:textId="77777777" w:rsidR="00F51DEA" w:rsidRDefault="00F51DEA" w:rsidP="004D6BAB"/>
    <w:p w14:paraId="6D293CD5" w14:textId="6EF4C0B9" w:rsidR="003F19AB" w:rsidRPr="003F19AB" w:rsidRDefault="003F19AB" w:rsidP="00CC6111">
      <w:pPr>
        <w:spacing w:line="360" w:lineRule="auto"/>
        <w:jc w:val="both"/>
      </w:pPr>
      <w:r>
        <w:rPr>
          <w:b/>
          <w:bCs/>
        </w:rPr>
        <w:t xml:space="preserve">Acknowledgements: </w:t>
      </w:r>
      <w:r>
        <w:t xml:space="preserve">This work uses data provided by patients and collected by </w:t>
      </w:r>
      <w:r w:rsidR="00C7757E">
        <w:t>Alder Hey Children’s Hospital</w:t>
      </w:r>
      <w:r>
        <w:t xml:space="preserve"> as part of their care and support and would not be possible without access to t</w:t>
      </w:r>
      <w:r w:rsidR="004053B4">
        <w:t>hese</w:t>
      </w:r>
      <w:r>
        <w:t xml:space="preserve"> data. </w:t>
      </w:r>
      <w:r w:rsidR="00C7757E">
        <w:t>Th</w:t>
      </w:r>
      <w:r w:rsidR="004053B4">
        <w:t>ese</w:t>
      </w:r>
      <w:r w:rsidR="00C7757E">
        <w:t xml:space="preserve"> data lead to valuable improvements in research and patient care. We would like to acknowledge the staff of Alder Hey Children’s hospital who provide incredible care and support to the communities they serve. Finally, we would like to thank the Merseyside Dog Safety Partnership (</w:t>
      </w:r>
      <w:hyperlink r:id="rId7" w:history="1">
        <w:r w:rsidR="00C7757E" w:rsidRPr="0093287B">
          <w:rPr>
            <w:rStyle w:val="Hyperlink"/>
          </w:rPr>
          <w:t>https://merseydogsafe.co.uk/</w:t>
        </w:r>
      </w:hyperlink>
      <w:r w:rsidR="00C7757E">
        <w:t>) who provided excellent advice about our work, and who strive to help local communities keep their dogs, children, family and friends safe.</w:t>
      </w:r>
    </w:p>
    <w:p w14:paraId="35B4BA39" w14:textId="7CFAE48C" w:rsidR="00035C9A" w:rsidRPr="003F19AB" w:rsidRDefault="00CC6111" w:rsidP="00CC6111">
      <w:pPr>
        <w:spacing w:line="360" w:lineRule="auto"/>
        <w:jc w:val="both"/>
        <w:rPr>
          <w:b/>
          <w:bCs/>
        </w:rPr>
      </w:pPr>
      <w:r>
        <w:rPr>
          <w:b/>
          <w:bCs/>
        </w:rPr>
        <w:t>Author Contribution</w:t>
      </w:r>
      <w:r w:rsidR="00035C9A">
        <w:rPr>
          <w:b/>
          <w:bCs/>
        </w:rPr>
        <w:t>:</w:t>
      </w:r>
      <w:r w:rsidR="003F19AB">
        <w:rPr>
          <w:b/>
          <w:bCs/>
        </w:rPr>
        <w:t xml:space="preserve"> </w:t>
      </w:r>
      <w:r w:rsidR="00035C9A" w:rsidRPr="003F19AB">
        <w:t xml:space="preserve">JT, </w:t>
      </w:r>
      <w:r w:rsidR="00570DA0" w:rsidRPr="003F19AB">
        <w:t xml:space="preserve">SM, MR, and CW </w:t>
      </w:r>
      <w:r w:rsidR="003F19AB" w:rsidRPr="003F19AB">
        <w:t>conceptualised and designed the study. SM and VP collected, cleaned and anonymised the data. JT</w:t>
      </w:r>
      <w:r w:rsidR="00A70D0E">
        <w:t xml:space="preserve"> and RC</w:t>
      </w:r>
      <w:r w:rsidR="003F19AB" w:rsidRPr="003F19AB">
        <w:t xml:space="preserve"> designed and performed the data analysis. JT and CW drafted the initial manuscript. All authors reviewed and revised</w:t>
      </w:r>
      <w:r w:rsidR="003F19AB">
        <w:t xml:space="preserve"> the</w:t>
      </w:r>
      <w:r w:rsidR="003F19AB" w:rsidRPr="003F19AB">
        <w:t xml:space="preserve"> </w:t>
      </w:r>
      <w:proofErr w:type="gramStart"/>
      <w:r w:rsidR="003F19AB" w:rsidRPr="003F19AB">
        <w:t>manuscript, and</w:t>
      </w:r>
      <w:proofErr w:type="gramEnd"/>
      <w:r w:rsidR="003F19AB" w:rsidRPr="003F19AB">
        <w:t xml:space="preserve"> approved of the final submitted manuscript. </w:t>
      </w:r>
    </w:p>
    <w:p w14:paraId="2A603708" w14:textId="65C15346" w:rsidR="002759CE" w:rsidRPr="00CC6111" w:rsidRDefault="002759CE" w:rsidP="00CC6111">
      <w:pPr>
        <w:spacing w:line="360" w:lineRule="auto"/>
        <w:jc w:val="both"/>
      </w:pPr>
      <w:r>
        <w:rPr>
          <w:b/>
          <w:bCs/>
        </w:rPr>
        <w:t>Funding</w:t>
      </w:r>
      <w:r w:rsidR="00CC6111">
        <w:rPr>
          <w:b/>
          <w:bCs/>
        </w:rPr>
        <w:t xml:space="preserve">: </w:t>
      </w:r>
      <w:r w:rsidR="00CC6111">
        <w:t xml:space="preserve">The authors </w:t>
      </w:r>
      <w:r w:rsidR="003F19AB">
        <w:t>received no funding</w:t>
      </w:r>
      <w:r w:rsidR="00CC6111">
        <w:t xml:space="preserve"> for this research from any funding agency in the public, commercial or not for profit sectors.</w:t>
      </w:r>
    </w:p>
    <w:p w14:paraId="3AC5F7A4" w14:textId="6B254087" w:rsidR="002759CE" w:rsidRDefault="004F303A" w:rsidP="00CC6111">
      <w:pPr>
        <w:spacing w:line="360" w:lineRule="auto"/>
        <w:jc w:val="both"/>
      </w:pPr>
      <w:r>
        <w:rPr>
          <w:b/>
          <w:bCs/>
        </w:rPr>
        <w:lastRenderedPageBreak/>
        <w:t>Competing</w:t>
      </w:r>
      <w:r w:rsidR="002759CE">
        <w:rPr>
          <w:b/>
          <w:bCs/>
        </w:rPr>
        <w:t xml:space="preserve"> Interests</w:t>
      </w:r>
      <w:r w:rsidR="00CC6111">
        <w:rPr>
          <w:b/>
          <w:bCs/>
        </w:rPr>
        <w:t xml:space="preserve">: </w:t>
      </w:r>
      <w:r w:rsidR="00CC6111">
        <w:t>None declared</w:t>
      </w:r>
      <w:r w:rsidR="004053B4">
        <w:t xml:space="preserve"> by JT, SM, MR, VP and CW</w:t>
      </w:r>
      <w:r w:rsidR="00CC6111">
        <w:t>.</w:t>
      </w:r>
      <w:r w:rsidR="005025B2">
        <w:t xml:space="preserve"> </w:t>
      </w:r>
      <w:r w:rsidR="005025B2" w:rsidRPr="005025B2">
        <w:rPr>
          <w:rFonts w:eastAsia="Times New Roman" w:cstheme="minorHAnsi"/>
          <w:lang w:val="en" w:eastAsia="en-GB"/>
        </w:rPr>
        <w:t xml:space="preserve"> </w:t>
      </w:r>
      <w:r w:rsidR="005025B2">
        <w:rPr>
          <w:rFonts w:eastAsia="Times New Roman" w:cstheme="minorHAnsi"/>
          <w:lang w:val="en" w:eastAsia="en-GB"/>
        </w:rPr>
        <w:t>RC is employed by Dogs Trust, the UK’s largest dog welfare charity</w:t>
      </w:r>
      <w:r w:rsidR="005025B2" w:rsidRPr="00CC07BC">
        <w:rPr>
          <w:rFonts w:eastAsia="Times New Roman" w:cstheme="minorHAnsi"/>
          <w:lang w:val="en" w:eastAsia="en-GB"/>
        </w:rPr>
        <w:t xml:space="preserve">; </w:t>
      </w:r>
      <w:r w:rsidR="005025B2">
        <w:rPr>
          <w:rFonts w:eastAsia="Times New Roman" w:cstheme="minorHAnsi"/>
          <w:lang w:eastAsia="en-GB"/>
        </w:rPr>
        <w:t>Dogs Trust</w:t>
      </w:r>
      <w:r w:rsidR="005025B2" w:rsidRPr="00D81270">
        <w:rPr>
          <w:rFonts w:eastAsia="Times New Roman" w:cstheme="minorHAnsi"/>
          <w:lang w:eastAsia="en-GB"/>
        </w:rPr>
        <w:t xml:space="preserve"> had no </w:t>
      </w:r>
      <w:r w:rsidR="005025B2">
        <w:rPr>
          <w:rFonts w:eastAsia="Times New Roman" w:cstheme="minorHAnsi"/>
          <w:lang w:eastAsia="en-GB"/>
        </w:rPr>
        <w:t>influence on</w:t>
      </w:r>
      <w:r w:rsidR="005025B2" w:rsidRPr="00D81270">
        <w:rPr>
          <w:rFonts w:eastAsia="Times New Roman" w:cstheme="minorHAnsi"/>
          <w:lang w:eastAsia="en-GB"/>
        </w:rPr>
        <w:t xml:space="preserve"> the design of the study; in the collection, analyses, or interpretation of data; in the writing of the manuscript, or in the decision to publish the results.</w:t>
      </w:r>
      <w:r w:rsidR="005025B2" w:rsidRPr="00CC07BC">
        <w:rPr>
          <w:rFonts w:ascii="URWPalladioL" w:eastAsia="Times New Roman" w:hAnsi="URWPalladioL" w:cs="Times New Roman"/>
          <w:sz w:val="18"/>
          <w:szCs w:val="18"/>
          <w:lang w:eastAsia="en-GB"/>
        </w:rPr>
        <w:t xml:space="preserve"> </w:t>
      </w:r>
    </w:p>
    <w:p w14:paraId="4E30FF1E" w14:textId="77777777" w:rsidR="003F19AB" w:rsidRDefault="00CC6111" w:rsidP="00CC6111">
      <w:pPr>
        <w:spacing w:after="360" w:line="360" w:lineRule="auto"/>
        <w:jc w:val="both"/>
        <w:rPr>
          <w:rFonts w:eastAsia="Times New Roman" w:cstheme="minorHAnsi"/>
          <w:lang w:val="en" w:eastAsia="en-GB"/>
        </w:rPr>
      </w:pPr>
      <w:r w:rsidRPr="00CC6111">
        <w:rPr>
          <w:rFonts w:eastAsia="Times New Roman" w:cstheme="minorHAnsi"/>
          <w:b/>
          <w:bCs/>
          <w:lang w:val="en" w:eastAsia="en-GB"/>
        </w:rPr>
        <w:t>Patient and public involvement</w:t>
      </w:r>
      <w:r>
        <w:rPr>
          <w:rFonts w:eastAsia="Times New Roman" w:cstheme="minorHAnsi"/>
          <w:b/>
          <w:bCs/>
          <w:lang w:val="en" w:eastAsia="en-GB"/>
        </w:rPr>
        <w:t>:</w:t>
      </w:r>
      <w:r w:rsidRPr="00CC6111">
        <w:rPr>
          <w:rFonts w:eastAsia="Times New Roman" w:cstheme="minorHAnsi"/>
          <w:lang w:val="en" w:eastAsia="en-GB"/>
        </w:rPr>
        <w:t xml:space="preserve"> Patients and/or the public were not involved in the design, or conduct, or reporting, or dissemination plans of this research.</w:t>
      </w:r>
    </w:p>
    <w:p w14:paraId="4EFAA906" w14:textId="76AC61CD" w:rsidR="00CC6111" w:rsidRPr="00CC6111" w:rsidRDefault="00CC6111" w:rsidP="00CC6111">
      <w:pPr>
        <w:spacing w:after="360" w:line="360" w:lineRule="auto"/>
        <w:jc w:val="both"/>
        <w:rPr>
          <w:rFonts w:eastAsia="Times New Roman" w:cstheme="minorHAnsi"/>
          <w:lang w:val="en" w:eastAsia="en-GB"/>
        </w:rPr>
      </w:pPr>
      <w:r w:rsidRPr="00CC6111">
        <w:rPr>
          <w:rFonts w:eastAsia="Times New Roman" w:cstheme="minorHAnsi"/>
          <w:b/>
          <w:bCs/>
          <w:lang w:val="en" w:eastAsia="en-GB"/>
        </w:rPr>
        <w:t>Patient consent for publication</w:t>
      </w:r>
      <w:r>
        <w:rPr>
          <w:rFonts w:eastAsia="Times New Roman" w:cstheme="minorHAnsi"/>
          <w:lang w:val="en" w:eastAsia="en-GB"/>
        </w:rPr>
        <w:t>:</w:t>
      </w:r>
      <w:r w:rsidRPr="00CC6111">
        <w:rPr>
          <w:rFonts w:eastAsia="Times New Roman" w:cstheme="minorHAnsi"/>
          <w:lang w:val="en" w:eastAsia="en-GB"/>
        </w:rPr>
        <w:t xml:space="preserve"> Not required.</w:t>
      </w:r>
    </w:p>
    <w:p w14:paraId="0958F609" w14:textId="5CDBF976" w:rsidR="00CC6111" w:rsidRPr="005C6BC5" w:rsidRDefault="00CC6111" w:rsidP="00CC6111">
      <w:pPr>
        <w:spacing w:after="360" w:line="360" w:lineRule="auto"/>
        <w:jc w:val="both"/>
        <w:rPr>
          <w:rFonts w:cstheme="minorHAnsi"/>
        </w:rPr>
      </w:pPr>
      <w:r w:rsidRPr="00CC6111">
        <w:rPr>
          <w:rFonts w:eastAsia="Times New Roman" w:cstheme="minorHAnsi"/>
          <w:b/>
          <w:bCs/>
          <w:lang w:val="en" w:eastAsia="en-GB"/>
        </w:rPr>
        <w:t>Ethics approval</w:t>
      </w:r>
      <w:r>
        <w:rPr>
          <w:rFonts w:eastAsia="Times New Roman" w:cstheme="minorHAnsi"/>
          <w:b/>
          <w:bCs/>
          <w:lang w:val="en" w:eastAsia="en-GB"/>
        </w:rPr>
        <w:t>:</w:t>
      </w:r>
      <w:r w:rsidRPr="00CC6111">
        <w:rPr>
          <w:rFonts w:eastAsia="Times New Roman" w:cstheme="minorHAnsi"/>
          <w:lang w:val="en" w:eastAsia="en-GB"/>
        </w:rPr>
        <w:t xml:space="preserve"> </w:t>
      </w:r>
      <w:r w:rsidRPr="00CC6111">
        <w:rPr>
          <w:rFonts w:cstheme="minorHAnsi"/>
        </w:rPr>
        <w:t>The study was defined as clinical audit and as such Research Ethics Committee Review was not ne</w:t>
      </w:r>
      <w:r>
        <w:rPr>
          <w:rFonts w:cstheme="minorHAnsi"/>
        </w:rPr>
        <w:t>cessary</w:t>
      </w:r>
      <w:r w:rsidRPr="00CC6111">
        <w:rPr>
          <w:rFonts w:cstheme="minorHAnsi"/>
        </w:rPr>
        <w:t>.</w:t>
      </w:r>
      <w:r w:rsidR="005C6BC5">
        <w:rPr>
          <w:rFonts w:cstheme="minorHAnsi"/>
        </w:rPr>
        <w:t xml:space="preserve"> </w:t>
      </w:r>
      <w:r w:rsidR="00A70D0E">
        <w:rPr>
          <w:rFonts w:cstheme="minorHAnsi"/>
        </w:rPr>
        <w:t xml:space="preserve">The audit was approved by the Alder Hey </w:t>
      </w:r>
      <w:r w:rsidR="005C6BC5">
        <w:rPr>
          <w:rFonts w:cstheme="minorHAnsi"/>
        </w:rPr>
        <w:t xml:space="preserve">Children’s NHS Foundation </w:t>
      </w:r>
      <w:r w:rsidR="005C6BC5" w:rsidRPr="005C6BC5">
        <w:rPr>
          <w:rFonts w:cstheme="minorHAnsi"/>
        </w:rPr>
        <w:t>Trust (Audit Reference Number: 6193).</w:t>
      </w:r>
    </w:p>
    <w:p w14:paraId="44C2A64B" w14:textId="79AD2DB9" w:rsidR="00AC7A6B" w:rsidRPr="00566014" w:rsidRDefault="002759CE" w:rsidP="00CC6111">
      <w:pPr>
        <w:spacing w:line="360" w:lineRule="auto"/>
        <w:jc w:val="both"/>
        <w:rPr>
          <w:rFonts w:cstheme="minorHAnsi"/>
          <w:b/>
          <w:bCs/>
        </w:rPr>
      </w:pPr>
      <w:r w:rsidRPr="005C6BC5">
        <w:rPr>
          <w:rFonts w:cstheme="minorHAnsi"/>
          <w:b/>
          <w:bCs/>
        </w:rPr>
        <w:t xml:space="preserve">Data </w:t>
      </w:r>
      <w:r w:rsidR="003F19AB" w:rsidRPr="005C6BC5">
        <w:rPr>
          <w:rFonts w:cstheme="minorHAnsi"/>
          <w:b/>
          <w:bCs/>
        </w:rPr>
        <w:t>availability statement:</w:t>
      </w:r>
      <w:r w:rsidR="005C6BC5" w:rsidRPr="005C6BC5">
        <w:rPr>
          <w:rFonts w:cstheme="minorHAnsi"/>
          <w:color w:val="333333"/>
          <w:lang w:val="en"/>
        </w:rPr>
        <w:t xml:space="preserve"> Data are available on reasonable request.</w:t>
      </w:r>
    </w:p>
    <w:p w14:paraId="1F3B0D9B" w14:textId="0BE12C51" w:rsidR="005C6BC5" w:rsidRDefault="005C6BC5" w:rsidP="00CC6111">
      <w:pPr>
        <w:spacing w:line="360" w:lineRule="auto"/>
        <w:jc w:val="both"/>
        <w:rPr>
          <w:b/>
        </w:rPr>
      </w:pPr>
    </w:p>
    <w:p w14:paraId="2BECAE8A" w14:textId="77777777" w:rsidR="0050325F" w:rsidRDefault="0050325F" w:rsidP="00CC6111">
      <w:pPr>
        <w:spacing w:line="360" w:lineRule="auto"/>
        <w:jc w:val="both"/>
        <w:rPr>
          <w:b/>
        </w:rPr>
      </w:pPr>
    </w:p>
    <w:p w14:paraId="07E91875" w14:textId="32D8DDD3" w:rsidR="00877FF1" w:rsidRDefault="00877FF1" w:rsidP="00CC6111">
      <w:pPr>
        <w:spacing w:line="360" w:lineRule="auto"/>
        <w:jc w:val="both"/>
        <w:rPr>
          <w:b/>
        </w:rPr>
      </w:pPr>
      <w:r>
        <w:rPr>
          <w:b/>
        </w:rPr>
        <w:t>References</w:t>
      </w:r>
    </w:p>
    <w:p w14:paraId="6CB3E8BF" w14:textId="6D155DFF" w:rsidR="003505C7" w:rsidRPr="003505C7" w:rsidRDefault="005408ED" w:rsidP="003505C7">
      <w:pPr>
        <w:widowControl w:val="0"/>
        <w:autoSpaceDE w:val="0"/>
        <w:autoSpaceDN w:val="0"/>
        <w:adjustRightInd w:val="0"/>
        <w:spacing w:line="360" w:lineRule="auto"/>
        <w:ind w:left="640" w:hanging="64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003505C7" w:rsidRPr="003505C7">
        <w:rPr>
          <w:rFonts w:ascii="Calibri" w:hAnsi="Calibri" w:cs="Calibri"/>
          <w:noProof/>
          <w:szCs w:val="24"/>
        </w:rPr>
        <w:t xml:space="preserve">1 </w:t>
      </w:r>
      <w:r w:rsidR="003505C7" w:rsidRPr="003505C7">
        <w:rPr>
          <w:rFonts w:ascii="Calibri" w:hAnsi="Calibri" w:cs="Calibri"/>
          <w:noProof/>
          <w:szCs w:val="24"/>
        </w:rPr>
        <w:tab/>
      </w:r>
      <w:r w:rsidR="0050325F" w:rsidRPr="00226C89">
        <w:rPr>
          <w:rFonts w:ascii="Calibri" w:hAnsi="Calibri" w:cs="Calibri"/>
          <w:noProof/>
          <w:szCs w:val="24"/>
        </w:rPr>
        <w:t xml:space="preserve">Chaiyachati BH, Agawu A, Zorc JJ, </w:t>
      </w:r>
      <w:r w:rsidR="0050325F" w:rsidRPr="001427D1">
        <w:rPr>
          <w:rFonts w:ascii="Calibri" w:hAnsi="Calibri" w:cs="Calibri"/>
          <w:noProof/>
          <w:szCs w:val="24"/>
        </w:rPr>
        <w:t>et al.</w:t>
      </w:r>
      <w:r w:rsidR="0050325F" w:rsidRPr="00226C89">
        <w:rPr>
          <w:rFonts w:ascii="Calibri" w:hAnsi="Calibri" w:cs="Calibri"/>
          <w:noProof/>
          <w:szCs w:val="24"/>
        </w:rPr>
        <w:t xml:space="preserve"> Trends in </w:t>
      </w:r>
      <w:r w:rsidR="0050325F">
        <w:rPr>
          <w:rFonts w:ascii="Calibri" w:hAnsi="Calibri" w:cs="Calibri"/>
          <w:noProof/>
          <w:szCs w:val="24"/>
        </w:rPr>
        <w:t>p</w:t>
      </w:r>
      <w:r w:rsidR="0050325F" w:rsidRPr="00226C89">
        <w:rPr>
          <w:rFonts w:ascii="Calibri" w:hAnsi="Calibri" w:cs="Calibri"/>
          <w:noProof/>
          <w:szCs w:val="24"/>
        </w:rPr>
        <w:t xml:space="preserve">ediatric </w:t>
      </w:r>
      <w:r w:rsidR="0050325F">
        <w:rPr>
          <w:rFonts w:ascii="Calibri" w:hAnsi="Calibri" w:cs="Calibri"/>
          <w:noProof/>
          <w:szCs w:val="24"/>
        </w:rPr>
        <w:t>e</w:t>
      </w:r>
      <w:r w:rsidR="0050325F" w:rsidRPr="00226C89">
        <w:rPr>
          <w:rFonts w:ascii="Calibri" w:hAnsi="Calibri" w:cs="Calibri"/>
          <w:noProof/>
          <w:szCs w:val="24"/>
        </w:rPr>
        <w:t xml:space="preserve">mergency </w:t>
      </w:r>
      <w:r w:rsidR="0050325F">
        <w:rPr>
          <w:rFonts w:ascii="Calibri" w:hAnsi="Calibri" w:cs="Calibri"/>
          <w:noProof/>
          <w:szCs w:val="24"/>
        </w:rPr>
        <w:t>d</w:t>
      </w:r>
      <w:r w:rsidR="0050325F" w:rsidRPr="00226C89">
        <w:rPr>
          <w:rFonts w:ascii="Calibri" w:hAnsi="Calibri" w:cs="Calibri"/>
          <w:noProof/>
          <w:szCs w:val="24"/>
        </w:rPr>
        <w:t xml:space="preserve">epartment </w:t>
      </w:r>
      <w:r w:rsidR="0050325F">
        <w:rPr>
          <w:rFonts w:ascii="Calibri" w:hAnsi="Calibri" w:cs="Calibri"/>
          <w:noProof/>
          <w:szCs w:val="24"/>
        </w:rPr>
        <w:t>u</w:t>
      </w:r>
      <w:r w:rsidR="0050325F" w:rsidRPr="00226C89">
        <w:rPr>
          <w:rFonts w:ascii="Calibri" w:hAnsi="Calibri" w:cs="Calibri"/>
          <w:noProof/>
          <w:szCs w:val="24"/>
        </w:rPr>
        <w:t xml:space="preserve">tilization after </w:t>
      </w:r>
      <w:r w:rsidR="0050325F">
        <w:rPr>
          <w:rFonts w:ascii="Calibri" w:hAnsi="Calibri" w:cs="Calibri"/>
          <w:noProof/>
          <w:szCs w:val="24"/>
        </w:rPr>
        <w:t>i</w:t>
      </w:r>
      <w:r w:rsidR="0050325F" w:rsidRPr="00226C89">
        <w:rPr>
          <w:rFonts w:ascii="Calibri" w:hAnsi="Calibri" w:cs="Calibri"/>
          <w:noProof/>
          <w:szCs w:val="24"/>
        </w:rPr>
        <w:t xml:space="preserve">nstitution of Coronavirus Disease-19 </w:t>
      </w:r>
      <w:r w:rsidR="0050325F">
        <w:rPr>
          <w:rFonts w:ascii="Calibri" w:hAnsi="Calibri" w:cs="Calibri"/>
          <w:noProof/>
          <w:szCs w:val="24"/>
        </w:rPr>
        <w:t>m</w:t>
      </w:r>
      <w:r w:rsidR="0050325F" w:rsidRPr="00226C89">
        <w:rPr>
          <w:rFonts w:ascii="Calibri" w:hAnsi="Calibri" w:cs="Calibri"/>
          <w:noProof/>
          <w:szCs w:val="24"/>
        </w:rPr>
        <w:t xml:space="preserve">andatory </w:t>
      </w:r>
      <w:r w:rsidR="0050325F">
        <w:rPr>
          <w:rFonts w:ascii="Calibri" w:hAnsi="Calibri" w:cs="Calibri"/>
          <w:noProof/>
          <w:szCs w:val="24"/>
        </w:rPr>
        <w:t>s</w:t>
      </w:r>
      <w:r w:rsidR="0050325F" w:rsidRPr="00226C89">
        <w:rPr>
          <w:rFonts w:ascii="Calibri" w:hAnsi="Calibri" w:cs="Calibri"/>
          <w:noProof/>
          <w:szCs w:val="24"/>
        </w:rPr>
        <w:t xml:space="preserve">ocial </w:t>
      </w:r>
      <w:r w:rsidR="0050325F">
        <w:rPr>
          <w:rFonts w:ascii="Calibri" w:hAnsi="Calibri" w:cs="Calibri"/>
          <w:noProof/>
          <w:szCs w:val="24"/>
        </w:rPr>
        <w:t>d</w:t>
      </w:r>
      <w:r w:rsidR="0050325F" w:rsidRPr="00226C89">
        <w:rPr>
          <w:rFonts w:ascii="Calibri" w:hAnsi="Calibri" w:cs="Calibri"/>
          <w:noProof/>
          <w:szCs w:val="24"/>
        </w:rPr>
        <w:t xml:space="preserve">istancing. </w:t>
      </w:r>
      <w:r w:rsidR="0050325F" w:rsidRPr="00226C89">
        <w:rPr>
          <w:rFonts w:ascii="Calibri" w:hAnsi="Calibri" w:cs="Calibri"/>
          <w:i/>
          <w:iCs/>
          <w:noProof/>
          <w:szCs w:val="24"/>
        </w:rPr>
        <w:t>J Pediatr</w:t>
      </w:r>
      <w:r w:rsidR="0050325F" w:rsidRPr="00226C89">
        <w:rPr>
          <w:rFonts w:ascii="Calibri" w:hAnsi="Calibri" w:cs="Calibri"/>
          <w:noProof/>
          <w:szCs w:val="24"/>
        </w:rPr>
        <w:t xml:space="preserve"> 2020;</w:t>
      </w:r>
      <w:r w:rsidR="0050325F" w:rsidRPr="001427D1">
        <w:rPr>
          <w:rFonts w:ascii="Calibri" w:hAnsi="Calibri" w:cs="Calibri"/>
          <w:noProof/>
          <w:szCs w:val="24"/>
        </w:rPr>
        <w:t>226</w:t>
      </w:r>
      <w:r w:rsidR="0050325F" w:rsidRPr="00226C89">
        <w:rPr>
          <w:rFonts w:ascii="Calibri" w:hAnsi="Calibri" w:cs="Calibri"/>
          <w:noProof/>
          <w:szCs w:val="24"/>
        </w:rPr>
        <w:t>:274-277.e1. doi:10.1016/j.jpeds.2020.07.048</w:t>
      </w:r>
      <w:r w:rsidR="0050325F">
        <w:rPr>
          <w:rFonts w:ascii="Calibri" w:hAnsi="Calibri" w:cs="Calibri"/>
          <w:noProof/>
          <w:szCs w:val="24"/>
        </w:rPr>
        <w:t xml:space="preserve"> [published Online First: 20 July 2020]</w:t>
      </w:r>
    </w:p>
    <w:p w14:paraId="4CF4CFE9" w14:textId="7156214A"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 </w:t>
      </w:r>
      <w:r w:rsidRPr="003505C7">
        <w:rPr>
          <w:rFonts w:ascii="Calibri" w:hAnsi="Calibri" w:cs="Calibri"/>
          <w:noProof/>
          <w:szCs w:val="24"/>
        </w:rPr>
        <w:tab/>
      </w:r>
      <w:r w:rsidR="0050325F" w:rsidRPr="00226C89">
        <w:rPr>
          <w:rFonts w:ascii="Calibri" w:hAnsi="Calibri" w:cs="Calibri"/>
          <w:noProof/>
          <w:szCs w:val="24"/>
        </w:rPr>
        <w:t xml:space="preserve">Keays G, Freeman D, Gagnon I. Injuries in the time of COVID-19. </w:t>
      </w:r>
      <w:r w:rsidR="0050325F" w:rsidRPr="00226C89">
        <w:rPr>
          <w:rFonts w:ascii="Calibri" w:hAnsi="Calibri" w:cs="Calibri"/>
          <w:i/>
          <w:iCs/>
          <w:noProof/>
          <w:szCs w:val="24"/>
        </w:rPr>
        <w:t>Heal Promot Chronic Dis Prev Canada</w:t>
      </w:r>
      <w:r w:rsidR="0050325F" w:rsidRPr="00226C89">
        <w:rPr>
          <w:rFonts w:ascii="Calibri" w:hAnsi="Calibri" w:cs="Calibri"/>
          <w:noProof/>
          <w:szCs w:val="24"/>
        </w:rPr>
        <w:t xml:space="preserve"> 2020;</w:t>
      </w:r>
      <w:r w:rsidR="0050325F" w:rsidRPr="001427D1">
        <w:rPr>
          <w:rFonts w:ascii="Calibri" w:hAnsi="Calibri" w:cs="Calibri"/>
          <w:noProof/>
          <w:szCs w:val="24"/>
        </w:rPr>
        <w:t>40:</w:t>
      </w:r>
      <w:r w:rsidR="0050325F" w:rsidRPr="00226C89">
        <w:rPr>
          <w:rFonts w:ascii="Calibri" w:hAnsi="Calibri" w:cs="Calibri"/>
          <w:noProof/>
          <w:szCs w:val="24"/>
        </w:rPr>
        <w:t>336–41. doi:10.24095/hpcdp.40.11/12.02</w:t>
      </w:r>
      <w:r w:rsidR="0050325F">
        <w:rPr>
          <w:rFonts w:ascii="Calibri" w:hAnsi="Calibri" w:cs="Calibri"/>
          <w:noProof/>
          <w:szCs w:val="24"/>
        </w:rPr>
        <w:t xml:space="preserve"> [published Online First: 11 Sept 2020]</w:t>
      </w:r>
    </w:p>
    <w:p w14:paraId="66D90678" w14:textId="72C9D655" w:rsidR="003505C7" w:rsidRPr="003505C7" w:rsidRDefault="003505C7" w:rsidP="0050325F">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 </w:t>
      </w:r>
      <w:r w:rsidRPr="003505C7">
        <w:rPr>
          <w:rFonts w:ascii="Calibri" w:hAnsi="Calibri" w:cs="Calibri"/>
          <w:noProof/>
          <w:szCs w:val="24"/>
        </w:rPr>
        <w:tab/>
      </w:r>
      <w:r w:rsidR="0050325F" w:rsidRPr="00226C89">
        <w:rPr>
          <w:rFonts w:ascii="Calibri" w:hAnsi="Calibri" w:cs="Calibri"/>
          <w:noProof/>
          <w:szCs w:val="24"/>
        </w:rPr>
        <w:t xml:space="preserve">McDonnell T, Nicholson E, Conlon C, </w:t>
      </w:r>
      <w:r w:rsidR="0050325F" w:rsidRPr="001427D1">
        <w:rPr>
          <w:rFonts w:ascii="Calibri" w:hAnsi="Calibri" w:cs="Calibri"/>
          <w:noProof/>
          <w:szCs w:val="24"/>
        </w:rPr>
        <w:t>et al.</w:t>
      </w:r>
      <w:r w:rsidR="0050325F" w:rsidRPr="00226C89">
        <w:rPr>
          <w:rFonts w:ascii="Calibri" w:hAnsi="Calibri" w:cs="Calibri"/>
          <w:noProof/>
          <w:szCs w:val="24"/>
        </w:rPr>
        <w:t xml:space="preserve"> Assessing the impact of COVID-19 public health stages on paediatric emergency attendance. </w:t>
      </w:r>
      <w:r w:rsidR="0050325F" w:rsidRPr="00226C89">
        <w:rPr>
          <w:rFonts w:ascii="Calibri" w:hAnsi="Calibri" w:cs="Calibri"/>
          <w:i/>
          <w:iCs/>
          <w:noProof/>
          <w:szCs w:val="24"/>
        </w:rPr>
        <w:t>Int J Environ Res Public Health</w:t>
      </w:r>
      <w:r w:rsidR="0050325F" w:rsidRPr="00226C89">
        <w:rPr>
          <w:rFonts w:ascii="Calibri" w:hAnsi="Calibri" w:cs="Calibri"/>
          <w:noProof/>
          <w:szCs w:val="24"/>
        </w:rPr>
        <w:t xml:space="preserve"> 2020;</w:t>
      </w:r>
      <w:r w:rsidR="0050325F" w:rsidRPr="001427D1">
        <w:rPr>
          <w:rFonts w:ascii="Calibri" w:hAnsi="Calibri" w:cs="Calibri"/>
          <w:noProof/>
          <w:szCs w:val="24"/>
        </w:rPr>
        <w:t>17</w:t>
      </w:r>
      <w:r w:rsidR="0050325F" w:rsidRPr="00226C89">
        <w:rPr>
          <w:rFonts w:ascii="Calibri" w:hAnsi="Calibri" w:cs="Calibri"/>
          <w:noProof/>
          <w:szCs w:val="24"/>
        </w:rPr>
        <w:t>:</w:t>
      </w:r>
      <w:r w:rsidR="0050325F">
        <w:rPr>
          <w:rFonts w:ascii="Calibri" w:hAnsi="Calibri" w:cs="Calibri"/>
          <w:noProof/>
          <w:szCs w:val="24"/>
        </w:rPr>
        <w:t>6719</w:t>
      </w:r>
      <w:r w:rsidR="0050325F" w:rsidRPr="00226C89">
        <w:rPr>
          <w:rFonts w:ascii="Calibri" w:hAnsi="Calibri" w:cs="Calibri"/>
          <w:noProof/>
          <w:szCs w:val="24"/>
        </w:rPr>
        <w:t>. doi:10.3390/ijerph17186719</w:t>
      </w:r>
      <w:r w:rsidR="0050325F">
        <w:rPr>
          <w:rFonts w:ascii="Calibri" w:hAnsi="Calibri" w:cs="Calibri"/>
          <w:noProof/>
          <w:szCs w:val="24"/>
        </w:rPr>
        <w:t xml:space="preserve"> [published Online First: 15 Sept 2020]</w:t>
      </w:r>
    </w:p>
    <w:p w14:paraId="2EDA07DB" w14:textId="1643DD65"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A3A0C">
        <w:rPr>
          <w:rFonts w:ascii="Calibri" w:hAnsi="Calibri" w:cs="Calibri"/>
          <w:noProof/>
          <w:szCs w:val="24"/>
        </w:rPr>
        <w:t xml:space="preserve">4 </w:t>
      </w:r>
      <w:r w:rsidRPr="003A3A0C">
        <w:rPr>
          <w:rFonts w:ascii="Calibri" w:hAnsi="Calibri" w:cs="Calibri"/>
          <w:noProof/>
          <w:szCs w:val="24"/>
        </w:rPr>
        <w:tab/>
      </w:r>
      <w:r w:rsidR="0050325F" w:rsidRPr="003A3A0C">
        <w:rPr>
          <w:rFonts w:ascii="Calibri" w:hAnsi="Calibri" w:cs="Calibri"/>
          <w:noProof/>
          <w:szCs w:val="24"/>
        </w:rPr>
        <w:t xml:space="preserve">Tulloch JSP, Owczarczak-Garstecka SC, Fleming KM, </w:t>
      </w:r>
      <w:r w:rsidR="0050325F" w:rsidRPr="003A3A0C">
        <w:rPr>
          <w:rFonts w:ascii="Calibri" w:hAnsi="Calibri" w:cs="Calibri"/>
          <w:i/>
          <w:iCs/>
          <w:noProof/>
          <w:szCs w:val="24"/>
        </w:rPr>
        <w:t>et al.</w:t>
      </w:r>
      <w:r w:rsidR="0050325F" w:rsidRPr="003A3A0C">
        <w:rPr>
          <w:rFonts w:ascii="Calibri" w:hAnsi="Calibri" w:cs="Calibri"/>
          <w:noProof/>
          <w:szCs w:val="24"/>
        </w:rPr>
        <w:t xml:space="preserve"> </w:t>
      </w:r>
      <w:r w:rsidR="0050325F" w:rsidRPr="00226C89">
        <w:rPr>
          <w:rFonts w:ascii="Calibri" w:hAnsi="Calibri" w:cs="Calibri"/>
          <w:noProof/>
          <w:szCs w:val="24"/>
        </w:rPr>
        <w:t xml:space="preserve">English hospital episode data analysis (1998 – 2018) reveal that the rise in dog bite hospital admissions is driven by adult cases. </w:t>
      </w:r>
      <w:r w:rsidR="0050325F" w:rsidRPr="00226C89">
        <w:rPr>
          <w:rFonts w:ascii="Calibri" w:hAnsi="Calibri" w:cs="Calibri"/>
          <w:i/>
          <w:iCs/>
          <w:noProof/>
          <w:szCs w:val="24"/>
        </w:rPr>
        <w:t>Sci Rep</w:t>
      </w:r>
      <w:r w:rsidR="0050325F" w:rsidRPr="00226C89">
        <w:rPr>
          <w:rFonts w:ascii="Calibri" w:hAnsi="Calibri" w:cs="Calibri"/>
          <w:noProof/>
          <w:szCs w:val="24"/>
        </w:rPr>
        <w:t xml:space="preserve"> 2021</w:t>
      </w:r>
      <w:r w:rsidR="0050325F">
        <w:rPr>
          <w:rFonts w:ascii="Calibri" w:hAnsi="Calibri" w:cs="Calibri"/>
          <w:noProof/>
          <w:szCs w:val="24"/>
        </w:rPr>
        <w:t>;11:1767</w:t>
      </w:r>
      <w:r w:rsidR="0050325F" w:rsidRPr="00226C89">
        <w:rPr>
          <w:rFonts w:ascii="Calibri" w:hAnsi="Calibri" w:cs="Calibri"/>
          <w:noProof/>
          <w:szCs w:val="24"/>
        </w:rPr>
        <w:t>.</w:t>
      </w:r>
      <w:r w:rsidR="0050325F">
        <w:rPr>
          <w:rFonts w:ascii="Calibri" w:hAnsi="Calibri" w:cs="Calibri"/>
          <w:noProof/>
          <w:szCs w:val="24"/>
        </w:rPr>
        <w:t xml:space="preserve"> </w:t>
      </w:r>
      <w:r w:rsidR="0050325F" w:rsidRPr="00CD60BA">
        <w:rPr>
          <w:rFonts w:ascii="Calibri" w:hAnsi="Calibri" w:cs="Calibri"/>
          <w:noProof/>
          <w:szCs w:val="24"/>
        </w:rPr>
        <w:t>doi: 10.1038/s41598-021-81527-7</w:t>
      </w:r>
      <w:r w:rsidR="0050325F">
        <w:rPr>
          <w:rFonts w:ascii="Calibri" w:hAnsi="Calibri" w:cs="Calibri"/>
          <w:noProof/>
          <w:szCs w:val="24"/>
        </w:rPr>
        <w:t xml:space="preserve"> [published Online First: 19 Jan 2021]</w:t>
      </w:r>
    </w:p>
    <w:p w14:paraId="7D6C235D" w14:textId="49D1B853"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5 </w:t>
      </w:r>
      <w:r w:rsidRPr="003505C7">
        <w:rPr>
          <w:rFonts w:ascii="Calibri" w:hAnsi="Calibri" w:cs="Calibri"/>
          <w:noProof/>
          <w:szCs w:val="24"/>
        </w:rPr>
        <w:tab/>
      </w:r>
      <w:r w:rsidR="0050325F" w:rsidRPr="00226C89">
        <w:rPr>
          <w:rFonts w:ascii="Calibri" w:hAnsi="Calibri" w:cs="Calibri"/>
          <w:noProof/>
          <w:szCs w:val="24"/>
        </w:rPr>
        <w:t xml:space="preserve">Morgan M, Palmer J. Dog bites. </w:t>
      </w:r>
      <w:r w:rsidR="0050325F" w:rsidRPr="00226C89">
        <w:rPr>
          <w:rFonts w:ascii="Calibri" w:hAnsi="Calibri" w:cs="Calibri"/>
          <w:i/>
          <w:iCs/>
          <w:noProof/>
          <w:szCs w:val="24"/>
        </w:rPr>
        <w:t>BMJ</w:t>
      </w:r>
      <w:r w:rsidR="0050325F" w:rsidRPr="00226C89">
        <w:rPr>
          <w:rFonts w:ascii="Calibri" w:hAnsi="Calibri" w:cs="Calibri"/>
          <w:noProof/>
          <w:szCs w:val="24"/>
        </w:rPr>
        <w:t xml:space="preserve"> 2007;</w:t>
      </w:r>
      <w:r w:rsidR="0050325F" w:rsidRPr="00CD60BA">
        <w:rPr>
          <w:rFonts w:ascii="Calibri" w:hAnsi="Calibri" w:cs="Calibri"/>
          <w:noProof/>
          <w:szCs w:val="24"/>
        </w:rPr>
        <w:t>334</w:t>
      </w:r>
      <w:r w:rsidR="0050325F" w:rsidRPr="00226C89">
        <w:rPr>
          <w:rFonts w:ascii="Calibri" w:hAnsi="Calibri" w:cs="Calibri"/>
          <w:noProof/>
          <w:szCs w:val="24"/>
        </w:rPr>
        <w:t>:413. doi:10.1136/bmj.39105.659919.BE</w:t>
      </w:r>
      <w:r w:rsidR="0050325F">
        <w:rPr>
          <w:rFonts w:ascii="Calibri" w:hAnsi="Calibri" w:cs="Calibri"/>
          <w:noProof/>
          <w:szCs w:val="24"/>
        </w:rPr>
        <w:t xml:space="preserve"> </w:t>
      </w:r>
      <w:r w:rsidR="0050325F">
        <w:rPr>
          <w:rFonts w:ascii="Calibri" w:hAnsi="Calibri" w:cs="Calibri"/>
          <w:noProof/>
          <w:szCs w:val="24"/>
        </w:rPr>
        <w:lastRenderedPageBreak/>
        <w:t>[published Online First: Feb 22 2007]</w:t>
      </w:r>
    </w:p>
    <w:p w14:paraId="38959993" w14:textId="4DFAFFB3"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6 </w:t>
      </w:r>
      <w:r w:rsidRPr="003505C7">
        <w:rPr>
          <w:rFonts w:ascii="Calibri" w:hAnsi="Calibri" w:cs="Calibri"/>
          <w:noProof/>
          <w:szCs w:val="24"/>
        </w:rPr>
        <w:tab/>
      </w:r>
      <w:r w:rsidR="0050325F" w:rsidRPr="00226C89">
        <w:rPr>
          <w:rFonts w:ascii="Calibri" w:hAnsi="Calibri" w:cs="Calibri"/>
          <w:noProof/>
          <w:szCs w:val="24"/>
        </w:rPr>
        <w:t xml:space="preserve">Rollett R, Clancy R, Taib BG, </w:t>
      </w:r>
      <w:r w:rsidR="0050325F" w:rsidRPr="00226C89">
        <w:rPr>
          <w:rFonts w:ascii="Calibri" w:hAnsi="Calibri" w:cs="Calibri"/>
          <w:i/>
          <w:iCs/>
          <w:noProof/>
          <w:szCs w:val="24"/>
        </w:rPr>
        <w:t>et al.</w:t>
      </w:r>
      <w:r w:rsidR="0050325F" w:rsidRPr="00226C89">
        <w:rPr>
          <w:rFonts w:ascii="Calibri" w:hAnsi="Calibri" w:cs="Calibri"/>
          <w:noProof/>
          <w:szCs w:val="24"/>
        </w:rPr>
        <w:t xml:space="preserve"> RE: Not a plastic surgeon’s best friend: Dog bites an increasing burden on UK plastic surgery services. </w:t>
      </w:r>
      <w:r w:rsidR="0050325F" w:rsidRPr="00226C89">
        <w:rPr>
          <w:rFonts w:ascii="Calibri" w:hAnsi="Calibri" w:cs="Calibri"/>
          <w:i/>
          <w:iCs/>
          <w:noProof/>
          <w:szCs w:val="24"/>
        </w:rPr>
        <w:t>J Plast Reconstr Aesthetic Surg</w:t>
      </w:r>
      <w:r w:rsidR="0050325F" w:rsidRPr="00226C89">
        <w:rPr>
          <w:rFonts w:ascii="Calibri" w:hAnsi="Calibri" w:cs="Calibri"/>
          <w:noProof/>
          <w:szCs w:val="24"/>
        </w:rPr>
        <w:t xml:space="preserve"> 2019;</w:t>
      </w:r>
      <w:r w:rsidR="0050325F" w:rsidRPr="00CD60BA">
        <w:rPr>
          <w:rFonts w:ascii="Calibri" w:hAnsi="Calibri" w:cs="Calibri"/>
          <w:noProof/>
          <w:szCs w:val="24"/>
        </w:rPr>
        <w:t>72</w:t>
      </w:r>
      <w:r w:rsidR="0050325F" w:rsidRPr="00226C89">
        <w:rPr>
          <w:rFonts w:ascii="Calibri" w:hAnsi="Calibri" w:cs="Calibri"/>
          <w:noProof/>
          <w:szCs w:val="24"/>
        </w:rPr>
        <w:t>:685–710. doi:10.1016/j.bjps.2018.12.053</w:t>
      </w:r>
      <w:r w:rsidR="0050325F">
        <w:rPr>
          <w:rFonts w:ascii="Calibri" w:hAnsi="Calibri" w:cs="Calibri"/>
          <w:noProof/>
          <w:szCs w:val="24"/>
        </w:rPr>
        <w:t xml:space="preserve"> [published Online First: 15 Jan 2019]</w:t>
      </w:r>
    </w:p>
    <w:p w14:paraId="5E3180BB" w14:textId="15A5BFCE"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7 </w:t>
      </w:r>
      <w:r w:rsidRPr="003505C7">
        <w:rPr>
          <w:rFonts w:ascii="Calibri" w:hAnsi="Calibri" w:cs="Calibri"/>
          <w:noProof/>
          <w:szCs w:val="24"/>
        </w:rPr>
        <w:tab/>
      </w:r>
      <w:r w:rsidR="0050325F" w:rsidRPr="00226C89">
        <w:rPr>
          <w:rFonts w:ascii="Calibri" w:hAnsi="Calibri" w:cs="Calibri"/>
          <w:noProof/>
          <w:szCs w:val="24"/>
        </w:rPr>
        <w:t xml:space="preserve">Mannion CJ, Graham A. Dog bite injuries in hospital practice. </w:t>
      </w:r>
      <w:r w:rsidR="0050325F" w:rsidRPr="00226C89">
        <w:rPr>
          <w:rFonts w:ascii="Calibri" w:hAnsi="Calibri" w:cs="Calibri"/>
          <w:i/>
          <w:iCs/>
          <w:noProof/>
          <w:szCs w:val="24"/>
        </w:rPr>
        <w:t>Br J Hosp Med</w:t>
      </w:r>
      <w:r w:rsidR="0050325F" w:rsidRPr="00226C89">
        <w:rPr>
          <w:rFonts w:ascii="Calibri" w:hAnsi="Calibri" w:cs="Calibri"/>
          <w:noProof/>
          <w:szCs w:val="24"/>
        </w:rPr>
        <w:t xml:space="preserve"> 2016;</w:t>
      </w:r>
      <w:r w:rsidR="0050325F" w:rsidRPr="00CD60BA">
        <w:rPr>
          <w:rFonts w:ascii="Calibri" w:hAnsi="Calibri" w:cs="Calibri"/>
          <w:noProof/>
          <w:szCs w:val="24"/>
        </w:rPr>
        <w:t>77</w:t>
      </w:r>
      <w:r w:rsidR="0050325F" w:rsidRPr="00226C89">
        <w:rPr>
          <w:rFonts w:ascii="Calibri" w:hAnsi="Calibri" w:cs="Calibri"/>
          <w:noProof/>
          <w:szCs w:val="24"/>
        </w:rPr>
        <w:t>:C165–8. doi:10.12968/hmed.2016.77.10.C165</w:t>
      </w:r>
      <w:r w:rsidR="0050325F">
        <w:rPr>
          <w:rFonts w:ascii="Calibri" w:hAnsi="Calibri" w:cs="Calibri"/>
          <w:noProof/>
          <w:szCs w:val="24"/>
        </w:rPr>
        <w:t>. [published Online First: 10 Oct 2016]</w:t>
      </w:r>
    </w:p>
    <w:p w14:paraId="2C246817" w14:textId="01C64F7D" w:rsidR="003505C7" w:rsidRPr="003505C7" w:rsidRDefault="003505C7" w:rsidP="0050325F">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8 </w:t>
      </w:r>
      <w:r w:rsidRPr="003505C7">
        <w:rPr>
          <w:rFonts w:ascii="Calibri" w:hAnsi="Calibri" w:cs="Calibri"/>
          <w:noProof/>
          <w:szCs w:val="24"/>
        </w:rPr>
        <w:tab/>
      </w:r>
      <w:r w:rsidR="0050325F" w:rsidRPr="00226C89">
        <w:rPr>
          <w:rFonts w:ascii="Calibri" w:hAnsi="Calibri" w:cs="Calibri"/>
          <w:noProof/>
          <w:szCs w:val="24"/>
        </w:rPr>
        <w:t xml:space="preserve">Loder RT. The demographics of dog bites in the United States. </w:t>
      </w:r>
      <w:r w:rsidR="0050325F" w:rsidRPr="00226C89">
        <w:rPr>
          <w:rFonts w:ascii="Calibri" w:hAnsi="Calibri" w:cs="Calibri"/>
          <w:i/>
          <w:iCs/>
          <w:noProof/>
          <w:szCs w:val="24"/>
        </w:rPr>
        <w:t>Heliyon</w:t>
      </w:r>
      <w:r w:rsidR="0050325F" w:rsidRPr="00226C89">
        <w:rPr>
          <w:rFonts w:ascii="Calibri" w:hAnsi="Calibri" w:cs="Calibri"/>
          <w:noProof/>
          <w:szCs w:val="24"/>
        </w:rPr>
        <w:t xml:space="preserve"> 2019;</w:t>
      </w:r>
      <w:r w:rsidR="0050325F" w:rsidRPr="00CD60BA">
        <w:rPr>
          <w:rFonts w:ascii="Calibri" w:hAnsi="Calibri" w:cs="Calibri"/>
          <w:noProof/>
          <w:szCs w:val="24"/>
        </w:rPr>
        <w:t>5</w:t>
      </w:r>
      <w:r w:rsidR="0050325F" w:rsidRPr="00226C89">
        <w:rPr>
          <w:rFonts w:ascii="Calibri" w:hAnsi="Calibri" w:cs="Calibri"/>
          <w:noProof/>
          <w:szCs w:val="24"/>
        </w:rPr>
        <w:t>:e01360. doi:10.1016/j.heliyon.2019.e01360</w:t>
      </w:r>
      <w:r w:rsidR="0050325F">
        <w:rPr>
          <w:rFonts w:ascii="Calibri" w:hAnsi="Calibri" w:cs="Calibri"/>
          <w:noProof/>
          <w:szCs w:val="24"/>
        </w:rPr>
        <w:t xml:space="preserve"> [published Online First: 20 March 2019]</w:t>
      </w:r>
    </w:p>
    <w:p w14:paraId="0BBA1240" w14:textId="35E11E43"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9 </w:t>
      </w:r>
      <w:r w:rsidRPr="003505C7">
        <w:rPr>
          <w:rFonts w:ascii="Calibri" w:hAnsi="Calibri" w:cs="Calibri"/>
          <w:noProof/>
          <w:szCs w:val="24"/>
        </w:rPr>
        <w:tab/>
      </w:r>
      <w:r w:rsidR="0050325F" w:rsidRPr="00226C89">
        <w:rPr>
          <w:rFonts w:ascii="Calibri" w:hAnsi="Calibri" w:cs="Calibri"/>
          <w:noProof/>
          <w:szCs w:val="24"/>
        </w:rPr>
        <w:t xml:space="preserve">Lang ME, Klassen T. Dog bites in Canadian children: A five-year review of severity and emergency department management. </w:t>
      </w:r>
      <w:r w:rsidR="0050325F" w:rsidRPr="00226C89">
        <w:rPr>
          <w:rFonts w:ascii="Calibri" w:hAnsi="Calibri" w:cs="Calibri"/>
          <w:i/>
          <w:iCs/>
          <w:noProof/>
          <w:szCs w:val="24"/>
        </w:rPr>
        <w:t>Can J Emerg Med</w:t>
      </w:r>
      <w:r w:rsidR="0050325F" w:rsidRPr="00226C89">
        <w:rPr>
          <w:rFonts w:ascii="Calibri" w:hAnsi="Calibri" w:cs="Calibri"/>
          <w:noProof/>
          <w:szCs w:val="24"/>
        </w:rPr>
        <w:t xml:space="preserve"> 2005</w:t>
      </w:r>
      <w:r w:rsidR="0050325F" w:rsidRPr="00CD60BA">
        <w:rPr>
          <w:rFonts w:ascii="Calibri" w:hAnsi="Calibri" w:cs="Calibri"/>
          <w:noProof/>
          <w:szCs w:val="24"/>
        </w:rPr>
        <w:t>;7</w:t>
      </w:r>
      <w:r w:rsidR="0050325F" w:rsidRPr="00226C89">
        <w:rPr>
          <w:rFonts w:ascii="Calibri" w:hAnsi="Calibri" w:cs="Calibri"/>
          <w:noProof/>
          <w:szCs w:val="24"/>
        </w:rPr>
        <w:t>:309–14. doi:10.1017/S1481803500014494</w:t>
      </w:r>
      <w:r w:rsidR="0050325F">
        <w:rPr>
          <w:rFonts w:ascii="Calibri" w:hAnsi="Calibri" w:cs="Calibri"/>
          <w:noProof/>
          <w:szCs w:val="24"/>
        </w:rPr>
        <w:t xml:space="preserve"> [published Online First: 21 May 2015]</w:t>
      </w:r>
    </w:p>
    <w:p w14:paraId="4A1EEF49" w14:textId="77777777" w:rsidR="0050325F"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10 </w:t>
      </w:r>
      <w:r w:rsidRPr="003505C7">
        <w:rPr>
          <w:rFonts w:ascii="Calibri" w:hAnsi="Calibri" w:cs="Calibri"/>
          <w:noProof/>
          <w:szCs w:val="24"/>
        </w:rPr>
        <w:tab/>
      </w:r>
      <w:r w:rsidR="0050325F" w:rsidRPr="00226C89">
        <w:rPr>
          <w:rFonts w:ascii="Calibri" w:hAnsi="Calibri" w:cs="Calibri"/>
          <w:noProof/>
          <w:szCs w:val="24"/>
        </w:rPr>
        <w:t xml:space="preserve">Langley RL. Human fatalities resulting from dog attacks in the </w:t>
      </w:r>
      <w:r w:rsidR="0050325F">
        <w:rPr>
          <w:rFonts w:ascii="Calibri" w:hAnsi="Calibri" w:cs="Calibri"/>
          <w:noProof/>
          <w:szCs w:val="24"/>
        </w:rPr>
        <w:t>U</w:t>
      </w:r>
      <w:r w:rsidR="0050325F" w:rsidRPr="00226C89">
        <w:rPr>
          <w:rFonts w:ascii="Calibri" w:hAnsi="Calibri" w:cs="Calibri"/>
          <w:noProof/>
          <w:szCs w:val="24"/>
        </w:rPr>
        <w:t xml:space="preserve">nited </w:t>
      </w:r>
      <w:r w:rsidR="0050325F">
        <w:rPr>
          <w:rFonts w:ascii="Calibri" w:hAnsi="Calibri" w:cs="Calibri"/>
          <w:noProof/>
          <w:szCs w:val="24"/>
        </w:rPr>
        <w:t>S</w:t>
      </w:r>
      <w:r w:rsidR="0050325F" w:rsidRPr="00226C89">
        <w:rPr>
          <w:rFonts w:ascii="Calibri" w:hAnsi="Calibri" w:cs="Calibri"/>
          <w:noProof/>
          <w:szCs w:val="24"/>
        </w:rPr>
        <w:t xml:space="preserve">tates, 1979-2005. </w:t>
      </w:r>
      <w:r w:rsidR="0050325F" w:rsidRPr="00226C89">
        <w:rPr>
          <w:rFonts w:ascii="Calibri" w:hAnsi="Calibri" w:cs="Calibri"/>
          <w:i/>
          <w:iCs/>
          <w:noProof/>
          <w:szCs w:val="24"/>
        </w:rPr>
        <w:t>Wilderness Environ Med</w:t>
      </w:r>
      <w:r w:rsidR="0050325F" w:rsidRPr="00226C89">
        <w:rPr>
          <w:rFonts w:ascii="Calibri" w:hAnsi="Calibri" w:cs="Calibri"/>
          <w:noProof/>
          <w:szCs w:val="24"/>
        </w:rPr>
        <w:t xml:space="preserve"> 2009;</w:t>
      </w:r>
      <w:r w:rsidR="0050325F" w:rsidRPr="001B51CB">
        <w:rPr>
          <w:rFonts w:ascii="Calibri" w:hAnsi="Calibri" w:cs="Calibri"/>
          <w:noProof/>
          <w:szCs w:val="24"/>
        </w:rPr>
        <w:t>20</w:t>
      </w:r>
      <w:r w:rsidR="0050325F" w:rsidRPr="00226C89">
        <w:rPr>
          <w:rFonts w:ascii="Calibri" w:hAnsi="Calibri" w:cs="Calibri"/>
          <w:noProof/>
          <w:szCs w:val="24"/>
        </w:rPr>
        <w:t>:19–25. doi:10.1580/08-WEME-OR-213.1</w:t>
      </w:r>
    </w:p>
    <w:p w14:paraId="139CB299" w14:textId="77777777" w:rsidR="0050325F"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11 </w:t>
      </w:r>
      <w:r w:rsidRPr="003505C7">
        <w:rPr>
          <w:rFonts w:ascii="Calibri" w:hAnsi="Calibri" w:cs="Calibri"/>
          <w:noProof/>
          <w:szCs w:val="24"/>
        </w:rPr>
        <w:tab/>
      </w:r>
      <w:r w:rsidR="0050325F" w:rsidRPr="00226C89">
        <w:rPr>
          <w:rFonts w:ascii="Calibri" w:hAnsi="Calibri" w:cs="Calibri"/>
          <w:noProof/>
          <w:szCs w:val="24"/>
        </w:rPr>
        <w:t xml:space="preserve">Raghavan M. Fatal dog attacks in Canada, 1990-2007. </w:t>
      </w:r>
      <w:r w:rsidR="0050325F" w:rsidRPr="00226C89">
        <w:rPr>
          <w:rFonts w:ascii="Calibri" w:hAnsi="Calibri" w:cs="Calibri"/>
          <w:i/>
          <w:iCs/>
          <w:noProof/>
          <w:szCs w:val="24"/>
        </w:rPr>
        <w:t>Can Vet J</w:t>
      </w:r>
      <w:r w:rsidR="0050325F" w:rsidRPr="00226C89">
        <w:rPr>
          <w:rFonts w:ascii="Calibri" w:hAnsi="Calibri" w:cs="Calibri"/>
          <w:noProof/>
          <w:szCs w:val="24"/>
        </w:rPr>
        <w:t xml:space="preserve"> 2008;</w:t>
      </w:r>
      <w:r w:rsidR="0050325F" w:rsidRPr="001B51CB">
        <w:rPr>
          <w:rFonts w:ascii="Calibri" w:hAnsi="Calibri" w:cs="Calibri"/>
          <w:noProof/>
          <w:szCs w:val="24"/>
        </w:rPr>
        <w:t>49</w:t>
      </w:r>
      <w:r w:rsidR="0050325F" w:rsidRPr="00226C89">
        <w:rPr>
          <w:rFonts w:ascii="Calibri" w:hAnsi="Calibri" w:cs="Calibri"/>
          <w:noProof/>
          <w:szCs w:val="24"/>
        </w:rPr>
        <w:t>:577–81.</w:t>
      </w:r>
    </w:p>
    <w:p w14:paraId="180C8B62" w14:textId="7847832F"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12 </w:t>
      </w:r>
      <w:r w:rsidRPr="003505C7">
        <w:rPr>
          <w:rFonts w:ascii="Calibri" w:hAnsi="Calibri" w:cs="Calibri"/>
          <w:noProof/>
          <w:szCs w:val="24"/>
        </w:rPr>
        <w:tab/>
      </w:r>
      <w:r w:rsidR="0050325F" w:rsidRPr="00226C89">
        <w:rPr>
          <w:rFonts w:ascii="Calibri" w:hAnsi="Calibri" w:cs="Calibri"/>
          <w:noProof/>
          <w:szCs w:val="24"/>
        </w:rPr>
        <w:t xml:space="preserve">Sarenbo S, Svensson PA. Bitten or struck by dog: A rising number of fatalities in Europe, 1995–2016. </w:t>
      </w:r>
      <w:r w:rsidR="0050325F" w:rsidRPr="00226C89">
        <w:rPr>
          <w:rFonts w:ascii="Calibri" w:hAnsi="Calibri" w:cs="Calibri"/>
          <w:i/>
          <w:iCs/>
          <w:noProof/>
          <w:szCs w:val="24"/>
        </w:rPr>
        <w:t>Forensic Sci Int</w:t>
      </w:r>
      <w:r w:rsidR="0050325F" w:rsidRPr="00226C89">
        <w:rPr>
          <w:rFonts w:ascii="Calibri" w:hAnsi="Calibri" w:cs="Calibri"/>
          <w:noProof/>
          <w:szCs w:val="24"/>
        </w:rPr>
        <w:t xml:space="preserve"> 2020;</w:t>
      </w:r>
      <w:r w:rsidR="0050325F">
        <w:rPr>
          <w:rFonts w:ascii="Calibri" w:hAnsi="Calibri" w:cs="Calibri"/>
          <w:noProof/>
          <w:szCs w:val="24"/>
        </w:rPr>
        <w:t>318</w:t>
      </w:r>
      <w:r w:rsidR="0050325F" w:rsidRPr="00226C89">
        <w:rPr>
          <w:rFonts w:ascii="Calibri" w:hAnsi="Calibri" w:cs="Calibri"/>
          <w:noProof/>
          <w:szCs w:val="24"/>
        </w:rPr>
        <w:t>:110592. doi:10.1016/j.forsciint.2020.110592</w:t>
      </w:r>
      <w:r w:rsidR="0050325F">
        <w:rPr>
          <w:rFonts w:ascii="Calibri" w:hAnsi="Calibri" w:cs="Calibri"/>
          <w:noProof/>
          <w:szCs w:val="24"/>
        </w:rPr>
        <w:t>. [published Online First: 12 Nov 2020]</w:t>
      </w:r>
    </w:p>
    <w:p w14:paraId="344BE9CC" w14:textId="38BEB573"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A3A0C">
        <w:rPr>
          <w:rFonts w:ascii="Calibri" w:hAnsi="Calibri" w:cs="Calibri"/>
          <w:noProof/>
          <w:szCs w:val="24"/>
        </w:rPr>
        <w:t xml:space="preserve">13 </w:t>
      </w:r>
      <w:r w:rsidRPr="003A3A0C">
        <w:rPr>
          <w:rFonts w:ascii="Calibri" w:hAnsi="Calibri" w:cs="Calibri"/>
          <w:noProof/>
          <w:szCs w:val="24"/>
        </w:rPr>
        <w:tab/>
      </w:r>
      <w:r w:rsidR="0050325F" w:rsidRPr="003A3A0C">
        <w:rPr>
          <w:rFonts w:ascii="Calibri" w:hAnsi="Calibri" w:cs="Calibri"/>
          <w:noProof/>
          <w:szCs w:val="24"/>
        </w:rPr>
        <w:t>Jakeman M, Oxley JA, Owczarczak-Garstecka SC, et al</w:t>
      </w:r>
      <w:r w:rsidR="0050325F" w:rsidRPr="003A3A0C">
        <w:rPr>
          <w:rFonts w:ascii="Calibri" w:hAnsi="Calibri" w:cs="Calibri"/>
          <w:i/>
          <w:iCs/>
          <w:noProof/>
          <w:szCs w:val="24"/>
        </w:rPr>
        <w:t>.</w:t>
      </w:r>
      <w:r w:rsidR="0050325F" w:rsidRPr="003A3A0C">
        <w:rPr>
          <w:rFonts w:ascii="Calibri" w:hAnsi="Calibri" w:cs="Calibri"/>
          <w:noProof/>
          <w:szCs w:val="24"/>
        </w:rPr>
        <w:t xml:space="preserve"> </w:t>
      </w:r>
      <w:r w:rsidR="0050325F" w:rsidRPr="00226C89">
        <w:rPr>
          <w:rFonts w:ascii="Calibri" w:hAnsi="Calibri" w:cs="Calibri"/>
          <w:noProof/>
          <w:szCs w:val="24"/>
        </w:rPr>
        <w:t xml:space="preserve">Pet dog bites in children: </w:t>
      </w:r>
      <w:r w:rsidR="0050325F">
        <w:rPr>
          <w:rFonts w:ascii="Calibri" w:hAnsi="Calibri" w:cs="Calibri"/>
          <w:noProof/>
          <w:szCs w:val="24"/>
        </w:rPr>
        <w:t>m</w:t>
      </w:r>
      <w:r w:rsidR="0050325F" w:rsidRPr="00226C89">
        <w:rPr>
          <w:rFonts w:ascii="Calibri" w:hAnsi="Calibri" w:cs="Calibri"/>
          <w:noProof/>
          <w:szCs w:val="24"/>
        </w:rPr>
        <w:t xml:space="preserve">anagement and prevention. </w:t>
      </w:r>
      <w:r w:rsidR="0050325F" w:rsidRPr="00226C89">
        <w:rPr>
          <w:rFonts w:ascii="Calibri" w:hAnsi="Calibri" w:cs="Calibri"/>
          <w:i/>
          <w:iCs/>
          <w:noProof/>
          <w:szCs w:val="24"/>
        </w:rPr>
        <w:t>BMJ Paediatr Open</w:t>
      </w:r>
      <w:r w:rsidR="0050325F" w:rsidRPr="00226C89">
        <w:rPr>
          <w:rFonts w:ascii="Calibri" w:hAnsi="Calibri" w:cs="Calibri"/>
          <w:noProof/>
          <w:szCs w:val="24"/>
        </w:rPr>
        <w:t xml:space="preserve"> 2020;</w:t>
      </w:r>
      <w:r w:rsidR="0050325F" w:rsidRPr="001B51CB">
        <w:rPr>
          <w:rFonts w:ascii="Calibri" w:hAnsi="Calibri" w:cs="Calibri"/>
          <w:noProof/>
          <w:szCs w:val="24"/>
        </w:rPr>
        <w:t>4</w:t>
      </w:r>
      <w:r w:rsidR="0050325F" w:rsidRPr="00226C89">
        <w:rPr>
          <w:rFonts w:ascii="Calibri" w:hAnsi="Calibri" w:cs="Calibri"/>
          <w:noProof/>
          <w:szCs w:val="24"/>
        </w:rPr>
        <w:t>:</w:t>
      </w:r>
      <w:r w:rsidR="0050325F">
        <w:rPr>
          <w:rFonts w:ascii="Calibri" w:hAnsi="Calibri" w:cs="Calibri"/>
          <w:noProof/>
          <w:szCs w:val="24"/>
        </w:rPr>
        <w:t>e000726.</w:t>
      </w:r>
      <w:r w:rsidR="0050325F" w:rsidRPr="00226C89">
        <w:rPr>
          <w:rFonts w:ascii="Calibri" w:hAnsi="Calibri" w:cs="Calibri"/>
          <w:noProof/>
          <w:szCs w:val="24"/>
        </w:rPr>
        <w:t xml:space="preserve"> doi:10.1136/bmjpo-2020-000726</w:t>
      </w:r>
      <w:r w:rsidR="0050325F">
        <w:rPr>
          <w:rFonts w:ascii="Calibri" w:hAnsi="Calibri" w:cs="Calibri"/>
          <w:noProof/>
          <w:szCs w:val="24"/>
        </w:rPr>
        <w:t>. [published Online First: 11 Aug 2020]</w:t>
      </w:r>
    </w:p>
    <w:p w14:paraId="5F54FD9E" w14:textId="73F2079D"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14 </w:t>
      </w:r>
      <w:r w:rsidRPr="003505C7">
        <w:rPr>
          <w:rFonts w:ascii="Calibri" w:hAnsi="Calibri" w:cs="Calibri"/>
          <w:noProof/>
          <w:szCs w:val="24"/>
        </w:rPr>
        <w:tab/>
      </w:r>
      <w:r w:rsidR="0050325F" w:rsidRPr="00226C89">
        <w:rPr>
          <w:rFonts w:ascii="Calibri" w:hAnsi="Calibri" w:cs="Calibri"/>
          <w:noProof/>
          <w:szCs w:val="24"/>
        </w:rPr>
        <w:t xml:space="preserve">Boat BW, Dixon CA, Pearl E, </w:t>
      </w:r>
      <w:r w:rsidR="0050325F" w:rsidRPr="001B51CB">
        <w:rPr>
          <w:rFonts w:ascii="Calibri" w:hAnsi="Calibri" w:cs="Calibri"/>
          <w:noProof/>
          <w:szCs w:val="24"/>
        </w:rPr>
        <w:t>et al.</w:t>
      </w:r>
      <w:r w:rsidR="0050325F" w:rsidRPr="00226C89">
        <w:rPr>
          <w:rFonts w:ascii="Calibri" w:hAnsi="Calibri" w:cs="Calibri"/>
          <w:noProof/>
          <w:szCs w:val="24"/>
        </w:rPr>
        <w:t xml:space="preserve"> Pediatric </w:t>
      </w:r>
      <w:r w:rsidR="0050325F">
        <w:rPr>
          <w:rFonts w:ascii="Calibri" w:hAnsi="Calibri" w:cs="Calibri"/>
          <w:noProof/>
          <w:szCs w:val="24"/>
        </w:rPr>
        <w:t>d</w:t>
      </w:r>
      <w:r w:rsidR="0050325F" w:rsidRPr="00226C89">
        <w:rPr>
          <w:rFonts w:ascii="Calibri" w:hAnsi="Calibri" w:cs="Calibri"/>
          <w:noProof/>
          <w:szCs w:val="24"/>
        </w:rPr>
        <w:t xml:space="preserve">og </w:t>
      </w:r>
      <w:r w:rsidR="0050325F">
        <w:rPr>
          <w:rFonts w:ascii="Calibri" w:hAnsi="Calibri" w:cs="Calibri"/>
          <w:noProof/>
          <w:szCs w:val="24"/>
        </w:rPr>
        <w:t>b</w:t>
      </w:r>
      <w:r w:rsidR="0050325F" w:rsidRPr="00226C89">
        <w:rPr>
          <w:rFonts w:ascii="Calibri" w:hAnsi="Calibri" w:cs="Calibri"/>
          <w:noProof/>
          <w:szCs w:val="24"/>
        </w:rPr>
        <w:t xml:space="preserve">ite </w:t>
      </w:r>
      <w:r w:rsidR="0050325F">
        <w:rPr>
          <w:rFonts w:ascii="Calibri" w:hAnsi="Calibri" w:cs="Calibri"/>
          <w:noProof/>
          <w:szCs w:val="24"/>
        </w:rPr>
        <w:t>v</w:t>
      </w:r>
      <w:r w:rsidR="0050325F" w:rsidRPr="00226C89">
        <w:rPr>
          <w:rFonts w:ascii="Calibri" w:hAnsi="Calibri" w:cs="Calibri"/>
          <w:noProof/>
          <w:szCs w:val="24"/>
        </w:rPr>
        <w:t xml:space="preserve">ictims : </w:t>
      </w:r>
      <w:r w:rsidR="0050325F">
        <w:rPr>
          <w:rFonts w:ascii="Calibri" w:hAnsi="Calibri" w:cs="Calibri"/>
          <w:noProof/>
          <w:szCs w:val="24"/>
        </w:rPr>
        <w:t>a</w:t>
      </w:r>
      <w:r w:rsidR="0050325F" w:rsidRPr="00226C89">
        <w:rPr>
          <w:rFonts w:ascii="Calibri" w:hAnsi="Calibri" w:cs="Calibri"/>
          <w:noProof/>
          <w:szCs w:val="24"/>
        </w:rPr>
        <w:t xml:space="preserve"> </w:t>
      </w:r>
      <w:r w:rsidR="0050325F">
        <w:rPr>
          <w:rFonts w:ascii="Calibri" w:hAnsi="Calibri" w:cs="Calibri"/>
          <w:noProof/>
          <w:szCs w:val="24"/>
        </w:rPr>
        <w:t>n</w:t>
      </w:r>
      <w:r w:rsidR="0050325F" w:rsidRPr="00226C89">
        <w:rPr>
          <w:rFonts w:ascii="Calibri" w:hAnsi="Calibri" w:cs="Calibri"/>
          <w:noProof/>
          <w:szCs w:val="24"/>
        </w:rPr>
        <w:t xml:space="preserve">eed for a </w:t>
      </w:r>
      <w:r w:rsidR="0050325F">
        <w:rPr>
          <w:rFonts w:ascii="Calibri" w:hAnsi="Calibri" w:cs="Calibri"/>
          <w:noProof/>
          <w:szCs w:val="24"/>
        </w:rPr>
        <w:t>c</w:t>
      </w:r>
      <w:r w:rsidR="0050325F" w:rsidRPr="00226C89">
        <w:rPr>
          <w:rFonts w:ascii="Calibri" w:hAnsi="Calibri" w:cs="Calibri"/>
          <w:noProof/>
          <w:szCs w:val="24"/>
        </w:rPr>
        <w:t xml:space="preserve">ontinuum of </w:t>
      </w:r>
      <w:r w:rsidR="0050325F">
        <w:rPr>
          <w:rFonts w:ascii="Calibri" w:hAnsi="Calibri" w:cs="Calibri"/>
          <w:noProof/>
          <w:szCs w:val="24"/>
        </w:rPr>
        <w:t>c</w:t>
      </w:r>
      <w:r w:rsidR="0050325F" w:rsidRPr="00226C89">
        <w:rPr>
          <w:rFonts w:ascii="Calibri" w:hAnsi="Calibri" w:cs="Calibri"/>
          <w:noProof/>
          <w:szCs w:val="24"/>
        </w:rPr>
        <w:t>are.</w:t>
      </w:r>
      <w:r w:rsidR="0050325F">
        <w:rPr>
          <w:rFonts w:ascii="Calibri" w:hAnsi="Calibri" w:cs="Calibri"/>
          <w:noProof/>
          <w:szCs w:val="24"/>
        </w:rPr>
        <w:t xml:space="preserve"> </w:t>
      </w:r>
      <w:r w:rsidR="0050325F">
        <w:rPr>
          <w:rFonts w:ascii="Calibri" w:hAnsi="Calibri" w:cs="Calibri"/>
          <w:i/>
          <w:iCs/>
          <w:noProof/>
          <w:szCs w:val="24"/>
        </w:rPr>
        <w:t>Clin Pediatr (Phila)</w:t>
      </w:r>
      <w:r w:rsidR="0050325F">
        <w:rPr>
          <w:rFonts w:ascii="Calibri" w:hAnsi="Calibri" w:cs="Calibri"/>
          <w:noProof/>
          <w:szCs w:val="24"/>
        </w:rPr>
        <w:t xml:space="preserve"> 2012;51:473-7.</w:t>
      </w:r>
      <w:r w:rsidR="0050325F" w:rsidRPr="00226C89">
        <w:rPr>
          <w:rFonts w:ascii="Calibri" w:hAnsi="Calibri" w:cs="Calibri"/>
          <w:noProof/>
          <w:szCs w:val="24"/>
        </w:rPr>
        <w:t xml:space="preserve"> doi:10.1177/0009922811435504</w:t>
      </w:r>
      <w:r w:rsidR="0050325F">
        <w:rPr>
          <w:rFonts w:ascii="Calibri" w:hAnsi="Calibri" w:cs="Calibri"/>
          <w:noProof/>
          <w:szCs w:val="24"/>
        </w:rPr>
        <w:t>. [published Online First: 31 Jan 2012]</w:t>
      </w:r>
    </w:p>
    <w:p w14:paraId="5A926D50" w14:textId="06C07B13"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15 </w:t>
      </w:r>
      <w:r w:rsidRPr="003505C7">
        <w:rPr>
          <w:rFonts w:ascii="Calibri" w:hAnsi="Calibri" w:cs="Calibri"/>
          <w:noProof/>
          <w:szCs w:val="24"/>
        </w:rPr>
        <w:tab/>
      </w:r>
      <w:r w:rsidR="0050325F" w:rsidRPr="00226C89">
        <w:rPr>
          <w:rFonts w:ascii="Calibri" w:hAnsi="Calibri" w:cs="Calibri"/>
          <w:noProof/>
          <w:szCs w:val="24"/>
        </w:rPr>
        <w:t>Coronavirus Act 2020 (c7). https://www.legislation.gov.uk/ukpga/2020/7/contents/enacted</w:t>
      </w:r>
    </w:p>
    <w:p w14:paraId="3E788AE0" w14:textId="6A2F01B6"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16 </w:t>
      </w:r>
      <w:r w:rsidRPr="003505C7">
        <w:rPr>
          <w:rFonts w:ascii="Calibri" w:hAnsi="Calibri" w:cs="Calibri"/>
          <w:noProof/>
          <w:szCs w:val="24"/>
        </w:rPr>
        <w:tab/>
      </w:r>
      <w:r w:rsidR="0050325F" w:rsidRPr="00226C89">
        <w:rPr>
          <w:rFonts w:ascii="Calibri" w:hAnsi="Calibri" w:cs="Calibri"/>
          <w:noProof/>
          <w:szCs w:val="24"/>
        </w:rPr>
        <w:t>The Health Protection (Coronavirus, Restrictions) (England) Regulations 2020. https://www.legislation.gov.uk/uksi/2020/350/contents/made</w:t>
      </w:r>
    </w:p>
    <w:p w14:paraId="31749409" w14:textId="63A78D2D"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17 </w:t>
      </w:r>
      <w:r w:rsidRPr="003505C7">
        <w:rPr>
          <w:rFonts w:ascii="Calibri" w:hAnsi="Calibri" w:cs="Calibri"/>
          <w:noProof/>
          <w:szCs w:val="24"/>
        </w:rPr>
        <w:tab/>
      </w:r>
      <w:r w:rsidR="0050325F" w:rsidRPr="00226C89">
        <w:rPr>
          <w:rFonts w:ascii="Calibri" w:hAnsi="Calibri" w:cs="Calibri"/>
          <w:noProof/>
          <w:szCs w:val="24"/>
        </w:rPr>
        <w:t xml:space="preserve">Oliva JL, Johnston KL. Puppy love in the time of Corona: </w:t>
      </w:r>
      <w:r w:rsidR="0050325F">
        <w:rPr>
          <w:rFonts w:ascii="Calibri" w:hAnsi="Calibri" w:cs="Calibri"/>
          <w:noProof/>
          <w:szCs w:val="24"/>
        </w:rPr>
        <w:t>d</w:t>
      </w:r>
      <w:r w:rsidR="0050325F" w:rsidRPr="00226C89">
        <w:rPr>
          <w:rFonts w:ascii="Calibri" w:hAnsi="Calibri" w:cs="Calibri"/>
          <w:noProof/>
          <w:szCs w:val="24"/>
        </w:rPr>
        <w:t xml:space="preserve">og ownership protects against loneliness for those living alone during the COVID-19 lockdown. </w:t>
      </w:r>
      <w:r w:rsidR="0050325F" w:rsidRPr="00226C89">
        <w:rPr>
          <w:rFonts w:ascii="Calibri" w:hAnsi="Calibri" w:cs="Calibri"/>
          <w:i/>
          <w:iCs/>
          <w:noProof/>
          <w:szCs w:val="24"/>
        </w:rPr>
        <w:t>Int J Soc Psychiatry</w:t>
      </w:r>
      <w:r w:rsidR="0050325F" w:rsidRPr="00226C89">
        <w:rPr>
          <w:rFonts w:ascii="Calibri" w:hAnsi="Calibri" w:cs="Calibri"/>
          <w:noProof/>
          <w:szCs w:val="24"/>
        </w:rPr>
        <w:t xml:space="preserve"> </w:t>
      </w:r>
      <w:r w:rsidR="0050325F">
        <w:rPr>
          <w:rFonts w:ascii="Calibri" w:hAnsi="Calibri" w:cs="Calibri"/>
          <w:noProof/>
          <w:szCs w:val="24"/>
        </w:rPr>
        <w:t>2020;</w:t>
      </w:r>
      <w:r w:rsidR="0050325F" w:rsidRPr="00226C89">
        <w:rPr>
          <w:rFonts w:ascii="Calibri" w:hAnsi="Calibri" w:cs="Calibri"/>
          <w:noProof/>
          <w:szCs w:val="24"/>
        </w:rPr>
        <w:t>Published Online First: 2020</w:t>
      </w:r>
      <w:r w:rsidR="0050325F">
        <w:rPr>
          <w:rFonts w:ascii="Calibri" w:hAnsi="Calibri" w:cs="Calibri"/>
          <w:noProof/>
          <w:szCs w:val="24"/>
        </w:rPr>
        <w:t>:</w:t>
      </w:r>
      <w:r w:rsidR="0050325F" w:rsidRPr="001B51CB">
        <w:t xml:space="preserve"> </w:t>
      </w:r>
      <w:r w:rsidR="0050325F" w:rsidRPr="001B51CB">
        <w:rPr>
          <w:rFonts w:ascii="Calibri" w:hAnsi="Calibri" w:cs="Calibri"/>
          <w:noProof/>
          <w:szCs w:val="24"/>
        </w:rPr>
        <w:t>0020764020944195</w:t>
      </w:r>
      <w:r w:rsidR="0050325F" w:rsidRPr="00226C89">
        <w:rPr>
          <w:rFonts w:ascii="Calibri" w:hAnsi="Calibri" w:cs="Calibri"/>
          <w:noProof/>
          <w:szCs w:val="24"/>
        </w:rPr>
        <w:t>. doi:10.1177/0020764020944195</w:t>
      </w:r>
      <w:r w:rsidR="0050325F">
        <w:rPr>
          <w:rFonts w:ascii="Calibri" w:hAnsi="Calibri" w:cs="Calibri"/>
          <w:noProof/>
          <w:szCs w:val="24"/>
        </w:rPr>
        <w:t>. [published Online First: 23 Jul 2020]</w:t>
      </w:r>
    </w:p>
    <w:p w14:paraId="37DF0746" w14:textId="77777777" w:rsidR="0050325F"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lastRenderedPageBreak/>
        <w:t xml:space="preserve">18 </w:t>
      </w:r>
      <w:r w:rsidRPr="003505C7">
        <w:rPr>
          <w:rFonts w:ascii="Calibri" w:hAnsi="Calibri" w:cs="Calibri"/>
          <w:noProof/>
          <w:szCs w:val="24"/>
        </w:rPr>
        <w:tab/>
      </w:r>
      <w:r w:rsidR="0050325F" w:rsidRPr="00226C89">
        <w:rPr>
          <w:rFonts w:ascii="Calibri" w:hAnsi="Calibri" w:cs="Calibri"/>
          <w:noProof/>
          <w:szCs w:val="24"/>
        </w:rPr>
        <w:t xml:space="preserve">Oxley JA, Christley R, Westgarth C. Contexts and consequences of dog bite incidents. </w:t>
      </w:r>
      <w:r w:rsidR="0050325F" w:rsidRPr="00226C89">
        <w:rPr>
          <w:rFonts w:ascii="Calibri" w:hAnsi="Calibri" w:cs="Calibri"/>
          <w:i/>
          <w:iCs/>
          <w:noProof/>
          <w:szCs w:val="24"/>
        </w:rPr>
        <w:t xml:space="preserve">J Vet Behav </w:t>
      </w:r>
      <w:r w:rsidR="0050325F" w:rsidRPr="00226C89">
        <w:rPr>
          <w:rFonts w:ascii="Calibri" w:hAnsi="Calibri" w:cs="Calibri"/>
          <w:noProof/>
          <w:szCs w:val="24"/>
        </w:rPr>
        <w:t>2018;</w:t>
      </w:r>
      <w:r w:rsidR="0050325F" w:rsidRPr="00703A4D">
        <w:rPr>
          <w:rFonts w:ascii="Calibri" w:hAnsi="Calibri" w:cs="Calibri"/>
          <w:noProof/>
          <w:szCs w:val="24"/>
        </w:rPr>
        <w:t>23</w:t>
      </w:r>
      <w:r w:rsidR="0050325F" w:rsidRPr="00226C89">
        <w:rPr>
          <w:rFonts w:ascii="Calibri" w:hAnsi="Calibri" w:cs="Calibri"/>
          <w:noProof/>
          <w:szCs w:val="24"/>
        </w:rPr>
        <w:t>:33–9. doi:10.1016/j.jveb.2017.10.005</w:t>
      </w:r>
      <w:r w:rsidR="0050325F">
        <w:rPr>
          <w:rFonts w:ascii="Calibri" w:hAnsi="Calibri" w:cs="Calibri"/>
          <w:noProof/>
          <w:szCs w:val="24"/>
        </w:rPr>
        <w:t>. [published Online First: 28 Oct 2017]</w:t>
      </w:r>
    </w:p>
    <w:p w14:paraId="58A9AC1B" w14:textId="773C755C"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19 </w:t>
      </w:r>
      <w:r w:rsidRPr="003505C7">
        <w:rPr>
          <w:rFonts w:ascii="Calibri" w:hAnsi="Calibri" w:cs="Calibri"/>
          <w:noProof/>
          <w:szCs w:val="24"/>
        </w:rPr>
        <w:tab/>
      </w:r>
      <w:r w:rsidR="0050325F" w:rsidRPr="00226C89">
        <w:rPr>
          <w:rFonts w:ascii="Calibri" w:hAnsi="Calibri" w:cs="Calibri"/>
          <w:noProof/>
          <w:szCs w:val="24"/>
        </w:rPr>
        <w:t xml:space="preserve">Cornelissen JMR, Hopster H. Dog bites in The Netherlands: A study of victims, injuries, circumstances and aggressors to support evaluation of breed specific legislation. </w:t>
      </w:r>
      <w:r w:rsidR="0050325F" w:rsidRPr="00226C89">
        <w:rPr>
          <w:rFonts w:ascii="Calibri" w:hAnsi="Calibri" w:cs="Calibri"/>
          <w:i/>
          <w:iCs/>
          <w:noProof/>
          <w:szCs w:val="24"/>
        </w:rPr>
        <w:t>Vet J</w:t>
      </w:r>
      <w:r w:rsidR="0050325F" w:rsidRPr="00226C89">
        <w:rPr>
          <w:rFonts w:ascii="Calibri" w:hAnsi="Calibri" w:cs="Calibri"/>
          <w:noProof/>
          <w:szCs w:val="24"/>
        </w:rPr>
        <w:t xml:space="preserve"> 2010;</w:t>
      </w:r>
      <w:r w:rsidR="0050325F" w:rsidRPr="00703A4D">
        <w:rPr>
          <w:rFonts w:ascii="Calibri" w:hAnsi="Calibri" w:cs="Calibri"/>
          <w:noProof/>
          <w:szCs w:val="24"/>
        </w:rPr>
        <w:t>186</w:t>
      </w:r>
      <w:r w:rsidR="0050325F" w:rsidRPr="00226C89">
        <w:rPr>
          <w:rFonts w:ascii="Calibri" w:hAnsi="Calibri" w:cs="Calibri"/>
          <w:noProof/>
          <w:szCs w:val="24"/>
        </w:rPr>
        <w:t>:292–8. doi:10.1016/j.tvjl.2009.10.001</w:t>
      </w:r>
      <w:r w:rsidR="0050325F">
        <w:rPr>
          <w:rFonts w:ascii="Calibri" w:hAnsi="Calibri" w:cs="Calibri"/>
          <w:noProof/>
          <w:szCs w:val="24"/>
        </w:rPr>
        <w:t>. [published Online First 29 Oct 2009]</w:t>
      </w:r>
    </w:p>
    <w:p w14:paraId="003C7821" w14:textId="4E8A786F"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20 </w:t>
      </w:r>
      <w:r w:rsidRPr="003505C7">
        <w:rPr>
          <w:rFonts w:ascii="Calibri" w:hAnsi="Calibri" w:cs="Calibri"/>
          <w:noProof/>
          <w:szCs w:val="24"/>
        </w:rPr>
        <w:tab/>
      </w:r>
      <w:r w:rsidR="0050325F" w:rsidRPr="00226C89">
        <w:rPr>
          <w:rFonts w:ascii="Calibri" w:hAnsi="Calibri" w:cs="Calibri"/>
          <w:noProof/>
          <w:szCs w:val="24"/>
        </w:rPr>
        <w:t xml:space="preserve">Dixon CA, Mistry RD. Dog Bites in </w:t>
      </w:r>
      <w:r w:rsidR="0050325F">
        <w:rPr>
          <w:rFonts w:ascii="Calibri" w:hAnsi="Calibri" w:cs="Calibri"/>
          <w:noProof/>
          <w:szCs w:val="24"/>
        </w:rPr>
        <w:t>c</w:t>
      </w:r>
      <w:r w:rsidR="0050325F" w:rsidRPr="00226C89">
        <w:rPr>
          <w:rFonts w:ascii="Calibri" w:hAnsi="Calibri" w:cs="Calibri"/>
          <w:noProof/>
          <w:szCs w:val="24"/>
        </w:rPr>
        <w:t xml:space="preserve">hildren </w:t>
      </w:r>
      <w:r w:rsidR="0050325F">
        <w:rPr>
          <w:rFonts w:ascii="Calibri" w:hAnsi="Calibri" w:cs="Calibri"/>
          <w:noProof/>
          <w:szCs w:val="24"/>
        </w:rPr>
        <w:t>s</w:t>
      </w:r>
      <w:r w:rsidR="0050325F" w:rsidRPr="00226C89">
        <w:rPr>
          <w:rFonts w:ascii="Calibri" w:hAnsi="Calibri" w:cs="Calibri"/>
          <w:noProof/>
          <w:szCs w:val="24"/>
        </w:rPr>
        <w:t xml:space="preserve">urge during Coronavirus Disease-2019: A </w:t>
      </w:r>
      <w:r w:rsidR="0050325F">
        <w:rPr>
          <w:rFonts w:ascii="Calibri" w:hAnsi="Calibri" w:cs="Calibri"/>
          <w:noProof/>
          <w:szCs w:val="24"/>
        </w:rPr>
        <w:t>c</w:t>
      </w:r>
      <w:r w:rsidR="0050325F" w:rsidRPr="00226C89">
        <w:rPr>
          <w:rFonts w:ascii="Calibri" w:hAnsi="Calibri" w:cs="Calibri"/>
          <w:noProof/>
          <w:szCs w:val="24"/>
        </w:rPr>
        <w:t xml:space="preserve">ase for </w:t>
      </w:r>
      <w:r w:rsidR="0050325F">
        <w:rPr>
          <w:rFonts w:ascii="Calibri" w:hAnsi="Calibri" w:cs="Calibri"/>
          <w:noProof/>
          <w:szCs w:val="24"/>
        </w:rPr>
        <w:t>e</w:t>
      </w:r>
      <w:r w:rsidR="0050325F" w:rsidRPr="00226C89">
        <w:rPr>
          <w:rFonts w:ascii="Calibri" w:hAnsi="Calibri" w:cs="Calibri"/>
          <w:noProof/>
          <w:szCs w:val="24"/>
        </w:rPr>
        <w:t xml:space="preserve">nhanced </w:t>
      </w:r>
      <w:r w:rsidR="0050325F">
        <w:rPr>
          <w:rFonts w:ascii="Calibri" w:hAnsi="Calibri" w:cs="Calibri"/>
          <w:noProof/>
          <w:szCs w:val="24"/>
        </w:rPr>
        <w:t>p</w:t>
      </w:r>
      <w:r w:rsidR="0050325F" w:rsidRPr="00226C89">
        <w:rPr>
          <w:rFonts w:ascii="Calibri" w:hAnsi="Calibri" w:cs="Calibri"/>
          <w:noProof/>
          <w:szCs w:val="24"/>
        </w:rPr>
        <w:t xml:space="preserve">revention. </w:t>
      </w:r>
      <w:r w:rsidR="0050325F" w:rsidRPr="00226C89">
        <w:rPr>
          <w:rFonts w:ascii="Calibri" w:hAnsi="Calibri" w:cs="Calibri"/>
          <w:i/>
          <w:iCs/>
          <w:noProof/>
          <w:szCs w:val="24"/>
        </w:rPr>
        <w:t>J Pediatr</w:t>
      </w:r>
      <w:r w:rsidR="0050325F" w:rsidRPr="00226C89">
        <w:rPr>
          <w:rFonts w:ascii="Calibri" w:hAnsi="Calibri" w:cs="Calibri"/>
          <w:noProof/>
          <w:szCs w:val="24"/>
        </w:rPr>
        <w:t xml:space="preserve"> 2020;</w:t>
      </w:r>
      <w:r w:rsidR="0050325F" w:rsidRPr="00703A4D">
        <w:rPr>
          <w:rFonts w:ascii="Calibri" w:hAnsi="Calibri" w:cs="Calibri"/>
          <w:noProof/>
          <w:szCs w:val="24"/>
        </w:rPr>
        <w:t>225</w:t>
      </w:r>
      <w:r w:rsidR="0050325F" w:rsidRPr="00226C89">
        <w:rPr>
          <w:rFonts w:ascii="Calibri" w:hAnsi="Calibri" w:cs="Calibri"/>
          <w:noProof/>
          <w:szCs w:val="24"/>
        </w:rPr>
        <w:t>:231–2. doi:10.1016/j.jpeds.2020.06.071</w:t>
      </w:r>
      <w:r w:rsidR="0050325F">
        <w:rPr>
          <w:rFonts w:ascii="Calibri" w:hAnsi="Calibri" w:cs="Calibri"/>
          <w:noProof/>
          <w:szCs w:val="24"/>
        </w:rPr>
        <w:t>. [published Online First: 25 Jun 2020]</w:t>
      </w:r>
    </w:p>
    <w:p w14:paraId="2AD9482E" w14:textId="20C539DA"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21 </w:t>
      </w:r>
      <w:r w:rsidRPr="003505C7">
        <w:rPr>
          <w:rFonts w:ascii="Calibri" w:hAnsi="Calibri" w:cs="Calibri"/>
          <w:noProof/>
          <w:szCs w:val="24"/>
        </w:rPr>
        <w:tab/>
      </w:r>
      <w:r w:rsidR="0050325F">
        <w:rPr>
          <w:rFonts w:ascii="Calibri" w:hAnsi="Calibri" w:cs="Calibri"/>
          <w:noProof/>
          <w:szCs w:val="24"/>
        </w:rPr>
        <w:t xml:space="preserve">Merseyside Dog Safety </w:t>
      </w:r>
      <w:r w:rsidR="0050325F" w:rsidRPr="00226C89">
        <w:rPr>
          <w:rFonts w:ascii="Calibri" w:hAnsi="Calibri" w:cs="Calibri"/>
          <w:noProof/>
          <w:szCs w:val="24"/>
        </w:rPr>
        <w:t>Partnership. Campaign: Help fight COVID-19 by staying safe around dogs.</w:t>
      </w:r>
      <w:r w:rsidR="0050325F">
        <w:rPr>
          <w:rFonts w:ascii="Calibri" w:hAnsi="Calibri" w:cs="Calibri"/>
          <w:noProof/>
          <w:szCs w:val="24"/>
        </w:rPr>
        <w:t xml:space="preserve"> </w:t>
      </w:r>
      <w:r w:rsidR="0050325F" w:rsidRPr="00226C89">
        <w:rPr>
          <w:rFonts w:ascii="Calibri" w:hAnsi="Calibri" w:cs="Calibri"/>
          <w:noProof/>
          <w:szCs w:val="24"/>
        </w:rPr>
        <w:t>2020.</w:t>
      </w:r>
      <w:r w:rsidR="0050325F">
        <w:rPr>
          <w:rFonts w:ascii="Calibri" w:hAnsi="Calibri" w:cs="Calibri"/>
          <w:noProof/>
          <w:szCs w:val="24"/>
        </w:rPr>
        <w:t xml:space="preserve"> </w:t>
      </w:r>
      <w:r w:rsidR="0050325F" w:rsidRPr="00226C89">
        <w:rPr>
          <w:rFonts w:ascii="Calibri" w:hAnsi="Calibri" w:cs="Calibri"/>
          <w:noProof/>
          <w:szCs w:val="24"/>
        </w:rPr>
        <w:t xml:space="preserve">https://merseydogsafe.co.uk/help-fight-covid-19-by-staying-safe-around-dogs/ </w:t>
      </w:r>
      <w:r w:rsidR="0050325F">
        <w:rPr>
          <w:rFonts w:ascii="Calibri" w:hAnsi="Calibri" w:cs="Calibri"/>
          <w:noProof/>
          <w:szCs w:val="24"/>
        </w:rPr>
        <w:t>[</w:t>
      </w:r>
      <w:r w:rsidR="0050325F" w:rsidRPr="00226C89">
        <w:rPr>
          <w:rFonts w:ascii="Calibri" w:hAnsi="Calibri" w:cs="Calibri"/>
          <w:noProof/>
          <w:szCs w:val="24"/>
        </w:rPr>
        <w:t>accessed 14 Jan 2021</w:t>
      </w:r>
      <w:r w:rsidR="0050325F">
        <w:rPr>
          <w:rFonts w:ascii="Calibri" w:hAnsi="Calibri" w:cs="Calibri"/>
          <w:noProof/>
          <w:szCs w:val="24"/>
        </w:rPr>
        <w:t>]</w:t>
      </w:r>
    </w:p>
    <w:p w14:paraId="6CB2DD68" w14:textId="75A5D245"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22 </w:t>
      </w:r>
      <w:r w:rsidRPr="003505C7">
        <w:rPr>
          <w:rFonts w:ascii="Calibri" w:hAnsi="Calibri" w:cs="Calibri"/>
          <w:noProof/>
          <w:szCs w:val="24"/>
        </w:rPr>
        <w:tab/>
      </w:r>
      <w:r w:rsidR="0050325F" w:rsidRPr="00226C89">
        <w:rPr>
          <w:rFonts w:ascii="Calibri" w:hAnsi="Calibri" w:cs="Calibri"/>
          <w:noProof/>
          <w:szCs w:val="24"/>
        </w:rPr>
        <w:t xml:space="preserve">Jacoby WG. Loess: A nonparametric, graphical tool for depicting relationships between variables. </w:t>
      </w:r>
      <w:r w:rsidR="0050325F" w:rsidRPr="00226C89">
        <w:rPr>
          <w:rFonts w:ascii="Calibri" w:hAnsi="Calibri" w:cs="Calibri"/>
          <w:i/>
          <w:iCs/>
          <w:noProof/>
          <w:szCs w:val="24"/>
        </w:rPr>
        <w:t>Elect Stud</w:t>
      </w:r>
      <w:r w:rsidR="0050325F" w:rsidRPr="00226C89">
        <w:rPr>
          <w:rFonts w:ascii="Calibri" w:hAnsi="Calibri" w:cs="Calibri"/>
          <w:noProof/>
          <w:szCs w:val="24"/>
        </w:rPr>
        <w:t xml:space="preserve"> 2000;</w:t>
      </w:r>
      <w:r w:rsidR="0050325F" w:rsidRPr="00836C12">
        <w:rPr>
          <w:rFonts w:ascii="Calibri" w:hAnsi="Calibri" w:cs="Calibri"/>
          <w:noProof/>
          <w:szCs w:val="24"/>
        </w:rPr>
        <w:t>19:</w:t>
      </w:r>
      <w:r w:rsidR="0050325F" w:rsidRPr="00226C89">
        <w:rPr>
          <w:rFonts w:ascii="Calibri" w:hAnsi="Calibri" w:cs="Calibri"/>
          <w:noProof/>
          <w:szCs w:val="24"/>
        </w:rPr>
        <w:t>577–613. doi:10.1016/S0261-3794(99)00028-1</w:t>
      </w:r>
    </w:p>
    <w:p w14:paraId="24E4DF0F" w14:textId="22B28A52"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23 </w:t>
      </w:r>
      <w:r w:rsidRPr="003505C7">
        <w:rPr>
          <w:rFonts w:ascii="Calibri" w:hAnsi="Calibri" w:cs="Calibri"/>
          <w:noProof/>
          <w:szCs w:val="24"/>
        </w:rPr>
        <w:tab/>
      </w:r>
      <w:r w:rsidR="0050325F" w:rsidRPr="00226C89">
        <w:rPr>
          <w:rFonts w:ascii="Calibri" w:hAnsi="Calibri" w:cs="Calibri"/>
          <w:noProof/>
          <w:szCs w:val="24"/>
        </w:rPr>
        <w:t xml:space="preserve">Hyndman R, Khandakar Y. Automatic time series forecasting: the forecast package for R. </w:t>
      </w:r>
      <w:r w:rsidR="0050325F" w:rsidRPr="00226C89">
        <w:rPr>
          <w:rFonts w:ascii="Calibri" w:hAnsi="Calibri" w:cs="Calibri"/>
          <w:i/>
          <w:iCs/>
          <w:noProof/>
          <w:szCs w:val="24"/>
        </w:rPr>
        <w:t>J Stat Softw</w:t>
      </w:r>
      <w:r w:rsidR="0050325F" w:rsidRPr="00226C89">
        <w:rPr>
          <w:rFonts w:ascii="Calibri" w:hAnsi="Calibri" w:cs="Calibri"/>
          <w:noProof/>
          <w:szCs w:val="24"/>
        </w:rPr>
        <w:t xml:space="preserve"> 2008;</w:t>
      </w:r>
      <w:r w:rsidR="0050325F">
        <w:rPr>
          <w:rFonts w:ascii="Calibri" w:hAnsi="Calibri" w:cs="Calibri"/>
          <w:noProof/>
          <w:szCs w:val="24"/>
        </w:rPr>
        <w:t>27</w:t>
      </w:r>
      <w:r w:rsidR="0050325F" w:rsidRPr="00226C89">
        <w:rPr>
          <w:rFonts w:ascii="Calibri" w:hAnsi="Calibri" w:cs="Calibri"/>
          <w:noProof/>
          <w:szCs w:val="24"/>
        </w:rPr>
        <w:t>.</w:t>
      </w:r>
      <w:r w:rsidR="0050325F">
        <w:rPr>
          <w:rFonts w:ascii="Calibri" w:hAnsi="Calibri" w:cs="Calibri"/>
          <w:noProof/>
          <w:szCs w:val="24"/>
        </w:rPr>
        <w:t xml:space="preserve"> doi:</w:t>
      </w:r>
      <w:r w:rsidR="0050325F" w:rsidRPr="00836C12">
        <w:t xml:space="preserve"> </w:t>
      </w:r>
      <w:r w:rsidR="0050325F" w:rsidRPr="00836C12">
        <w:rPr>
          <w:rFonts w:ascii="Calibri" w:hAnsi="Calibri" w:cs="Calibri"/>
          <w:noProof/>
          <w:szCs w:val="24"/>
        </w:rPr>
        <w:t>10.18637/jss.v027.i03</w:t>
      </w:r>
    </w:p>
    <w:p w14:paraId="7B4E1B16" w14:textId="798F428B"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24 </w:t>
      </w:r>
      <w:r w:rsidRPr="003505C7">
        <w:rPr>
          <w:rFonts w:ascii="Calibri" w:hAnsi="Calibri" w:cs="Calibri"/>
          <w:noProof/>
          <w:szCs w:val="24"/>
        </w:rPr>
        <w:tab/>
      </w:r>
      <w:r w:rsidR="0050325F" w:rsidRPr="00226C89">
        <w:rPr>
          <w:rFonts w:ascii="Calibri" w:hAnsi="Calibri" w:cs="Calibri"/>
          <w:noProof/>
          <w:szCs w:val="24"/>
        </w:rPr>
        <w:t xml:space="preserve">Wickham H, Averick M, Bryan J, </w:t>
      </w:r>
      <w:r w:rsidR="0050325F" w:rsidRPr="00836C12">
        <w:rPr>
          <w:rFonts w:ascii="Calibri" w:hAnsi="Calibri" w:cs="Calibri"/>
          <w:noProof/>
          <w:szCs w:val="24"/>
        </w:rPr>
        <w:t>et al.</w:t>
      </w:r>
      <w:r w:rsidR="0050325F" w:rsidRPr="00226C89">
        <w:rPr>
          <w:rFonts w:ascii="Calibri" w:hAnsi="Calibri" w:cs="Calibri"/>
          <w:noProof/>
          <w:szCs w:val="24"/>
        </w:rPr>
        <w:t xml:space="preserve"> Welcome to the Tidyverse. </w:t>
      </w:r>
      <w:r w:rsidR="0050325F" w:rsidRPr="00226C89">
        <w:rPr>
          <w:rFonts w:ascii="Calibri" w:hAnsi="Calibri" w:cs="Calibri"/>
          <w:i/>
          <w:iCs/>
          <w:noProof/>
          <w:szCs w:val="24"/>
        </w:rPr>
        <w:t>J Open Source Softw</w:t>
      </w:r>
      <w:r w:rsidR="0050325F" w:rsidRPr="00226C89">
        <w:rPr>
          <w:rFonts w:ascii="Calibri" w:hAnsi="Calibri" w:cs="Calibri"/>
          <w:noProof/>
          <w:szCs w:val="24"/>
        </w:rPr>
        <w:t xml:space="preserve"> 2019;</w:t>
      </w:r>
      <w:r w:rsidR="0050325F" w:rsidRPr="00836C12">
        <w:rPr>
          <w:rFonts w:ascii="Calibri" w:hAnsi="Calibri" w:cs="Calibri"/>
          <w:noProof/>
          <w:szCs w:val="24"/>
        </w:rPr>
        <w:t>4</w:t>
      </w:r>
      <w:r w:rsidR="0050325F" w:rsidRPr="00226C89">
        <w:rPr>
          <w:rFonts w:ascii="Calibri" w:hAnsi="Calibri" w:cs="Calibri"/>
          <w:noProof/>
          <w:szCs w:val="24"/>
        </w:rPr>
        <w:t>:1686. doi:10.21105/joss.01686</w:t>
      </w:r>
    </w:p>
    <w:p w14:paraId="7E72169F" w14:textId="14ACB7BB"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25 </w:t>
      </w:r>
      <w:r w:rsidRPr="003505C7">
        <w:rPr>
          <w:rFonts w:ascii="Calibri" w:hAnsi="Calibri" w:cs="Calibri"/>
          <w:noProof/>
          <w:szCs w:val="24"/>
        </w:rPr>
        <w:tab/>
      </w:r>
      <w:r w:rsidR="0050325F" w:rsidRPr="00226C89">
        <w:rPr>
          <w:rFonts w:ascii="Calibri" w:hAnsi="Calibri" w:cs="Calibri"/>
          <w:noProof/>
          <w:szCs w:val="24"/>
        </w:rPr>
        <w:t xml:space="preserve">Hyndman R, Athanasopoulos G. </w:t>
      </w:r>
      <w:r w:rsidR="0050325F" w:rsidRPr="00836C12">
        <w:rPr>
          <w:rFonts w:ascii="Calibri" w:hAnsi="Calibri" w:cs="Calibri"/>
          <w:noProof/>
          <w:szCs w:val="24"/>
        </w:rPr>
        <w:t>Forecasting: principles and practice</w:t>
      </w:r>
      <w:r w:rsidR="0050325F" w:rsidRPr="00226C89">
        <w:rPr>
          <w:rFonts w:ascii="Calibri" w:hAnsi="Calibri" w:cs="Calibri"/>
          <w:noProof/>
          <w:szCs w:val="24"/>
        </w:rPr>
        <w:t>. OTexts:Melbourne, Australia 2018. OTexts.com/fpp2</w:t>
      </w:r>
      <w:r w:rsidR="0050325F">
        <w:rPr>
          <w:rFonts w:ascii="Calibri" w:hAnsi="Calibri" w:cs="Calibri"/>
          <w:noProof/>
          <w:szCs w:val="24"/>
        </w:rPr>
        <w:t>. [accessed 14 Jan 2021]</w:t>
      </w:r>
    </w:p>
    <w:p w14:paraId="79DAC6DF" w14:textId="0D5177D4"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26 </w:t>
      </w:r>
      <w:r w:rsidRPr="003505C7">
        <w:rPr>
          <w:rFonts w:ascii="Calibri" w:hAnsi="Calibri" w:cs="Calibri"/>
          <w:noProof/>
          <w:szCs w:val="24"/>
        </w:rPr>
        <w:tab/>
      </w:r>
      <w:r w:rsidR="0050325F" w:rsidRPr="00226C89">
        <w:rPr>
          <w:rFonts w:ascii="Calibri" w:hAnsi="Calibri" w:cs="Calibri"/>
          <w:noProof/>
          <w:szCs w:val="24"/>
        </w:rPr>
        <w:t>Abdel-Rahman S</w:t>
      </w:r>
      <w:r w:rsidR="0050325F">
        <w:rPr>
          <w:rFonts w:ascii="Calibri" w:hAnsi="Calibri" w:cs="Calibri"/>
          <w:noProof/>
          <w:szCs w:val="24"/>
        </w:rPr>
        <w:t>M</w:t>
      </w:r>
      <w:r w:rsidR="0050325F" w:rsidRPr="00226C89">
        <w:rPr>
          <w:rFonts w:ascii="Calibri" w:hAnsi="Calibri" w:cs="Calibri"/>
          <w:noProof/>
          <w:szCs w:val="24"/>
        </w:rPr>
        <w:t>, Amidon G</w:t>
      </w:r>
      <w:r w:rsidR="0050325F">
        <w:rPr>
          <w:rFonts w:ascii="Calibri" w:hAnsi="Calibri" w:cs="Calibri"/>
          <w:noProof/>
          <w:szCs w:val="24"/>
        </w:rPr>
        <w:t>L</w:t>
      </w:r>
      <w:r w:rsidR="0050325F" w:rsidRPr="00226C89">
        <w:rPr>
          <w:rFonts w:ascii="Calibri" w:hAnsi="Calibri" w:cs="Calibri"/>
          <w:noProof/>
          <w:szCs w:val="24"/>
        </w:rPr>
        <w:t xml:space="preserve">, Kaul A, </w:t>
      </w:r>
      <w:r w:rsidR="0050325F" w:rsidRPr="00836C12">
        <w:rPr>
          <w:rFonts w:ascii="Calibri" w:hAnsi="Calibri" w:cs="Calibri"/>
          <w:noProof/>
          <w:szCs w:val="24"/>
        </w:rPr>
        <w:t>et al</w:t>
      </w:r>
      <w:r w:rsidR="0050325F" w:rsidRPr="00226C89">
        <w:rPr>
          <w:rFonts w:ascii="Calibri" w:hAnsi="Calibri" w:cs="Calibri"/>
          <w:i/>
          <w:iCs/>
          <w:noProof/>
          <w:szCs w:val="24"/>
        </w:rPr>
        <w:t>.</w:t>
      </w:r>
      <w:r w:rsidR="0050325F" w:rsidRPr="00226C89">
        <w:rPr>
          <w:rFonts w:ascii="Calibri" w:hAnsi="Calibri" w:cs="Calibri"/>
          <w:noProof/>
          <w:szCs w:val="24"/>
        </w:rPr>
        <w:t xml:space="preserve"> Summary of the National Institute of Child Health and Human Development-best pharmaceuticals for Children Act Pediatric Formulation Initiatives Workshop-Pediatric Biopharmaceutics Classification System Working Group. </w:t>
      </w:r>
      <w:r w:rsidR="0050325F" w:rsidRPr="00226C89">
        <w:rPr>
          <w:rFonts w:ascii="Calibri" w:hAnsi="Calibri" w:cs="Calibri"/>
          <w:i/>
          <w:iCs/>
          <w:noProof/>
          <w:szCs w:val="24"/>
        </w:rPr>
        <w:t>Clin Ther</w:t>
      </w:r>
      <w:r w:rsidR="0050325F" w:rsidRPr="00226C89">
        <w:rPr>
          <w:rFonts w:ascii="Calibri" w:hAnsi="Calibri" w:cs="Calibri"/>
          <w:noProof/>
          <w:szCs w:val="24"/>
        </w:rPr>
        <w:t xml:space="preserve"> 2012;</w:t>
      </w:r>
      <w:r w:rsidR="0050325F" w:rsidRPr="00836C12">
        <w:rPr>
          <w:rFonts w:ascii="Calibri" w:hAnsi="Calibri" w:cs="Calibri"/>
          <w:noProof/>
          <w:szCs w:val="24"/>
        </w:rPr>
        <w:t>34</w:t>
      </w:r>
      <w:r w:rsidR="0050325F" w:rsidRPr="00226C89">
        <w:rPr>
          <w:rFonts w:ascii="Calibri" w:hAnsi="Calibri" w:cs="Calibri"/>
          <w:noProof/>
          <w:szCs w:val="24"/>
        </w:rPr>
        <w:t>:S11-24. doi:10.1016/j.clinthera.2012.09.014</w:t>
      </w:r>
      <w:r w:rsidR="0050325F">
        <w:rPr>
          <w:rFonts w:ascii="Calibri" w:hAnsi="Calibri" w:cs="Calibri"/>
          <w:noProof/>
          <w:szCs w:val="24"/>
        </w:rPr>
        <w:t xml:space="preserve"> [published Online First 1 Nov 2013]</w:t>
      </w:r>
    </w:p>
    <w:p w14:paraId="590C559E" w14:textId="6178CCB6"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27 </w:t>
      </w:r>
      <w:r w:rsidRPr="003505C7">
        <w:rPr>
          <w:rFonts w:ascii="Calibri" w:hAnsi="Calibri" w:cs="Calibri"/>
          <w:noProof/>
          <w:szCs w:val="24"/>
        </w:rPr>
        <w:tab/>
      </w:r>
      <w:r w:rsidR="0050325F">
        <w:rPr>
          <w:rFonts w:ascii="Calibri" w:hAnsi="Calibri" w:cs="Calibri"/>
          <w:noProof/>
          <w:szCs w:val="24"/>
        </w:rPr>
        <w:t xml:space="preserve">World Health </w:t>
      </w:r>
      <w:r w:rsidR="0050325F" w:rsidRPr="00226C89">
        <w:rPr>
          <w:rFonts w:ascii="Calibri" w:hAnsi="Calibri" w:cs="Calibri"/>
          <w:noProof/>
          <w:szCs w:val="24"/>
        </w:rPr>
        <w:t>Organization</w:t>
      </w:r>
      <w:r w:rsidR="0050325F">
        <w:rPr>
          <w:rFonts w:ascii="Calibri" w:hAnsi="Calibri" w:cs="Calibri"/>
          <w:noProof/>
          <w:szCs w:val="24"/>
        </w:rPr>
        <w:t>.</w:t>
      </w:r>
      <w:r w:rsidR="0050325F" w:rsidRPr="00226C89">
        <w:rPr>
          <w:rFonts w:ascii="Calibri" w:hAnsi="Calibri" w:cs="Calibri"/>
          <w:noProof/>
          <w:szCs w:val="24"/>
        </w:rPr>
        <w:t xml:space="preserve"> </w:t>
      </w:r>
      <w:r w:rsidR="0050325F" w:rsidRPr="00836C12">
        <w:rPr>
          <w:rFonts w:ascii="Calibri" w:hAnsi="Calibri" w:cs="Calibri"/>
          <w:noProof/>
          <w:szCs w:val="24"/>
        </w:rPr>
        <w:t xml:space="preserve">World health statistics 2019: monitoring health for the SDGs, sustainable development goals. </w:t>
      </w:r>
      <w:r w:rsidR="0050325F" w:rsidRPr="00226C89">
        <w:rPr>
          <w:rFonts w:ascii="Calibri" w:hAnsi="Calibri" w:cs="Calibri"/>
          <w:noProof/>
          <w:szCs w:val="24"/>
        </w:rPr>
        <w:t>https://apps.who.int/iris/handle/10665/324835.</w:t>
      </w:r>
      <w:r w:rsidR="0050325F">
        <w:rPr>
          <w:rFonts w:ascii="Calibri" w:hAnsi="Calibri" w:cs="Calibri"/>
          <w:noProof/>
          <w:szCs w:val="24"/>
        </w:rPr>
        <w:t xml:space="preserve"> [accessed 14 Jan 2021]</w:t>
      </w:r>
    </w:p>
    <w:p w14:paraId="493D6AEF" w14:textId="54B9CD1F" w:rsidR="003505C7" w:rsidRPr="003505C7" w:rsidRDefault="003505C7" w:rsidP="0050325F">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28 </w:t>
      </w:r>
      <w:r w:rsidRPr="003505C7">
        <w:rPr>
          <w:rFonts w:ascii="Calibri" w:hAnsi="Calibri" w:cs="Calibri"/>
          <w:noProof/>
          <w:szCs w:val="24"/>
        </w:rPr>
        <w:tab/>
      </w:r>
      <w:r w:rsidR="0050325F" w:rsidRPr="00226C89">
        <w:rPr>
          <w:rFonts w:ascii="Calibri" w:hAnsi="Calibri" w:cs="Calibri"/>
          <w:noProof/>
          <w:szCs w:val="24"/>
        </w:rPr>
        <w:t>Office for National Statistics. Coronavirus and the social impacts on Great Britain: 8 January 2021.</w:t>
      </w:r>
      <w:r w:rsidR="0050325F">
        <w:rPr>
          <w:rFonts w:ascii="Calibri" w:hAnsi="Calibri" w:cs="Calibri"/>
          <w:noProof/>
          <w:szCs w:val="24"/>
        </w:rPr>
        <w:t xml:space="preserve"> </w:t>
      </w:r>
      <w:r w:rsidR="0050325F" w:rsidRPr="00226C89">
        <w:rPr>
          <w:rFonts w:ascii="Calibri" w:hAnsi="Calibri" w:cs="Calibri"/>
          <w:noProof/>
          <w:szCs w:val="24"/>
        </w:rPr>
        <w:t xml:space="preserve">https://www.ons.gov.uk/peoplepopulationandcommunity/healthandsocialcare/healthandwellbeing/bulletins/coronavirusandthesocialimpactsongreatbritain/8january2021 </w:t>
      </w:r>
      <w:r w:rsidR="0050325F">
        <w:rPr>
          <w:rFonts w:ascii="Calibri" w:hAnsi="Calibri" w:cs="Calibri"/>
          <w:noProof/>
          <w:szCs w:val="24"/>
        </w:rPr>
        <w:t>[</w:t>
      </w:r>
      <w:r w:rsidR="0050325F" w:rsidRPr="00226C89">
        <w:rPr>
          <w:rFonts w:ascii="Calibri" w:hAnsi="Calibri" w:cs="Calibri"/>
          <w:noProof/>
          <w:szCs w:val="24"/>
        </w:rPr>
        <w:t>accessed 9 Jan 2021</w:t>
      </w:r>
      <w:r w:rsidR="0050325F">
        <w:rPr>
          <w:rFonts w:ascii="Calibri" w:hAnsi="Calibri" w:cs="Calibri"/>
          <w:noProof/>
          <w:szCs w:val="24"/>
        </w:rPr>
        <w:t>]</w:t>
      </w:r>
    </w:p>
    <w:p w14:paraId="543C392D" w14:textId="27DAC565"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lastRenderedPageBreak/>
        <w:t xml:space="preserve">29 </w:t>
      </w:r>
      <w:r w:rsidRPr="003505C7">
        <w:rPr>
          <w:rFonts w:ascii="Calibri" w:hAnsi="Calibri" w:cs="Calibri"/>
          <w:noProof/>
          <w:szCs w:val="24"/>
        </w:rPr>
        <w:tab/>
      </w:r>
      <w:r w:rsidR="0050325F" w:rsidRPr="00226C89">
        <w:rPr>
          <w:rFonts w:ascii="Calibri" w:hAnsi="Calibri" w:cs="Calibri"/>
          <w:noProof/>
          <w:szCs w:val="24"/>
        </w:rPr>
        <w:t xml:space="preserve">Olding J, Zisman S, Olding C, </w:t>
      </w:r>
      <w:r w:rsidR="0050325F" w:rsidRPr="00836C12">
        <w:rPr>
          <w:rFonts w:ascii="Calibri" w:hAnsi="Calibri" w:cs="Calibri"/>
          <w:noProof/>
          <w:szCs w:val="24"/>
        </w:rPr>
        <w:t>et al</w:t>
      </w:r>
      <w:r w:rsidR="0050325F" w:rsidRPr="00226C89">
        <w:rPr>
          <w:rFonts w:ascii="Calibri" w:hAnsi="Calibri" w:cs="Calibri"/>
          <w:i/>
          <w:iCs/>
          <w:noProof/>
          <w:szCs w:val="24"/>
        </w:rPr>
        <w:t>.</w:t>
      </w:r>
      <w:r w:rsidR="0050325F" w:rsidRPr="00226C89">
        <w:rPr>
          <w:rFonts w:ascii="Calibri" w:hAnsi="Calibri" w:cs="Calibri"/>
          <w:noProof/>
          <w:szCs w:val="24"/>
        </w:rPr>
        <w:t xml:space="preserve"> Penetrating trauma during a global pandemic: Changing patterns in interpersonal violence, self-harm and domestic violence in the Covid-19 outbreak. </w:t>
      </w:r>
      <w:r w:rsidR="0050325F" w:rsidRPr="00226C89">
        <w:rPr>
          <w:rFonts w:ascii="Calibri" w:hAnsi="Calibri" w:cs="Calibri"/>
          <w:i/>
          <w:iCs/>
          <w:noProof/>
          <w:szCs w:val="24"/>
        </w:rPr>
        <w:t>Surgeon</w:t>
      </w:r>
      <w:r w:rsidR="0050325F" w:rsidRPr="00226C89">
        <w:rPr>
          <w:rFonts w:ascii="Calibri" w:hAnsi="Calibri" w:cs="Calibri"/>
          <w:noProof/>
          <w:szCs w:val="24"/>
        </w:rPr>
        <w:t xml:space="preserve"> 2020;</w:t>
      </w:r>
      <w:r w:rsidR="0050325F" w:rsidRPr="00836C12">
        <w:rPr>
          <w:rFonts w:ascii="Calibri" w:hAnsi="Calibri" w:cs="Calibri"/>
          <w:noProof/>
          <w:szCs w:val="24"/>
        </w:rPr>
        <w:t>14</w:t>
      </w:r>
      <w:r w:rsidR="0050325F" w:rsidRPr="00226C89">
        <w:rPr>
          <w:rFonts w:ascii="Calibri" w:hAnsi="Calibri" w:cs="Calibri"/>
          <w:noProof/>
          <w:szCs w:val="24"/>
        </w:rPr>
        <w:t>:337–9. doi:10.1016/j.surge.2020.07.004</w:t>
      </w:r>
      <w:r w:rsidR="0050325F">
        <w:rPr>
          <w:rFonts w:ascii="Calibri" w:hAnsi="Calibri" w:cs="Calibri"/>
          <w:noProof/>
          <w:szCs w:val="24"/>
        </w:rPr>
        <w:t xml:space="preserve"> [published Online First: 30 Jul 2020]</w:t>
      </w:r>
    </w:p>
    <w:p w14:paraId="256A51D6" w14:textId="1CF112AB"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30 </w:t>
      </w:r>
      <w:r w:rsidRPr="003505C7">
        <w:rPr>
          <w:rFonts w:ascii="Calibri" w:hAnsi="Calibri" w:cs="Calibri"/>
          <w:noProof/>
          <w:szCs w:val="24"/>
        </w:rPr>
        <w:tab/>
      </w:r>
      <w:r w:rsidR="0050325F" w:rsidRPr="00226C89">
        <w:rPr>
          <w:rFonts w:ascii="Calibri" w:hAnsi="Calibri" w:cs="Calibri"/>
          <w:noProof/>
          <w:szCs w:val="24"/>
        </w:rPr>
        <w:t xml:space="preserve">Iob E, Steptoe A, Fancourt D. Abuse, self-harm and suicidal ideation in the UK during the COVID-19 pandemic. </w:t>
      </w:r>
      <w:r w:rsidR="0050325F" w:rsidRPr="00226C89">
        <w:rPr>
          <w:rFonts w:ascii="Calibri" w:hAnsi="Calibri" w:cs="Calibri"/>
          <w:i/>
          <w:iCs/>
          <w:noProof/>
          <w:szCs w:val="24"/>
        </w:rPr>
        <w:t>Br J Psychiatry</w:t>
      </w:r>
      <w:r w:rsidR="0050325F" w:rsidRPr="00226C89">
        <w:rPr>
          <w:rFonts w:ascii="Calibri" w:hAnsi="Calibri" w:cs="Calibri"/>
          <w:noProof/>
          <w:szCs w:val="24"/>
        </w:rPr>
        <w:t xml:space="preserve"> 2020;</w:t>
      </w:r>
      <w:r w:rsidR="0050325F" w:rsidRPr="00152829">
        <w:rPr>
          <w:rFonts w:ascii="Calibri" w:hAnsi="Calibri" w:cs="Calibri"/>
          <w:noProof/>
          <w:szCs w:val="24"/>
        </w:rPr>
        <w:t>217</w:t>
      </w:r>
      <w:r w:rsidR="0050325F" w:rsidRPr="00226C89">
        <w:rPr>
          <w:rFonts w:ascii="Calibri" w:hAnsi="Calibri" w:cs="Calibri"/>
          <w:noProof/>
          <w:szCs w:val="24"/>
        </w:rPr>
        <w:t>:543–6. doi:10.1192/bjp.2020.130</w:t>
      </w:r>
      <w:r w:rsidR="0050325F">
        <w:rPr>
          <w:rFonts w:ascii="Calibri" w:hAnsi="Calibri" w:cs="Calibri"/>
          <w:noProof/>
          <w:szCs w:val="24"/>
        </w:rPr>
        <w:t>. [published Online First: 13 Jul 2020]</w:t>
      </w:r>
    </w:p>
    <w:p w14:paraId="7AD23416" w14:textId="5CFDA9E1"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31 </w:t>
      </w:r>
      <w:r w:rsidRPr="003505C7">
        <w:rPr>
          <w:rFonts w:ascii="Calibri" w:hAnsi="Calibri" w:cs="Calibri"/>
          <w:noProof/>
          <w:szCs w:val="24"/>
        </w:rPr>
        <w:tab/>
      </w:r>
      <w:r w:rsidR="0050325F" w:rsidRPr="00226C89">
        <w:rPr>
          <w:rFonts w:ascii="Calibri" w:hAnsi="Calibri" w:cs="Calibri"/>
          <w:noProof/>
          <w:szCs w:val="24"/>
        </w:rPr>
        <w:t xml:space="preserve">Christley RM, Murray JK, Anderson KL, </w:t>
      </w:r>
      <w:r w:rsidR="0050325F" w:rsidRPr="00152829">
        <w:rPr>
          <w:rFonts w:ascii="Calibri" w:hAnsi="Calibri" w:cs="Calibri"/>
          <w:noProof/>
          <w:szCs w:val="24"/>
        </w:rPr>
        <w:t>et al</w:t>
      </w:r>
      <w:r w:rsidR="0050325F" w:rsidRPr="00226C89">
        <w:rPr>
          <w:rFonts w:ascii="Calibri" w:hAnsi="Calibri" w:cs="Calibri"/>
          <w:i/>
          <w:iCs/>
          <w:noProof/>
          <w:szCs w:val="24"/>
        </w:rPr>
        <w:t>.</w:t>
      </w:r>
      <w:r w:rsidR="0050325F" w:rsidRPr="00226C89">
        <w:rPr>
          <w:rFonts w:ascii="Calibri" w:hAnsi="Calibri" w:cs="Calibri"/>
          <w:noProof/>
          <w:szCs w:val="24"/>
        </w:rPr>
        <w:t xml:space="preserve"> Impact of the </w:t>
      </w:r>
      <w:r w:rsidR="0050325F">
        <w:rPr>
          <w:rFonts w:ascii="Calibri" w:hAnsi="Calibri" w:cs="Calibri"/>
          <w:noProof/>
          <w:szCs w:val="24"/>
        </w:rPr>
        <w:t>f</w:t>
      </w:r>
      <w:r w:rsidR="0050325F" w:rsidRPr="00226C89">
        <w:rPr>
          <w:rFonts w:ascii="Calibri" w:hAnsi="Calibri" w:cs="Calibri"/>
          <w:noProof/>
          <w:szCs w:val="24"/>
        </w:rPr>
        <w:t xml:space="preserve">irst COVID-19 </w:t>
      </w:r>
      <w:r w:rsidR="0050325F">
        <w:rPr>
          <w:rFonts w:ascii="Calibri" w:hAnsi="Calibri" w:cs="Calibri"/>
          <w:noProof/>
          <w:szCs w:val="24"/>
        </w:rPr>
        <w:t>l</w:t>
      </w:r>
      <w:r w:rsidR="0050325F" w:rsidRPr="00226C89">
        <w:rPr>
          <w:rFonts w:ascii="Calibri" w:hAnsi="Calibri" w:cs="Calibri"/>
          <w:noProof/>
          <w:szCs w:val="24"/>
        </w:rPr>
        <w:t xml:space="preserve">ockdown on </w:t>
      </w:r>
      <w:r w:rsidR="0050325F">
        <w:rPr>
          <w:rFonts w:ascii="Calibri" w:hAnsi="Calibri" w:cs="Calibri"/>
          <w:noProof/>
          <w:szCs w:val="24"/>
        </w:rPr>
        <w:t>m</w:t>
      </w:r>
      <w:r w:rsidR="0050325F" w:rsidRPr="00226C89">
        <w:rPr>
          <w:rFonts w:ascii="Calibri" w:hAnsi="Calibri" w:cs="Calibri"/>
          <w:noProof/>
          <w:szCs w:val="24"/>
        </w:rPr>
        <w:t xml:space="preserve">anagement of </w:t>
      </w:r>
      <w:r w:rsidR="0050325F">
        <w:rPr>
          <w:rFonts w:ascii="Calibri" w:hAnsi="Calibri" w:cs="Calibri"/>
          <w:noProof/>
          <w:szCs w:val="24"/>
        </w:rPr>
        <w:t>p</w:t>
      </w:r>
      <w:r w:rsidR="0050325F" w:rsidRPr="00226C89">
        <w:rPr>
          <w:rFonts w:ascii="Calibri" w:hAnsi="Calibri" w:cs="Calibri"/>
          <w:noProof/>
          <w:szCs w:val="24"/>
        </w:rPr>
        <w:t xml:space="preserve">et </w:t>
      </w:r>
      <w:r w:rsidR="0050325F">
        <w:rPr>
          <w:rFonts w:ascii="Calibri" w:hAnsi="Calibri" w:cs="Calibri"/>
          <w:noProof/>
          <w:szCs w:val="24"/>
        </w:rPr>
        <w:t>d</w:t>
      </w:r>
      <w:r w:rsidR="0050325F" w:rsidRPr="00226C89">
        <w:rPr>
          <w:rFonts w:ascii="Calibri" w:hAnsi="Calibri" w:cs="Calibri"/>
          <w:noProof/>
          <w:szCs w:val="24"/>
        </w:rPr>
        <w:t xml:space="preserve">ogs in the UK. </w:t>
      </w:r>
      <w:r w:rsidR="0050325F">
        <w:rPr>
          <w:rFonts w:ascii="Calibri" w:hAnsi="Calibri" w:cs="Calibri"/>
          <w:i/>
          <w:iCs/>
          <w:noProof/>
          <w:szCs w:val="24"/>
        </w:rPr>
        <w:t xml:space="preserve">Animals  </w:t>
      </w:r>
      <w:r w:rsidR="0050325F" w:rsidRPr="00226C89">
        <w:rPr>
          <w:rFonts w:ascii="Calibri" w:hAnsi="Calibri" w:cs="Calibri"/>
          <w:noProof/>
          <w:szCs w:val="24"/>
        </w:rPr>
        <w:t>2021</w:t>
      </w:r>
      <w:r w:rsidR="0050325F">
        <w:rPr>
          <w:rFonts w:ascii="Calibri" w:hAnsi="Calibri" w:cs="Calibri"/>
          <w:noProof/>
          <w:szCs w:val="24"/>
        </w:rPr>
        <w:t>;11:E5</w:t>
      </w:r>
      <w:r w:rsidR="0050325F" w:rsidRPr="00226C89">
        <w:rPr>
          <w:rFonts w:ascii="Calibri" w:hAnsi="Calibri" w:cs="Calibri"/>
          <w:noProof/>
          <w:szCs w:val="24"/>
        </w:rPr>
        <w:t>.</w:t>
      </w:r>
      <w:r w:rsidR="0050325F">
        <w:rPr>
          <w:rFonts w:ascii="Calibri" w:hAnsi="Calibri" w:cs="Calibri"/>
          <w:noProof/>
          <w:szCs w:val="24"/>
        </w:rPr>
        <w:t xml:space="preserve"> </w:t>
      </w:r>
      <w:r w:rsidR="0050325F" w:rsidRPr="00152829">
        <w:rPr>
          <w:rFonts w:ascii="Calibri" w:hAnsi="Calibri" w:cs="Calibri"/>
          <w:noProof/>
          <w:szCs w:val="24"/>
        </w:rPr>
        <w:t>doi: 10.3390/ani11010005</w:t>
      </w:r>
      <w:r w:rsidR="0050325F">
        <w:rPr>
          <w:rFonts w:ascii="Calibri" w:hAnsi="Calibri" w:cs="Calibri"/>
          <w:noProof/>
          <w:szCs w:val="24"/>
        </w:rPr>
        <w:t>.</w:t>
      </w:r>
    </w:p>
    <w:p w14:paraId="6D253CC8" w14:textId="113DE1BD"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32 </w:t>
      </w:r>
      <w:r w:rsidRPr="003505C7">
        <w:rPr>
          <w:rFonts w:ascii="Calibri" w:hAnsi="Calibri" w:cs="Calibri"/>
          <w:noProof/>
          <w:szCs w:val="24"/>
        </w:rPr>
        <w:tab/>
      </w:r>
      <w:r w:rsidR="0050325F" w:rsidRPr="00226C89">
        <w:rPr>
          <w:rFonts w:ascii="Calibri" w:hAnsi="Calibri" w:cs="Calibri"/>
          <w:noProof/>
          <w:szCs w:val="24"/>
        </w:rPr>
        <w:t xml:space="preserve">Applebaum JW, Tomlinson CA, Matijczak A, </w:t>
      </w:r>
      <w:r w:rsidR="0050325F" w:rsidRPr="00226C89">
        <w:rPr>
          <w:rFonts w:ascii="Calibri" w:hAnsi="Calibri" w:cs="Calibri"/>
          <w:i/>
          <w:iCs/>
          <w:noProof/>
          <w:szCs w:val="24"/>
        </w:rPr>
        <w:t>et al.</w:t>
      </w:r>
      <w:r w:rsidR="0050325F" w:rsidRPr="00226C89">
        <w:rPr>
          <w:rFonts w:ascii="Calibri" w:hAnsi="Calibri" w:cs="Calibri"/>
          <w:noProof/>
          <w:szCs w:val="24"/>
        </w:rPr>
        <w:t xml:space="preserve"> The concerns, difficulties, and stressors of caring for pets during covid-19: Results from a large survey of U.S. pet owners. </w:t>
      </w:r>
      <w:r w:rsidR="0050325F" w:rsidRPr="00226C89">
        <w:rPr>
          <w:rFonts w:ascii="Calibri" w:hAnsi="Calibri" w:cs="Calibri"/>
          <w:i/>
          <w:iCs/>
          <w:noProof/>
          <w:szCs w:val="24"/>
        </w:rPr>
        <w:t>Animals</w:t>
      </w:r>
      <w:r w:rsidR="0050325F" w:rsidRPr="00226C89">
        <w:rPr>
          <w:rFonts w:ascii="Calibri" w:hAnsi="Calibri" w:cs="Calibri"/>
          <w:noProof/>
          <w:szCs w:val="24"/>
        </w:rPr>
        <w:t xml:space="preserve"> 2020;</w:t>
      </w:r>
      <w:r w:rsidR="0050325F" w:rsidRPr="00226C89">
        <w:rPr>
          <w:rFonts w:ascii="Calibri" w:hAnsi="Calibri" w:cs="Calibri"/>
          <w:b/>
          <w:bCs/>
          <w:noProof/>
          <w:szCs w:val="24"/>
        </w:rPr>
        <w:t>10</w:t>
      </w:r>
      <w:r w:rsidR="0050325F" w:rsidRPr="00226C89">
        <w:rPr>
          <w:rFonts w:ascii="Calibri" w:hAnsi="Calibri" w:cs="Calibri"/>
          <w:noProof/>
          <w:szCs w:val="24"/>
        </w:rPr>
        <w:t>:1–14. doi:10.3390/ani10101882</w:t>
      </w:r>
      <w:r w:rsidR="0050325F">
        <w:rPr>
          <w:rFonts w:ascii="Calibri" w:hAnsi="Calibri" w:cs="Calibri"/>
          <w:noProof/>
          <w:szCs w:val="24"/>
        </w:rPr>
        <w:t xml:space="preserve"> [published Online First: 22 Dec 2020]</w:t>
      </w:r>
    </w:p>
    <w:p w14:paraId="4899AA2F" w14:textId="45BBAF57"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33 </w:t>
      </w:r>
      <w:r w:rsidRPr="003505C7">
        <w:rPr>
          <w:rFonts w:ascii="Calibri" w:hAnsi="Calibri" w:cs="Calibri"/>
          <w:noProof/>
          <w:szCs w:val="24"/>
        </w:rPr>
        <w:tab/>
        <w:t xml:space="preserve">Mills DS, Braem Dube M, Zulch H. </w:t>
      </w:r>
      <w:r w:rsidRPr="003505C7">
        <w:rPr>
          <w:rFonts w:ascii="Calibri" w:hAnsi="Calibri" w:cs="Calibri"/>
          <w:i/>
          <w:iCs/>
          <w:noProof/>
          <w:szCs w:val="24"/>
        </w:rPr>
        <w:t>Stress and pheromonatherapy in small animal clinical behaviour</w:t>
      </w:r>
      <w:r w:rsidRPr="003505C7">
        <w:rPr>
          <w:rFonts w:ascii="Calibri" w:hAnsi="Calibri" w:cs="Calibri"/>
          <w:noProof/>
          <w:szCs w:val="24"/>
        </w:rPr>
        <w:t xml:space="preserve">. Chichester: Wiley Blackwell 2013. </w:t>
      </w:r>
    </w:p>
    <w:p w14:paraId="4A22ABB5" w14:textId="77777777"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34 </w:t>
      </w:r>
      <w:r w:rsidRPr="003505C7">
        <w:rPr>
          <w:rFonts w:ascii="Calibri" w:hAnsi="Calibri" w:cs="Calibri"/>
          <w:noProof/>
          <w:szCs w:val="24"/>
        </w:rPr>
        <w:tab/>
        <w:t xml:space="preserve">Arhant C, Landenberger R, Beetz A, </w:t>
      </w:r>
      <w:r w:rsidRPr="0050325F">
        <w:rPr>
          <w:rFonts w:ascii="Calibri" w:hAnsi="Calibri" w:cs="Calibri"/>
          <w:noProof/>
          <w:szCs w:val="24"/>
        </w:rPr>
        <w:t xml:space="preserve">et al. </w:t>
      </w:r>
      <w:r w:rsidRPr="003505C7">
        <w:rPr>
          <w:rFonts w:ascii="Calibri" w:hAnsi="Calibri" w:cs="Calibri"/>
          <w:noProof/>
          <w:szCs w:val="24"/>
        </w:rPr>
        <w:t xml:space="preserve">Attitudes of caregivers to supervision of child–family dog interactions in children up to 6 years—An exploratory study. </w:t>
      </w:r>
      <w:r w:rsidRPr="003505C7">
        <w:rPr>
          <w:rFonts w:ascii="Calibri" w:hAnsi="Calibri" w:cs="Calibri"/>
          <w:i/>
          <w:iCs/>
          <w:noProof/>
          <w:szCs w:val="24"/>
        </w:rPr>
        <w:t>J Vet Behav Clin Appl Res</w:t>
      </w:r>
      <w:r w:rsidRPr="003505C7">
        <w:rPr>
          <w:rFonts w:ascii="Calibri" w:hAnsi="Calibri" w:cs="Calibri"/>
          <w:noProof/>
          <w:szCs w:val="24"/>
        </w:rPr>
        <w:t xml:space="preserve"> 2016;</w:t>
      </w:r>
      <w:r w:rsidRPr="0050325F">
        <w:rPr>
          <w:rFonts w:ascii="Calibri" w:hAnsi="Calibri" w:cs="Calibri"/>
          <w:noProof/>
          <w:szCs w:val="24"/>
        </w:rPr>
        <w:t>14:</w:t>
      </w:r>
      <w:r w:rsidRPr="003505C7">
        <w:rPr>
          <w:rFonts w:ascii="Calibri" w:hAnsi="Calibri" w:cs="Calibri"/>
          <w:noProof/>
          <w:szCs w:val="24"/>
        </w:rPr>
        <w:t>10–6. doi:10.1016/j.jveb.2016.06.007</w:t>
      </w:r>
    </w:p>
    <w:p w14:paraId="2F222867" w14:textId="0D8838A5"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35 </w:t>
      </w:r>
      <w:r w:rsidRPr="003505C7">
        <w:rPr>
          <w:rFonts w:ascii="Calibri" w:hAnsi="Calibri" w:cs="Calibri"/>
          <w:noProof/>
          <w:szCs w:val="24"/>
        </w:rPr>
        <w:tab/>
        <w:t xml:space="preserve">Franchini S, Spessot M, Landoni G, </w:t>
      </w:r>
      <w:r w:rsidRPr="007D2EA4">
        <w:rPr>
          <w:rFonts w:ascii="Calibri" w:hAnsi="Calibri" w:cs="Calibri"/>
          <w:noProof/>
          <w:szCs w:val="24"/>
        </w:rPr>
        <w:t>et al.</w:t>
      </w:r>
      <w:r w:rsidRPr="003505C7">
        <w:rPr>
          <w:rFonts w:ascii="Calibri" w:hAnsi="Calibri" w:cs="Calibri"/>
          <w:noProof/>
          <w:szCs w:val="24"/>
        </w:rPr>
        <w:t xml:space="preserve"> Stranger months: How SARS-CoV-2, fear of contagion, and lockdown measures impacted attendance and clinical activity during February and March 2020 at an urban Emergency Department in Milan. </w:t>
      </w:r>
      <w:r w:rsidRPr="003505C7">
        <w:rPr>
          <w:rFonts w:ascii="Calibri" w:hAnsi="Calibri" w:cs="Calibri"/>
          <w:i/>
          <w:iCs/>
          <w:noProof/>
          <w:szCs w:val="24"/>
        </w:rPr>
        <w:t>Disaster Med Public Health Prep</w:t>
      </w:r>
      <w:r w:rsidRPr="003505C7">
        <w:rPr>
          <w:rFonts w:ascii="Calibri" w:hAnsi="Calibri" w:cs="Calibri"/>
          <w:noProof/>
          <w:szCs w:val="24"/>
        </w:rPr>
        <w:t xml:space="preserve"> 2020;1–10. doi:10.1017/dmp.2020.265</w:t>
      </w:r>
      <w:r w:rsidR="007D2EA4">
        <w:rPr>
          <w:rFonts w:ascii="Calibri" w:hAnsi="Calibri" w:cs="Calibri"/>
          <w:noProof/>
          <w:szCs w:val="24"/>
        </w:rPr>
        <w:t xml:space="preserve"> [published Online First: 27 Jul 2020]</w:t>
      </w:r>
    </w:p>
    <w:p w14:paraId="4C74D59A" w14:textId="6CB49B4C"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36 </w:t>
      </w:r>
      <w:r w:rsidRPr="003505C7">
        <w:rPr>
          <w:rFonts w:ascii="Calibri" w:hAnsi="Calibri" w:cs="Calibri"/>
          <w:noProof/>
          <w:szCs w:val="24"/>
        </w:rPr>
        <w:tab/>
      </w:r>
      <w:r w:rsidR="007D2EA4" w:rsidRPr="00226C89">
        <w:rPr>
          <w:rFonts w:ascii="Calibri" w:hAnsi="Calibri" w:cs="Calibri"/>
          <w:noProof/>
          <w:szCs w:val="24"/>
        </w:rPr>
        <w:t xml:space="preserve">Morgan L, Protopopova A, Birkler RID, </w:t>
      </w:r>
      <w:r w:rsidR="007D2EA4" w:rsidRPr="00152829">
        <w:rPr>
          <w:rFonts w:ascii="Calibri" w:hAnsi="Calibri" w:cs="Calibri"/>
          <w:noProof/>
          <w:szCs w:val="24"/>
        </w:rPr>
        <w:t>et al</w:t>
      </w:r>
      <w:r w:rsidR="007D2EA4" w:rsidRPr="00226C89">
        <w:rPr>
          <w:rFonts w:ascii="Calibri" w:hAnsi="Calibri" w:cs="Calibri"/>
          <w:i/>
          <w:iCs/>
          <w:noProof/>
          <w:szCs w:val="24"/>
        </w:rPr>
        <w:t>.</w:t>
      </w:r>
      <w:r w:rsidR="007D2EA4" w:rsidRPr="00226C89">
        <w:rPr>
          <w:rFonts w:ascii="Calibri" w:hAnsi="Calibri" w:cs="Calibri"/>
          <w:noProof/>
          <w:szCs w:val="24"/>
        </w:rPr>
        <w:t xml:space="preserve"> Human-dog relationships during COVID-19 pandemic</w:t>
      </w:r>
      <w:r w:rsidR="007D2EA4">
        <w:rPr>
          <w:rFonts w:ascii="Calibri" w:hAnsi="Calibri" w:cs="Calibri"/>
          <w:noProof/>
          <w:szCs w:val="24"/>
        </w:rPr>
        <w:t>:</w:t>
      </w:r>
      <w:r w:rsidR="007D2EA4" w:rsidRPr="00226C89">
        <w:rPr>
          <w:rFonts w:ascii="Calibri" w:hAnsi="Calibri" w:cs="Calibri"/>
          <w:noProof/>
          <w:szCs w:val="24"/>
        </w:rPr>
        <w:t xml:space="preserve"> booming dog adoption during social isolation. </w:t>
      </w:r>
      <w:r w:rsidR="007D2EA4" w:rsidRPr="00226C89">
        <w:rPr>
          <w:rFonts w:ascii="Calibri" w:hAnsi="Calibri" w:cs="Calibri"/>
          <w:i/>
          <w:iCs/>
          <w:noProof/>
          <w:szCs w:val="24"/>
        </w:rPr>
        <w:t>Humanit Soc Sci Commun</w:t>
      </w:r>
      <w:r w:rsidR="007D2EA4" w:rsidRPr="00226C89">
        <w:rPr>
          <w:rFonts w:ascii="Calibri" w:hAnsi="Calibri" w:cs="Calibri"/>
          <w:noProof/>
          <w:szCs w:val="24"/>
        </w:rPr>
        <w:t xml:space="preserve"> 2020;</w:t>
      </w:r>
      <w:r w:rsidR="007D2EA4" w:rsidRPr="00152829">
        <w:rPr>
          <w:rFonts w:ascii="Calibri" w:hAnsi="Calibri" w:cs="Calibri"/>
          <w:noProof/>
          <w:szCs w:val="24"/>
        </w:rPr>
        <w:t>7</w:t>
      </w:r>
      <w:r w:rsidR="007D2EA4" w:rsidRPr="00226C89">
        <w:rPr>
          <w:rFonts w:ascii="Calibri" w:hAnsi="Calibri" w:cs="Calibri"/>
          <w:noProof/>
          <w:szCs w:val="24"/>
        </w:rPr>
        <w:t>:155. doi: 10.1057/s41599-020-00649-x</w:t>
      </w:r>
      <w:r w:rsidR="007D2EA4">
        <w:rPr>
          <w:rFonts w:ascii="Calibri" w:hAnsi="Calibri" w:cs="Calibri"/>
          <w:noProof/>
          <w:szCs w:val="24"/>
        </w:rPr>
        <w:t xml:space="preserve"> [published Online First: 24 Nov 2020]</w:t>
      </w:r>
    </w:p>
    <w:p w14:paraId="39335B26" w14:textId="35841D07" w:rsidR="003505C7" w:rsidRPr="003505C7" w:rsidRDefault="003505C7" w:rsidP="003505C7">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37 </w:t>
      </w:r>
      <w:r w:rsidRPr="003505C7">
        <w:rPr>
          <w:rFonts w:ascii="Calibri" w:hAnsi="Calibri" w:cs="Calibri"/>
          <w:noProof/>
          <w:szCs w:val="24"/>
        </w:rPr>
        <w:tab/>
      </w:r>
      <w:r w:rsidR="007D2EA4">
        <w:rPr>
          <w:rFonts w:ascii="Calibri" w:hAnsi="Calibri" w:cs="Calibri"/>
          <w:noProof/>
          <w:szCs w:val="24"/>
        </w:rPr>
        <w:t>The Kennel Club.</w:t>
      </w:r>
      <w:r w:rsidR="007D2EA4" w:rsidRPr="00226C89">
        <w:rPr>
          <w:rFonts w:ascii="Calibri" w:hAnsi="Calibri" w:cs="Calibri"/>
          <w:noProof/>
          <w:szCs w:val="24"/>
        </w:rPr>
        <w:t xml:space="preserve"> Breed registration statistics. https://www.thekennelclub.org.uk/registration/breed-registration-statistics/</w:t>
      </w:r>
      <w:r w:rsidR="007D2EA4">
        <w:rPr>
          <w:rFonts w:ascii="Calibri" w:hAnsi="Calibri" w:cs="Calibri"/>
          <w:noProof/>
          <w:szCs w:val="24"/>
        </w:rPr>
        <w:t xml:space="preserve"> [accessed 14 Jan 2021]</w:t>
      </w:r>
    </w:p>
    <w:p w14:paraId="023C915B" w14:textId="62AA47B5" w:rsidR="003505C7" w:rsidRPr="003505C7" w:rsidRDefault="003505C7" w:rsidP="007D2EA4">
      <w:pPr>
        <w:widowControl w:val="0"/>
        <w:autoSpaceDE w:val="0"/>
        <w:autoSpaceDN w:val="0"/>
        <w:adjustRightInd w:val="0"/>
        <w:spacing w:line="360" w:lineRule="auto"/>
        <w:ind w:left="640" w:hanging="640"/>
        <w:rPr>
          <w:rFonts w:ascii="Calibri" w:hAnsi="Calibri" w:cs="Calibri"/>
          <w:noProof/>
          <w:szCs w:val="24"/>
        </w:rPr>
      </w:pPr>
      <w:r w:rsidRPr="003505C7">
        <w:rPr>
          <w:rFonts w:ascii="Calibri" w:hAnsi="Calibri" w:cs="Calibri"/>
          <w:noProof/>
          <w:szCs w:val="24"/>
        </w:rPr>
        <w:t xml:space="preserve">38 </w:t>
      </w:r>
      <w:r w:rsidRPr="003505C7">
        <w:rPr>
          <w:rFonts w:ascii="Calibri" w:hAnsi="Calibri" w:cs="Calibri"/>
          <w:noProof/>
          <w:szCs w:val="24"/>
        </w:rPr>
        <w:tab/>
      </w:r>
      <w:r w:rsidR="007D2EA4">
        <w:rPr>
          <w:rFonts w:ascii="Calibri" w:hAnsi="Calibri" w:cs="Calibri"/>
          <w:noProof/>
          <w:szCs w:val="24"/>
        </w:rPr>
        <w:t>The Kennel Club.</w:t>
      </w:r>
      <w:r w:rsidR="007D2EA4" w:rsidRPr="00226C89">
        <w:rPr>
          <w:rFonts w:ascii="Calibri" w:hAnsi="Calibri" w:cs="Calibri"/>
          <w:noProof/>
          <w:szCs w:val="24"/>
        </w:rPr>
        <w:t xml:space="preserve"> The COVID-19 puppy boom - one in four admit impulse buying a pandemic puppy.</w:t>
      </w:r>
      <w:r w:rsidR="007D2EA4">
        <w:rPr>
          <w:rFonts w:ascii="Calibri" w:hAnsi="Calibri" w:cs="Calibri"/>
          <w:noProof/>
          <w:szCs w:val="24"/>
        </w:rPr>
        <w:t xml:space="preserve"> </w:t>
      </w:r>
      <w:r w:rsidR="007D2EA4" w:rsidRPr="00226C89">
        <w:rPr>
          <w:rFonts w:ascii="Calibri" w:hAnsi="Calibri" w:cs="Calibri"/>
          <w:noProof/>
          <w:szCs w:val="24"/>
        </w:rPr>
        <w:t xml:space="preserve">https://www.thekennelclub.org.uk/media-centre/2020/august/the-covid-19-puppy-boom-one-in-four-admit-impulse-buying-a-pandemic-puppy/ </w:t>
      </w:r>
      <w:r w:rsidR="007D2EA4">
        <w:rPr>
          <w:rFonts w:ascii="Calibri" w:hAnsi="Calibri" w:cs="Calibri"/>
          <w:noProof/>
          <w:szCs w:val="24"/>
        </w:rPr>
        <w:t>[</w:t>
      </w:r>
      <w:r w:rsidR="007D2EA4" w:rsidRPr="00226C89">
        <w:rPr>
          <w:rFonts w:ascii="Calibri" w:hAnsi="Calibri" w:cs="Calibri"/>
          <w:noProof/>
          <w:szCs w:val="24"/>
        </w:rPr>
        <w:t>accessed 14 Jan 2021</w:t>
      </w:r>
      <w:r w:rsidR="007D2EA4">
        <w:rPr>
          <w:rFonts w:ascii="Calibri" w:hAnsi="Calibri" w:cs="Calibri"/>
          <w:noProof/>
          <w:szCs w:val="24"/>
        </w:rPr>
        <w:t>]</w:t>
      </w:r>
    </w:p>
    <w:p w14:paraId="68A10DA6" w14:textId="4B921A5D" w:rsidR="003505C7" w:rsidRPr="003505C7" w:rsidRDefault="003505C7" w:rsidP="003505C7">
      <w:pPr>
        <w:widowControl w:val="0"/>
        <w:autoSpaceDE w:val="0"/>
        <w:autoSpaceDN w:val="0"/>
        <w:adjustRightInd w:val="0"/>
        <w:spacing w:line="360" w:lineRule="auto"/>
        <w:ind w:left="640" w:hanging="640"/>
        <w:rPr>
          <w:rFonts w:ascii="Calibri" w:hAnsi="Calibri" w:cs="Calibri"/>
          <w:noProof/>
        </w:rPr>
      </w:pPr>
      <w:r w:rsidRPr="003505C7">
        <w:rPr>
          <w:rFonts w:ascii="Calibri" w:hAnsi="Calibri" w:cs="Calibri"/>
          <w:noProof/>
          <w:szCs w:val="24"/>
        </w:rPr>
        <w:t xml:space="preserve">39 </w:t>
      </w:r>
      <w:r w:rsidRPr="003505C7">
        <w:rPr>
          <w:rFonts w:ascii="Calibri" w:hAnsi="Calibri" w:cs="Calibri"/>
          <w:noProof/>
          <w:szCs w:val="24"/>
        </w:rPr>
        <w:tab/>
      </w:r>
      <w:r w:rsidR="007D2EA4" w:rsidRPr="00226C89">
        <w:rPr>
          <w:rFonts w:ascii="Calibri" w:hAnsi="Calibri" w:cs="Calibri"/>
          <w:noProof/>
          <w:szCs w:val="24"/>
        </w:rPr>
        <w:t>RCVS. Coronavirus (Covid-19).</w:t>
      </w:r>
      <w:r w:rsidR="007D2EA4">
        <w:rPr>
          <w:rFonts w:ascii="Calibri" w:hAnsi="Calibri" w:cs="Calibri"/>
          <w:noProof/>
          <w:szCs w:val="24"/>
        </w:rPr>
        <w:t xml:space="preserve"> </w:t>
      </w:r>
      <w:r w:rsidR="007D2EA4" w:rsidRPr="00226C89">
        <w:rPr>
          <w:rFonts w:ascii="Calibri" w:hAnsi="Calibri" w:cs="Calibri"/>
          <w:noProof/>
          <w:szCs w:val="24"/>
        </w:rPr>
        <w:t>https://www.rcvs.org.uk/setting-standards/advice-and-</w:t>
      </w:r>
      <w:r w:rsidR="007D2EA4" w:rsidRPr="00226C89">
        <w:rPr>
          <w:rFonts w:ascii="Calibri" w:hAnsi="Calibri" w:cs="Calibri"/>
          <w:noProof/>
          <w:szCs w:val="24"/>
        </w:rPr>
        <w:lastRenderedPageBreak/>
        <w:t xml:space="preserve">guidance/coronavirus-covid-19/ </w:t>
      </w:r>
      <w:r w:rsidR="007D2EA4">
        <w:rPr>
          <w:rFonts w:ascii="Calibri" w:hAnsi="Calibri" w:cs="Calibri"/>
          <w:noProof/>
          <w:szCs w:val="24"/>
        </w:rPr>
        <w:t>[</w:t>
      </w:r>
      <w:r w:rsidR="007D2EA4" w:rsidRPr="00226C89">
        <w:rPr>
          <w:rFonts w:ascii="Calibri" w:hAnsi="Calibri" w:cs="Calibri"/>
          <w:noProof/>
          <w:szCs w:val="24"/>
        </w:rPr>
        <w:t>accessed 20 Jan 2021</w:t>
      </w:r>
      <w:r w:rsidR="007D2EA4">
        <w:rPr>
          <w:rFonts w:ascii="Calibri" w:hAnsi="Calibri" w:cs="Calibri"/>
          <w:noProof/>
          <w:szCs w:val="24"/>
        </w:rPr>
        <w:t>]</w:t>
      </w:r>
    </w:p>
    <w:p w14:paraId="60F4E9AC" w14:textId="4682034B" w:rsidR="005408ED" w:rsidRDefault="005408ED" w:rsidP="00CC6111">
      <w:pPr>
        <w:spacing w:line="360" w:lineRule="auto"/>
        <w:jc w:val="both"/>
        <w:rPr>
          <w:b/>
        </w:rPr>
      </w:pPr>
      <w:r>
        <w:rPr>
          <w:b/>
        </w:rPr>
        <w:fldChar w:fldCharType="end"/>
      </w:r>
    </w:p>
    <w:p w14:paraId="04C52925" w14:textId="2355A641" w:rsidR="006C219E" w:rsidRDefault="006C219E" w:rsidP="00CC6111">
      <w:pPr>
        <w:spacing w:line="360" w:lineRule="auto"/>
        <w:jc w:val="both"/>
        <w:rPr>
          <w:b/>
        </w:rPr>
      </w:pPr>
      <w:r>
        <w:rPr>
          <w:b/>
        </w:rPr>
        <w:t>Figure Legends</w:t>
      </w:r>
    </w:p>
    <w:p w14:paraId="310E3E5B" w14:textId="07D1E5EE" w:rsidR="006C219E" w:rsidRPr="00A1134C" w:rsidRDefault="006C219E" w:rsidP="006C219E">
      <w:pPr>
        <w:spacing w:line="360" w:lineRule="auto"/>
        <w:jc w:val="both"/>
      </w:pPr>
      <w:r w:rsidRPr="00A1134C">
        <w:rPr>
          <w:b/>
          <w:bCs/>
        </w:rPr>
        <w:t xml:space="preserve">Figure </w:t>
      </w:r>
      <w:r w:rsidR="009C65CE">
        <w:rPr>
          <w:b/>
          <w:bCs/>
        </w:rPr>
        <w:t>1</w:t>
      </w:r>
      <w:r w:rsidRPr="00A1134C">
        <w:t xml:space="preserve"> – Monthly</w:t>
      </w:r>
      <w:r w:rsidR="00732693">
        <w:t xml:space="preserve"> dog bite</w:t>
      </w:r>
      <w:r w:rsidRPr="00A1134C">
        <w:t xml:space="preserve"> attendance </w:t>
      </w:r>
      <w:r w:rsidR="00732693">
        <w:t>and overall emergency department attendance</w:t>
      </w:r>
      <w:r w:rsidRPr="00A1134C">
        <w:t xml:space="preserve">, in a UK paediatric </w:t>
      </w:r>
      <w:r w:rsidR="00732693">
        <w:t>hospital</w:t>
      </w:r>
      <w:r w:rsidRPr="00A1134C">
        <w:t xml:space="preserve"> (2016-2020)</w:t>
      </w:r>
      <w:r w:rsidR="00A1134C" w:rsidRPr="00A1134C">
        <w:t>. Blue line</w:t>
      </w:r>
      <w:r w:rsidR="00732693">
        <w:t>, and left-hand axis</w:t>
      </w:r>
      <w:r w:rsidR="00A1134C" w:rsidRPr="00A1134C">
        <w:t xml:space="preserve"> = dog bite</w:t>
      </w:r>
      <w:r w:rsidR="00F57235">
        <w:t xml:space="preserve"> attendance</w:t>
      </w:r>
      <w:r w:rsidR="00732693">
        <w:t>.</w:t>
      </w:r>
      <w:r w:rsidR="00A1134C" w:rsidRPr="00A1134C">
        <w:t xml:space="preserve"> Red </w:t>
      </w:r>
      <w:r w:rsidR="00732693">
        <w:t xml:space="preserve">dashed </w:t>
      </w:r>
      <w:r w:rsidR="00A1134C" w:rsidRPr="00A1134C">
        <w:t>line</w:t>
      </w:r>
      <w:r w:rsidR="00732693">
        <w:t>, and right-hand axis</w:t>
      </w:r>
      <w:r w:rsidR="00A1134C" w:rsidRPr="00A1134C">
        <w:t xml:space="preserve"> = total</w:t>
      </w:r>
      <w:r w:rsidR="00732693">
        <w:t xml:space="preserve"> emergency department</w:t>
      </w:r>
      <w:r w:rsidR="00A1134C" w:rsidRPr="00A1134C">
        <w:t xml:space="preserve"> attendance.</w:t>
      </w:r>
      <w:r w:rsidR="00732693">
        <w:t xml:space="preserve"> Vertical black line = Start of COVID-19 public health measures</w:t>
      </w:r>
    </w:p>
    <w:p w14:paraId="46E16007" w14:textId="3686EE00" w:rsidR="006C219E" w:rsidRPr="006C219E" w:rsidRDefault="006C219E" w:rsidP="006C219E">
      <w:pPr>
        <w:spacing w:line="360" w:lineRule="auto"/>
        <w:jc w:val="both"/>
      </w:pPr>
      <w:r w:rsidRPr="00A1134C">
        <w:rPr>
          <w:b/>
          <w:bCs/>
        </w:rPr>
        <w:t xml:space="preserve">Figure </w:t>
      </w:r>
      <w:r w:rsidR="009C65CE">
        <w:rPr>
          <w:b/>
          <w:bCs/>
        </w:rPr>
        <w:t>2</w:t>
      </w:r>
      <w:r w:rsidRPr="00A1134C">
        <w:t xml:space="preserve"> – </w:t>
      </w:r>
      <w:r w:rsidR="00732693">
        <w:t>Percentage of monthly emergency department attendances due to dog bites</w:t>
      </w:r>
      <w:r w:rsidRPr="00A1134C">
        <w:t xml:space="preserve"> </w:t>
      </w:r>
      <w:r w:rsidR="0054328F">
        <w:t>for</w:t>
      </w:r>
      <w:r w:rsidRPr="00A1134C">
        <w:t xml:space="preserve"> a UK paediatric </w:t>
      </w:r>
      <w:r w:rsidR="00732693">
        <w:t>hospital</w:t>
      </w:r>
      <w:r w:rsidRPr="00A1134C">
        <w:t xml:space="preserve"> (2016-2020). Blue line = R</w:t>
      </w:r>
      <w:r w:rsidR="007D2EA4">
        <w:t xml:space="preserve">aw </w:t>
      </w:r>
      <w:r w:rsidRPr="00A1134C">
        <w:t>data, Red line = predicted data for 2020 based on 2016-2019</w:t>
      </w:r>
      <w:r w:rsidR="00A1134C" w:rsidRPr="00A1134C">
        <w:t xml:space="preserve"> data</w:t>
      </w:r>
      <w:r w:rsidRPr="00A1134C">
        <w:t>.</w:t>
      </w:r>
      <w:r w:rsidR="00F57235">
        <w:t xml:space="preserve"> Vertical black line = Start of COVID-19 public health measures</w:t>
      </w:r>
    </w:p>
    <w:p w14:paraId="23D1E8EC" w14:textId="77777777" w:rsidR="006C219E" w:rsidRPr="00616FB4" w:rsidRDefault="006C219E" w:rsidP="006C219E">
      <w:pPr>
        <w:spacing w:line="360" w:lineRule="auto"/>
        <w:jc w:val="both"/>
        <w:rPr>
          <w:sz w:val="20"/>
          <w:szCs w:val="20"/>
          <w:highlight w:val="yellow"/>
        </w:rPr>
      </w:pPr>
    </w:p>
    <w:p w14:paraId="27D7D5F2" w14:textId="77777777" w:rsidR="006C219E" w:rsidRPr="006C219E" w:rsidRDefault="006C219E" w:rsidP="00CC6111">
      <w:pPr>
        <w:spacing w:line="360" w:lineRule="auto"/>
        <w:jc w:val="both"/>
        <w:rPr>
          <w:b/>
        </w:rPr>
      </w:pPr>
    </w:p>
    <w:sectPr w:rsidR="006C219E" w:rsidRPr="006C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Regular">
    <w:altName w:val="Calibri"/>
    <w:charset w:val="00"/>
    <w:family w:val="auto"/>
    <w:pitch w:val="default"/>
  </w:font>
  <w:font w:name="URWPalladio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66C"/>
    <w:multiLevelType w:val="hybridMultilevel"/>
    <w:tmpl w:val="D85E3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567BF"/>
    <w:multiLevelType w:val="multilevel"/>
    <w:tmpl w:val="AEDC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B758F"/>
    <w:multiLevelType w:val="hybridMultilevel"/>
    <w:tmpl w:val="11008C70"/>
    <w:lvl w:ilvl="0" w:tplc="B15CB7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7BE"/>
    <w:multiLevelType w:val="hybridMultilevel"/>
    <w:tmpl w:val="D85E3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E7CDF"/>
    <w:multiLevelType w:val="hybridMultilevel"/>
    <w:tmpl w:val="B25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148A2"/>
    <w:multiLevelType w:val="multilevel"/>
    <w:tmpl w:val="65B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802D3"/>
    <w:multiLevelType w:val="hybridMultilevel"/>
    <w:tmpl w:val="AF44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75408"/>
    <w:multiLevelType w:val="multilevel"/>
    <w:tmpl w:val="145A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FF1"/>
    <w:rsid w:val="00010C6C"/>
    <w:rsid w:val="00035C9A"/>
    <w:rsid w:val="00040262"/>
    <w:rsid w:val="00065182"/>
    <w:rsid w:val="00074CB7"/>
    <w:rsid w:val="00085C30"/>
    <w:rsid w:val="000A0A1A"/>
    <w:rsid w:val="000B7D12"/>
    <w:rsid w:val="000C5D62"/>
    <w:rsid w:val="000D17BC"/>
    <w:rsid w:val="000E6EB3"/>
    <w:rsid w:val="00100939"/>
    <w:rsid w:val="00117963"/>
    <w:rsid w:val="00126914"/>
    <w:rsid w:val="00130E8C"/>
    <w:rsid w:val="00141FF4"/>
    <w:rsid w:val="001427D1"/>
    <w:rsid w:val="00152829"/>
    <w:rsid w:val="00153B05"/>
    <w:rsid w:val="0016436F"/>
    <w:rsid w:val="00166D3D"/>
    <w:rsid w:val="00172787"/>
    <w:rsid w:val="00175D11"/>
    <w:rsid w:val="00176D0C"/>
    <w:rsid w:val="00195B59"/>
    <w:rsid w:val="001B1FA1"/>
    <w:rsid w:val="001B2A6A"/>
    <w:rsid w:val="001B51CB"/>
    <w:rsid w:val="001C22F0"/>
    <w:rsid w:val="001D134E"/>
    <w:rsid w:val="001F14B0"/>
    <w:rsid w:val="00207BD1"/>
    <w:rsid w:val="00220128"/>
    <w:rsid w:val="00226BD9"/>
    <w:rsid w:val="00226C89"/>
    <w:rsid w:val="00251908"/>
    <w:rsid w:val="00251CA4"/>
    <w:rsid w:val="002545A0"/>
    <w:rsid w:val="002566FC"/>
    <w:rsid w:val="002610E4"/>
    <w:rsid w:val="0026647C"/>
    <w:rsid w:val="002759CE"/>
    <w:rsid w:val="00282687"/>
    <w:rsid w:val="00283CE6"/>
    <w:rsid w:val="002A6FCA"/>
    <w:rsid w:val="002C1556"/>
    <w:rsid w:val="002F30E9"/>
    <w:rsid w:val="003038EB"/>
    <w:rsid w:val="00313012"/>
    <w:rsid w:val="00317EAA"/>
    <w:rsid w:val="00321956"/>
    <w:rsid w:val="00334CFB"/>
    <w:rsid w:val="00337BDA"/>
    <w:rsid w:val="003505C7"/>
    <w:rsid w:val="003521E9"/>
    <w:rsid w:val="00352CA8"/>
    <w:rsid w:val="00354C72"/>
    <w:rsid w:val="003A3A0C"/>
    <w:rsid w:val="003C4324"/>
    <w:rsid w:val="003C63FE"/>
    <w:rsid w:val="003D3D6B"/>
    <w:rsid w:val="003D6B14"/>
    <w:rsid w:val="003D7D29"/>
    <w:rsid w:val="003E5468"/>
    <w:rsid w:val="003E7DCC"/>
    <w:rsid w:val="003F19AB"/>
    <w:rsid w:val="003F7D57"/>
    <w:rsid w:val="00401240"/>
    <w:rsid w:val="004053B4"/>
    <w:rsid w:val="00406C32"/>
    <w:rsid w:val="00437F9C"/>
    <w:rsid w:val="004413D3"/>
    <w:rsid w:val="0045048A"/>
    <w:rsid w:val="004560B4"/>
    <w:rsid w:val="00462C86"/>
    <w:rsid w:val="00462E83"/>
    <w:rsid w:val="004816E9"/>
    <w:rsid w:val="00482BC1"/>
    <w:rsid w:val="0048301E"/>
    <w:rsid w:val="004911FA"/>
    <w:rsid w:val="004A08F2"/>
    <w:rsid w:val="004A281D"/>
    <w:rsid w:val="004A3B9C"/>
    <w:rsid w:val="004A42E4"/>
    <w:rsid w:val="004B1434"/>
    <w:rsid w:val="004B58E2"/>
    <w:rsid w:val="004C0F16"/>
    <w:rsid w:val="004D0164"/>
    <w:rsid w:val="004D5D43"/>
    <w:rsid w:val="004D6830"/>
    <w:rsid w:val="004D6BAB"/>
    <w:rsid w:val="004E23EA"/>
    <w:rsid w:val="004E6819"/>
    <w:rsid w:val="004F303A"/>
    <w:rsid w:val="004F395E"/>
    <w:rsid w:val="004F5CD2"/>
    <w:rsid w:val="004F6A5B"/>
    <w:rsid w:val="005025B2"/>
    <w:rsid w:val="00502B7F"/>
    <w:rsid w:val="0050325F"/>
    <w:rsid w:val="00537C02"/>
    <w:rsid w:val="005408ED"/>
    <w:rsid w:val="0054328F"/>
    <w:rsid w:val="00564130"/>
    <w:rsid w:val="00566014"/>
    <w:rsid w:val="00570DA0"/>
    <w:rsid w:val="005875CD"/>
    <w:rsid w:val="00595F88"/>
    <w:rsid w:val="005B1E7B"/>
    <w:rsid w:val="005B6C35"/>
    <w:rsid w:val="005C3DD8"/>
    <w:rsid w:val="005C6BC5"/>
    <w:rsid w:val="006001E3"/>
    <w:rsid w:val="00605E98"/>
    <w:rsid w:val="00607728"/>
    <w:rsid w:val="006116EC"/>
    <w:rsid w:val="0061373F"/>
    <w:rsid w:val="00616FB4"/>
    <w:rsid w:val="00620F78"/>
    <w:rsid w:val="00622FBD"/>
    <w:rsid w:val="006353A5"/>
    <w:rsid w:val="00635531"/>
    <w:rsid w:val="00636D81"/>
    <w:rsid w:val="00645486"/>
    <w:rsid w:val="006703D1"/>
    <w:rsid w:val="00672EBF"/>
    <w:rsid w:val="00682257"/>
    <w:rsid w:val="00682BD5"/>
    <w:rsid w:val="00695FDC"/>
    <w:rsid w:val="006977D6"/>
    <w:rsid w:val="006A7986"/>
    <w:rsid w:val="006B34EC"/>
    <w:rsid w:val="006C219E"/>
    <w:rsid w:val="006D7A20"/>
    <w:rsid w:val="007007E9"/>
    <w:rsid w:val="00700A72"/>
    <w:rsid w:val="00703A4D"/>
    <w:rsid w:val="00712E00"/>
    <w:rsid w:val="00715E34"/>
    <w:rsid w:val="007313C8"/>
    <w:rsid w:val="00732693"/>
    <w:rsid w:val="00741ADF"/>
    <w:rsid w:val="0075771D"/>
    <w:rsid w:val="0076316A"/>
    <w:rsid w:val="00772388"/>
    <w:rsid w:val="00786DF8"/>
    <w:rsid w:val="007934FD"/>
    <w:rsid w:val="007A10DF"/>
    <w:rsid w:val="007A3913"/>
    <w:rsid w:val="007B65D4"/>
    <w:rsid w:val="007C05DA"/>
    <w:rsid w:val="007C096A"/>
    <w:rsid w:val="007C5981"/>
    <w:rsid w:val="007C6C8A"/>
    <w:rsid w:val="007D2EA4"/>
    <w:rsid w:val="007D3598"/>
    <w:rsid w:val="007F106F"/>
    <w:rsid w:val="00804B81"/>
    <w:rsid w:val="0081228B"/>
    <w:rsid w:val="00816404"/>
    <w:rsid w:val="008225BC"/>
    <w:rsid w:val="00836C12"/>
    <w:rsid w:val="00851138"/>
    <w:rsid w:val="00851892"/>
    <w:rsid w:val="00852E85"/>
    <w:rsid w:val="008741CC"/>
    <w:rsid w:val="00877FF1"/>
    <w:rsid w:val="00891983"/>
    <w:rsid w:val="0089313B"/>
    <w:rsid w:val="008A35D7"/>
    <w:rsid w:val="008D7055"/>
    <w:rsid w:val="008F1869"/>
    <w:rsid w:val="008F35FA"/>
    <w:rsid w:val="008F74BC"/>
    <w:rsid w:val="0090194E"/>
    <w:rsid w:val="009043CB"/>
    <w:rsid w:val="00910FB6"/>
    <w:rsid w:val="00920272"/>
    <w:rsid w:val="0092085E"/>
    <w:rsid w:val="00923D83"/>
    <w:rsid w:val="00927BA8"/>
    <w:rsid w:val="00936870"/>
    <w:rsid w:val="0095419E"/>
    <w:rsid w:val="009543FD"/>
    <w:rsid w:val="00971F43"/>
    <w:rsid w:val="009722B0"/>
    <w:rsid w:val="00976BC5"/>
    <w:rsid w:val="00996F6B"/>
    <w:rsid w:val="009A27E7"/>
    <w:rsid w:val="009A5499"/>
    <w:rsid w:val="009B17E1"/>
    <w:rsid w:val="009B1B5A"/>
    <w:rsid w:val="009B4FFC"/>
    <w:rsid w:val="009C65CE"/>
    <w:rsid w:val="009E1E6F"/>
    <w:rsid w:val="009E67A1"/>
    <w:rsid w:val="009F3732"/>
    <w:rsid w:val="009F6849"/>
    <w:rsid w:val="00A039AA"/>
    <w:rsid w:val="00A1134C"/>
    <w:rsid w:val="00A1319F"/>
    <w:rsid w:val="00A17040"/>
    <w:rsid w:val="00A21FAA"/>
    <w:rsid w:val="00A403DB"/>
    <w:rsid w:val="00A616C4"/>
    <w:rsid w:val="00A70D0E"/>
    <w:rsid w:val="00AA2B49"/>
    <w:rsid w:val="00AB5B7F"/>
    <w:rsid w:val="00AB6CEF"/>
    <w:rsid w:val="00AC0916"/>
    <w:rsid w:val="00AC7A6B"/>
    <w:rsid w:val="00AE279E"/>
    <w:rsid w:val="00AE4AF6"/>
    <w:rsid w:val="00AF23EF"/>
    <w:rsid w:val="00AF7AF8"/>
    <w:rsid w:val="00B04FE6"/>
    <w:rsid w:val="00B14CF8"/>
    <w:rsid w:val="00B176D6"/>
    <w:rsid w:val="00B2130A"/>
    <w:rsid w:val="00B22DF9"/>
    <w:rsid w:val="00B239C8"/>
    <w:rsid w:val="00B45CDB"/>
    <w:rsid w:val="00B52056"/>
    <w:rsid w:val="00B7463D"/>
    <w:rsid w:val="00B85D52"/>
    <w:rsid w:val="00B975A0"/>
    <w:rsid w:val="00BB3DA3"/>
    <w:rsid w:val="00BC1FA4"/>
    <w:rsid w:val="00BC7D61"/>
    <w:rsid w:val="00BD64E7"/>
    <w:rsid w:val="00C07567"/>
    <w:rsid w:val="00C101B0"/>
    <w:rsid w:val="00C10ED7"/>
    <w:rsid w:val="00C15CE5"/>
    <w:rsid w:val="00C208F9"/>
    <w:rsid w:val="00C2202D"/>
    <w:rsid w:val="00C27F4E"/>
    <w:rsid w:val="00C35E3F"/>
    <w:rsid w:val="00C412CF"/>
    <w:rsid w:val="00C52285"/>
    <w:rsid w:val="00C55591"/>
    <w:rsid w:val="00C73A4F"/>
    <w:rsid w:val="00C7757E"/>
    <w:rsid w:val="00C779A2"/>
    <w:rsid w:val="00C841B8"/>
    <w:rsid w:val="00C91A2E"/>
    <w:rsid w:val="00CA28E8"/>
    <w:rsid w:val="00CA4409"/>
    <w:rsid w:val="00CB32EF"/>
    <w:rsid w:val="00CB461F"/>
    <w:rsid w:val="00CC4546"/>
    <w:rsid w:val="00CC6111"/>
    <w:rsid w:val="00CD1CB1"/>
    <w:rsid w:val="00CD60BA"/>
    <w:rsid w:val="00CE0AA3"/>
    <w:rsid w:val="00CE3253"/>
    <w:rsid w:val="00CF2FA9"/>
    <w:rsid w:val="00D12C34"/>
    <w:rsid w:val="00D16139"/>
    <w:rsid w:val="00D2431D"/>
    <w:rsid w:val="00D2727C"/>
    <w:rsid w:val="00D32AEC"/>
    <w:rsid w:val="00D474FB"/>
    <w:rsid w:val="00D51F29"/>
    <w:rsid w:val="00D52C92"/>
    <w:rsid w:val="00D554C6"/>
    <w:rsid w:val="00D64996"/>
    <w:rsid w:val="00D65ADA"/>
    <w:rsid w:val="00D700EB"/>
    <w:rsid w:val="00D74D2C"/>
    <w:rsid w:val="00D921BF"/>
    <w:rsid w:val="00DA6373"/>
    <w:rsid w:val="00DB3450"/>
    <w:rsid w:val="00DC2FB5"/>
    <w:rsid w:val="00DC3817"/>
    <w:rsid w:val="00DD00BB"/>
    <w:rsid w:val="00DD31AE"/>
    <w:rsid w:val="00DF1366"/>
    <w:rsid w:val="00DF5AA8"/>
    <w:rsid w:val="00E0396B"/>
    <w:rsid w:val="00E04E59"/>
    <w:rsid w:val="00E054E0"/>
    <w:rsid w:val="00E31AEE"/>
    <w:rsid w:val="00E330CB"/>
    <w:rsid w:val="00E4440C"/>
    <w:rsid w:val="00E50E04"/>
    <w:rsid w:val="00E60326"/>
    <w:rsid w:val="00E61C55"/>
    <w:rsid w:val="00E65835"/>
    <w:rsid w:val="00E8669D"/>
    <w:rsid w:val="00EC6523"/>
    <w:rsid w:val="00ED3FDE"/>
    <w:rsid w:val="00ED7811"/>
    <w:rsid w:val="00EE1FF2"/>
    <w:rsid w:val="00EF7F34"/>
    <w:rsid w:val="00F02258"/>
    <w:rsid w:val="00F079A3"/>
    <w:rsid w:val="00F15C9A"/>
    <w:rsid w:val="00F16DD0"/>
    <w:rsid w:val="00F24B1A"/>
    <w:rsid w:val="00F51DEA"/>
    <w:rsid w:val="00F5484D"/>
    <w:rsid w:val="00F549DE"/>
    <w:rsid w:val="00F57235"/>
    <w:rsid w:val="00F62364"/>
    <w:rsid w:val="00F73D2B"/>
    <w:rsid w:val="00F802DB"/>
    <w:rsid w:val="00F81D5E"/>
    <w:rsid w:val="00F91C3B"/>
    <w:rsid w:val="00F91EB6"/>
    <w:rsid w:val="00FC11CA"/>
    <w:rsid w:val="00FC5A97"/>
    <w:rsid w:val="00FD4FAC"/>
    <w:rsid w:val="00FF2C2E"/>
    <w:rsid w:val="00FF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723B"/>
  <w15:docId w15:val="{DC52B921-F51F-40D6-9C95-0A3BE0AE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2759C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FF1"/>
    <w:rPr>
      <w:sz w:val="16"/>
      <w:szCs w:val="16"/>
    </w:rPr>
  </w:style>
  <w:style w:type="paragraph" w:styleId="CommentText">
    <w:name w:val="annotation text"/>
    <w:basedOn w:val="Normal"/>
    <w:link w:val="CommentTextChar"/>
    <w:uiPriority w:val="99"/>
    <w:unhideWhenUsed/>
    <w:rsid w:val="00877FF1"/>
    <w:pPr>
      <w:spacing w:line="240" w:lineRule="auto"/>
    </w:pPr>
    <w:rPr>
      <w:sz w:val="20"/>
      <w:szCs w:val="20"/>
    </w:rPr>
  </w:style>
  <w:style w:type="character" w:customStyle="1" w:styleId="CommentTextChar">
    <w:name w:val="Comment Text Char"/>
    <w:basedOn w:val="DefaultParagraphFont"/>
    <w:link w:val="CommentText"/>
    <w:uiPriority w:val="99"/>
    <w:rsid w:val="00877FF1"/>
    <w:rPr>
      <w:sz w:val="20"/>
      <w:szCs w:val="20"/>
    </w:rPr>
  </w:style>
  <w:style w:type="paragraph" w:styleId="CommentSubject">
    <w:name w:val="annotation subject"/>
    <w:basedOn w:val="CommentText"/>
    <w:next w:val="CommentText"/>
    <w:link w:val="CommentSubjectChar"/>
    <w:uiPriority w:val="99"/>
    <w:semiHidden/>
    <w:unhideWhenUsed/>
    <w:rsid w:val="00877FF1"/>
    <w:rPr>
      <w:b/>
      <w:bCs/>
    </w:rPr>
  </w:style>
  <w:style w:type="character" w:customStyle="1" w:styleId="CommentSubjectChar">
    <w:name w:val="Comment Subject Char"/>
    <w:basedOn w:val="CommentTextChar"/>
    <w:link w:val="CommentSubject"/>
    <w:uiPriority w:val="99"/>
    <w:semiHidden/>
    <w:rsid w:val="00877FF1"/>
    <w:rPr>
      <w:b/>
      <w:bCs/>
      <w:sz w:val="20"/>
      <w:szCs w:val="20"/>
    </w:rPr>
  </w:style>
  <w:style w:type="paragraph" w:styleId="BalloonText">
    <w:name w:val="Balloon Text"/>
    <w:basedOn w:val="Normal"/>
    <w:link w:val="BalloonTextChar"/>
    <w:uiPriority w:val="99"/>
    <w:semiHidden/>
    <w:unhideWhenUsed/>
    <w:rsid w:val="00877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1"/>
    <w:rPr>
      <w:rFonts w:ascii="Segoe UI" w:hAnsi="Segoe UI" w:cs="Segoe UI"/>
      <w:sz w:val="18"/>
      <w:szCs w:val="18"/>
    </w:rPr>
  </w:style>
  <w:style w:type="character" w:customStyle="1" w:styleId="Heading6Char">
    <w:name w:val="Heading 6 Char"/>
    <w:basedOn w:val="DefaultParagraphFont"/>
    <w:link w:val="Heading6"/>
    <w:uiPriority w:val="9"/>
    <w:rsid w:val="002759CE"/>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2759C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7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2B0"/>
    <w:rPr>
      <w:color w:val="0563C1" w:themeColor="hyperlink"/>
      <w:u w:val="single"/>
    </w:rPr>
  </w:style>
  <w:style w:type="character" w:customStyle="1" w:styleId="UnresolvedMention1">
    <w:name w:val="Unresolved Mention1"/>
    <w:basedOn w:val="DefaultParagraphFont"/>
    <w:uiPriority w:val="99"/>
    <w:semiHidden/>
    <w:unhideWhenUsed/>
    <w:rsid w:val="009722B0"/>
    <w:rPr>
      <w:color w:val="605E5C"/>
      <w:shd w:val="clear" w:color="auto" w:fill="E1DFDD"/>
    </w:rPr>
  </w:style>
  <w:style w:type="paragraph" w:styleId="HTMLPreformatted">
    <w:name w:val="HTML Preformatted"/>
    <w:basedOn w:val="Normal"/>
    <w:link w:val="HTMLPreformattedChar"/>
    <w:uiPriority w:val="99"/>
    <w:unhideWhenUsed/>
    <w:rsid w:val="0017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76D0C"/>
    <w:rPr>
      <w:rFonts w:ascii="Courier New" w:eastAsia="Times New Roman" w:hAnsi="Courier New" w:cs="Courier New"/>
      <w:sz w:val="20"/>
      <w:szCs w:val="20"/>
      <w:lang w:eastAsia="en-GB"/>
    </w:rPr>
  </w:style>
  <w:style w:type="character" w:customStyle="1" w:styleId="gd15mcfceub">
    <w:name w:val="gd15mcfceub"/>
    <w:basedOn w:val="DefaultParagraphFont"/>
    <w:rsid w:val="00176D0C"/>
  </w:style>
  <w:style w:type="character" w:customStyle="1" w:styleId="fn-label2">
    <w:name w:val="fn-label2"/>
    <w:basedOn w:val="DefaultParagraphFont"/>
    <w:rsid w:val="00CC6111"/>
  </w:style>
  <w:style w:type="paragraph" w:styleId="ListParagraph">
    <w:name w:val="List Paragraph"/>
    <w:basedOn w:val="Normal"/>
    <w:uiPriority w:val="34"/>
    <w:qFormat/>
    <w:rsid w:val="00010C6C"/>
    <w:pPr>
      <w:ind w:left="720"/>
      <w:contextualSpacing/>
    </w:pPr>
  </w:style>
  <w:style w:type="paragraph" w:customStyle="1" w:styleId="Default">
    <w:name w:val="Default"/>
    <w:rsid w:val="001B1FA1"/>
    <w:pPr>
      <w:autoSpaceDE w:val="0"/>
      <w:autoSpaceDN w:val="0"/>
      <w:adjustRightInd w:val="0"/>
      <w:spacing w:after="0" w:line="240" w:lineRule="auto"/>
    </w:pPr>
    <w:rPr>
      <w:rFonts w:ascii="Calibri" w:hAnsi="Calibri" w:cs="Calibri"/>
      <w:color w:val="000000"/>
      <w:sz w:val="24"/>
      <w:szCs w:val="24"/>
    </w:rPr>
  </w:style>
  <w:style w:type="character" w:styleId="EndnoteReference">
    <w:name w:val="endnote reference"/>
    <w:basedOn w:val="DefaultParagraphFont"/>
    <w:uiPriority w:val="99"/>
    <w:semiHidden/>
    <w:unhideWhenUsed/>
    <w:rsid w:val="00C52285"/>
    <w:rPr>
      <w:vertAlign w:val="superscript"/>
    </w:rPr>
  </w:style>
  <w:style w:type="paragraph" w:styleId="Revision">
    <w:name w:val="Revision"/>
    <w:hidden/>
    <w:uiPriority w:val="99"/>
    <w:semiHidden/>
    <w:rsid w:val="00462C86"/>
    <w:pPr>
      <w:spacing w:after="0" w:line="240" w:lineRule="auto"/>
    </w:pPr>
  </w:style>
  <w:style w:type="character" w:styleId="UnresolvedMention">
    <w:name w:val="Unresolved Mention"/>
    <w:basedOn w:val="DefaultParagraphFont"/>
    <w:uiPriority w:val="99"/>
    <w:semiHidden/>
    <w:unhideWhenUsed/>
    <w:rsid w:val="006C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4985">
      <w:bodyDiv w:val="1"/>
      <w:marLeft w:val="0"/>
      <w:marRight w:val="0"/>
      <w:marTop w:val="0"/>
      <w:marBottom w:val="0"/>
      <w:divBdr>
        <w:top w:val="none" w:sz="0" w:space="0" w:color="auto"/>
        <w:left w:val="none" w:sz="0" w:space="0" w:color="auto"/>
        <w:bottom w:val="none" w:sz="0" w:space="0" w:color="auto"/>
        <w:right w:val="none" w:sz="0" w:space="0" w:color="auto"/>
      </w:divBdr>
      <w:divsChild>
        <w:div w:id="462432326">
          <w:marLeft w:val="0"/>
          <w:marRight w:val="0"/>
          <w:marTop w:val="0"/>
          <w:marBottom w:val="0"/>
          <w:divBdr>
            <w:top w:val="none" w:sz="0" w:space="0" w:color="auto"/>
            <w:left w:val="none" w:sz="0" w:space="0" w:color="auto"/>
            <w:bottom w:val="none" w:sz="0" w:space="0" w:color="auto"/>
            <w:right w:val="none" w:sz="0" w:space="0" w:color="auto"/>
          </w:divBdr>
          <w:divsChild>
            <w:div w:id="278075020">
              <w:marLeft w:val="0"/>
              <w:marRight w:val="0"/>
              <w:marTop w:val="0"/>
              <w:marBottom w:val="0"/>
              <w:divBdr>
                <w:top w:val="none" w:sz="0" w:space="0" w:color="auto"/>
                <w:left w:val="none" w:sz="0" w:space="0" w:color="auto"/>
                <w:bottom w:val="none" w:sz="0" w:space="0" w:color="auto"/>
                <w:right w:val="none" w:sz="0" w:space="0" w:color="auto"/>
              </w:divBdr>
              <w:divsChild>
                <w:div w:id="945231614">
                  <w:marLeft w:val="0"/>
                  <w:marRight w:val="0"/>
                  <w:marTop w:val="0"/>
                  <w:marBottom w:val="0"/>
                  <w:divBdr>
                    <w:top w:val="none" w:sz="0" w:space="0" w:color="auto"/>
                    <w:left w:val="none" w:sz="0" w:space="0" w:color="auto"/>
                    <w:bottom w:val="none" w:sz="0" w:space="0" w:color="auto"/>
                    <w:right w:val="none" w:sz="0" w:space="0" w:color="auto"/>
                  </w:divBdr>
                  <w:divsChild>
                    <w:div w:id="4626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1913">
              <w:marLeft w:val="0"/>
              <w:marRight w:val="0"/>
              <w:marTop w:val="0"/>
              <w:marBottom w:val="0"/>
              <w:divBdr>
                <w:top w:val="none" w:sz="0" w:space="0" w:color="auto"/>
                <w:left w:val="none" w:sz="0" w:space="0" w:color="auto"/>
                <w:bottom w:val="none" w:sz="0" w:space="0" w:color="auto"/>
                <w:right w:val="none" w:sz="0" w:space="0" w:color="auto"/>
              </w:divBdr>
              <w:divsChild>
                <w:div w:id="1310864669">
                  <w:marLeft w:val="0"/>
                  <w:marRight w:val="0"/>
                  <w:marTop w:val="0"/>
                  <w:marBottom w:val="0"/>
                  <w:divBdr>
                    <w:top w:val="none" w:sz="0" w:space="0" w:color="auto"/>
                    <w:left w:val="none" w:sz="0" w:space="0" w:color="auto"/>
                    <w:bottom w:val="none" w:sz="0" w:space="0" w:color="auto"/>
                    <w:right w:val="none" w:sz="0" w:space="0" w:color="auto"/>
                  </w:divBdr>
                  <w:divsChild>
                    <w:div w:id="60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3916">
      <w:bodyDiv w:val="1"/>
      <w:marLeft w:val="0"/>
      <w:marRight w:val="0"/>
      <w:marTop w:val="0"/>
      <w:marBottom w:val="0"/>
      <w:divBdr>
        <w:top w:val="none" w:sz="0" w:space="0" w:color="auto"/>
        <w:left w:val="none" w:sz="0" w:space="0" w:color="auto"/>
        <w:bottom w:val="none" w:sz="0" w:space="0" w:color="auto"/>
        <w:right w:val="none" w:sz="0" w:space="0" w:color="auto"/>
      </w:divBdr>
    </w:div>
    <w:div w:id="605773439">
      <w:bodyDiv w:val="1"/>
      <w:marLeft w:val="0"/>
      <w:marRight w:val="0"/>
      <w:marTop w:val="0"/>
      <w:marBottom w:val="0"/>
      <w:divBdr>
        <w:top w:val="none" w:sz="0" w:space="0" w:color="auto"/>
        <w:left w:val="none" w:sz="0" w:space="0" w:color="auto"/>
        <w:bottom w:val="none" w:sz="0" w:space="0" w:color="auto"/>
        <w:right w:val="none" w:sz="0" w:space="0" w:color="auto"/>
      </w:divBdr>
      <w:divsChild>
        <w:div w:id="1886870145">
          <w:marLeft w:val="0"/>
          <w:marRight w:val="0"/>
          <w:marTop w:val="0"/>
          <w:marBottom w:val="0"/>
          <w:divBdr>
            <w:top w:val="none" w:sz="0" w:space="0" w:color="auto"/>
            <w:left w:val="none" w:sz="0" w:space="0" w:color="auto"/>
            <w:bottom w:val="none" w:sz="0" w:space="0" w:color="auto"/>
            <w:right w:val="none" w:sz="0" w:space="0" w:color="auto"/>
          </w:divBdr>
          <w:divsChild>
            <w:div w:id="1375425421">
              <w:marLeft w:val="0"/>
              <w:marRight w:val="0"/>
              <w:marTop w:val="0"/>
              <w:marBottom w:val="0"/>
              <w:divBdr>
                <w:top w:val="none" w:sz="0" w:space="0" w:color="auto"/>
                <w:left w:val="none" w:sz="0" w:space="0" w:color="auto"/>
                <w:bottom w:val="none" w:sz="0" w:space="0" w:color="auto"/>
                <w:right w:val="none" w:sz="0" w:space="0" w:color="auto"/>
              </w:divBdr>
              <w:divsChild>
                <w:div w:id="1291206092">
                  <w:marLeft w:val="0"/>
                  <w:marRight w:val="0"/>
                  <w:marTop w:val="0"/>
                  <w:marBottom w:val="0"/>
                  <w:divBdr>
                    <w:top w:val="none" w:sz="0" w:space="0" w:color="auto"/>
                    <w:left w:val="none" w:sz="0" w:space="0" w:color="auto"/>
                    <w:bottom w:val="none" w:sz="0" w:space="0" w:color="auto"/>
                    <w:right w:val="none" w:sz="0" w:space="0" w:color="auto"/>
                  </w:divBdr>
                  <w:divsChild>
                    <w:div w:id="556472030">
                      <w:marLeft w:val="0"/>
                      <w:marRight w:val="0"/>
                      <w:marTop w:val="0"/>
                      <w:marBottom w:val="0"/>
                      <w:divBdr>
                        <w:top w:val="none" w:sz="0" w:space="0" w:color="auto"/>
                        <w:left w:val="none" w:sz="0" w:space="0" w:color="auto"/>
                        <w:bottom w:val="none" w:sz="0" w:space="0" w:color="auto"/>
                        <w:right w:val="none" w:sz="0" w:space="0" w:color="auto"/>
                      </w:divBdr>
                      <w:divsChild>
                        <w:div w:id="1995790660">
                          <w:marLeft w:val="0"/>
                          <w:marRight w:val="0"/>
                          <w:marTop w:val="0"/>
                          <w:marBottom w:val="0"/>
                          <w:divBdr>
                            <w:top w:val="none" w:sz="0" w:space="0" w:color="auto"/>
                            <w:left w:val="none" w:sz="0" w:space="0" w:color="auto"/>
                            <w:bottom w:val="none" w:sz="0" w:space="0" w:color="auto"/>
                            <w:right w:val="none" w:sz="0" w:space="0" w:color="auto"/>
                          </w:divBdr>
                          <w:divsChild>
                            <w:div w:id="708455837">
                              <w:marLeft w:val="0"/>
                              <w:marRight w:val="0"/>
                              <w:marTop w:val="0"/>
                              <w:marBottom w:val="0"/>
                              <w:divBdr>
                                <w:top w:val="none" w:sz="0" w:space="0" w:color="auto"/>
                                <w:left w:val="none" w:sz="0" w:space="0" w:color="auto"/>
                                <w:bottom w:val="none" w:sz="0" w:space="0" w:color="auto"/>
                                <w:right w:val="none" w:sz="0" w:space="0" w:color="auto"/>
                              </w:divBdr>
                              <w:divsChild>
                                <w:div w:id="1083456534">
                                  <w:marLeft w:val="0"/>
                                  <w:marRight w:val="0"/>
                                  <w:marTop w:val="0"/>
                                  <w:marBottom w:val="0"/>
                                  <w:divBdr>
                                    <w:top w:val="none" w:sz="0" w:space="0" w:color="auto"/>
                                    <w:left w:val="none" w:sz="0" w:space="0" w:color="auto"/>
                                    <w:bottom w:val="none" w:sz="0" w:space="0" w:color="auto"/>
                                    <w:right w:val="none" w:sz="0" w:space="0" w:color="auto"/>
                                  </w:divBdr>
                                  <w:divsChild>
                                    <w:div w:id="233667988">
                                      <w:marLeft w:val="0"/>
                                      <w:marRight w:val="0"/>
                                      <w:marTop w:val="0"/>
                                      <w:marBottom w:val="0"/>
                                      <w:divBdr>
                                        <w:top w:val="none" w:sz="0" w:space="0" w:color="auto"/>
                                        <w:left w:val="none" w:sz="0" w:space="0" w:color="auto"/>
                                        <w:bottom w:val="none" w:sz="0" w:space="0" w:color="auto"/>
                                        <w:right w:val="none" w:sz="0" w:space="0" w:color="auto"/>
                                      </w:divBdr>
                                      <w:divsChild>
                                        <w:div w:id="77795032">
                                          <w:marLeft w:val="0"/>
                                          <w:marRight w:val="0"/>
                                          <w:marTop w:val="0"/>
                                          <w:marBottom w:val="0"/>
                                          <w:divBdr>
                                            <w:top w:val="none" w:sz="0" w:space="0" w:color="auto"/>
                                            <w:left w:val="none" w:sz="0" w:space="0" w:color="auto"/>
                                            <w:bottom w:val="none" w:sz="0" w:space="0" w:color="auto"/>
                                            <w:right w:val="none" w:sz="0" w:space="0" w:color="auto"/>
                                          </w:divBdr>
                                          <w:divsChild>
                                            <w:div w:id="1991514190">
                                              <w:marLeft w:val="0"/>
                                              <w:marRight w:val="0"/>
                                              <w:marTop w:val="0"/>
                                              <w:marBottom w:val="0"/>
                                              <w:divBdr>
                                                <w:top w:val="none" w:sz="0" w:space="0" w:color="auto"/>
                                                <w:left w:val="none" w:sz="0" w:space="0" w:color="auto"/>
                                                <w:bottom w:val="none" w:sz="0" w:space="0" w:color="auto"/>
                                                <w:right w:val="none" w:sz="0" w:space="0" w:color="auto"/>
                                              </w:divBdr>
                                              <w:divsChild>
                                                <w:div w:id="1769542760">
                                                  <w:marLeft w:val="0"/>
                                                  <w:marRight w:val="0"/>
                                                  <w:marTop w:val="0"/>
                                                  <w:marBottom w:val="0"/>
                                                  <w:divBdr>
                                                    <w:top w:val="none" w:sz="0" w:space="0" w:color="auto"/>
                                                    <w:left w:val="none" w:sz="0" w:space="0" w:color="auto"/>
                                                    <w:bottom w:val="none" w:sz="0" w:space="0" w:color="auto"/>
                                                    <w:right w:val="none" w:sz="0" w:space="0" w:color="auto"/>
                                                  </w:divBdr>
                                                  <w:divsChild>
                                                    <w:div w:id="442652284">
                                                      <w:marLeft w:val="0"/>
                                                      <w:marRight w:val="0"/>
                                                      <w:marTop w:val="0"/>
                                                      <w:marBottom w:val="0"/>
                                                      <w:divBdr>
                                                        <w:top w:val="none" w:sz="0" w:space="0" w:color="auto"/>
                                                        <w:left w:val="none" w:sz="0" w:space="0" w:color="auto"/>
                                                        <w:bottom w:val="none" w:sz="0" w:space="0" w:color="auto"/>
                                                        <w:right w:val="none" w:sz="0" w:space="0" w:color="auto"/>
                                                      </w:divBdr>
                                                      <w:divsChild>
                                                        <w:div w:id="1992518517">
                                                          <w:marLeft w:val="0"/>
                                                          <w:marRight w:val="0"/>
                                                          <w:marTop w:val="0"/>
                                                          <w:marBottom w:val="0"/>
                                                          <w:divBdr>
                                                            <w:top w:val="none" w:sz="0" w:space="0" w:color="auto"/>
                                                            <w:left w:val="none" w:sz="0" w:space="0" w:color="auto"/>
                                                            <w:bottom w:val="none" w:sz="0" w:space="0" w:color="auto"/>
                                                            <w:right w:val="none" w:sz="0" w:space="0" w:color="auto"/>
                                                          </w:divBdr>
                                                          <w:divsChild>
                                                            <w:div w:id="1792164321">
                                                              <w:marLeft w:val="0"/>
                                                              <w:marRight w:val="0"/>
                                                              <w:marTop w:val="0"/>
                                                              <w:marBottom w:val="0"/>
                                                              <w:divBdr>
                                                                <w:top w:val="none" w:sz="0" w:space="0" w:color="auto"/>
                                                                <w:left w:val="none" w:sz="0" w:space="0" w:color="auto"/>
                                                                <w:bottom w:val="none" w:sz="0" w:space="0" w:color="auto"/>
                                                                <w:right w:val="none" w:sz="0" w:space="0" w:color="auto"/>
                                                              </w:divBdr>
                                                              <w:divsChild>
                                                                <w:div w:id="1899854122">
                                                                  <w:marLeft w:val="0"/>
                                                                  <w:marRight w:val="0"/>
                                                                  <w:marTop w:val="0"/>
                                                                  <w:marBottom w:val="0"/>
                                                                  <w:divBdr>
                                                                    <w:top w:val="none" w:sz="0" w:space="0" w:color="auto"/>
                                                                    <w:left w:val="none" w:sz="0" w:space="0" w:color="auto"/>
                                                                    <w:bottom w:val="none" w:sz="0" w:space="0" w:color="auto"/>
                                                                    <w:right w:val="none" w:sz="0" w:space="0" w:color="auto"/>
                                                                  </w:divBdr>
                                                                  <w:divsChild>
                                                                    <w:div w:id="1689672156">
                                                                      <w:marLeft w:val="0"/>
                                                                      <w:marRight w:val="0"/>
                                                                      <w:marTop w:val="0"/>
                                                                      <w:marBottom w:val="0"/>
                                                                      <w:divBdr>
                                                                        <w:top w:val="none" w:sz="0" w:space="0" w:color="auto"/>
                                                                        <w:left w:val="none" w:sz="0" w:space="0" w:color="auto"/>
                                                                        <w:bottom w:val="none" w:sz="0" w:space="0" w:color="auto"/>
                                                                        <w:right w:val="none" w:sz="0" w:space="0" w:color="auto"/>
                                                                      </w:divBdr>
                                                                      <w:divsChild>
                                                                        <w:div w:id="1721972776">
                                                                          <w:marLeft w:val="0"/>
                                                                          <w:marRight w:val="0"/>
                                                                          <w:marTop w:val="0"/>
                                                                          <w:marBottom w:val="300"/>
                                                                          <w:divBdr>
                                                                            <w:top w:val="none" w:sz="0" w:space="0" w:color="auto"/>
                                                                            <w:left w:val="none" w:sz="0" w:space="0" w:color="auto"/>
                                                                            <w:bottom w:val="none" w:sz="0" w:space="0" w:color="auto"/>
                                                                            <w:right w:val="none" w:sz="0" w:space="0" w:color="auto"/>
                                                                          </w:divBdr>
                                                                          <w:divsChild>
                                                                            <w:div w:id="592665302">
                                                                              <w:marLeft w:val="0"/>
                                                                              <w:marRight w:val="0"/>
                                                                              <w:marTop w:val="0"/>
                                                                              <w:marBottom w:val="0"/>
                                                                              <w:divBdr>
                                                                                <w:top w:val="none" w:sz="0" w:space="0" w:color="auto"/>
                                                                                <w:left w:val="none" w:sz="0" w:space="0" w:color="auto"/>
                                                                                <w:bottom w:val="none" w:sz="0" w:space="0" w:color="auto"/>
                                                                                <w:right w:val="none" w:sz="0" w:space="0" w:color="auto"/>
                                                                              </w:divBdr>
                                                                              <w:divsChild>
                                                                                <w:div w:id="657923779">
                                                                                  <w:marLeft w:val="0"/>
                                                                                  <w:marRight w:val="0"/>
                                                                                  <w:marTop w:val="0"/>
                                                                                  <w:marBottom w:val="0"/>
                                                                                  <w:divBdr>
                                                                                    <w:top w:val="none" w:sz="0" w:space="0" w:color="auto"/>
                                                                                    <w:left w:val="none" w:sz="0" w:space="0" w:color="auto"/>
                                                                                    <w:bottom w:val="none" w:sz="0" w:space="0" w:color="auto"/>
                                                                                    <w:right w:val="none" w:sz="0" w:space="0" w:color="auto"/>
                                                                                  </w:divBdr>
                                                                                  <w:divsChild>
                                                                                    <w:div w:id="662776903">
                                                                                      <w:marLeft w:val="0"/>
                                                                                      <w:marRight w:val="0"/>
                                                                                      <w:marTop w:val="0"/>
                                                                                      <w:marBottom w:val="0"/>
                                                                                      <w:divBdr>
                                                                                        <w:top w:val="none" w:sz="0" w:space="0" w:color="auto"/>
                                                                                        <w:left w:val="none" w:sz="0" w:space="0" w:color="auto"/>
                                                                                        <w:bottom w:val="none" w:sz="0" w:space="0" w:color="auto"/>
                                                                                        <w:right w:val="none" w:sz="0" w:space="0" w:color="auto"/>
                                                                                      </w:divBdr>
                                                                                      <w:divsChild>
                                                                                        <w:div w:id="1502820400">
                                                                                          <w:marLeft w:val="0"/>
                                                                                          <w:marRight w:val="0"/>
                                                                                          <w:marTop w:val="0"/>
                                                                                          <w:marBottom w:val="0"/>
                                                                                          <w:divBdr>
                                                                                            <w:top w:val="none" w:sz="0" w:space="0" w:color="auto"/>
                                                                                            <w:left w:val="none" w:sz="0" w:space="0" w:color="auto"/>
                                                                                            <w:bottom w:val="none" w:sz="0" w:space="0" w:color="auto"/>
                                                                                            <w:right w:val="none" w:sz="0" w:space="0" w:color="auto"/>
                                                                                          </w:divBdr>
                                                                                          <w:divsChild>
                                                                                            <w:div w:id="1904607611">
                                                                                              <w:marLeft w:val="0"/>
                                                                                              <w:marRight w:val="0"/>
                                                                                              <w:marTop w:val="0"/>
                                                                                              <w:marBottom w:val="0"/>
                                                                                              <w:divBdr>
                                                                                                <w:top w:val="none" w:sz="0" w:space="0" w:color="auto"/>
                                                                                                <w:left w:val="none" w:sz="0" w:space="0" w:color="auto"/>
                                                                                                <w:bottom w:val="none" w:sz="0" w:space="0" w:color="auto"/>
                                                                                                <w:right w:val="none" w:sz="0" w:space="0" w:color="auto"/>
                                                                                              </w:divBdr>
                                                                                              <w:divsChild>
                                                                                                <w:div w:id="1654989476">
                                                                                                  <w:marLeft w:val="0"/>
                                                                                                  <w:marRight w:val="0"/>
                                                                                                  <w:marTop w:val="0"/>
                                                                                                  <w:marBottom w:val="0"/>
                                                                                                  <w:divBdr>
                                                                                                    <w:top w:val="none" w:sz="0" w:space="0" w:color="auto"/>
                                                                                                    <w:left w:val="none" w:sz="0" w:space="0" w:color="auto"/>
                                                                                                    <w:bottom w:val="none" w:sz="0" w:space="0" w:color="auto"/>
                                                                                                    <w:right w:val="none" w:sz="0" w:space="0" w:color="auto"/>
                                                                                                  </w:divBdr>
                                                                                                  <w:divsChild>
                                                                                                    <w:div w:id="1535458658">
                                                                                                      <w:marLeft w:val="0"/>
                                                                                                      <w:marRight w:val="0"/>
                                                                                                      <w:marTop w:val="0"/>
                                                                                                      <w:marBottom w:val="0"/>
                                                                                                      <w:divBdr>
                                                                                                        <w:top w:val="none" w:sz="0" w:space="0" w:color="auto"/>
                                                                                                        <w:left w:val="none" w:sz="0" w:space="0" w:color="auto"/>
                                                                                                        <w:bottom w:val="none" w:sz="0" w:space="0" w:color="auto"/>
                                                                                                        <w:right w:val="none" w:sz="0" w:space="0" w:color="auto"/>
                                                                                                      </w:divBdr>
                                                                                                      <w:divsChild>
                                                                                                        <w:div w:id="2879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705152">
      <w:bodyDiv w:val="1"/>
      <w:marLeft w:val="0"/>
      <w:marRight w:val="0"/>
      <w:marTop w:val="0"/>
      <w:marBottom w:val="0"/>
      <w:divBdr>
        <w:top w:val="none" w:sz="0" w:space="0" w:color="auto"/>
        <w:left w:val="none" w:sz="0" w:space="0" w:color="auto"/>
        <w:bottom w:val="none" w:sz="0" w:space="0" w:color="auto"/>
        <w:right w:val="none" w:sz="0" w:space="0" w:color="auto"/>
      </w:divBdr>
    </w:div>
    <w:div w:id="1478720785">
      <w:bodyDiv w:val="1"/>
      <w:marLeft w:val="0"/>
      <w:marRight w:val="0"/>
      <w:marTop w:val="0"/>
      <w:marBottom w:val="0"/>
      <w:divBdr>
        <w:top w:val="none" w:sz="0" w:space="0" w:color="auto"/>
        <w:left w:val="none" w:sz="0" w:space="0" w:color="auto"/>
        <w:bottom w:val="none" w:sz="0" w:space="0" w:color="auto"/>
        <w:right w:val="none" w:sz="0" w:space="0" w:color="auto"/>
      </w:divBdr>
    </w:div>
    <w:div w:id="1972397557">
      <w:bodyDiv w:val="1"/>
      <w:marLeft w:val="0"/>
      <w:marRight w:val="0"/>
      <w:marTop w:val="0"/>
      <w:marBottom w:val="0"/>
      <w:divBdr>
        <w:top w:val="none" w:sz="0" w:space="0" w:color="auto"/>
        <w:left w:val="none" w:sz="0" w:space="0" w:color="auto"/>
        <w:bottom w:val="none" w:sz="0" w:space="0" w:color="auto"/>
        <w:right w:val="none" w:sz="0" w:space="0" w:color="auto"/>
      </w:divBdr>
    </w:div>
    <w:div w:id="2118451211">
      <w:bodyDiv w:val="1"/>
      <w:marLeft w:val="0"/>
      <w:marRight w:val="0"/>
      <w:marTop w:val="0"/>
      <w:marBottom w:val="0"/>
      <w:divBdr>
        <w:top w:val="none" w:sz="0" w:space="0" w:color="auto"/>
        <w:left w:val="none" w:sz="0" w:space="0" w:color="auto"/>
        <w:bottom w:val="none" w:sz="0" w:space="0" w:color="auto"/>
        <w:right w:val="none" w:sz="0" w:space="0" w:color="auto"/>
      </w:divBdr>
      <w:divsChild>
        <w:div w:id="1574002883">
          <w:marLeft w:val="0"/>
          <w:marRight w:val="0"/>
          <w:marTop w:val="0"/>
          <w:marBottom w:val="0"/>
          <w:divBdr>
            <w:top w:val="none" w:sz="0" w:space="0" w:color="auto"/>
            <w:left w:val="none" w:sz="0" w:space="0" w:color="auto"/>
            <w:bottom w:val="none" w:sz="0" w:space="0" w:color="auto"/>
            <w:right w:val="none" w:sz="0" w:space="0" w:color="auto"/>
          </w:divBdr>
        </w:div>
        <w:div w:id="107323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rseydogsaf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tulloch@liverpo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75FB-CE7B-4AAE-B1DA-25D7DDC4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22271</Words>
  <Characters>126947</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148921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Tulloch</dc:creator>
  <cp:lastModifiedBy>John Tulloch</cp:lastModifiedBy>
  <cp:revision>3</cp:revision>
  <dcterms:created xsi:type="dcterms:W3CDTF">2021-02-26T18:32:00Z</dcterms:created>
  <dcterms:modified xsi:type="dcterms:W3CDTF">2021-02-26T18:36:00Z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http://www.zotero.org/styles/clinical-infectious-diseases</vt:lpwstr>
  </property>
  <property fmtid="{D5CDD505-2E9C-101B-9397-08002B2CF9AE}" pid="11" name="Mendeley Recent Style Name 4_1">
    <vt:lpwstr>Clinical Infectious Diseases</vt:lpwstr>
  </property>
  <property fmtid="{D5CDD505-2E9C-101B-9397-08002B2CF9AE}" pid="12" name="Mendeley Recent Style Id 5_1">
    <vt:lpwstr>http://www.zotero.org/styles/journal-of-biomedical-informatics</vt:lpwstr>
  </property>
  <property fmtid="{D5CDD505-2E9C-101B-9397-08002B2CF9AE}" pid="13" name="Mendeley Recent Style Name 5_1">
    <vt:lpwstr>Journal of Biomedical Informatics</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http://www.zotero.org/styles/scientific-reports</vt:lpwstr>
  </property>
  <property fmtid="{D5CDD505-2E9C-101B-9397-08002B2CF9AE}" pid="17" name="Mendeley Recent Style Name 7_1">
    <vt:lpwstr>Scientific Reports</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2831b07d-3915-321e-b60f-be08efeaa05e</vt:lpwstr>
  </property>
  <property fmtid="{D5CDD505-2E9C-101B-9397-08002B2CF9AE}" pid="24" name="Mendeley Citation Style_1">
    <vt:lpwstr>http://www.zotero.org/styles/bmj</vt:lpwstr>
  </property>
</Properties>
</file>