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5A029" w14:textId="63278C67" w:rsidR="00B86008" w:rsidRPr="004A68AC" w:rsidRDefault="00AC325F" w:rsidP="00B86008">
      <w:pPr>
        <w:pStyle w:val="PaperTITLE"/>
        <w:spacing w:before="0" w:after="0" w:line="240" w:lineRule="auto"/>
        <w:jc w:val="center"/>
        <w:rPr>
          <w:b/>
          <w:sz w:val="24"/>
          <w:szCs w:val="24"/>
          <w:lang w:val="en-US"/>
        </w:rPr>
      </w:pPr>
      <w:bookmarkStart w:id="0" w:name="_Toc43469880"/>
      <w:r w:rsidRPr="004A68AC">
        <w:rPr>
          <w:b/>
          <w:sz w:val="24"/>
          <w:szCs w:val="24"/>
          <w:lang w:val="en-US"/>
        </w:rPr>
        <w:t xml:space="preserve">Comparative Analysis of </w:t>
      </w:r>
      <w:r w:rsidR="00A57BF9" w:rsidRPr="004A68AC">
        <w:rPr>
          <w:b/>
          <w:sz w:val="24"/>
          <w:szCs w:val="24"/>
          <w:lang w:val="en-US"/>
        </w:rPr>
        <w:t>Code</w:t>
      </w:r>
      <w:r w:rsidR="00AA4F2F" w:rsidRPr="004A68AC">
        <w:rPr>
          <w:b/>
          <w:sz w:val="24"/>
          <w:szCs w:val="24"/>
          <w:lang w:val="en-US"/>
        </w:rPr>
        <w:t>-</w:t>
      </w:r>
      <w:r w:rsidR="009C1574" w:rsidRPr="004A68AC">
        <w:rPr>
          <w:b/>
          <w:sz w:val="24"/>
          <w:szCs w:val="24"/>
          <w:lang w:val="en-US"/>
        </w:rPr>
        <w:t xml:space="preserve">Based </w:t>
      </w:r>
      <w:r w:rsidRPr="004A68AC">
        <w:rPr>
          <w:b/>
          <w:sz w:val="24"/>
          <w:szCs w:val="24"/>
          <w:lang w:val="en-US"/>
        </w:rPr>
        <w:t xml:space="preserve">Approaches </w:t>
      </w:r>
      <w:r w:rsidR="00A57BF9" w:rsidRPr="004A68AC">
        <w:rPr>
          <w:b/>
          <w:sz w:val="24"/>
          <w:szCs w:val="24"/>
          <w:lang w:val="en-US"/>
        </w:rPr>
        <w:t>for</w:t>
      </w:r>
      <w:r w:rsidR="009C1574" w:rsidRPr="004A68AC">
        <w:rPr>
          <w:b/>
          <w:sz w:val="24"/>
          <w:szCs w:val="24"/>
          <w:lang w:val="en-US"/>
        </w:rPr>
        <w:t xml:space="preserve"> Seismic Assessment of </w:t>
      </w:r>
      <w:r w:rsidR="009E3BEB" w:rsidRPr="004A68AC">
        <w:rPr>
          <w:b/>
          <w:sz w:val="24"/>
          <w:szCs w:val="24"/>
          <w:lang w:val="en-US"/>
        </w:rPr>
        <w:t>Existing</w:t>
      </w:r>
      <w:r w:rsidR="00A57BF9" w:rsidRPr="004A68AC">
        <w:rPr>
          <w:b/>
          <w:sz w:val="24"/>
          <w:szCs w:val="24"/>
          <w:lang w:val="en-US"/>
        </w:rPr>
        <w:t xml:space="preserve"> Steel </w:t>
      </w:r>
      <w:bookmarkEnd w:id="0"/>
      <w:r w:rsidR="00AA4F2F" w:rsidRPr="004A68AC">
        <w:rPr>
          <w:b/>
          <w:sz w:val="24"/>
          <w:szCs w:val="24"/>
          <w:lang w:val="en-US"/>
        </w:rPr>
        <w:t>MRFs</w:t>
      </w:r>
    </w:p>
    <w:p w14:paraId="31262E6D" w14:textId="77777777" w:rsidR="00B86008" w:rsidRPr="004A68AC" w:rsidRDefault="00B86008" w:rsidP="00B86008">
      <w:pPr>
        <w:pStyle w:val="Authors"/>
        <w:spacing w:after="0"/>
        <w:jc w:val="both"/>
        <w:rPr>
          <w:bCs/>
          <w:szCs w:val="20"/>
          <w:lang w:val="en-US"/>
        </w:rPr>
      </w:pPr>
    </w:p>
    <w:p w14:paraId="6B53A193" w14:textId="77777777" w:rsidR="00495242" w:rsidRPr="004A68AC" w:rsidRDefault="00495242" w:rsidP="00495242">
      <w:pPr>
        <w:pStyle w:val="Authors"/>
        <w:spacing w:after="0"/>
        <w:rPr>
          <w:szCs w:val="20"/>
          <w:lang w:val="es-MX"/>
        </w:rPr>
      </w:pPr>
      <w:r w:rsidRPr="004A68AC">
        <w:rPr>
          <w:b/>
          <w:szCs w:val="20"/>
          <w:lang w:val="es-MX"/>
        </w:rPr>
        <w:t>Fernando Gutiérrez-Urzúa</w:t>
      </w:r>
      <w:r w:rsidRPr="004A68AC">
        <w:rPr>
          <w:szCs w:val="20"/>
          <w:vertAlign w:val="superscript"/>
          <w:lang w:val="es-MX"/>
        </w:rPr>
        <w:t>1,*</w:t>
      </w:r>
      <w:r w:rsidRPr="004A68AC">
        <w:rPr>
          <w:szCs w:val="20"/>
          <w:lang w:val="es-MX"/>
        </w:rPr>
        <w:t xml:space="preserve">, </w:t>
      </w:r>
      <w:r w:rsidRPr="004A68AC">
        <w:rPr>
          <w:b/>
          <w:szCs w:val="20"/>
          <w:lang w:val="es-MX"/>
        </w:rPr>
        <w:t>Fabio Freddi</w:t>
      </w:r>
      <w:r w:rsidRPr="004A68AC">
        <w:rPr>
          <w:szCs w:val="20"/>
          <w:vertAlign w:val="superscript"/>
          <w:lang w:val="es-MX"/>
        </w:rPr>
        <w:t>1</w:t>
      </w:r>
      <w:r w:rsidRPr="004A68AC">
        <w:rPr>
          <w:szCs w:val="20"/>
          <w:lang w:val="es-MX"/>
        </w:rPr>
        <w:t xml:space="preserve">, </w:t>
      </w:r>
      <w:r w:rsidRPr="004A68AC">
        <w:rPr>
          <w:b/>
          <w:szCs w:val="20"/>
          <w:lang w:val="es-MX"/>
        </w:rPr>
        <w:t>Luigi Di Sarno</w:t>
      </w:r>
      <w:r w:rsidRPr="004A68AC">
        <w:rPr>
          <w:szCs w:val="20"/>
          <w:vertAlign w:val="superscript"/>
          <w:lang w:val="es-MX"/>
        </w:rPr>
        <w:t>2</w:t>
      </w:r>
    </w:p>
    <w:p w14:paraId="026A7087" w14:textId="77777777" w:rsidR="00495242" w:rsidRPr="004A68AC" w:rsidRDefault="00495242" w:rsidP="00495242">
      <w:pPr>
        <w:pStyle w:val="Authoraffiliation"/>
        <w:spacing w:before="0" w:after="0"/>
        <w:rPr>
          <w:i/>
          <w:color w:val="auto"/>
          <w:sz w:val="18"/>
          <w:szCs w:val="18"/>
          <w:lang w:val="en-US"/>
        </w:rPr>
      </w:pPr>
      <w:r w:rsidRPr="004A68AC">
        <w:rPr>
          <w:i/>
          <w:color w:val="auto"/>
          <w:sz w:val="18"/>
          <w:szCs w:val="18"/>
          <w:vertAlign w:val="superscript"/>
          <w:lang w:val="en-US"/>
        </w:rPr>
        <w:t>1</w:t>
      </w:r>
      <w:r w:rsidRPr="004A68AC">
        <w:rPr>
          <w:i/>
          <w:color w:val="auto"/>
          <w:sz w:val="18"/>
          <w:szCs w:val="18"/>
          <w:lang w:val="en-US"/>
        </w:rPr>
        <w:t>Dept. of Civil, Environmental &amp; Geomatic Engineering, Univ. College London, London WC1E 6BT, U.K.</w:t>
      </w:r>
    </w:p>
    <w:p w14:paraId="486BA2B7" w14:textId="77777777" w:rsidR="00495242" w:rsidRPr="004A68AC" w:rsidRDefault="00495242" w:rsidP="00495242">
      <w:pPr>
        <w:pStyle w:val="Authoraffiliation"/>
        <w:spacing w:before="0" w:after="0"/>
        <w:rPr>
          <w:i/>
          <w:color w:val="auto"/>
          <w:sz w:val="18"/>
          <w:szCs w:val="18"/>
          <w:lang w:val="en-US"/>
        </w:rPr>
      </w:pPr>
      <w:r w:rsidRPr="004A68AC">
        <w:rPr>
          <w:i/>
          <w:color w:val="auto"/>
          <w:sz w:val="18"/>
          <w:szCs w:val="18"/>
          <w:vertAlign w:val="superscript"/>
          <w:lang w:val="en-US"/>
        </w:rPr>
        <w:t>2</w:t>
      </w:r>
      <w:r w:rsidRPr="004A68AC">
        <w:rPr>
          <w:color w:val="auto"/>
          <w:lang w:val="en-US"/>
        </w:rPr>
        <w:t xml:space="preserve"> </w:t>
      </w:r>
      <w:r w:rsidRPr="004A68AC">
        <w:rPr>
          <w:i/>
          <w:color w:val="auto"/>
          <w:sz w:val="18"/>
          <w:szCs w:val="18"/>
          <w:lang w:val="en-US"/>
        </w:rPr>
        <w:t>Dept. of Civil Engineering &amp; Industrial Design, Univ. of Liverpool, Liverpool L69 3BX, U.K.</w:t>
      </w:r>
    </w:p>
    <w:p w14:paraId="644E1EBF" w14:textId="77777777" w:rsidR="00495242" w:rsidRPr="004A68AC" w:rsidRDefault="00495242" w:rsidP="00495242">
      <w:pPr>
        <w:pStyle w:val="Authoraffiliation"/>
        <w:spacing w:before="0" w:after="0"/>
        <w:rPr>
          <w:color w:val="auto"/>
          <w:sz w:val="16"/>
          <w:szCs w:val="16"/>
          <w:lang w:val="en-US" w:eastAsia="el-GR"/>
        </w:rPr>
      </w:pPr>
      <w:r w:rsidRPr="004A68AC">
        <w:rPr>
          <w:color w:val="auto"/>
          <w:sz w:val="16"/>
          <w:szCs w:val="16"/>
          <w:vertAlign w:val="superscript"/>
          <w:lang w:val="en-US" w:eastAsia="el-GR"/>
        </w:rPr>
        <w:t>*</w:t>
      </w:r>
      <w:r w:rsidRPr="004A68AC">
        <w:rPr>
          <w:color w:val="auto"/>
          <w:sz w:val="16"/>
          <w:szCs w:val="16"/>
          <w:lang w:val="en-US" w:eastAsia="el-GR"/>
        </w:rPr>
        <w:t xml:space="preserve">Corresponding Author. </w:t>
      </w:r>
      <w:r w:rsidRPr="004A68AC">
        <w:rPr>
          <w:i/>
          <w:color w:val="auto"/>
          <w:sz w:val="16"/>
          <w:szCs w:val="16"/>
          <w:lang w:val="en-US" w:eastAsia="el-GR"/>
        </w:rPr>
        <w:t>E-mail address: f.urzua@ucl.ac.uk</w:t>
      </w:r>
    </w:p>
    <w:p w14:paraId="56A8C102" w14:textId="0EA8C63E" w:rsidR="00273353" w:rsidRPr="004A68AC" w:rsidRDefault="00273353" w:rsidP="00B86008">
      <w:pPr>
        <w:rPr>
          <w:sz w:val="19"/>
          <w:szCs w:val="19"/>
          <w:lang w:val="en-US" w:eastAsia="el-GR"/>
        </w:rPr>
      </w:pPr>
    </w:p>
    <w:p w14:paraId="0E8BF55D" w14:textId="4031CCB9" w:rsidR="00B02FE7" w:rsidRPr="004A68AC" w:rsidRDefault="00B02FE7" w:rsidP="00B02FE7">
      <w:pPr>
        <w:pStyle w:val="Heading1"/>
        <w:numPr>
          <w:ilvl w:val="0"/>
          <w:numId w:val="0"/>
        </w:numPr>
        <w:spacing w:before="0" w:after="0"/>
        <w:jc w:val="both"/>
        <w:rPr>
          <w:b w:val="0"/>
          <w:szCs w:val="20"/>
          <w:lang w:val="en-US"/>
        </w:rPr>
      </w:pPr>
      <w:bookmarkStart w:id="1" w:name="_Toc43469881"/>
      <w:r w:rsidRPr="004A68AC">
        <w:rPr>
          <w:szCs w:val="20"/>
          <w:lang w:val="en-US"/>
        </w:rPr>
        <w:t>ABSTRACT</w:t>
      </w:r>
      <w:bookmarkEnd w:id="1"/>
    </w:p>
    <w:p w14:paraId="15D962E8" w14:textId="77777777" w:rsidR="00FF640A" w:rsidRPr="004A68AC" w:rsidRDefault="00FF640A" w:rsidP="00D772F6">
      <w:pPr>
        <w:rPr>
          <w:szCs w:val="20"/>
          <w:lang w:val="en-US"/>
        </w:rPr>
      </w:pPr>
    </w:p>
    <w:p w14:paraId="74977338" w14:textId="41F8B6AF" w:rsidR="00C66449" w:rsidRPr="004A68AC" w:rsidRDefault="005807A8" w:rsidP="00D772F6">
      <w:pPr>
        <w:rPr>
          <w:szCs w:val="20"/>
          <w:lang w:val="en-US"/>
        </w:rPr>
      </w:pPr>
      <w:r w:rsidRPr="004A68AC">
        <w:rPr>
          <w:szCs w:val="20"/>
          <w:lang w:val="en-US"/>
        </w:rPr>
        <w:t>Nowadays, t</w:t>
      </w:r>
      <w:r w:rsidR="00531EC5" w:rsidRPr="004A68AC">
        <w:rPr>
          <w:szCs w:val="20"/>
          <w:lang w:val="en-US"/>
        </w:rPr>
        <w:t xml:space="preserve">here is a lack </w:t>
      </w:r>
      <w:r w:rsidR="00181687" w:rsidRPr="004A68AC">
        <w:rPr>
          <w:szCs w:val="20"/>
          <w:lang w:val="en-US"/>
        </w:rPr>
        <w:t>of</w:t>
      </w:r>
      <w:r w:rsidR="00531EC5" w:rsidRPr="004A68AC">
        <w:rPr>
          <w:szCs w:val="20"/>
          <w:lang w:val="en-US"/>
        </w:rPr>
        <w:t xml:space="preserve"> </w:t>
      </w:r>
      <w:r w:rsidRPr="004A68AC">
        <w:rPr>
          <w:szCs w:val="20"/>
          <w:lang w:val="en-US"/>
        </w:rPr>
        <w:t xml:space="preserve">adequate </w:t>
      </w:r>
      <w:r w:rsidR="00927EF1" w:rsidRPr="004A68AC">
        <w:rPr>
          <w:szCs w:val="20"/>
          <w:lang w:val="en-US"/>
        </w:rPr>
        <w:t xml:space="preserve">code provisions </w:t>
      </w:r>
      <w:r w:rsidR="00531EC5" w:rsidRPr="004A68AC">
        <w:rPr>
          <w:szCs w:val="20"/>
          <w:lang w:val="en-US"/>
        </w:rPr>
        <w:t xml:space="preserve">for the seismic performance and </w:t>
      </w:r>
      <w:r w:rsidRPr="004A68AC">
        <w:rPr>
          <w:szCs w:val="20"/>
          <w:lang w:val="en-US"/>
        </w:rPr>
        <w:t>risk assessment</w:t>
      </w:r>
      <w:r w:rsidR="00531EC5" w:rsidRPr="004A68AC">
        <w:rPr>
          <w:szCs w:val="20"/>
          <w:lang w:val="en-US"/>
        </w:rPr>
        <w:t xml:space="preserve"> of steel structures</w:t>
      </w:r>
      <w:r w:rsidR="004B69A9" w:rsidRPr="004A68AC">
        <w:rPr>
          <w:szCs w:val="20"/>
          <w:lang w:val="en-US"/>
        </w:rPr>
        <w:t xml:space="preserve"> </w:t>
      </w:r>
      <w:r w:rsidRPr="004A68AC">
        <w:rPr>
          <w:szCs w:val="20"/>
          <w:lang w:val="en-US"/>
        </w:rPr>
        <w:t xml:space="preserve">to be used within European </w:t>
      </w:r>
      <w:r w:rsidR="00927EF1" w:rsidRPr="004A68AC">
        <w:rPr>
          <w:szCs w:val="20"/>
          <w:lang w:val="en-US"/>
        </w:rPr>
        <w:t>countries</w:t>
      </w:r>
      <w:r w:rsidR="004B69A9" w:rsidRPr="004A68AC">
        <w:rPr>
          <w:szCs w:val="20"/>
          <w:lang w:val="en-US"/>
        </w:rPr>
        <w:t>.</w:t>
      </w:r>
      <w:r w:rsidR="00531EC5" w:rsidRPr="004A68AC">
        <w:rPr>
          <w:szCs w:val="20"/>
          <w:lang w:val="en-US"/>
        </w:rPr>
        <w:t xml:space="preserve"> </w:t>
      </w:r>
      <w:r w:rsidR="00730C57" w:rsidRPr="004A68AC">
        <w:rPr>
          <w:szCs w:val="20"/>
          <w:lang w:val="en-US"/>
        </w:rPr>
        <w:t>At the same time</w:t>
      </w:r>
      <w:r w:rsidR="00927EF1" w:rsidRPr="004A68AC">
        <w:rPr>
          <w:szCs w:val="20"/>
          <w:lang w:val="en-US"/>
        </w:rPr>
        <w:t>,</w:t>
      </w:r>
      <w:r w:rsidR="00730C57" w:rsidRPr="004A68AC">
        <w:rPr>
          <w:szCs w:val="20"/>
          <w:lang w:val="en-US"/>
        </w:rPr>
        <w:t xml:space="preserve"> in several occasions,</w:t>
      </w:r>
      <w:r w:rsidR="00927EF1" w:rsidRPr="004A68AC">
        <w:rPr>
          <w:szCs w:val="20"/>
          <w:lang w:val="en-US"/>
        </w:rPr>
        <w:t xml:space="preserve"> </w:t>
      </w:r>
      <w:r w:rsidR="00BF5BE5" w:rsidRPr="004A68AC">
        <w:rPr>
          <w:szCs w:val="20"/>
          <w:lang w:val="en-US"/>
        </w:rPr>
        <w:t>existing</w:t>
      </w:r>
      <w:r w:rsidR="000D7817" w:rsidRPr="004A68AC">
        <w:rPr>
          <w:szCs w:val="20"/>
          <w:lang w:val="en-US"/>
        </w:rPr>
        <w:t xml:space="preserve"> steel moment resisting frames</w:t>
      </w:r>
      <w:r w:rsidR="00AF5BAB" w:rsidRPr="004A68AC">
        <w:rPr>
          <w:szCs w:val="20"/>
          <w:lang w:val="en-US"/>
        </w:rPr>
        <w:t xml:space="preserve"> (MRFs)</w:t>
      </w:r>
      <w:r w:rsidR="00927EF1" w:rsidRPr="004A68AC">
        <w:rPr>
          <w:szCs w:val="20"/>
          <w:lang w:val="en-US"/>
        </w:rPr>
        <w:t xml:space="preserve"> </w:t>
      </w:r>
      <w:r w:rsidR="00A8553C" w:rsidRPr="004A68AC">
        <w:rPr>
          <w:szCs w:val="20"/>
          <w:lang w:val="en-US"/>
        </w:rPr>
        <w:t xml:space="preserve">have demonstrated to </w:t>
      </w:r>
      <w:r w:rsidR="00927EF1" w:rsidRPr="004A68AC">
        <w:rPr>
          <w:szCs w:val="20"/>
          <w:lang w:val="en-US"/>
        </w:rPr>
        <w:t xml:space="preserve">be very fragile </w:t>
      </w:r>
      <w:r w:rsidR="003730DE" w:rsidRPr="004A68AC">
        <w:rPr>
          <w:szCs w:val="20"/>
          <w:lang w:val="en-US"/>
        </w:rPr>
        <w:t>with respect</w:t>
      </w:r>
      <w:r w:rsidR="00927EF1" w:rsidRPr="004A68AC">
        <w:rPr>
          <w:szCs w:val="20"/>
          <w:lang w:val="en-US"/>
        </w:rPr>
        <w:t xml:space="preserve"> </w:t>
      </w:r>
      <w:r w:rsidR="003730DE" w:rsidRPr="004A68AC">
        <w:rPr>
          <w:szCs w:val="20"/>
          <w:lang w:val="en-US"/>
        </w:rPr>
        <w:t xml:space="preserve">to </w:t>
      </w:r>
      <w:r w:rsidR="00927EF1" w:rsidRPr="004A68AC">
        <w:rPr>
          <w:szCs w:val="20"/>
          <w:lang w:val="en-US"/>
        </w:rPr>
        <w:t xml:space="preserve">seismic actions due to their inadequate ductility </w:t>
      </w:r>
      <w:r w:rsidR="00D772F6" w:rsidRPr="004A68AC">
        <w:rPr>
          <w:szCs w:val="20"/>
          <w:lang w:val="en-US"/>
        </w:rPr>
        <w:t>capacity</w:t>
      </w:r>
      <w:r w:rsidR="00927EF1" w:rsidRPr="004A68AC">
        <w:rPr>
          <w:szCs w:val="20"/>
          <w:lang w:val="en-US"/>
        </w:rPr>
        <w:t>. This</w:t>
      </w:r>
      <w:r w:rsidR="00A8553C" w:rsidRPr="004A68AC">
        <w:rPr>
          <w:szCs w:val="20"/>
          <w:lang w:val="en-US"/>
        </w:rPr>
        <w:t xml:space="preserve"> combination</w:t>
      </w:r>
      <w:r w:rsidR="00927EF1" w:rsidRPr="004A68AC">
        <w:rPr>
          <w:szCs w:val="20"/>
          <w:lang w:val="en-US"/>
        </w:rPr>
        <w:t xml:space="preserve"> highlights the </w:t>
      </w:r>
      <w:r w:rsidR="003730DE" w:rsidRPr="004A68AC">
        <w:rPr>
          <w:szCs w:val="20"/>
          <w:lang w:val="en-US"/>
        </w:rPr>
        <w:t xml:space="preserve">urgent </w:t>
      </w:r>
      <w:r w:rsidR="00927EF1" w:rsidRPr="004A68AC">
        <w:rPr>
          <w:szCs w:val="20"/>
          <w:lang w:val="en-US"/>
        </w:rPr>
        <w:t>need for an update of the current Eurocode 8 – Part 3 (EC8-3)</w:t>
      </w:r>
      <w:r w:rsidR="00FA43F7" w:rsidRPr="004A68AC">
        <w:rPr>
          <w:szCs w:val="20"/>
          <w:lang w:val="en-US"/>
        </w:rPr>
        <w:t>,</w:t>
      </w:r>
      <w:r w:rsidR="00927EF1" w:rsidRPr="004A68AC">
        <w:rPr>
          <w:szCs w:val="20"/>
          <w:lang w:val="en-US"/>
        </w:rPr>
        <w:t xml:space="preserve"> thus promoting a reliable assessment of existing </w:t>
      </w:r>
      <w:r w:rsidR="00A8553C" w:rsidRPr="004A68AC">
        <w:rPr>
          <w:szCs w:val="20"/>
          <w:lang w:val="en-US"/>
        </w:rPr>
        <w:t xml:space="preserve">steel </w:t>
      </w:r>
      <w:r w:rsidR="00927EF1" w:rsidRPr="004A68AC">
        <w:rPr>
          <w:szCs w:val="20"/>
          <w:lang w:val="en-US"/>
        </w:rPr>
        <w:t>structures.</w:t>
      </w:r>
      <w:r w:rsidR="00A8553C" w:rsidRPr="004A68AC">
        <w:rPr>
          <w:szCs w:val="20"/>
          <w:lang w:val="en-US"/>
        </w:rPr>
        <w:t xml:space="preserve"> </w:t>
      </w:r>
      <w:r w:rsidR="00D772F6" w:rsidRPr="004A68AC">
        <w:rPr>
          <w:szCs w:val="20"/>
          <w:lang w:val="en-US"/>
        </w:rPr>
        <w:t xml:space="preserve">To this aim, </w:t>
      </w:r>
      <w:r w:rsidR="00A8553C" w:rsidRPr="004A68AC">
        <w:rPr>
          <w:szCs w:val="20"/>
          <w:lang w:val="en-US"/>
        </w:rPr>
        <w:t>t</w:t>
      </w:r>
      <w:r w:rsidR="00533139" w:rsidRPr="004A68AC">
        <w:rPr>
          <w:szCs w:val="20"/>
          <w:lang w:val="en-US"/>
        </w:rPr>
        <w:t xml:space="preserve">he present </w:t>
      </w:r>
      <w:r w:rsidR="00A8553C" w:rsidRPr="004A68AC">
        <w:rPr>
          <w:szCs w:val="20"/>
          <w:lang w:val="en-US"/>
        </w:rPr>
        <w:t xml:space="preserve">study </w:t>
      </w:r>
      <w:r w:rsidR="00C66449" w:rsidRPr="004A68AC">
        <w:rPr>
          <w:noProof/>
          <w:lang w:val="en-US"/>
        </w:rPr>
        <w:t xml:space="preserve">provides a comprehensive and quantitative comparison of </w:t>
      </w:r>
      <w:r w:rsidR="00342555" w:rsidRPr="004A68AC">
        <w:rPr>
          <w:szCs w:val="20"/>
          <w:lang w:val="en-US"/>
        </w:rPr>
        <w:t xml:space="preserve">the </w:t>
      </w:r>
      <w:r w:rsidR="003730DE" w:rsidRPr="004A68AC">
        <w:rPr>
          <w:szCs w:val="20"/>
          <w:lang w:val="en-US"/>
        </w:rPr>
        <w:t>EC8-3</w:t>
      </w:r>
      <w:r w:rsidR="00533139" w:rsidRPr="004A68AC">
        <w:rPr>
          <w:szCs w:val="20"/>
          <w:lang w:val="en-US"/>
        </w:rPr>
        <w:t xml:space="preserve"> </w:t>
      </w:r>
      <w:r w:rsidR="00503B62" w:rsidRPr="004A68AC">
        <w:rPr>
          <w:szCs w:val="20"/>
          <w:lang w:val="en-US"/>
        </w:rPr>
        <w:t>with</w:t>
      </w:r>
      <w:r w:rsidR="00342555" w:rsidRPr="004A68AC">
        <w:rPr>
          <w:szCs w:val="20"/>
          <w:lang w:val="en-US"/>
        </w:rPr>
        <w:t xml:space="preserve"> the three versions</w:t>
      </w:r>
      <w:r w:rsidR="004B2BF4" w:rsidRPr="004A68AC">
        <w:rPr>
          <w:noProof/>
        </w:rPr>
        <w:t xml:space="preserve"> </w:t>
      </w:r>
      <w:r w:rsidR="00342555" w:rsidRPr="004A68AC">
        <w:rPr>
          <w:szCs w:val="20"/>
          <w:lang w:val="en-US"/>
        </w:rPr>
        <w:t xml:space="preserve">of the American </w:t>
      </w:r>
      <w:r w:rsidR="009630B4" w:rsidRPr="004A68AC">
        <w:rPr>
          <w:szCs w:val="20"/>
          <w:lang w:val="en-US"/>
        </w:rPr>
        <w:t>ASCE 41</w:t>
      </w:r>
      <w:r w:rsidR="00814F81" w:rsidRPr="004A68AC">
        <w:rPr>
          <w:szCs w:val="20"/>
          <w:lang w:val="en-US"/>
        </w:rPr>
        <w:t xml:space="preserve"> (</w:t>
      </w:r>
      <w:r w:rsidR="00814F81" w:rsidRPr="004A68AC">
        <w:rPr>
          <w:i/>
          <w:iCs/>
          <w:szCs w:val="20"/>
          <w:lang w:val="en-US"/>
        </w:rPr>
        <w:t>i.e.,</w:t>
      </w:r>
      <w:r w:rsidR="00814F81" w:rsidRPr="004A68AC">
        <w:rPr>
          <w:szCs w:val="20"/>
          <w:lang w:val="en-US"/>
        </w:rPr>
        <w:t xml:space="preserve"> ASCE 41-06, -13 and -17)</w:t>
      </w:r>
      <w:r w:rsidR="00A8553C" w:rsidRPr="004A68AC">
        <w:rPr>
          <w:szCs w:val="20"/>
          <w:lang w:val="en-US"/>
        </w:rPr>
        <w:t>,</w:t>
      </w:r>
      <w:r w:rsidR="003730DE" w:rsidRPr="004A68AC">
        <w:rPr>
          <w:szCs w:val="20"/>
          <w:lang w:val="en-US"/>
        </w:rPr>
        <w:t xml:space="preserve"> </w:t>
      </w:r>
      <w:r w:rsidR="00A8553C" w:rsidRPr="004A68AC">
        <w:rPr>
          <w:szCs w:val="20"/>
          <w:lang w:val="en-US"/>
        </w:rPr>
        <w:t>which</w:t>
      </w:r>
      <w:r w:rsidR="00D772F6" w:rsidRPr="004A68AC">
        <w:rPr>
          <w:szCs w:val="20"/>
          <w:lang w:val="en-US"/>
        </w:rPr>
        <w:t xml:space="preserve"> are here assumed as a reference</w:t>
      </w:r>
      <w:r w:rsidR="00730C57" w:rsidRPr="004A68AC">
        <w:rPr>
          <w:szCs w:val="20"/>
          <w:lang w:val="en-US"/>
        </w:rPr>
        <w:t>,</w:t>
      </w:r>
      <w:r w:rsidR="00D772F6" w:rsidRPr="004A68AC">
        <w:rPr>
          <w:szCs w:val="20"/>
          <w:lang w:val="en-US"/>
        </w:rPr>
        <w:t xml:space="preserve"> as they</w:t>
      </w:r>
      <w:r w:rsidR="00A8553C" w:rsidRPr="004A68AC">
        <w:rPr>
          <w:szCs w:val="20"/>
          <w:lang w:val="en-US"/>
        </w:rPr>
        <w:t xml:space="preserve"> reflect the evolution of </w:t>
      </w:r>
      <w:r w:rsidR="005E2F2F" w:rsidRPr="004A68AC">
        <w:rPr>
          <w:szCs w:val="20"/>
          <w:lang w:val="en-US"/>
        </w:rPr>
        <w:t>‘</w:t>
      </w:r>
      <w:r w:rsidR="00A8553C" w:rsidRPr="004A68AC">
        <w:rPr>
          <w:szCs w:val="20"/>
          <w:lang w:val="en-US"/>
        </w:rPr>
        <w:t>similar</w:t>
      </w:r>
      <w:r w:rsidR="005E2F2F" w:rsidRPr="004A68AC">
        <w:rPr>
          <w:szCs w:val="20"/>
          <w:lang w:val="en-US"/>
        </w:rPr>
        <w:t>’</w:t>
      </w:r>
      <w:r w:rsidR="00A8553C" w:rsidRPr="004A68AC">
        <w:rPr>
          <w:szCs w:val="20"/>
          <w:lang w:val="en-US"/>
        </w:rPr>
        <w:t xml:space="preserve"> assessment procedures during the last two decades</w:t>
      </w:r>
      <w:r w:rsidR="00342555" w:rsidRPr="004A68AC">
        <w:rPr>
          <w:szCs w:val="20"/>
          <w:lang w:val="en-US"/>
        </w:rPr>
        <w:t>.</w:t>
      </w:r>
      <w:r w:rsidR="00181687" w:rsidRPr="004A68AC">
        <w:rPr>
          <w:szCs w:val="20"/>
          <w:lang w:val="en-US"/>
        </w:rPr>
        <w:t xml:space="preserve"> </w:t>
      </w:r>
      <w:r w:rsidR="00514D0A" w:rsidRPr="004A68AC">
        <w:rPr>
          <w:szCs w:val="20"/>
          <w:lang w:val="en-US"/>
        </w:rPr>
        <w:t>The</w:t>
      </w:r>
      <w:r w:rsidR="00181687" w:rsidRPr="004A68AC">
        <w:rPr>
          <w:szCs w:val="20"/>
          <w:lang w:val="en-US"/>
        </w:rPr>
        <w:t xml:space="preserve"> comparison of the capacity values provided by the codes for different engineering demand parameters (EDPs) highlight</w:t>
      </w:r>
      <w:r w:rsidR="00514D0A" w:rsidRPr="004A68AC">
        <w:rPr>
          <w:szCs w:val="20"/>
          <w:lang w:val="en-US"/>
        </w:rPr>
        <w:t>s</w:t>
      </w:r>
      <w:r w:rsidR="00181687" w:rsidRPr="004A68AC">
        <w:rPr>
          <w:szCs w:val="20"/>
          <w:lang w:val="en-US"/>
        </w:rPr>
        <w:t xml:space="preserve"> </w:t>
      </w:r>
      <w:r w:rsidR="005E120D" w:rsidRPr="004A68AC">
        <w:rPr>
          <w:szCs w:val="20"/>
          <w:lang w:val="en-US"/>
        </w:rPr>
        <w:t xml:space="preserve">significant </w:t>
      </w:r>
      <w:r w:rsidR="00181687" w:rsidRPr="004A68AC">
        <w:rPr>
          <w:szCs w:val="20"/>
          <w:lang w:val="en-US"/>
        </w:rPr>
        <w:t xml:space="preserve">differences </w:t>
      </w:r>
      <w:r w:rsidR="00D772F6" w:rsidRPr="004A68AC">
        <w:rPr>
          <w:szCs w:val="20"/>
          <w:lang w:val="en-US"/>
        </w:rPr>
        <w:t xml:space="preserve">pointing out </w:t>
      </w:r>
      <w:r w:rsidR="00181687" w:rsidRPr="004A68AC">
        <w:rPr>
          <w:szCs w:val="20"/>
          <w:lang w:val="en-US"/>
        </w:rPr>
        <w:t>drawbacks of the EC8-3</w:t>
      </w:r>
      <w:r w:rsidR="00760F27" w:rsidRPr="004A68AC">
        <w:rPr>
          <w:szCs w:val="20"/>
          <w:lang w:val="en-US"/>
        </w:rPr>
        <w:t>.</w:t>
      </w:r>
      <w:r w:rsidR="00E9795A" w:rsidRPr="004A68AC">
        <w:rPr>
          <w:szCs w:val="20"/>
          <w:lang w:val="en-US"/>
        </w:rPr>
        <w:t xml:space="preserve"> </w:t>
      </w:r>
      <w:r w:rsidR="00514D0A" w:rsidRPr="004A68AC">
        <w:rPr>
          <w:szCs w:val="20"/>
          <w:lang w:val="en-US"/>
        </w:rPr>
        <w:t>In addition, the</w:t>
      </w:r>
      <w:r w:rsidR="00C66449" w:rsidRPr="004A68AC">
        <w:rPr>
          <w:szCs w:val="20"/>
          <w:lang w:val="en-US"/>
        </w:rPr>
        <w:t xml:space="preserve"> comparison is made by assessing the</w:t>
      </w:r>
      <w:r w:rsidR="00514D0A" w:rsidRPr="004A68AC">
        <w:rPr>
          <w:szCs w:val="20"/>
          <w:lang w:val="en-US"/>
        </w:rPr>
        <w:t xml:space="preserve"> seismic performance of t</w:t>
      </w:r>
      <w:r w:rsidR="002E77ED" w:rsidRPr="004A68AC">
        <w:rPr>
          <w:szCs w:val="20"/>
          <w:lang w:val="en-US"/>
        </w:rPr>
        <w:t xml:space="preserve">wo </w:t>
      </w:r>
      <w:r w:rsidR="00D772F6" w:rsidRPr="004A68AC">
        <w:rPr>
          <w:szCs w:val="20"/>
          <w:lang w:val="en-US"/>
        </w:rPr>
        <w:t>existing steel MRFs</w:t>
      </w:r>
      <w:r w:rsidR="005E2F2F" w:rsidRPr="004A68AC">
        <w:rPr>
          <w:szCs w:val="20"/>
          <w:lang w:val="en-US"/>
        </w:rPr>
        <w:t>,</w:t>
      </w:r>
      <w:r w:rsidR="00E9795A" w:rsidRPr="004A68AC">
        <w:rPr>
          <w:szCs w:val="20"/>
          <w:lang w:val="en-US"/>
        </w:rPr>
        <w:t xml:space="preserve"> </w:t>
      </w:r>
      <w:r w:rsidR="00A8553C" w:rsidRPr="004A68AC">
        <w:rPr>
          <w:szCs w:val="20"/>
          <w:lang w:val="en-US"/>
        </w:rPr>
        <w:t>by</w:t>
      </w:r>
      <w:r w:rsidR="00C66449" w:rsidRPr="004A68AC">
        <w:rPr>
          <w:szCs w:val="20"/>
          <w:lang w:val="en-US"/>
        </w:rPr>
        <w:t xml:space="preserve"> performing Incremental Dynamic Analyses and deriving fragility curves </w:t>
      </w:r>
      <w:r w:rsidR="005E2F2F" w:rsidRPr="004A68AC">
        <w:rPr>
          <w:szCs w:val="20"/>
          <w:lang w:val="en-US"/>
        </w:rPr>
        <w:t xml:space="preserve">in a probabilistic approach which </w:t>
      </w:r>
      <w:r w:rsidR="00C66449" w:rsidRPr="004A68AC">
        <w:rPr>
          <w:szCs w:val="20"/>
          <w:lang w:val="en-US"/>
        </w:rPr>
        <w:t>consider</w:t>
      </w:r>
      <w:r w:rsidR="005E2F2F" w:rsidRPr="004A68AC">
        <w:rPr>
          <w:szCs w:val="20"/>
          <w:lang w:val="en-US"/>
        </w:rPr>
        <w:t>s</w:t>
      </w:r>
      <w:r w:rsidR="00C66449" w:rsidRPr="004A68AC">
        <w:rPr>
          <w:szCs w:val="20"/>
          <w:lang w:val="en-US"/>
        </w:rPr>
        <w:t xml:space="preserve"> local EDPs</w:t>
      </w:r>
      <w:r w:rsidR="005E2F2F" w:rsidRPr="004A68AC">
        <w:rPr>
          <w:szCs w:val="20"/>
          <w:lang w:val="en-US"/>
        </w:rPr>
        <w:t xml:space="preserve"> which are compliant with the codes, and that are</w:t>
      </w:r>
      <w:r w:rsidR="00C66449" w:rsidRPr="004A68AC">
        <w:rPr>
          <w:szCs w:val="20"/>
          <w:lang w:val="en-US"/>
        </w:rPr>
        <w:t xml:space="preserve"> conventionally used in deterministic studies, </w:t>
      </w:r>
      <w:r w:rsidR="00C66449" w:rsidRPr="004A68AC">
        <w:rPr>
          <w:i/>
          <w:iCs/>
          <w:szCs w:val="20"/>
          <w:lang w:val="en-US"/>
        </w:rPr>
        <w:t>e.g.,</w:t>
      </w:r>
      <w:r w:rsidR="00C66449" w:rsidRPr="004A68AC">
        <w:rPr>
          <w:szCs w:val="20"/>
          <w:lang w:val="en-US"/>
        </w:rPr>
        <w:t xml:space="preserve"> chord rotations in beams and columns, shear strain in panel zones</w:t>
      </w:r>
      <w:r w:rsidR="00A87EA2" w:rsidRPr="004A68AC">
        <w:rPr>
          <w:szCs w:val="20"/>
          <w:lang w:val="en-US"/>
        </w:rPr>
        <w:t xml:space="preserve">. </w:t>
      </w:r>
      <w:r w:rsidR="00A8553C" w:rsidRPr="004A68AC">
        <w:rPr>
          <w:szCs w:val="20"/>
          <w:lang w:val="en-US"/>
        </w:rPr>
        <w:t>T</w:t>
      </w:r>
      <w:r w:rsidR="00DC067D" w:rsidRPr="004A68AC">
        <w:rPr>
          <w:szCs w:val="20"/>
          <w:lang w:val="en-US"/>
        </w:rPr>
        <w:t>he comparison of the codes</w:t>
      </w:r>
      <w:r w:rsidR="00D772F6" w:rsidRPr="004A68AC">
        <w:rPr>
          <w:szCs w:val="20"/>
          <w:lang w:val="en-US"/>
        </w:rPr>
        <w:t>,</w:t>
      </w:r>
      <w:r w:rsidR="00DC067D" w:rsidRPr="004A68AC">
        <w:rPr>
          <w:szCs w:val="20"/>
          <w:lang w:val="en-US"/>
        </w:rPr>
        <w:t xml:space="preserve"> </w:t>
      </w:r>
      <w:r w:rsidR="00D772F6" w:rsidRPr="004A68AC">
        <w:rPr>
          <w:szCs w:val="20"/>
          <w:lang w:val="en-US"/>
        </w:rPr>
        <w:t>and the probabilistic assessment of the case studies</w:t>
      </w:r>
      <w:r w:rsidR="00C66449" w:rsidRPr="004A68AC">
        <w:rPr>
          <w:szCs w:val="20"/>
          <w:lang w:val="en-US"/>
        </w:rPr>
        <w:t xml:space="preserve"> by using code-based (</w:t>
      </w:r>
      <w:r w:rsidR="00C66449" w:rsidRPr="004A68AC">
        <w:rPr>
          <w:i/>
          <w:iCs/>
          <w:szCs w:val="20"/>
          <w:lang w:val="en-US"/>
        </w:rPr>
        <w:t>i.e.</w:t>
      </w:r>
      <w:r w:rsidR="00C66449" w:rsidRPr="004A68AC">
        <w:rPr>
          <w:szCs w:val="20"/>
          <w:lang w:val="en-US"/>
        </w:rPr>
        <w:t>, local) EDPs</w:t>
      </w:r>
      <w:r w:rsidR="00D772F6" w:rsidRPr="004A68AC">
        <w:rPr>
          <w:szCs w:val="20"/>
          <w:lang w:val="en-US"/>
        </w:rPr>
        <w:t>, provide</w:t>
      </w:r>
      <w:r w:rsidR="00C66449" w:rsidRPr="004A68AC">
        <w:rPr>
          <w:szCs w:val="20"/>
          <w:lang w:val="en-US"/>
        </w:rPr>
        <w:t xml:space="preserve"> significant</w:t>
      </w:r>
      <w:r w:rsidR="00D772F6" w:rsidRPr="004A68AC">
        <w:rPr>
          <w:szCs w:val="20"/>
          <w:lang w:val="en-US"/>
        </w:rPr>
        <w:t xml:space="preserve"> </w:t>
      </w:r>
      <w:r w:rsidR="009872A8" w:rsidRPr="004A68AC">
        <w:rPr>
          <w:szCs w:val="20"/>
          <w:lang w:val="en-US"/>
        </w:rPr>
        <w:t>i</w:t>
      </w:r>
      <w:r w:rsidR="00D772F6" w:rsidRPr="004A68AC">
        <w:rPr>
          <w:szCs w:val="20"/>
          <w:lang w:val="en-US"/>
        </w:rPr>
        <w:t>nsights</w:t>
      </w:r>
      <w:r w:rsidR="00730C57" w:rsidRPr="004A68AC">
        <w:rPr>
          <w:szCs w:val="20"/>
          <w:lang w:val="en-US"/>
        </w:rPr>
        <w:t xml:space="preserve"> and directions </w:t>
      </w:r>
      <w:r w:rsidR="00503B62" w:rsidRPr="004A68AC">
        <w:rPr>
          <w:szCs w:val="20"/>
          <w:lang w:val="en-US"/>
        </w:rPr>
        <w:t xml:space="preserve">for </w:t>
      </w:r>
      <w:r w:rsidR="00C66449" w:rsidRPr="004A68AC">
        <w:rPr>
          <w:szCs w:val="20"/>
          <w:lang w:val="en-US"/>
        </w:rPr>
        <w:t>revision of the</w:t>
      </w:r>
      <w:r w:rsidR="00503B62" w:rsidRPr="004A68AC">
        <w:rPr>
          <w:szCs w:val="20"/>
          <w:lang w:val="en-US"/>
        </w:rPr>
        <w:t xml:space="preserve"> </w:t>
      </w:r>
      <w:r w:rsidR="00D772F6" w:rsidRPr="004A68AC">
        <w:rPr>
          <w:szCs w:val="20"/>
          <w:lang w:val="en-US"/>
        </w:rPr>
        <w:t>EC8-3.</w:t>
      </w:r>
    </w:p>
    <w:p w14:paraId="44B3A5A1" w14:textId="77777777" w:rsidR="00514D0A" w:rsidRPr="004A68AC" w:rsidRDefault="00514D0A" w:rsidP="00F25E6F">
      <w:pPr>
        <w:rPr>
          <w:sz w:val="19"/>
          <w:szCs w:val="19"/>
          <w:lang w:val="en-US"/>
        </w:rPr>
      </w:pPr>
    </w:p>
    <w:p w14:paraId="7F51774B" w14:textId="4C849BA5" w:rsidR="000353D5" w:rsidRPr="004A68AC" w:rsidRDefault="00F25E6F" w:rsidP="00F25E6F">
      <w:pPr>
        <w:pStyle w:val="textCarattere"/>
        <w:rPr>
          <w:sz w:val="19"/>
          <w:szCs w:val="19"/>
          <w:lang w:val="en-US"/>
        </w:rPr>
      </w:pPr>
      <w:r w:rsidRPr="004A68AC">
        <w:rPr>
          <w:b/>
          <w:sz w:val="19"/>
          <w:szCs w:val="19"/>
          <w:lang w:val="en-US"/>
        </w:rPr>
        <w:t>KEYWORDS</w:t>
      </w:r>
      <w:r w:rsidRPr="004A68AC">
        <w:rPr>
          <w:sz w:val="19"/>
          <w:szCs w:val="19"/>
          <w:lang w:val="en-US"/>
        </w:rPr>
        <w:t xml:space="preserve">: </w:t>
      </w:r>
      <w:r w:rsidR="00E9795A" w:rsidRPr="004A68AC">
        <w:rPr>
          <w:sz w:val="19"/>
          <w:szCs w:val="19"/>
          <w:lang w:val="en-US"/>
        </w:rPr>
        <w:t xml:space="preserve">Steel moment resisting frames, </w:t>
      </w:r>
      <w:r w:rsidR="00290111" w:rsidRPr="004A68AC">
        <w:rPr>
          <w:sz w:val="19"/>
          <w:szCs w:val="19"/>
          <w:lang w:val="en-US"/>
        </w:rPr>
        <w:t>s</w:t>
      </w:r>
      <w:r w:rsidR="00C84388" w:rsidRPr="004A68AC">
        <w:rPr>
          <w:sz w:val="19"/>
          <w:szCs w:val="19"/>
          <w:lang w:val="en-US"/>
        </w:rPr>
        <w:t xml:space="preserve">eismic </w:t>
      </w:r>
      <w:r w:rsidR="00E9795A" w:rsidRPr="004A68AC">
        <w:rPr>
          <w:sz w:val="19"/>
          <w:szCs w:val="19"/>
          <w:lang w:val="en-US"/>
        </w:rPr>
        <w:t>assessment</w:t>
      </w:r>
      <w:r w:rsidR="00C84388" w:rsidRPr="004A68AC">
        <w:rPr>
          <w:sz w:val="19"/>
          <w:szCs w:val="19"/>
          <w:lang w:val="en-US"/>
        </w:rPr>
        <w:t>,</w:t>
      </w:r>
      <w:r w:rsidR="00E9795A" w:rsidRPr="004A68AC">
        <w:rPr>
          <w:sz w:val="19"/>
          <w:szCs w:val="19"/>
          <w:lang w:val="en-US"/>
        </w:rPr>
        <w:t xml:space="preserve"> </w:t>
      </w:r>
      <w:r w:rsidR="00290111" w:rsidRPr="004A68AC">
        <w:rPr>
          <w:sz w:val="19"/>
          <w:szCs w:val="19"/>
          <w:lang w:val="en-US"/>
        </w:rPr>
        <w:t>e</w:t>
      </w:r>
      <w:r w:rsidR="00E9795A" w:rsidRPr="004A68AC">
        <w:rPr>
          <w:sz w:val="19"/>
          <w:szCs w:val="19"/>
          <w:lang w:val="en-US"/>
        </w:rPr>
        <w:t xml:space="preserve">xisting structures, </w:t>
      </w:r>
      <w:r w:rsidR="008D2178" w:rsidRPr="004A68AC">
        <w:rPr>
          <w:sz w:val="19"/>
          <w:szCs w:val="19"/>
          <w:lang w:val="en-US"/>
        </w:rPr>
        <w:t xml:space="preserve">local engineering demand parameters, </w:t>
      </w:r>
      <w:r w:rsidR="00E9795A" w:rsidRPr="004A68AC">
        <w:rPr>
          <w:sz w:val="19"/>
          <w:szCs w:val="19"/>
          <w:lang w:val="en-US"/>
        </w:rPr>
        <w:t>incremental dynamic analysis</w:t>
      </w:r>
      <w:r w:rsidR="008D2178" w:rsidRPr="004A68AC">
        <w:rPr>
          <w:sz w:val="19"/>
          <w:szCs w:val="19"/>
          <w:lang w:val="en-US"/>
        </w:rPr>
        <w:t>, fragility curves.</w:t>
      </w:r>
    </w:p>
    <w:p w14:paraId="231AC24F" w14:textId="77777777" w:rsidR="002F2582" w:rsidRPr="004A68AC" w:rsidRDefault="002F2582" w:rsidP="00B86008">
      <w:pPr>
        <w:pStyle w:val="textCarattere"/>
        <w:rPr>
          <w:sz w:val="19"/>
          <w:szCs w:val="19"/>
          <w:lang w:val="en-US"/>
        </w:rPr>
      </w:pPr>
    </w:p>
    <w:p w14:paraId="23EEA6FE" w14:textId="7EF602C2" w:rsidR="001E6D52" w:rsidRPr="004A68AC" w:rsidRDefault="00747046" w:rsidP="00627932">
      <w:pPr>
        <w:pStyle w:val="Heading1"/>
        <w:tabs>
          <w:tab w:val="clear" w:pos="720"/>
          <w:tab w:val="num" w:pos="360"/>
        </w:tabs>
        <w:spacing w:before="0" w:after="0"/>
        <w:ind w:left="0" w:firstLine="0"/>
        <w:jc w:val="both"/>
        <w:rPr>
          <w:szCs w:val="20"/>
          <w:lang w:val="en-US"/>
        </w:rPr>
      </w:pPr>
      <w:bookmarkStart w:id="2" w:name="_Toc43469882"/>
      <w:r w:rsidRPr="004A68AC">
        <w:rPr>
          <w:szCs w:val="20"/>
          <w:lang w:val="en-US"/>
        </w:rPr>
        <w:t>INTRODUCTION</w:t>
      </w:r>
      <w:bookmarkEnd w:id="2"/>
    </w:p>
    <w:p w14:paraId="48CD6653" w14:textId="519D5E96" w:rsidR="00AF7B95" w:rsidRPr="004A68AC" w:rsidRDefault="002F3A2A" w:rsidP="00946900">
      <w:pPr>
        <w:rPr>
          <w:lang w:val="en-US"/>
        </w:rPr>
      </w:pPr>
      <w:r w:rsidRPr="004A68AC">
        <w:rPr>
          <w:lang w:val="en-US"/>
        </w:rPr>
        <w:t>In the last few decades, earthquake damage in building</w:t>
      </w:r>
      <w:r w:rsidR="00F100E5" w:rsidRPr="004A68AC">
        <w:rPr>
          <w:lang w:val="en-US"/>
        </w:rPr>
        <w:t xml:space="preserve"> structures</w:t>
      </w:r>
      <w:r w:rsidRPr="004A68AC">
        <w:rPr>
          <w:lang w:val="en-US"/>
        </w:rPr>
        <w:t xml:space="preserve"> has been documented in Europe and other parts of the world </w:t>
      </w:r>
      <w:r w:rsidRPr="004A68AC">
        <w:rPr>
          <w:lang w:val="en-US"/>
        </w:rPr>
        <w:fldChar w:fldCharType="begin" w:fldLock="1"/>
      </w:r>
      <w:r w:rsidR="00E94E8E" w:rsidRPr="004A68AC">
        <w:rPr>
          <w:lang w:val="en-US"/>
        </w:rPr>
        <w:instrText>ADDIN CSL_CITATION {"citationItems":[{"id":"ITEM-1","itemData":{"abstract":"This report, FEMA-355C – State of the Art Report on Systems Performance of Steel Moment Frames Subject to Earthquake Ground Shaking, presents an overview of the current state of knowledge with regard to the response of moment-resisting steel frame buildings to strong ground shaking. This state of the art report was prepared in support of the development of a series of Recommended Design Criteria documents, prepared by the SAC Joint Venture on behalf of the Federal Emergency Management Agency and addressing the issue of the seismic performance of moment-resisting steel frame structures.","author":[{"dropping-particle":"","family":"Federal Emergency Management Agency","given":"","non-dropping-particle":"","parse-names":false,"suffix":""}],"container-title":"FEMA 355C","id":"ITEM-1","issued":{"date-parts":[["2000"]]},"title":"State of the Art Report on Systems Performance of Steel Moment Frames Subject to Earthquake Ground Shaking","type":"article"},"uris":["http://www.mendeley.com/documents/?uuid=709233d8-acbb-4537-9154-5d8f86ec4399"]},{"id":"ITEM-2","itemData":{"DOI":"10.4028/www.scientific.net/KEM.763.1067","ISSN":"10139826","abstract":"Numerous existing steel framed buildings located in earthquake prone regions worldwide were designed without seismic provisions. Slender beam-columns, as well as non-ductile beam-to-column connections have been employed for multi-storey moment-resisting frames (MRFs) built before the 80's. Thus, widespread damage due to brittle failure has been commonly observed in the past earthquakes for steel MRFs. A recent post-earthquake survey carried out in the aftermath of the 2016-2017 Central Italy seismic swarm has pointed out that steel structures may survive the shaking caused by several main-shocks and strong aftershocks without collapsing. Inevitably, significant lateral deformations are experienced, and, in turn, non-structural components are severely damaged thus inhibiting the use of the steel building structures. The present paper illustrate the outcomes of a recent preliminary numerical study carried out for the case of a steel MRF building located in Amatrice, Central Italy, which experienced a series of ground motion excitations suffering significant damage to the masonry infills without collapsing. A refined numerical model of the sample structure has been developed on the basis of the data collected on site. Given the lack of design drawings, the structure has been partially re-designed in compliance with the Italian regulations imposed at the time of construction employing the allowable stress method. The earthquake performance of the case study MRF has been then investigated through advanced nonlinear dynamic analyses and its structural performance has been evaluated according to Eurocode 8-Part 3 for existing buildings. The reliability of the codified approaches has been evaluated and possible improvements emphasized.","author":[{"dropping-particle":"","family":"Sarno","given":"Luigi","non-dropping-particle":"Di","parse-names":false,"suffix":""},{"dropping-particle":"","family":"Paolacci","given":"Fabrizio","non-dropping-particle":"","parse-names":false,"suffix":""},{"dropping-particle":"","family":"Sextos","given":"Anastasios G.","non-dropping-particle":"","parse-names":false,"suffix":""}],"container-title":"Key Engineering Materials","id":"ITEM-2","issued":{"date-parts":[["2018"]]},"page":"1067-1076","title":"Seismic performance assessment of existing steel buildings: A case study","type":"article-journal","volume":"763"},"uris":["http://www.mendeley.com/documents/?uuid=fe4e2f62-adc0-4042-8f5e-2e7fa4d0874a"]},{"id":"ITEM-3","itemData":{"DOI":"10.1177/8755293019878186","author":[{"dropping-particle":"","family":"Tapia-Hernández","given":"Edgar","non-dropping-particle":"","parse-names":false,"suffix":""},{"dropping-particle":"","family":"García-Carrera","given":"J Salvador","non-dropping-particle":"","parse-names":false,"suffix":""}],"container-title":"Earthquake Spectra","id":"ITEM-3","issue":"1","issued":{"date-parts":[["2020"]]},"page":"250-270","title":"Damage assessment and seismic behavior of steel buildings during the Mexico earthquake of 19 September","type":"article-journal","volume":"36"},"uris":["http://www.mendeley.com/documents/?uuid=1238fb11-c7b2-4928-afcf-05262e69e8f6"]}],"mendeley":{"formattedCitation":"[1–3]","plainTextFormattedCitation":"[1–3]","previouslyFormattedCitation":"[1–3]"},"properties":{"noteIndex":0},"schema":"https://github.com/citation-style-language/schema/raw/master/csl-citation.json"}</w:instrText>
      </w:r>
      <w:r w:rsidRPr="004A68AC">
        <w:rPr>
          <w:lang w:val="en-US"/>
        </w:rPr>
        <w:fldChar w:fldCharType="separate"/>
      </w:r>
      <w:r w:rsidR="00D02859" w:rsidRPr="004A68AC">
        <w:rPr>
          <w:noProof/>
          <w:lang w:val="en-US"/>
        </w:rPr>
        <w:t>[1–3]</w:t>
      </w:r>
      <w:r w:rsidRPr="004A68AC">
        <w:rPr>
          <w:lang w:val="en-US"/>
        </w:rPr>
        <w:fldChar w:fldCharType="end"/>
      </w:r>
      <w:r w:rsidR="00F100E5" w:rsidRPr="004A68AC">
        <w:rPr>
          <w:lang w:val="en-US"/>
        </w:rPr>
        <w:t xml:space="preserve"> and</w:t>
      </w:r>
      <w:r w:rsidR="00BF39BF" w:rsidRPr="004A68AC">
        <w:rPr>
          <w:lang w:val="en-US"/>
        </w:rPr>
        <w:t xml:space="preserve"> has</w:t>
      </w:r>
      <w:r w:rsidR="00F100E5" w:rsidRPr="004A68AC">
        <w:rPr>
          <w:lang w:val="en-US"/>
        </w:rPr>
        <w:t xml:space="preserve"> </w:t>
      </w:r>
      <w:r w:rsidR="00D55D17" w:rsidRPr="004A68AC">
        <w:rPr>
          <w:lang w:val="en-US"/>
        </w:rPr>
        <w:t xml:space="preserve">pushed towards </w:t>
      </w:r>
      <w:r w:rsidR="00F100E5" w:rsidRPr="004A68AC">
        <w:rPr>
          <w:lang w:val="en-US"/>
        </w:rPr>
        <w:t>the development of s</w:t>
      </w:r>
      <w:r w:rsidR="001A15F1" w:rsidRPr="004A68AC">
        <w:rPr>
          <w:lang w:val="en-US"/>
        </w:rPr>
        <w:t xml:space="preserve">tructural </w:t>
      </w:r>
      <w:r w:rsidR="006B7A83" w:rsidRPr="004A68AC">
        <w:rPr>
          <w:lang w:val="en-US"/>
        </w:rPr>
        <w:t xml:space="preserve">design </w:t>
      </w:r>
      <w:r w:rsidR="001A15F1" w:rsidRPr="004A68AC">
        <w:rPr>
          <w:lang w:val="en-US"/>
        </w:rPr>
        <w:t>codes</w:t>
      </w:r>
      <w:r w:rsidR="00D55D17" w:rsidRPr="004A68AC">
        <w:rPr>
          <w:lang w:val="en-US"/>
        </w:rPr>
        <w:t xml:space="preserve"> </w:t>
      </w:r>
      <w:r w:rsidR="006B7A83" w:rsidRPr="004A68AC">
        <w:rPr>
          <w:lang w:val="en-US"/>
        </w:rPr>
        <w:t xml:space="preserve">including </w:t>
      </w:r>
      <w:r w:rsidR="005B0798" w:rsidRPr="004A68AC">
        <w:rPr>
          <w:lang w:val="en-US"/>
        </w:rPr>
        <w:t>seismic design</w:t>
      </w:r>
      <w:r w:rsidR="00D55D17" w:rsidRPr="004A68AC">
        <w:rPr>
          <w:lang w:val="en-US"/>
        </w:rPr>
        <w:t xml:space="preserve"> </w:t>
      </w:r>
      <w:r w:rsidR="002A1A92" w:rsidRPr="004A68AC">
        <w:rPr>
          <w:lang w:val="en-US"/>
        </w:rPr>
        <w:t>provisions</w:t>
      </w:r>
      <w:r w:rsidR="00A12EA0" w:rsidRPr="004A68AC">
        <w:rPr>
          <w:lang w:val="en-US"/>
        </w:rPr>
        <w:t xml:space="preserve"> (</w:t>
      </w:r>
      <w:r w:rsidR="00A12EA0" w:rsidRPr="004A68AC">
        <w:rPr>
          <w:i/>
          <w:iCs/>
          <w:lang w:val="en-US"/>
        </w:rPr>
        <w:t>e.g.,</w:t>
      </w:r>
      <w:r w:rsidR="00A12EA0" w:rsidRPr="004A68AC">
        <w:rPr>
          <w:lang w:val="en-US"/>
        </w:rPr>
        <w:t xml:space="preserve"> </w:t>
      </w:r>
      <w:r w:rsidR="00057CD5"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1998-1","id":"ITEM-1","issued":{"date-parts":[["2004"]]},"title":"Eurocode 8: Design of structures for earthquake resistance - Part 1: General rules, seismic actions and rules for buildings","type":"article"},"uris":["http://www.mendeley.com/documents/?uuid=99be25ec-7338-43a9-990c-8774c3905b39"]},{"id":"ITEM-2","itemData":{"DOI":"10.1061/9780784414248","ISBN":"978-0-7844-7996-4","author":[{"dropping-particle":"","family":"American Society of Civil Engineers","given":"","non-dropping-particle":"","parse-names":false,"suffix":""}],"container-title":"ASCE/SEI 7-16","id":"ITEM-2","issued":{"date-parts":[["2017"]]},"title":"Minimum Design Loads and Associated Criteria for Buildings and Other Structures","type":"article"},"uris":["http://www.mendeley.com/documents/?uuid=5943af8f-2949-42e3-b36a-747994912dbd"]}],"mendeley":{"formattedCitation":"[4,5]","plainTextFormattedCitation":"[4,5]","previouslyFormattedCitation":"[4,5]"},"properties":{"noteIndex":0},"schema":"https://github.com/citation-style-language/schema/raw/master/csl-citation.json"}</w:instrText>
      </w:r>
      <w:r w:rsidR="00057CD5" w:rsidRPr="004A68AC">
        <w:rPr>
          <w:lang w:val="en-US"/>
        </w:rPr>
        <w:fldChar w:fldCharType="separate"/>
      </w:r>
      <w:r w:rsidR="00057CD5" w:rsidRPr="004A68AC">
        <w:rPr>
          <w:noProof/>
          <w:lang w:val="en-US"/>
        </w:rPr>
        <w:t>[4,5]</w:t>
      </w:r>
      <w:r w:rsidR="00057CD5" w:rsidRPr="004A68AC">
        <w:rPr>
          <w:lang w:val="en-US"/>
        </w:rPr>
        <w:fldChar w:fldCharType="end"/>
      </w:r>
      <w:r w:rsidR="00A12EA0" w:rsidRPr="004A68AC">
        <w:rPr>
          <w:lang w:val="en-US"/>
        </w:rPr>
        <w:t>)</w:t>
      </w:r>
      <w:r w:rsidR="00D55D17" w:rsidRPr="004A68AC">
        <w:rPr>
          <w:lang w:val="en-US"/>
        </w:rPr>
        <w:t xml:space="preserve">. </w:t>
      </w:r>
      <w:r w:rsidR="00A12EA0" w:rsidRPr="004A68AC">
        <w:rPr>
          <w:lang w:val="en-US"/>
        </w:rPr>
        <w:t xml:space="preserve">Seismic design </w:t>
      </w:r>
      <w:r w:rsidR="00D55D17" w:rsidRPr="004A68AC">
        <w:rPr>
          <w:lang w:val="en-US"/>
        </w:rPr>
        <w:t>codes</w:t>
      </w:r>
      <w:r w:rsidR="00E54CA8" w:rsidRPr="004A68AC">
        <w:rPr>
          <w:lang w:val="en-US"/>
        </w:rPr>
        <w:t xml:space="preserve"> </w:t>
      </w:r>
      <w:r w:rsidR="005B0798" w:rsidRPr="004A68AC">
        <w:rPr>
          <w:lang w:val="en-US"/>
        </w:rPr>
        <w:t xml:space="preserve">have been </w:t>
      </w:r>
      <w:r w:rsidR="001A15F1" w:rsidRPr="004A68AC">
        <w:rPr>
          <w:lang w:val="en-US"/>
        </w:rPr>
        <w:t xml:space="preserve">continuously </w:t>
      </w:r>
      <w:r w:rsidR="005B0798" w:rsidRPr="004A68AC">
        <w:rPr>
          <w:lang w:val="en-US"/>
        </w:rPr>
        <w:t xml:space="preserve">updated </w:t>
      </w:r>
      <w:r w:rsidR="002A1A92" w:rsidRPr="004A68AC">
        <w:rPr>
          <w:lang w:val="en-US"/>
        </w:rPr>
        <w:t>with the aim of</w:t>
      </w:r>
      <w:r w:rsidR="00E54CA8" w:rsidRPr="004A68AC">
        <w:rPr>
          <w:lang w:val="en-US"/>
        </w:rPr>
        <w:t xml:space="preserve"> address</w:t>
      </w:r>
      <w:r w:rsidR="002A1A92" w:rsidRPr="004A68AC">
        <w:rPr>
          <w:lang w:val="en-US"/>
        </w:rPr>
        <w:t>ing</w:t>
      </w:r>
      <w:r w:rsidR="00E54CA8" w:rsidRPr="004A68AC">
        <w:rPr>
          <w:lang w:val="en-US"/>
        </w:rPr>
        <w:t xml:space="preserve"> the structural deficiencies revealed after each strong earthquake</w:t>
      </w:r>
      <w:r w:rsidR="00787BF1" w:rsidRPr="004A68AC">
        <w:rPr>
          <w:lang w:val="en-US"/>
        </w:rPr>
        <w:t>, mostly in</w:t>
      </w:r>
      <w:r w:rsidR="00E54CA8" w:rsidRPr="004A68AC">
        <w:rPr>
          <w:lang w:val="en-US"/>
        </w:rPr>
        <w:t xml:space="preserve"> benefit of the design of new structures</w:t>
      </w:r>
      <w:r w:rsidR="00787BF1" w:rsidRPr="004A68AC">
        <w:rPr>
          <w:szCs w:val="17"/>
          <w:lang w:val="en-US"/>
        </w:rPr>
        <w:t>. H</w:t>
      </w:r>
      <w:r w:rsidR="001A15F1" w:rsidRPr="004A68AC">
        <w:rPr>
          <w:szCs w:val="17"/>
          <w:lang w:val="en-US"/>
        </w:rPr>
        <w:t>owever, many existing structures have been built before the introduction of modern seismic design codes</w:t>
      </w:r>
      <w:r w:rsidR="00454767" w:rsidRPr="004A68AC">
        <w:rPr>
          <w:szCs w:val="17"/>
          <w:lang w:val="en-US"/>
        </w:rPr>
        <w:t xml:space="preserve"> and </w:t>
      </w:r>
      <w:r w:rsidR="001B0179" w:rsidRPr="004A68AC">
        <w:rPr>
          <w:szCs w:val="17"/>
          <w:lang w:val="en-US"/>
        </w:rPr>
        <w:t>therefore, are</w:t>
      </w:r>
      <w:r w:rsidR="001A15F1" w:rsidRPr="004A68AC">
        <w:rPr>
          <w:szCs w:val="17"/>
          <w:lang w:val="en-US"/>
        </w:rPr>
        <w:t xml:space="preserve"> often characterized by deficiencies t</w:t>
      </w:r>
      <w:r w:rsidR="00E92A7F" w:rsidRPr="004A68AC">
        <w:rPr>
          <w:szCs w:val="17"/>
          <w:lang w:val="en-US"/>
        </w:rPr>
        <w:t>ypical of old design practices</w:t>
      </w:r>
      <w:r w:rsidR="00D84481" w:rsidRPr="004A68AC">
        <w:rPr>
          <w:szCs w:val="17"/>
          <w:lang w:val="en-US"/>
        </w:rPr>
        <w:t xml:space="preserve"> </w:t>
      </w:r>
      <w:r w:rsidR="00D84481" w:rsidRPr="004A68AC">
        <w:rPr>
          <w:szCs w:val="17"/>
          <w:lang w:val="en-US"/>
        </w:rPr>
        <w:fldChar w:fldCharType="begin" w:fldLock="1"/>
      </w:r>
      <w:r w:rsidR="00E94E8E" w:rsidRPr="004A68AC">
        <w:rPr>
          <w:szCs w:val="17"/>
          <w:lang w:val="en-US"/>
        </w:rPr>
        <w:instrText>ADDIN CSL_CITATION {"citationItems":[{"id":"ITEM-1","itemData":{"abstract":"This report, FEMA-355C – State of the Art Report on Systems Performance of Steel Moment Frames Subject to Earthquake Ground Shaking, presents an overview of the current state of knowledge with regard to the response of moment-resisting steel frame buildings to strong ground shaking. This state of the art report was prepared in support of the development of a series of Recommended Design Criteria documents, prepared by the SAC Joint Venture on behalf of the Federal Emergency Management Agency and addressing the issue of the seismic performance of moment-resisting steel frame structures.","author":[{"dropping-particle":"","family":"Federal Emergency Management Agency","given":"","non-dropping-particle":"","parse-names":false,"suffix":""}],"container-title":"FEMA 355C","id":"ITEM-1","issued":{"date-parts":[["2000"]]},"title":"State of the Art Report on Systems Performance of Steel Moment Frames Subject to Earthquake Ground Shaking","type":"article"},"uris":["http://www.mendeley.com/documents/?uuid=709233d8-acbb-4537-9154-5d8f86ec4399"]}],"mendeley":{"formattedCitation":"[1]","plainTextFormattedCitation":"[1]","previouslyFormattedCitation":"[1]"},"properties":{"noteIndex":0},"schema":"https://github.com/citation-style-language/schema/raw/master/csl-citation.json"}</w:instrText>
      </w:r>
      <w:r w:rsidR="00D84481" w:rsidRPr="004A68AC">
        <w:rPr>
          <w:szCs w:val="17"/>
          <w:lang w:val="en-US"/>
        </w:rPr>
        <w:fldChar w:fldCharType="separate"/>
      </w:r>
      <w:r w:rsidR="00996444" w:rsidRPr="004A68AC">
        <w:rPr>
          <w:noProof/>
          <w:szCs w:val="17"/>
          <w:lang w:val="en-US"/>
        </w:rPr>
        <w:t>[1]</w:t>
      </w:r>
      <w:r w:rsidR="00D84481" w:rsidRPr="004A68AC">
        <w:rPr>
          <w:szCs w:val="17"/>
          <w:lang w:val="en-US"/>
        </w:rPr>
        <w:fldChar w:fldCharType="end"/>
      </w:r>
      <w:r w:rsidR="00E92A7F" w:rsidRPr="004A68AC">
        <w:rPr>
          <w:szCs w:val="17"/>
          <w:lang w:val="en-US"/>
        </w:rPr>
        <w:t xml:space="preserve">. </w:t>
      </w:r>
      <w:r w:rsidR="00E92A7F" w:rsidRPr="004A68AC">
        <w:rPr>
          <w:lang w:val="en-US"/>
        </w:rPr>
        <w:t>Significant effort</w:t>
      </w:r>
      <w:r w:rsidR="00E54CA8" w:rsidRPr="004A68AC">
        <w:rPr>
          <w:lang w:val="en-US"/>
        </w:rPr>
        <w:t>s</w:t>
      </w:r>
      <w:r w:rsidR="00E92A7F" w:rsidRPr="004A68AC">
        <w:rPr>
          <w:lang w:val="en-US"/>
        </w:rPr>
        <w:t xml:space="preserve"> have been made </w:t>
      </w:r>
      <w:r w:rsidR="00F766E1" w:rsidRPr="004A68AC">
        <w:rPr>
          <w:lang w:val="en-US"/>
        </w:rPr>
        <w:t xml:space="preserve">to define procedures and standards </w:t>
      </w:r>
      <w:r w:rsidR="001B0179" w:rsidRPr="004A68AC">
        <w:rPr>
          <w:lang w:val="en-US"/>
        </w:rPr>
        <w:t>for the assessment of</w:t>
      </w:r>
      <w:r w:rsidR="00E54CA8" w:rsidRPr="004A68AC">
        <w:rPr>
          <w:lang w:val="en-US"/>
        </w:rPr>
        <w:t xml:space="preserve"> </w:t>
      </w:r>
      <w:r w:rsidR="002A1A92" w:rsidRPr="004A68AC">
        <w:rPr>
          <w:lang w:val="en-US"/>
        </w:rPr>
        <w:t xml:space="preserve">the </w:t>
      </w:r>
      <w:r w:rsidR="00E54CA8" w:rsidRPr="004A68AC">
        <w:rPr>
          <w:lang w:val="en-US"/>
        </w:rPr>
        <w:t xml:space="preserve">seismic performance of </w:t>
      </w:r>
      <w:r w:rsidR="00E92A7F" w:rsidRPr="004A68AC">
        <w:rPr>
          <w:lang w:val="en-US"/>
        </w:rPr>
        <w:t>existing structures, however, most of them focused on masonry and reinforced concrete structures</w:t>
      </w:r>
      <w:r w:rsidR="001B0179" w:rsidRPr="004A68AC">
        <w:rPr>
          <w:lang w:val="en-US"/>
        </w:rPr>
        <w:t>,</w:t>
      </w:r>
      <w:r w:rsidR="00A95820" w:rsidRPr="004A68AC">
        <w:rPr>
          <w:lang w:val="en-US"/>
        </w:rPr>
        <w:t xml:space="preserve"> while </w:t>
      </w:r>
      <w:r w:rsidR="001B0179" w:rsidRPr="004A68AC">
        <w:rPr>
          <w:lang w:val="en-US"/>
        </w:rPr>
        <w:t>only a small fraction</w:t>
      </w:r>
      <w:r w:rsidR="00E51F07" w:rsidRPr="004A68AC">
        <w:rPr>
          <w:lang w:val="en-US"/>
        </w:rPr>
        <w:t xml:space="preserve"> </w:t>
      </w:r>
      <w:r w:rsidR="00A95820" w:rsidRPr="004A68AC">
        <w:rPr>
          <w:lang w:val="en-US"/>
        </w:rPr>
        <w:t>focus</w:t>
      </w:r>
      <w:r w:rsidR="002D1CA3" w:rsidRPr="004A68AC">
        <w:rPr>
          <w:lang w:val="en-US"/>
        </w:rPr>
        <w:t>ed</w:t>
      </w:r>
      <w:r w:rsidR="00A95820" w:rsidRPr="004A68AC">
        <w:rPr>
          <w:lang w:val="en-US"/>
        </w:rPr>
        <w:t xml:space="preserve"> on steel structures</w:t>
      </w:r>
      <w:r w:rsidR="00E8306D" w:rsidRPr="004A68AC">
        <w:rPr>
          <w:lang w:val="en-US"/>
        </w:rPr>
        <w:t xml:space="preserve"> (</w:t>
      </w:r>
      <w:r w:rsidR="00E8306D" w:rsidRPr="004A68AC">
        <w:rPr>
          <w:i/>
          <w:lang w:val="en-US"/>
        </w:rPr>
        <w:t>e.g.</w:t>
      </w:r>
      <w:r w:rsidR="00E8306D" w:rsidRPr="004A68AC">
        <w:rPr>
          <w:lang w:val="en-US"/>
        </w:rPr>
        <w:t>,</w:t>
      </w:r>
      <w:r w:rsidR="00A95820" w:rsidRPr="004A68AC">
        <w:rPr>
          <w:lang w:val="en-US"/>
        </w:rPr>
        <w:t xml:space="preserve"> </w:t>
      </w:r>
      <w:r w:rsidR="00A95820" w:rsidRPr="004A68AC">
        <w:rPr>
          <w:lang w:val="en-US"/>
        </w:rPr>
        <w:fldChar w:fldCharType="begin" w:fldLock="1"/>
      </w:r>
      <w:r w:rsidR="00996444" w:rsidRPr="004A68AC">
        <w:rPr>
          <w:lang w:val="en-US"/>
        </w:rPr>
        <w:instrText>ADDIN CSL_CITATION {"citationItems":[{"id":"ITEM-1","itemData":{"DOI":"10.1016/j.jcsr.2020.106040","ISSN":"0143974X","abstract":"Many existing steel moment-resisting frames were constructed before the provisions of modern seismic codes; therefore, they are likely to exhibit high vulnerability to earthquakes due to their inadequate ductility design, hence low energy dissipation capacity. Public concern has been raised about the development of a reliable code-based framework for assessing existing structures, however, previous research has shown that the current European code EC8–3 may not be sufficient and requires urgent improvements. Particular attention should be paid to the contribution from infill walls in steel buildings, especially those made of masonry, and beam-column connections, as they play a significant role in the structural performance under earthquakes. To this end, an updated assessment procedure, which is an extension of the current procedure in EC8–3 but with several improvements to the non-linear analysis methods, is proposed in this paper and is applied to an existing steel building as a case study. The building is a three-storey steel moment-resisting frame located at Amatrice in Central Italy, which survived the recent 2016–2017 Central Italy earthquakes. Refined 3D models of the case study building, which account for the effects of infill walls and column panel zones, were implemented in a refined finite element platform. The effects of masonry infills on structural components, such as beams and columns, were investigated through non-linear analysis methods. The results emphasise the significance of including masonry infills in the numerical model for seismic assessment especially when an optimised retrofit solution is needed.","author":[{"dropping-particle":"","family":"Sarno","given":"Luigi","non-dropping-particle":"Di","parse-names":false,"suffix":""},{"dropping-particle":"","family":"Wu","given":"Jing Ren","non-dropping-particle":"","parse-names":false,"suffix":""}],"container-title":"Journal of Constructional Steel Research","id":"ITEM-1","issued":{"date-parts":[["2020"]]},"page":"106040","publisher":"Elsevier Ltd","title":"Seismic assessment of existing steel frames with masonry infills","type":"article-journal","volume":"169"},"uris":["http://www.mendeley.com/documents/?uuid=138f2e1e-2a45-48ac-b9bc-c958d8500bf7"]}],"mendeley":{"formattedCitation":"[6]","plainTextFormattedCitation":"[6]","previouslyFormattedCitation":"[6]"},"properties":{"noteIndex":0},"schema":"https://github.com/citation-style-language/schema/raw/master/csl-citation.json"}</w:instrText>
      </w:r>
      <w:r w:rsidR="00A95820" w:rsidRPr="004A68AC">
        <w:rPr>
          <w:lang w:val="en-US"/>
        </w:rPr>
        <w:fldChar w:fldCharType="separate"/>
      </w:r>
      <w:r w:rsidR="00996444" w:rsidRPr="004A68AC">
        <w:rPr>
          <w:noProof/>
          <w:lang w:val="en-US"/>
        </w:rPr>
        <w:t>[6]</w:t>
      </w:r>
      <w:r w:rsidR="00A95820" w:rsidRPr="004A68AC">
        <w:rPr>
          <w:lang w:val="en-US"/>
        </w:rPr>
        <w:fldChar w:fldCharType="end"/>
      </w:r>
      <w:r w:rsidR="00E8306D" w:rsidRPr="004A68AC">
        <w:rPr>
          <w:lang w:val="en-US"/>
        </w:rPr>
        <w:t>)</w:t>
      </w:r>
      <w:r w:rsidR="00E92A7F" w:rsidRPr="004A68AC">
        <w:rPr>
          <w:lang w:val="en-US"/>
        </w:rPr>
        <w:t>.</w:t>
      </w:r>
    </w:p>
    <w:p w14:paraId="45A858B1" w14:textId="77777777" w:rsidR="00AF7B95" w:rsidRPr="004A68AC" w:rsidRDefault="00AF7B95" w:rsidP="00946900">
      <w:pPr>
        <w:rPr>
          <w:lang w:val="en-US"/>
        </w:rPr>
      </w:pPr>
    </w:p>
    <w:p w14:paraId="36E7569A" w14:textId="034FF360" w:rsidR="00A12EA0" w:rsidRPr="004A68AC" w:rsidRDefault="00AF7B95" w:rsidP="00946900">
      <w:pPr>
        <w:rPr>
          <w:lang w:val="en-US"/>
        </w:rPr>
      </w:pPr>
      <w:r w:rsidRPr="004A68AC">
        <w:rPr>
          <w:lang w:val="en-US"/>
        </w:rPr>
        <w:t xml:space="preserve">     </w:t>
      </w:r>
      <w:r w:rsidR="00020A55" w:rsidRPr="004A68AC">
        <w:rPr>
          <w:lang w:val="en-US"/>
        </w:rPr>
        <w:t>Within this context, t</w:t>
      </w:r>
      <w:r w:rsidR="00833A16" w:rsidRPr="004A68AC">
        <w:rPr>
          <w:lang w:val="en-US"/>
        </w:rPr>
        <w:t xml:space="preserve">he present study </w:t>
      </w:r>
      <w:r w:rsidR="00882E85" w:rsidRPr="004A68AC">
        <w:rPr>
          <w:lang w:val="en-US"/>
        </w:rPr>
        <w:t>provides</w:t>
      </w:r>
      <w:r w:rsidR="00833A16" w:rsidRPr="004A68AC">
        <w:rPr>
          <w:lang w:val="en-US"/>
        </w:rPr>
        <w:t xml:space="preserve"> </w:t>
      </w:r>
      <w:r w:rsidR="008519A9" w:rsidRPr="004A68AC">
        <w:rPr>
          <w:lang w:val="en-US"/>
        </w:rPr>
        <w:t xml:space="preserve">a comprehensive comparison between code-based assessment provisions for steel moment resisting frames (MRFs), considering </w:t>
      </w:r>
      <w:r w:rsidR="00BA49E0" w:rsidRPr="004A68AC">
        <w:rPr>
          <w:lang w:val="en-US"/>
        </w:rPr>
        <w:t xml:space="preserve">all the parameters influencing the definition of the </w:t>
      </w:r>
      <w:r w:rsidR="008519A9" w:rsidRPr="004A68AC">
        <w:rPr>
          <w:lang w:val="en-US"/>
        </w:rPr>
        <w:t xml:space="preserve">capacity values, </w:t>
      </w:r>
      <w:r w:rsidR="00BA49E0" w:rsidRPr="004A68AC">
        <w:rPr>
          <w:lang w:val="en-US"/>
        </w:rPr>
        <w:t>such as the seismic demand of the components</w:t>
      </w:r>
      <w:r w:rsidR="00882E85" w:rsidRPr="004A68AC">
        <w:rPr>
          <w:lang w:val="en-US"/>
        </w:rPr>
        <w:t>,</w:t>
      </w:r>
      <w:r w:rsidR="008519A9" w:rsidRPr="004A68AC">
        <w:rPr>
          <w:lang w:val="en-US"/>
        </w:rPr>
        <w:t xml:space="preserve"> </w:t>
      </w:r>
      <w:r w:rsidR="00882E85" w:rsidRPr="004A68AC">
        <w:rPr>
          <w:lang w:val="en-US"/>
        </w:rPr>
        <w:t>modelling parameters and slenderness limits</w:t>
      </w:r>
      <w:r w:rsidR="00AD025F" w:rsidRPr="004A68AC">
        <w:rPr>
          <w:lang w:val="en-US"/>
        </w:rPr>
        <w:t xml:space="preserve"> </w:t>
      </w:r>
      <w:r w:rsidR="004B66BC" w:rsidRPr="004A68AC">
        <w:rPr>
          <w:lang w:val="en-US"/>
        </w:rPr>
        <w:t>for</w:t>
      </w:r>
      <w:r w:rsidR="00AD025F" w:rsidRPr="004A68AC">
        <w:rPr>
          <w:lang w:val="en-US"/>
        </w:rPr>
        <w:t xml:space="preserve"> both European and American steel </w:t>
      </w:r>
      <w:r w:rsidR="004B66BC" w:rsidRPr="004A68AC">
        <w:rPr>
          <w:lang w:val="en-US"/>
        </w:rPr>
        <w:t>section profiles</w:t>
      </w:r>
      <w:r w:rsidR="00882E85" w:rsidRPr="004A68AC">
        <w:rPr>
          <w:lang w:val="en-US"/>
        </w:rPr>
        <w:t xml:space="preserve">. In addition, the comparison is </w:t>
      </w:r>
      <w:r w:rsidR="006C15F5" w:rsidRPr="004A68AC">
        <w:rPr>
          <w:lang w:val="en-US"/>
        </w:rPr>
        <w:t xml:space="preserve">further supported by the assessment of </w:t>
      </w:r>
      <w:r w:rsidR="00882E85" w:rsidRPr="004A68AC">
        <w:rPr>
          <w:lang w:val="en-US"/>
        </w:rPr>
        <w:t xml:space="preserve">two </w:t>
      </w:r>
      <w:r w:rsidR="00882E85" w:rsidRPr="004A68AC">
        <w:rPr>
          <w:lang w:val="en-US"/>
        </w:rPr>
        <w:lastRenderedPageBreak/>
        <w:t>case</w:t>
      </w:r>
      <w:r w:rsidRPr="004A68AC">
        <w:rPr>
          <w:lang w:val="en-US"/>
        </w:rPr>
        <w:t xml:space="preserve"> </w:t>
      </w:r>
      <w:r w:rsidR="00882E85" w:rsidRPr="004A68AC">
        <w:rPr>
          <w:lang w:val="en-US"/>
        </w:rPr>
        <w:t xml:space="preserve">study </w:t>
      </w:r>
      <w:r w:rsidR="00B33FC2" w:rsidRPr="004A68AC">
        <w:rPr>
          <w:lang w:val="en-US"/>
        </w:rPr>
        <w:t>structures</w:t>
      </w:r>
      <w:r w:rsidR="00BA49E0" w:rsidRPr="004A68AC">
        <w:rPr>
          <w:lang w:val="en-US"/>
        </w:rPr>
        <w:t>, representative of a low-rise and a mid-rise building</w:t>
      </w:r>
      <w:r w:rsidR="006C15F5" w:rsidRPr="004A68AC">
        <w:rPr>
          <w:lang w:val="en-US"/>
        </w:rPr>
        <w:t xml:space="preserve">. </w:t>
      </w:r>
      <w:r w:rsidRPr="004A68AC">
        <w:rPr>
          <w:lang w:val="en-US"/>
        </w:rPr>
        <w:t xml:space="preserve">This </w:t>
      </w:r>
      <w:r w:rsidR="006C15F5" w:rsidRPr="004A68AC">
        <w:rPr>
          <w:lang w:val="en-US"/>
        </w:rPr>
        <w:t>study relies on</w:t>
      </w:r>
      <w:r w:rsidR="00BA49E0" w:rsidRPr="004A68AC">
        <w:rPr>
          <w:lang w:val="en-US"/>
        </w:rPr>
        <w:t xml:space="preserve"> </w:t>
      </w:r>
      <w:r w:rsidR="00882E85" w:rsidRPr="004A68AC">
        <w:rPr>
          <w:lang w:val="en-US"/>
        </w:rPr>
        <w:t>a</w:t>
      </w:r>
      <w:r w:rsidR="009F4F09" w:rsidRPr="004A68AC">
        <w:rPr>
          <w:lang w:val="en-US"/>
        </w:rPr>
        <w:t xml:space="preserve"> novel</w:t>
      </w:r>
      <w:r w:rsidR="00882E85" w:rsidRPr="004A68AC">
        <w:rPr>
          <w:lang w:val="en-US"/>
        </w:rPr>
        <w:t xml:space="preserve"> probabilistic framework</w:t>
      </w:r>
      <w:r w:rsidR="009F4F09" w:rsidRPr="004A68AC">
        <w:rPr>
          <w:lang w:val="en-US"/>
        </w:rPr>
        <w:t xml:space="preserve"> which considers the </w:t>
      </w:r>
      <w:r w:rsidR="00BA49E0" w:rsidRPr="004A68AC">
        <w:rPr>
          <w:lang w:val="en-US"/>
        </w:rPr>
        <w:t xml:space="preserve">record-to-record variability while accounting for </w:t>
      </w:r>
      <w:r w:rsidR="009F4F09" w:rsidRPr="004A68AC">
        <w:rPr>
          <w:lang w:val="en-US"/>
        </w:rPr>
        <w:t>code-established capacity values</w:t>
      </w:r>
      <w:r w:rsidR="006A199E" w:rsidRPr="004A68AC">
        <w:rPr>
          <w:lang w:val="en-US"/>
        </w:rPr>
        <w:t xml:space="preserve">, which requires the </w:t>
      </w:r>
      <w:r w:rsidR="009F4F09" w:rsidRPr="004A68AC">
        <w:rPr>
          <w:lang w:val="en-US"/>
        </w:rPr>
        <w:t xml:space="preserve">monitoring </w:t>
      </w:r>
      <w:r w:rsidRPr="004A68AC">
        <w:rPr>
          <w:lang w:val="en-US"/>
        </w:rPr>
        <w:t xml:space="preserve">of </w:t>
      </w:r>
      <w:r w:rsidR="009F4F09" w:rsidRPr="004A68AC">
        <w:rPr>
          <w:lang w:val="en-US"/>
        </w:rPr>
        <w:t>local engineering demand parameters (EDPs)</w:t>
      </w:r>
      <w:r w:rsidR="003C611A" w:rsidRPr="004A68AC">
        <w:rPr>
          <w:lang w:val="en-US"/>
        </w:rPr>
        <w:t xml:space="preserve"> rather than global EDPs</w:t>
      </w:r>
      <w:r w:rsidR="004B66BC" w:rsidRPr="004A68AC">
        <w:rPr>
          <w:lang w:val="en-US"/>
        </w:rPr>
        <w:t xml:space="preserve">. </w:t>
      </w:r>
      <w:r w:rsidR="009E6AE6" w:rsidRPr="004A68AC">
        <w:rPr>
          <w:lang w:val="en-US"/>
        </w:rPr>
        <w:t>Hence, t</w:t>
      </w:r>
      <w:r w:rsidR="004B66BC" w:rsidRPr="004A68AC">
        <w:rPr>
          <w:lang w:val="en-US"/>
        </w:rPr>
        <w:t xml:space="preserve">he present </w:t>
      </w:r>
      <w:r w:rsidR="00971201" w:rsidRPr="004A68AC">
        <w:rPr>
          <w:lang w:val="en-US"/>
        </w:rPr>
        <w:t xml:space="preserve">paper allows to </w:t>
      </w:r>
      <w:r w:rsidR="009F4F09" w:rsidRPr="004A68AC">
        <w:rPr>
          <w:lang w:val="en-US"/>
        </w:rPr>
        <w:t>identif</w:t>
      </w:r>
      <w:r w:rsidR="00971201" w:rsidRPr="004A68AC">
        <w:rPr>
          <w:lang w:val="en-US"/>
        </w:rPr>
        <w:t>y</w:t>
      </w:r>
      <w:r w:rsidR="00494A76" w:rsidRPr="004A68AC">
        <w:rPr>
          <w:lang w:val="en-US"/>
        </w:rPr>
        <w:t xml:space="preserve"> </w:t>
      </w:r>
      <w:r w:rsidR="00AD025F" w:rsidRPr="004A68AC">
        <w:rPr>
          <w:lang w:val="en-US"/>
        </w:rPr>
        <w:t>areas of opportunity</w:t>
      </w:r>
      <w:r w:rsidR="00882E85" w:rsidRPr="004A68AC">
        <w:rPr>
          <w:lang w:val="en-US"/>
        </w:rPr>
        <w:t xml:space="preserve"> </w:t>
      </w:r>
      <w:r w:rsidR="00833A16" w:rsidRPr="004A68AC">
        <w:rPr>
          <w:lang w:val="en-US"/>
        </w:rPr>
        <w:t xml:space="preserve">for </w:t>
      </w:r>
      <w:r w:rsidR="00FA43F7" w:rsidRPr="004A68AC">
        <w:rPr>
          <w:lang w:val="en-US"/>
        </w:rPr>
        <w:t xml:space="preserve">the </w:t>
      </w:r>
      <w:r w:rsidR="00833A16" w:rsidRPr="004A68AC">
        <w:rPr>
          <w:lang w:val="en-US"/>
        </w:rPr>
        <w:t xml:space="preserve">development </w:t>
      </w:r>
      <w:r w:rsidR="004B66BC" w:rsidRPr="004A68AC">
        <w:rPr>
          <w:lang w:val="en-US"/>
        </w:rPr>
        <w:t>of</w:t>
      </w:r>
      <w:r w:rsidR="00833A16" w:rsidRPr="004A68AC">
        <w:rPr>
          <w:lang w:val="en-US"/>
        </w:rPr>
        <w:t xml:space="preserve"> the next generation of the </w:t>
      </w:r>
      <w:r w:rsidR="00855F83" w:rsidRPr="004A68AC">
        <w:rPr>
          <w:szCs w:val="20"/>
          <w:lang w:val="en-US"/>
        </w:rPr>
        <w:t>Eurocode 8 – Part 3 (EC8-3)</w:t>
      </w:r>
      <w:r w:rsidR="00855F83" w:rsidRPr="004A68AC">
        <w:rPr>
          <w:lang w:val="en-US"/>
        </w:rPr>
        <w:t xml:space="preserve"> </w:t>
      </w:r>
      <w:r w:rsidR="00855F83" w:rsidRPr="004A68AC">
        <w:rPr>
          <w:lang w:val="en-US"/>
        </w:rPr>
        <w:fldChar w:fldCharType="begin" w:fldLock="1"/>
      </w:r>
      <w:r w:rsidR="000E577D" w:rsidRPr="004A68AC">
        <w:rPr>
          <w:lang w:val="en-US"/>
        </w:rPr>
        <w:instrText>ADDIN CSL_CITATION {"citationItems":[{"id":"ITEM-1","itemData":{"DOI":"10.1080/13632469.2016.1277568","ISSN":"13632469","abstract":"The publication of Part 3 of Eurocode 8 (EC8-3), dedicated to the seismic assessment of existing buildings, took place a decade ago. However, its application in engineering practice has been limited. Moreover, no studies have been conducted regarding the application of EC8-3 to steel structures. In this paper, a critical review and practical application of EC8-3 and ASCE41-13 are carried out. Issues related to the definition of the performance requirements, compliance criteria, and the consistency of the analysis procedures proposed by both standards are identified. Conceptual differences between both documents are highlighted, and several inconsistencies in EC8-3 are discussed.","author":[{"dropping-particle":"","family":"Araújo","given":"Miguel","non-dropping-particle":"","parse-names":false,"suffix":""},{"dropping-particle":"","family":"Castro","given":"José Miguel","non-dropping-particle":"","parse-names":false,"suffix":""}],"container-title":"Journal of Earthquake Engineering","id":"ITEM-1","issue":"8","issued":{"date-parts":[["2018"]]},"page":"1336-1364","publisher":"Taylor &amp; Francis","title":"A Critical Review of European and American Provisions for the Seismic Assessment of Existing Steel Moment-Resisting Frame Buildings","type":"article-journal","volume":"22"},"uris":["http://www.mendeley.com/documents/?uuid=a57b2080-830d-4bc1-ae89-c285ff6fddf9"]}],"mendeley":{"formattedCitation":"[7]","plainTextFormattedCitation":"[7]","previouslyFormattedCitation":"[7]"},"properties":{"noteIndex":0},"schema":"https://github.com/citation-style-language/schema/raw/master/csl-citation.json"}</w:instrText>
      </w:r>
      <w:r w:rsidR="00855F83" w:rsidRPr="004A68AC">
        <w:rPr>
          <w:lang w:val="en-US"/>
        </w:rPr>
        <w:fldChar w:fldCharType="separate"/>
      </w:r>
      <w:r w:rsidR="00855F83" w:rsidRPr="004A68AC">
        <w:rPr>
          <w:noProof/>
          <w:lang w:val="en-US"/>
        </w:rPr>
        <w:t>[7]</w:t>
      </w:r>
      <w:r w:rsidR="00855F83" w:rsidRPr="004A68AC">
        <w:rPr>
          <w:lang w:val="en-US"/>
        </w:rPr>
        <w:fldChar w:fldCharType="end"/>
      </w:r>
      <w:r w:rsidR="00825D9B" w:rsidRPr="004A68AC">
        <w:rPr>
          <w:lang w:val="en-US"/>
        </w:rPr>
        <w:t xml:space="preserve"> </w:t>
      </w:r>
      <w:r w:rsidR="00833A16" w:rsidRPr="004A68AC">
        <w:rPr>
          <w:lang w:val="en-US"/>
        </w:rPr>
        <w:t>for the seismic assessment of existing steel structures.</w:t>
      </w:r>
    </w:p>
    <w:p w14:paraId="2E12D043" w14:textId="77777777" w:rsidR="00DF3BB3" w:rsidRPr="004A68AC" w:rsidRDefault="00DF3BB3" w:rsidP="00946900">
      <w:pPr>
        <w:rPr>
          <w:lang w:val="en-US"/>
        </w:rPr>
      </w:pPr>
    </w:p>
    <w:p w14:paraId="4E67404E" w14:textId="7D7558A8" w:rsidR="00454767" w:rsidRPr="004A68AC" w:rsidRDefault="001B0179" w:rsidP="00946900">
      <w:pPr>
        <w:rPr>
          <w:lang w:val="en-US"/>
        </w:rPr>
      </w:pPr>
      <w:r w:rsidRPr="004A68AC">
        <w:rPr>
          <w:lang w:val="en-US"/>
        </w:rPr>
        <w:t xml:space="preserve">     </w:t>
      </w:r>
      <w:r w:rsidR="00EB6725" w:rsidRPr="004A68AC">
        <w:rPr>
          <w:lang w:val="en-US"/>
        </w:rPr>
        <w:t>Worldwide, s</w:t>
      </w:r>
      <w:r w:rsidR="00996444" w:rsidRPr="004A68AC">
        <w:rPr>
          <w:lang w:val="en-US"/>
        </w:rPr>
        <w:t xml:space="preserve">teel structures have been </w:t>
      </w:r>
      <w:r w:rsidR="00EB6725" w:rsidRPr="004A68AC">
        <w:rPr>
          <w:lang w:val="en-US"/>
        </w:rPr>
        <w:t xml:space="preserve">extensively </w:t>
      </w:r>
      <w:r w:rsidR="00996444" w:rsidRPr="004A68AC">
        <w:rPr>
          <w:lang w:val="en-US"/>
        </w:rPr>
        <w:t xml:space="preserve">used in seismic areas. </w:t>
      </w:r>
      <w:r w:rsidR="009E1484" w:rsidRPr="004A68AC">
        <w:rPr>
          <w:lang w:val="en-US"/>
        </w:rPr>
        <w:t>The</w:t>
      </w:r>
      <w:r w:rsidR="00996444" w:rsidRPr="004A68AC">
        <w:rPr>
          <w:lang w:val="en-US"/>
        </w:rPr>
        <w:t>ir</w:t>
      </w:r>
      <w:r w:rsidR="009E1484" w:rsidRPr="004A68AC">
        <w:rPr>
          <w:lang w:val="en-US"/>
        </w:rPr>
        <w:t xml:space="preserve"> apparently </w:t>
      </w:r>
      <w:r w:rsidR="00385DF7" w:rsidRPr="004A68AC">
        <w:rPr>
          <w:lang w:val="en-US"/>
        </w:rPr>
        <w:t>satisfactory</w:t>
      </w:r>
      <w:r w:rsidR="009E1484" w:rsidRPr="004A68AC">
        <w:rPr>
          <w:lang w:val="en-US"/>
        </w:rPr>
        <w:t xml:space="preserve"> seismic performance</w:t>
      </w:r>
      <w:r w:rsidR="008E69C0" w:rsidRPr="004A68AC">
        <w:rPr>
          <w:lang w:val="en-US"/>
        </w:rPr>
        <w:t>, along with their architectural and constructional advantages,</w:t>
      </w:r>
      <w:r w:rsidR="009E1484" w:rsidRPr="004A68AC">
        <w:rPr>
          <w:lang w:val="en-US"/>
        </w:rPr>
        <w:t xml:space="preserve"> increased their popularity</w:t>
      </w:r>
      <w:r w:rsidR="008E69C0" w:rsidRPr="004A68AC">
        <w:rPr>
          <w:lang w:val="en-US"/>
        </w:rPr>
        <w:t xml:space="preserve"> in the 1960s, 70s and 80s. However, </w:t>
      </w:r>
      <w:r w:rsidR="007C2E8B" w:rsidRPr="004A68AC">
        <w:rPr>
          <w:szCs w:val="17"/>
          <w:lang w:val="en-US"/>
        </w:rPr>
        <w:t xml:space="preserve">the </w:t>
      </w:r>
      <w:r w:rsidR="009B6C92" w:rsidRPr="004A68AC">
        <w:rPr>
          <w:szCs w:val="17"/>
          <w:lang w:val="en-US"/>
        </w:rPr>
        <w:t xml:space="preserve">1994 Northridge </w:t>
      </w:r>
      <w:r w:rsidR="007C2E8B" w:rsidRPr="004A68AC">
        <w:rPr>
          <w:szCs w:val="17"/>
          <w:lang w:val="en-US"/>
        </w:rPr>
        <w:t>earthquake</w:t>
      </w:r>
      <w:r w:rsidR="003A7F81" w:rsidRPr="004A68AC">
        <w:rPr>
          <w:szCs w:val="17"/>
          <w:lang w:val="en-US"/>
        </w:rPr>
        <w:t xml:space="preserve"> revealed</w:t>
      </w:r>
      <w:r w:rsidR="007C2E8B" w:rsidRPr="004A68AC">
        <w:rPr>
          <w:szCs w:val="17"/>
          <w:lang w:val="en-US"/>
        </w:rPr>
        <w:t xml:space="preserve"> several deficiencies in the </w:t>
      </w:r>
      <w:r w:rsidR="004C3111" w:rsidRPr="004A68AC">
        <w:rPr>
          <w:szCs w:val="17"/>
          <w:lang w:val="en-US"/>
        </w:rPr>
        <w:t>contemporary</w:t>
      </w:r>
      <w:r w:rsidR="00BD3E08" w:rsidRPr="004A68AC">
        <w:rPr>
          <w:szCs w:val="17"/>
          <w:lang w:val="en-US"/>
        </w:rPr>
        <w:t xml:space="preserve"> steel design</w:t>
      </w:r>
      <w:r w:rsidR="007C2E8B" w:rsidRPr="004A68AC">
        <w:rPr>
          <w:szCs w:val="17"/>
          <w:lang w:val="en-US"/>
        </w:rPr>
        <w:t xml:space="preserve"> practice</w:t>
      </w:r>
      <w:r w:rsidR="00454767" w:rsidRPr="004A68AC">
        <w:rPr>
          <w:szCs w:val="17"/>
          <w:lang w:val="en-US"/>
        </w:rPr>
        <w:t>s</w:t>
      </w:r>
      <w:r w:rsidR="00BF5BE5" w:rsidRPr="004A68AC">
        <w:rPr>
          <w:szCs w:val="17"/>
          <w:lang w:val="en-US"/>
        </w:rPr>
        <w:t xml:space="preserve"> (</w:t>
      </w:r>
      <w:r w:rsidR="00BF5BE5" w:rsidRPr="004A68AC">
        <w:rPr>
          <w:i/>
          <w:iCs/>
          <w:szCs w:val="17"/>
          <w:lang w:val="en-US"/>
        </w:rPr>
        <w:t>e.g.</w:t>
      </w:r>
      <w:r w:rsidR="00946900" w:rsidRPr="004A68AC">
        <w:rPr>
          <w:i/>
          <w:iCs/>
          <w:szCs w:val="17"/>
          <w:lang w:val="en-US"/>
        </w:rPr>
        <w:t>,</w:t>
      </w:r>
      <w:r w:rsidR="00BF5BE5" w:rsidRPr="004A68AC">
        <w:rPr>
          <w:szCs w:val="17"/>
          <w:lang w:val="en-US"/>
        </w:rPr>
        <w:t xml:space="preserve"> lack of capacity design, brittle welding zones, weak panel zones, low-ductility, among others)</w:t>
      </w:r>
      <w:r w:rsidR="008E69C0" w:rsidRPr="004A68AC">
        <w:rPr>
          <w:szCs w:val="17"/>
          <w:lang w:val="en-US"/>
        </w:rPr>
        <w:t xml:space="preserve"> </w:t>
      </w:r>
      <w:r w:rsidR="00E94E8E" w:rsidRPr="004A68AC">
        <w:rPr>
          <w:szCs w:val="17"/>
          <w:lang w:val="en-US"/>
        </w:rPr>
        <w:fldChar w:fldCharType="begin" w:fldLock="1"/>
      </w:r>
      <w:r w:rsidR="000E577D" w:rsidRPr="004A68AC">
        <w:rPr>
          <w:szCs w:val="17"/>
          <w:lang w:val="en-US"/>
        </w:rPr>
        <w:instrText>ADDIN CSL_CITATION {"citationItems":[{"id":"ITEM-1","itemData":{"abstract":"This report, FEMA-355C – State of the Art Report on Systems Performance of Steel Moment Frames Subject to Earthquake Ground Shaking, presents an overview of the current state of knowledge with regard to the response of moment-resisting steel frame buildings to strong ground shaking. This state of the art report was prepared in support of the development of a series of Recommended Design Criteria documents, prepared by the SAC Joint Venture on behalf of the Federal Emergency Management Agency and addressing the issue of the seismic performance of moment-resisting steel frame structures.","author":[{"dropping-particle":"","family":"Federal Emergency Management Agency","given":"","non-dropping-particle":"","parse-names":false,"suffix":""}],"container-title":"FEMA 355C","id":"ITEM-1","issued":{"date-parts":[["2000"]]},"title":"State of the Art Report on Systems Performance of Steel Moment Frames Subject to Earthquake Ground Shaking","type":"article"},"uris":["http://www.mendeley.com/documents/?uuid=709233d8-acbb-4537-9154-5d8f86ec4399"]},{"id":"ITEM-2","itemData":{"abstract":"This report, FEMA-355E – State of the Art Report on Past Performance of Steel Moment- Frame Buildings in Earthquakes, presents an overview of the development of the welded moment-resisting steel frame system as a preferred system for seismic resistance in the United States and the limited data upon which this reputation was based. This state of the art report was prepared in support of the development of a series of Recommended Design Criteria documents, prepared by the SAC Joint Venture on behalf of the Federal Emergency Management Agency (FEMA) and addressing the issue of the seismic performance of moment-resisting steel frame structures.","author":[{"dropping-particle":"","family":"Federal Emergency Management Agency","given":"","non-dropping-particle":"","parse-names":false,"suffix":""}],"container-title":"FEMA 355E","id":"ITEM-2","issued":{"date-parts":[["2000"]]},"title":"State of the Art Report on Past Performance of Steel Moment-Frame Buildings in Earthquakes","type":"article"},"uris":["http://www.mendeley.com/documents/?uuid=7d644cec-bffc-4e13-bf48-14fe22a6710a"]}],"mendeley":{"formattedCitation":"[1,8]","plainTextFormattedCitation":"[1,8]","previouslyFormattedCitation":"[1,8]"},"properties":{"noteIndex":0},"schema":"https://github.com/citation-style-language/schema/raw/master/csl-citation.json"}</w:instrText>
      </w:r>
      <w:r w:rsidR="00E94E8E" w:rsidRPr="004A68AC">
        <w:rPr>
          <w:szCs w:val="17"/>
          <w:lang w:val="en-US"/>
        </w:rPr>
        <w:fldChar w:fldCharType="separate"/>
      </w:r>
      <w:r w:rsidR="00855F83" w:rsidRPr="004A68AC">
        <w:rPr>
          <w:noProof/>
          <w:szCs w:val="17"/>
          <w:lang w:val="en-US"/>
        </w:rPr>
        <w:t>[1,8]</w:t>
      </w:r>
      <w:r w:rsidR="00E94E8E" w:rsidRPr="004A68AC">
        <w:rPr>
          <w:szCs w:val="17"/>
          <w:lang w:val="en-US"/>
        </w:rPr>
        <w:fldChar w:fldCharType="end"/>
      </w:r>
      <w:r w:rsidR="00BF5BE5" w:rsidRPr="004A68AC">
        <w:rPr>
          <w:szCs w:val="17"/>
          <w:lang w:val="en-US"/>
        </w:rPr>
        <w:t>.</w:t>
      </w:r>
      <w:r w:rsidR="008F7B34" w:rsidRPr="004A68AC">
        <w:rPr>
          <w:szCs w:val="17"/>
          <w:lang w:val="en-US"/>
        </w:rPr>
        <w:t xml:space="preserve"> This confronted</w:t>
      </w:r>
      <w:r w:rsidR="004C3111" w:rsidRPr="004A68AC">
        <w:rPr>
          <w:szCs w:val="17"/>
          <w:lang w:val="en-US"/>
        </w:rPr>
        <w:t xml:space="preserve"> the</w:t>
      </w:r>
      <w:r w:rsidR="00BD3E08" w:rsidRPr="004A68AC">
        <w:rPr>
          <w:szCs w:val="17"/>
          <w:lang w:val="en-US"/>
        </w:rPr>
        <w:t xml:space="preserve"> </w:t>
      </w:r>
      <w:r w:rsidR="007C2E8B" w:rsidRPr="004A68AC">
        <w:rPr>
          <w:szCs w:val="17"/>
          <w:lang w:val="en-US"/>
        </w:rPr>
        <w:t xml:space="preserve">design </w:t>
      </w:r>
      <w:r w:rsidR="00192245" w:rsidRPr="004A68AC">
        <w:rPr>
          <w:szCs w:val="17"/>
          <w:lang w:val="en-US"/>
        </w:rPr>
        <w:t>practices</w:t>
      </w:r>
      <w:r w:rsidR="008F7B34" w:rsidRPr="004A68AC">
        <w:rPr>
          <w:szCs w:val="17"/>
          <w:lang w:val="en-US"/>
        </w:rPr>
        <w:t xml:space="preserve"> at that time</w:t>
      </w:r>
      <w:r w:rsidR="002603CF" w:rsidRPr="004A68AC">
        <w:rPr>
          <w:szCs w:val="17"/>
          <w:lang w:val="en-US"/>
        </w:rPr>
        <w:t xml:space="preserve"> </w:t>
      </w:r>
      <w:r w:rsidR="008F7B34" w:rsidRPr="004A68AC">
        <w:rPr>
          <w:szCs w:val="17"/>
          <w:lang w:val="en-US"/>
        </w:rPr>
        <w:t>and, as</w:t>
      </w:r>
      <w:r w:rsidR="00C54CC8" w:rsidRPr="004A68AC">
        <w:rPr>
          <w:szCs w:val="17"/>
          <w:lang w:val="en-US"/>
        </w:rPr>
        <w:t xml:space="preserve"> a result, new materials</w:t>
      </w:r>
      <w:r w:rsidR="00CB26D1" w:rsidRPr="004A68AC">
        <w:rPr>
          <w:szCs w:val="17"/>
          <w:lang w:val="en-US"/>
        </w:rPr>
        <w:t>,</w:t>
      </w:r>
      <w:r w:rsidR="00C54CC8" w:rsidRPr="004A68AC">
        <w:rPr>
          <w:szCs w:val="17"/>
          <w:lang w:val="en-US"/>
        </w:rPr>
        <w:t xml:space="preserve"> philosophies</w:t>
      </w:r>
      <w:r w:rsidR="00CB26D1" w:rsidRPr="004A68AC">
        <w:rPr>
          <w:szCs w:val="17"/>
          <w:lang w:val="en-US"/>
        </w:rPr>
        <w:t xml:space="preserve"> and checks</w:t>
      </w:r>
      <w:r w:rsidR="00C54CC8" w:rsidRPr="004A68AC">
        <w:rPr>
          <w:szCs w:val="17"/>
          <w:lang w:val="en-US"/>
        </w:rPr>
        <w:t xml:space="preserve"> were</w:t>
      </w:r>
      <w:r w:rsidR="004E5C71" w:rsidRPr="004A68AC">
        <w:rPr>
          <w:szCs w:val="17"/>
          <w:lang w:val="en-US"/>
        </w:rPr>
        <w:t xml:space="preserve"> introduced in the design codes</w:t>
      </w:r>
      <w:r w:rsidR="008F7B34" w:rsidRPr="004A68AC">
        <w:rPr>
          <w:szCs w:val="17"/>
          <w:lang w:val="en-US"/>
        </w:rPr>
        <w:t xml:space="preserve"> </w:t>
      </w:r>
      <w:r w:rsidR="008F7B34" w:rsidRPr="004A68AC">
        <w:rPr>
          <w:szCs w:val="17"/>
          <w:lang w:val="en-US"/>
        </w:rPr>
        <w:fldChar w:fldCharType="begin" w:fldLock="1"/>
      </w:r>
      <w:r w:rsidR="000E577D" w:rsidRPr="004A68AC">
        <w:rPr>
          <w:szCs w:val="17"/>
          <w:lang w:val="en-US"/>
        </w:rPr>
        <w:instrText>ADDIN CSL_CITATION {"citationItems":[{"id":"ITEM-1","itemData":{"abstract":"This report, FEMA-355E – State of the Art Report on Past Performance of Steel Moment- Frame Buildings in Earthquakes, presents an overview of the development of the welded moment-resisting steel frame system as a preferred system for seismic resistance in the United States and the limited data upon which this reputation was based. This state of the art report was prepared in support of the development of a series of Recommended Design Criteria documents, prepared by the SAC Joint Venture on behalf of the Federal Emergency Management Agency (FEMA) and addressing the issue of the seismic performance of moment-resisting steel frame structures.","author":[{"dropping-particle":"","family":"Federal Emergency Management Agency","given":"","non-dropping-particle":"","parse-names":false,"suffix":""}],"container-title":"FEMA 355E","id":"ITEM-1","issued":{"date-parts":[["2000"]]},"title":"State of the Art Report on Past Performance of Steel Moment-Frame Buildings in Earthquakes","type":"article"},"uris":["http://www.mendeley.com/documents/?uuid=7d644cec-bffc-4e13-bf48-14fe22a6710a"]}],"mendeley":{"formattedCitation":"[8]","plainTextFormattedCitation":"[8]","previouslyFormattedCitation":"[8]"},"properties":{"noteIndex":0},"schema":"https://github.com/citation-style-language/schema/raw/master/csl-citation.json"}</w:instrText>
      </w:r>
      <w:r w:rsidR="008F7B34" w:rsidRPr="004A68AC">
        <w:rPr>
          <w:szCs w:val="17"/>
          <w:lang w:val="en-US"/>
        </w:rPr>
        <w:fldChar w:fldCharType="separate"/>
      </w:r>
      <w:r w:rsidR="00855F83" w:rsidRPr="004A68AC">
        <w:rPr>
          <w:noProof/>
          <w:szCs w:val="17"/>
          <w:lang w:val="en-US"/>
        </w:rPr>
        <w:t>[8]</w:t>
      </w:r>
      <w:r w:rsidR="008F7B34" w:rsidRPr="004A68AC">
        <w:rPr>
          <w:szCs w:val="17"/>
          <w:lang w:val="en-US"/>
        </w:rPr>
        <w:fldChar w:fldCharType="end"/>
      </w:r>
      <w:r w:rsidR="00F223A3" w:rsidRPr="004A68AC">
        <w:rPr>
          <w:szCs w:val="17"/>
          <w:lang w:val="en-US"/>
        </w:rPr>
        <w:t>.</w:t>
      </w:r>
      <w:r w:rsidR="00BF5BE5" w:rsidRPr="004A68AC">
        <w:rPr>
          <w:szCs w:val="17"/>
          <w:lang w:val="en-US"/>
        </w:rPr>
        <w:t xml:space="preserve"> However,</w:t>
      </w:r>
      <w:r w:rsidR="008E69C0" w:rsidRPr="004A68AC">
        <w:rPr>
          <w:szCs w:val="17"/>
          <w:lang w:val="en-US"/>
        </w:rPr>
        <w:t xml:space="preserve"> these updates </w:t>
      </w:r>
      <w:r w:rsidR="002A1A92" w:rsidRPr="004A68AC">
        <w:rPr>
          <w:szCs w:val="17"/>
          <w:lang w:val="en-US"/>
        </w:rPr>
        <w:t xml:space="preserve">mainly </w:t>
      </w:r>
      <w:r w:rsidR="008E69C0" w:rsidRPr="004A68AC">
        <w:rPr>
          <w:szCs w:val="17"/>
          <w:lang w:val="en-US"/>
        </w:rPr>
        <w:t>focused on the design of new buildings</w:t>
      </w:r>
      <w:r w:rsidR="002A1A92" w:rsidRPr="004A68AC">
        <w:rPr>
          <w:szCs w:val="17"/>
          <w:lang w:val="en-US"/>
        </w:rPr>
        <w:t xml:space="preserve"> while </w:t>
      </w:r>
      <w:r w:rsidR="000D0C34" w:rsidRPr="004A68AC">
        <w:rPr>
          <w:szCs w:val="17"/>
          <w:lang w:val="en-US"/>
        </w:rPr>
        <w:t>only a few recommendations were proposed for the retrofitting of existing structures</w:t>
      </w:r>
      <w:r w:rsidR="008E69C0" w:rsidRPr="004A68AC">
        <w:rPr>
          <w:szCs w:val="17"/>
          <w:lang w:val="en-US"/>
        </w:rPr>
        <w:t>.</w:t>
      </w:r>
      <w:r w:rsidR="00CB26D1" w:rsidRPr="004A68AC">
        <w:rPr>
          <w:szCs w:val="17"/>
          <w:lang w:val="en-US"/>
        </w:rPr>
        <w:t xml:space="preserve"> </w:t>
      </w:r>
      <w:r w:rsidR="000D0C34" w:rsidRPr="004A68AC">
        <w:rPr>
          <w:szCs w:val="17"/>
          <w:lang w:val="en-US"/>
        </w:rPr>
        <w:t>R</w:t>
      </w:r>
      <w:r w:rsidR="003A7F81" w:rsidRPr="004A68AC">
        <w:rPr>
          <w:szCs w:val="17"/>
          <w:lang w:val="en-US"/>
        </w:rPr>
        <w:t xml:space="preserve">egulations for </w:t>
      </w:r>
      <w:r w:rsidR="008E69C0" w:rsidRPr="004A68AC">
        <w:rPr>
          <w:szCs w:val="17"/>
          <w:lang w:val="en-US"/>
        </w:rPr>
        <w:t>the</w:t>
      </w:r>
      <w:r w:rsidR="00BF5BE5" w:rsidRPr="004A68AC">
        <w:rPr>
          <w:szCs w:val="17"/>
          <w:lang w:val="en-US"/>
        </w:rPr>
        <w:t xml:space="preserve"> assessment </w:t>
      </w:r>
      <w:r w:rsidR="00154F72" w:rsidRPr="004A68AC">
        <w:rPr>
          <w:szCs w:val="17"/>
          <w:lang w:val="en-US"/>
        </w:rPr>
        <w:t xml:space="preserve">and retrofitting </w:t>
      </w:r>
      <w:r w:rsidR="003A7F81" w:rsidRPr="004A68AC">
        <w:rPr>
          <w:szCs w:val="17"/>
          <w:lang w:val="en-US"/>
        </w:rPr>
        <w:t xml:space="preserve">of existing buildings were </w:t>
      </w:r>
      <w:r w:rsidR="000D0C34" w:rsidRPr="004A68AC">
        <w:rPr>
          <w:szCs w:val="17"/>
          <w:lang w:val="en-US"/>
        </w:rPr>
        <w:t xml:space="preserve">a few </w:t>
      </w:r>
      <w:r w:rsidR="00005BA6" w:rsidRPr="004A68AC">
        <w:rPr>
          <w:szCs w:val="17"/>
          <w:lang w:val="en-US"/>
        </w:rPr>
        <w:t>(</w:t>
      </w:r>
      <w:r w:rsidR="00005BA6" w:rsidRPr="004A68AC">
        <w:rPr>
          <w:i/>
          <w:iCs/>
          <w:szCs w:val="17"/>
          <w:lang w:val="en-US"/>
        </w:rPr>
        <w:t>e.g.</w:t>
      </w:r>
      <w:r w:rsidR="00946900" w:rsidRPr="004A68AC">
        <w:rPr>
          <w:i/>
          <w:iCs/>
          <w:szCs w:val="17"/>
          <w:lang w:val="en-US"/>
        </w:rPr>
        <w:t>,</w:t>
      </w:r>
      <w:r w:rsidR="00005BA6" w:rsidRPr="004A68AC">
        <w:rPr>
          <w:szCs w:val="17"/>
          <w:lang w:val="en-US"/>
        </w:rPr>
        <w:t xml:space="preserve"> ATC-14 </w:t>
      </w:r>
      <w:r w:rsidR="00005BA6" w:rsidRPr="004A68AC">
        <w:rPr>
          <w:szCs w:val="17"/>
          <w:lang w:val="en-US"/>
        </w:rPr>
        <w:fldChar w:fldCharType="begin" w:fldLock="1"/>
      </w:r>
      <w:r w:rsidR="000E577D" w:rsidRPr="004A68AC">
        <w:rPr>
          <w:szCs w:val="17"/>
          <w:lang w:val="en-US"/>
        </w:rPr>
        <w:instrText>ADDIN CSL_CITATION {"citationItems":[{"id":"ITEM-1","itemData":{"author":[{"dropping-particle":"","family":"Applied Technology Council","given":"","non-dropping-particle":"","parse-names":false,"suffix":""}],"container-title":"ATC-14","id":"ITEM-1","issued":{"date-parts":[["1987"]]},"title":"Evaluating the Seismic Resistance of Existing Buildings","type":"article"},"uris":["http://www.mendeley.com/documents/?uuid=36d8f266-b7dd-4b2c-bd9c-f8b1f4800da9"]}],"mendeley":{"formattedCitation":"[9]","plainTextFormattedCitation":"[9]","previouslyFormattedCitation":"[9]"},"properties":{"noteIndex":0},"schema":"https://github.com/citation-style-language/schema/raw/master/csl-citation.json"}</w:instrText>
      </w:r>
      <w:r w:rsidR="00005BA6" w:rsidRPr="004A68AC">
        <w:rPr>
          <w:szCs w:val="17"/>
          <w:lang w:val="en-US"/>
        </w:rPr>
        <w:fldChar w:fldCharType="separate"/>
      </w:r>
      <w:r w:rsidR="00855F83" w:rsidRPr="004A68AC">
        <w:rPr>
          <w:noProof/>
          <w:szCs w:val="17"/>
          <w:lang w:val="en-US"/>
        </w:rPr>
        <w:t>[9]</w:t>
      </w:r>
      <w:r w:rsidR="00005BA6" w:rsidRPr="004A68AC">
        <w:rPr>
          <w:szCs w:val="17"/>
          <w:lang w:val="en-US"/>
        </w:rPr>
        <w:fldChar w:fldCharType="end"/>
      </w:r>
      <w:r w:rsidR="00005BA6" w:rsidRPr="004A68AC">
        <w:rPr>
          <w:szCs w:val="17"/>
          <w:lang w:val="en-US"/>
        </w:rPr>
        <w:t xml:space="preserve">) </w:t>
      </w:r>
      <w:r w:rsidR="000D0C34" w:rsidRPr="004A68AC">
        <w:rPr>
          <w:szCs w:val="17"/>
          <w:lang w:val="en-US"/>
        </w:rPr>
        <w:t xml:space="preserve">and often not adequate. For example, most of them </w:t>
      </w:r>
      <w:r w:rsidR="00454767" w:rsidRPr="004A68AC">
        <w:rPr>
          <w:szCs w:val="17"/>
          <w:lang w:val="en-US"/>
        </w:rPr>
        <w:t xml:space="preserve">aimed at </w:t>
      </w:r>
      <w:r w:rsidR="009E1ECE" w:rsidRPr="004A68AC">
        <w:rPr>
          <w:szCs w:val="17"/>
          <w:lang w:val="en-US"/>
        </w:rPr>
        <w:t xml:space="preserve">improving </w:t>
      </w:r>
      <w:r w:rsidR="00454767" w:rsidRPr="004A68AC">
        <w:rPr>
          <w:szCs w:val="17"/>
          <w:lang w:val="en-US"/>
        </w:rPr>
        <w:t xml:space="preserve">the seismic </w:t>
      </w:r>
      <w:r w:rsidR="00005BA6" w:rsidRPr="004A68AC">
        <w:rPr>
          <w:szCs w:val="17"/>
          <w:lang w:val="en-US"/>
        </w:rPr>
        <w:t xml:space="preserve">performance </w:t>
      </w:r>
      <w:r w:rsidR="00454767" w:rsidRPr="004A68AC">
        <w:rPr>
          <w:szCs w:val="17"/>
          <w:lang w:val="en-US"/>
        </w:rPr>
        <w:t xml:space="preserve">of existing structures to reach the safety requirements </w:t>
      </w:r>
      <w:r w:rsidR="00005BA6" w:rsidRPr="004A68AC">
        <w:rPr>
          <w:szCs w:val="17"/>
          <w:lang w:val="en-US"/>
        </w:rPr>
        <w:t>of newly design building</w:t>
      </w:r>
      <w:r w:rsidR="00454767" w:rsidRPr="004A68AC">
        <w:rPr>
          <w:szCs w:val="17"/>
          <w:lang w:val="en-US"/>
        </w:rPr>
        <w:t>s</w:t>
      </w:r>
      <w:r w:rsidR="00005BA6" w:rsidRPr="004A68AC">
        <w:rPr>
          <w:szCs w:val="17"/>
          <w:lang w:val="en-US"/>
        </w:rPr>
        <w:t xml:space="preserve">, which often resulted in prohibitive associated costs </w:t>
      </w:r>
      <w:r w:rsidR="00005BA6" w:rsidRPr="004A68AC">
        <w:rPr>
          <w:szCs w:val="17"/>
          <w:lang w:val="en-US"/>
        </w:rPr>
        <w:fldChar w:fldCharType="begin" w:fldLock="1"/>
      </w:r>
      <w:r w:rsidR="000E577D" w:rsidRPr="004A68AC">
        <w:rPr>
          <w:szCs w:val="17"/>
          <w:lang w:val="en-US"/>
        </w:rPr>
        <w:instrText>ADDIN CSL_CITATION {"citationItems":[{"id":"ITEM-1","itemData":{"abstract":"For the past 3 years the ASCE/SEI Standards Committee on Seismic Rehabilitation has been working to combine ASCE 31-03 into ASCE 41-06 while also updating both standards. The result of that humongous effort is the soon-to-be released ASCE 41-13: Seismic Evaluation and Retrofit of Existing Buildings. The new combined standard has eliminated any inconsistencies that previously existed between the two standards. Now the user decides if they want to go forward with lower performance objectives traditionally used for existing buildings, as was the case within ASCE 31 or an equivalent hazard to a new building, similar to the Basic Safety Objective in ASCE 41. In addition, the Tier 1 checklists have been significantly modified and reorganized. The use deficiency-only procedures (Tier 2) have been greatly expanded to regular buildings of greater heights. Plus, there have been a number of significant technical changes including updated analysis provisions with more emphasis on nonlinear response history analysis, provisions for bucking restrained braced frames, expanded liquefaction provisions, a new foundation rocking analysis procedure, substantially updated URM provisions, and a full updated Chapter on Seismic isolation and Energy dissipation.","author":[{"dropping-particle":"","family":"Pekelnicky","given":"Robert","non-dropping-particle":"","parse-names":false,"suffix":""},{"dropping-particle":"","family":"Poland","given":"Chris","non-dropping-particle":"","parse-names":false,"suffix":""}],"container-title":"SEAOC 2012 Convention Proceedings","id":"ITEM-1","issued":{"date-parts":[["2012"]]},"page":"1-12","title":"ASCE 41-13: Seismic Evaluation and Retrofit Rehabilitation of Existing Buildings","type":"paper-conference"},"uris":["http://www.mendeley.com/documents/?uuid=40a21c88-8661-4847-922b-5f06a2bb361b"]}],"mendeley":{"formattedCitation":"[10]","plainTextFormattedCitation":"[10]","previouslyFormattedCitation":"[10]"},"properties":{"noteIndex":0},"schema":"https://github.com/citation-style-language/schema/raw/master/csl-citation.json"}</w:instrText>
      </w:r>
      <w:r w:rsidR="00005BA6" w:rsidRPr="004A68AC">
        <w:rPr>
          <w:szCs w:val="17"/>
          <w:lang w:val="en-US"/>
        </w:rPr>
        <w:fldChar w:fldCharType="separate"/>
      </w:r>
      <w:r w:rsidR="00855F83" w:rsidRPr="004A68AC">
        <w:rPr>
          <w:noProof/>
          <w:szCs w:val="17"/>
          <w:lang w:val="en-US"/>
        </w:rPr>
        <w:t>[10]</w:t>
      </w:r>
      <w:r w:rsidR="00005BA6" w:rsidRPr="004A68AC">
        <w:rPr>
          <w:szCs w:val="17"/>
          <w:lang w:val="en-US"/>
        </w:rPr>
        <w:fldChar w:fldCharType="end"/>
      </w:r>
      <w:r w:rsidR="00CB26D1" w:rsidRPr="004A68AC">
        <w:rPr>
          <w:szCs w:val="17"/>
          <w:lang w:val="en-US"/>
        </w:rPr>
        <w:t xml:space="preserve">, or simply resulted </w:t>
      </w:r>
      <w:r w:rsidR="00447A54" w:rsidRPr="004A68AC">
        <w:rPr>
          <w:szCs w:val="17"/>
          <w:lang w:val="en-US"/>
        </w:rPr>
        <w:t>not practical</w:t>
      </w:r>
      <w:r w:rsidR="00CB26D1" w:rsidRPr="004A68AC">
        <w:rPr>
          <w:szCs w:val="17"/>
          <w:lang w:val="en-US"/>
        </w:rPr>
        <w:t xml:space="preserve"> due to the physical constraints of the </w:t>
      </w:r>
      <w:r w:rsidR="00C65056" w:rsidRPr="004A68AC">
        <w:rPr>
          <w:szCs w:val="17"/>
          <w:lang w:val="en-US"/>
        </w:rPr>
        <w:t>as-built system</w:t>
      </w:r>
      <w:r w:rsidR="00CB26D1" w:rsidRPr="004A68AC">
        <w:rPr>
          <w:szCs w:val="17"/>
          <w:lang w:val="en-US"/>
        </w:rPr>
        <w:t>.</w:t>
      </w:r>
      <w:r w:rsidR="009A2A89" w:rsidRPr="004A68AC">
        <w:rPr>
          <w:szCs w:val="17"/>
          <w:lang w:val="en-US"/>
        </w:rPr>
        <w:t xml:space="preserve"> </w:t>
      </w:r>
      <w:r w:rsidR="0060193F" w:rsidRPr="004A68AC">
        <w:rPr>
          <w:lang w:val="en-US"/>
        </w:rPr>
        <w:t xml:space="preserve">This </w:t>
      </w:r>
      <w:r w:rsidR="00C515EC" w:rsidRPr="004A68AC">
        <w:rPr>
          <w:lang w:val="en-US"/>
        </w:rPr>
        <w:t xml:space="preserve">promoted </w:t>
      </w:r>
      <w:r w:rsidR="0060193F" w:rsidRPr="004A68AC">
        <w:rPr>
          <w:lang w:val="en-US"/>
        </w:rPr>
        <w:t xml:space="preserve">an extensive effort </w:t>
      </w:r>
      <w:r w:rsidR="00C515EC" w:rsidRPr="004A68AC">
        <w:rPr>
          <w:lang w:val="en-US"/>
        </w:rPr>
        <w:t xml:space="preserve">from the research community in </w:t>
      </w:r>
      <w:r w:rsidR="000D0C34" w:rsidRPr="004A68AC">
        <w:rPr>
          <w:lang w:val="en-US"/>
        </w:rPr>
        <w:t>producing</w:t>
      </w:r>
      <w:r w:rsidR="00C515EC" w:rsidRPr="004A68AC">
        <w:rPr>
          <w:lang w:val="en-US"/>
        </w:rPr>
        <w:t xml:space="preserve"> more advanced </w:t>
      </w:r>
      <w:r w:rsidR="00962CDF" w:rsidRPr="004A68AC">
        <w:rPr>
          <w:lang w:val="en-US"/>
        </w:rPr>
        <w:t xml:space="preserve">seismic performance and risk </w:t>
      </w:r>
      <w:r w:rsidR="00CB26D1" w:rsidRPr="004A68AC">
        <w:rPr>
          <w:lang w:val="en-US"/>
        </w:rPr>
        <w:t xml:space="preserve">assessment </w:t>
      </w:r>
      <w:r w:rsidR="000D0C34" w:rsidRPr="004A68AC">
        <w:rPr>
          <w:lang w:val="en-US"/>
        </w:rPr>
        <w:t>procedures</w:t>
      </w:r>
      <w:r w:rsidR="00F5026E" w:rsidRPr="004A68AC">
        <w:rPr>
          <w:lang w:val="en-US"/>
        </w:rPr>
        <w:t>.</w:t>
      </w:r>
    </w:p>
    <w:p w14:paraId="19D70FF5" w14:textId="77777777" w:rsidR="00DF3BB3" w:rsidRPr="004A68AC" w:rsidRDefault="00DF3BB3" w:rsidP="00946900">
      <w:pPr>
        <w:rPr>
          <w:lang w:val="en-US"/>
        </w:rPr>
      </w:pPr>
    </w:p>
    <w:p w14:paraId="1AED8A46" w14:textId="3BBFAA22" w:rsidR="0060193F" w:rsidRPr="004A68AC" w:rsidRDefault="009A2A89" w:rsidP="00946900">
      <w:pPr>
        <w:rPr>
          <w:szCs w:val="17"/>
          <w:lang w:val="en-US"/>
        </w:rPr>
      </w:pPr>
      <w:r w:rsidRPr="004A68AC">
        <w:rPr>
          <w:lang w:val="en-US"/>
        </w:rPr>
        <w:t xml:space="preserve">     </w:t>
      </w:r>
      <w:r w:rsidR="0022022E" w:rsidRPr="004A68AC">
        <w:rPr>
          <w:lang w:val="en-US"/>
        </w:rPr>
        <w:t>In</w:t>
      </w:r>
      <w:r w:rsidR="00E51F07" w:rsidRPr="004A68AC">
        <w:rPr>
          <w:lang w:val="en-US"/>
        </w:rPr>
        <w:t xml:space="preserve"> the early 1990s, </w:t>
      </w:r>
      <w:r w:rsidR="0060193F" w:rsidRPr="004A68AC">
        <w:rPr>
          <w:lang w:val="en-US"/>
        </w:rPr>
        <w:t xml:space="preserve">the European Committee for Standardization (CEN) was commissioned with producing the first draft of </w:t>
      </w:r>
      <w:r w:rsidR="00E51F07" w:rsidRPr="004A68AC">
        <w:rPr>
          <w:lang w:val="en-US"/>
        </w:rPr>
        <w:t xml:space="preserve">structural </w:t>
      </w:r>
      <w:r w:rsidR="0060193F" w:rsidRPr="004A68AC">
        <w:rPr>
          <w:lang w:val="en-US"/>
        </w:rPr>
        <w:t xml:space="preserve">pre-standards to replace the national building regulations from each Member State </w:t>
      </w:r>
      <w:r w:rsidR="0060193F" w:rsidRPr="004A68AC">
        <w:rPr>
          <w:lang w:val="en-US"/>
        </w:rPr>
        <w:fldChar w:fldCharType="begin" w:fldLock="1"/>
      </w:r>
      <w:r w:rsidR="000E577D" w:rsidRPr="004A68AC">
        <w:rPr>
          <w:lang w:val="en-US"/>
        </w:rPr>
        <w:instrText>ADDIN CSL_CITATION {"citationItems":[{"id":"ITEM-1","itemData":{"abstract":"The technical contents of the recently approved Part 1 of Eurocode 8: General rules, seismic actions, rules for buildings [1] and of draft Part 3: Assessment and retrofitting of buildings [2] are reviewed, along with the procedure for the upcoming enforcement of the 1st generation of European structural design standards. Possible future technical developments towards the 2nd generation of these parts of EC8 are highlighted.","author":[{"dropping-particle":"","family":"Fardis","given":"Michael N.","non-dropping-particle":"","parse-names":false,"suffix":""}],"container-title":"13th World Conference on Earthquake Engineering","id":"ITEM-1","issue":"2025","issued":{"date-parts":[["2004"]]},"page":"15","title":"Current Developments and Future Prospects of the European Code for Seismic Design and Rehabilitation of Buildings: Eurocode 8","type":"article-journal","volume":"2"},"uris":["http://www.mendeley.com/documents/?uuid=6d5fc70f-4f8f-4d9c-8e7c-0a2d59d8a2d9"]}],"mendeley":{"formattedCitation":"[11]","plainTextFormattedCitation":"[11]","previouslyFormattedCitation":"[11]"},"properties":{"noteIndex":0},"schema":"https://github.com/citation-style-language/schema/raw/master/csl-citation.json"}</w:instrText>
      </w:r>
      <w:r w:rsidR="0060193F" w:rsidRPr="004A68AC">
        <w:rPr>
          <w:lang w:val="en-US"/>
        </w:rPr>
        <w:fldChar w:fldCharType="separate"/>
      </w:r>
      <w:r w:rsidR="00855F83" w:rsidRPr="004A68AC">
        <w:rPr>
          <w:noProof/>
          <w:lang w:val="en-US"/>
        </w:rPr>
        <w:t>[11]</w:t>
      </w:r>
      <w:r w:rsidR="0060193F" w:rsidRPr="004A68AC">
        <w:rPr>
          <w:lang w:val="en-US"/>
        </w:rPr>
        <w:fldChar w:fldCharType="end"/>
      </w:r>
      <w:r w:rsidR="0060193F" w:rsidRPr="004A68AC">
        <w:rPr>
          <w:lang w:val="en-US"/>
        </w:rPr>
        <w:t>. This resulted in the publication of the pre-standards for the Eurocodes, including the</w:t>
      </w:r>
      <w:r w:rsidR="00E51F07" w:rsidRPr="004A68AC">
        <w:rPr>
          <w:lang w:val="en-US"/>
        </w:rPr>
        <w:t xml:space="preserve"> 1996</w:t>
      </w:r>
      <w:r w:rsidR="0060193F" w:rsidRPr="004A68AC">
        <w:rPr>
          <w:lang w:val="en-US"/>
        </w:rPr>
        <w:t xml:space="preserve"> </w:t>
      </w:r>
      <w:r w:rsidR="0063268E" w:rsidRPr="004A68AC">
        <w:rPr>
          <w:lang w:val="en-US"/>
        </w:rPr>
        <w:t xml:space="preserve">Eurocode </w:t>
      </w:r>
      <w:r w:rsidR="0094275C" w:rsidRPr="004A68AC">
        <w:rPr>
          <w:noProof/>
          <w:lang w:val="en-US"/>
        </w:rPr>
        <w:t xml:space="preserve">8-1-4 </w:t>
      </w:r>
      <w:r w:rsidR="0060193F" w:rsidRPr="004A68AC">
        <w:rPr>
          <w:lang w:val="en-US"/>
        </w:rPr>
        <w:fldChar w:fldCharType="begin" w:fldLock="1"/>
      </w:r>
      <w:r w:rsidR="000E577D" w:rsidRPr="004A68AC">
        <w:rPr>
          <w:lang w:val="en-US"/>
        </w:rPr>
        <w:instrText>ADDIN CSL_CITATION {"citationItems":[{"id":"ITEM-1","itemData":{"author":[{"dropping-particle":"","family":"European Committe for Standarization","given":"","non-dropping-particle":"","parse-names":false,"suffix":""}],"container-title":"ENV 1998-1-4","id":"ITEM-1","issued":{"date-parts":[["1996"]]},"title":"Eurocode 8: Design Provisions for Earthquake Resistance of Structures. General Rules - Strengthening and Repair of Buildings","type":"article-journal"},"uris":["http://www.mendeley.com/documents/?uuid=7e57f610-a106-4b69-a584-be99ac934014"]}],"mendeley":{"formattedCitation":"[12]","plainTextFormattedCitation":"[12]","previouslyFormattedCitation":"[12]"},"properties":{"noteIndex":0},"schema":"https://github.com/citation-style-language/schema/raw/master/csl-citation.json"}</w:instrText>
      </w:r>
      <w:r w:rsidR="0060193F" w:rsidRPr="004A68AC">
        <w:rPr>
          <w:lang w:val="en-US"/>
        </w:rPr>
        <w:fldChar w:fldCharType="separate"/>
      </w:r>
      <w:r w:rsidR="00855F83" w:rsidRPr="004A68AC">
        <w:rPr>
          <w:noProof/>
          <w:lang w:val="en-US"/>
        </w:rPr>
        <w:t>[12]</w:t>
      </w:r>
      <w:r w:rsidR="0060193F" w:rsidRPr="004A68AC">
        <w:rPr>
          <w:lang w:val="en-US"/>
        </w:rPr>
        <w:fldChar w:fldCharType="end"/>
      </w:r>
      <w:r w:rsidR="0060193F" w:rsidRPr="004A68AC">
        <w:rPr>
          <w:lang w:val="en-US"/>
        </w:rPr>
        <w:t>, which</w:t>
      </w:r>
      <w:r w:rsidR="00E51F07" w:rsidRPr="004A68AC">
        <w:rPr>
          <w:lang w:val="en-US"/>
        </w:rPr>
        <w:t xml:space="preserve"> focused on the assessment</w:t>
      </w:r>
      <w:r w:rsidR="00992493" w:rsidRPr="004A68AC">
        <w:rPr>
          <w:lang w:val="en-US"/>
        </w:rPr>
        <w:t xml:space="preserve"> and retrofit</w:t>
      </w:r>
      <w:r w:rsidR="00E51F07" w:rsidRPr="004A68AC">
        <w:rPr>
          <w:lang w:val="en-US"/>
        </w:rPr>
        <w:t xml:space="preserve"> of existing structures</w:t>
      </w:r>
      <w:r w:rsidR="0060193F" w:rsidRPr="004A68AC">
        <w:rPr>
          <w:lang w:val="en-US"/>
        </w:rPr>
        <w:t xml:space="preserve">. Later, in 2005, the CEN approved and published the EC8-3 </w:t>
      </w:r>
      <w:r w:rsidR="0060193F"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60193F" w:rsidRPr="004A68AC">
        <w:rPr>
          <w:lang w:val="en-US"/>
        </w:rPr>
        <w:fldChar w:fldCharType="separate"/>
      </w:r>
      <w:r w:rsidR="00855F83" w:rsidRPr="004A68AC">
        <w:rPr>
          <w:noProof/>
          <w:lang w:val="en-US"/>
        </w:rPr>
        <w:t>[13]</w:t>
      </w:r>
      <w:r w:rsidR="0060193F" w:rsidRPr="004A68AC">
        <w:rPr>
          <w:lang w:val="en-US"/>
        </w:rPr>
        <w:fldChar w:fldCharType="end"/>
      </w:r>
      <w:r w:rsidR="0060193F" w:rsidRPr="004A68AC">
        <w:rPr>
          <w:lang w:val="en-US"/>
        </w:rPr>
        <w:t xml:space="preserve">, which, </w:t>
      </w:r>
      <w:r w:rsidR="00111592" w:rsidRPr="004A68AC">
        <w:rPr>
          <w:lang w:val="en-US"/>
        </w:rPr>
        <w:t xml:space="preserve">is the current </w:t>
      </w:r>
      <w:r w:rsidR="00E51F07" w:rsidRPr="004A68AC">
        <w:rPr>
          <w:lang w:val="en-US"/>
        </w:rPr>
        <w:t xml:space="preserve">structural </w:t>
      </w:r>
      <w:r w:rsidR="0060193F" w:rsidRPr="004A68AC">
        <w:rPr>
          <w:lang w:val="en-US"/>
        </w:rPr>
        <w:t xml:space="preserve">assessment code </w:t>
      </w:r>
      <w:r w:rsidR="00B000D9" w:rsidRPr="004A68AC">
        <w:rPr>
          <w:lang w:val="en-US"/>
        </w:rPr>
        <w:t xml:space="preserve">adopted </w:t>
      </w:r>
      <w:r w:rsidR="0060193F" w:rsidRPr="004A68AC">
        <w:rPr>
          <w:lang w:val="en-US"/>
        </w:rPr>
        <w:t xml:space="preserve">in </w:t>
      </w:r>
      <w:r w:rsidR="0005311A" w:rsidRPr="004A68AC">
        <w:rPr>
          <w:lang w:val="en-US"/>
        </w:rPr>
        <w:t>most Europe</w:t>
      </w:r>
      <w:r w:rsidR="00111592" w:rsidRPr="004A68AC">
        <w:rPr>
          <w:lang w:val="en-US"/>
        </w:rPr>
        <w:t>an countries</w:t>
      </w:r>
      <w:r w:rsidR="0060193F" w:rsidRPr="004A68AC">
        <w:rPr>
          <w:lang w:val="en-US"/>
        </w:rPr>
        <w:t>.</w:t>
      </w:r>
      <w:r w:rsidR="00570E77" w:rsidRPr="004A68AC">
        <w:rPr>
          <w:lang w:val="en-US"/>
        </w:rPr>
        <w:t xml:space="preserve"> </w:t>
      </w:r>
      <w:r w:rsidR="0060193F" w:rsidRPr="004A68AC">
        <w:rPr>
          <w:lang w:val="en-US"/>
        </w:rPr>
        <w:t xml:space="preserve">Although the EC8-3 </w:t>
      </w:r>
      <w:r w:rsidR="0060193F"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60193F" w:rsidRPr="004A68AC">
        <w:rPr>
          <w:lang w:val="en-US"/>
        </w:rPr>
        <w:fldChar w:fldCharType="separate"/>
      </w:r>
      <w:r w:rsidR="00855F83" w:rsidRPr="004A68AC">
        <w:rPr>
          <w:noProof/>
          <w:lang w:val="en-US"/>
        </w:rPr>
        <w:t>[13]</w:t>
      </w:r>
      <w:r w:rsidR="0060193F" w:rsidRPr="004A68AC">
        <w:rPr>
          <w:lang w:val="en-US"/>
        </w:rPr>
        <w:fldChar w:fldCharType="end"/>
      </w:r>
      <w:r w:rsidR="0060193F" w:rsidRPr="004A68AC">
        <w:rPr>
          <w:lang w:val="en-US"/>
        </w:rPr>
        <w:t xml:space="preserve"> does not explicitly recognize it, a significant amount of similarities to FEMA 356 </w:t>
      </w:r>
      <w:r w:rsidR="0060193F" w:rsidRPr="004A68AC">
        <w:rPr>
          <w:lang w:val="en-US"/>
        </w:rPr>
        <w:fldChar w:fldCharType="begin" w:fldLock="1"/>
      </w:r>
      <w:r w:rsidR="00F534F9" w:rsidRPr="004A68AC">
        <w:rPr>
          <w:lang w:val="en-US"/>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0060193F" w:rsidRPr="004A68AC">
        <w:rPr>
          <w:lang w:val="en-US"/>
        </w:rPr>
        <w:fldChar w:fldCharType="separate"/>
      </w:r>
      <w:r w:rsidR="00855F83" w:rsidRPr="004A68AC">
        <w:rPr>
          <w:noProof/>
          <w:lang w:val="en-US"/>
        </w:rPr>
        <w:t>[14]</w:t>
      </w:r>
      <w:r w:rsidR="0060193F" w:rsidRPr="004A68AC">
        <w:rPr>
          <w:lang w:val="en-US"/>
        </w:rPr>
        <w:fldChar w:fldCharType="end"/>
      </w:r>
      <w:r w:rsidR="000D0C34" w:rsidRPr="004A68AC">
        <w:rPr>
          <w:lang w:val="en-US"/>
        </w:rPr>
        <w:t>,</w:t>
      </w:r>
      <w:r w:rsidR="0060193F" w:rsidRPr="004A68AC">
        <w:rPr>
          <w:lang w:val="en-US"/>
        </w:rPr>
        <w:t xml:space="preserve"> suggest that the development of the code was heavily adapted </w:t>
      </w:r>
      <w:r w:rsidR="00992493" w:rsidRPr="004A68AC">
        <w:rPr>
          <w:lang w:val="en-US"/>
        </w:rPr>
        <w:t>from the la</w:t>
      </w:r>
      <w:r w:rsidR="000D0C34" w:rsidRPr="004A68AC">
        <w:rPr>
          <w:lang w:val="en-US"/>
        </w:rPr>
        <w:t>t</w:t>
      </w:r>
      <w:r w:rsidR="00992493" w:rsidRPr="004A68AC">
        <w:rPr>
          <w:lang w:val="en-US"/>
        </w:rPr>
        <w:t>ter</w:t>
      </w:r>
      <w:r w:rsidR="0060193F" w:rsidRPr="004A68AC">
        <w:rPr>
          <w:lang w:val="en-US"/>
        </w:rPr>
        <w:t xml:space="preserve"> </w:t>
      </w:r>
      <w:r w:rsidR="0060193F" w:rsidRPr="004A68AC">
        <w:rPr>
          <w:lang w:val="en-US"/>
        </w:rPr>
        <w:fldChar w:fldCharType="begin" w:fldLock="1"/>
      </w:r>
      <w:r w:rsidR="000E577D" w:rsidRPr="004A68AC">
        <w:rPr>
          <w:lang w:val="en-US"/>
        </w:rPr>
        <w:instrText>ADDIN CSL_CITATION {"citationItems":[{"id":"ITEM-1","itemData":{"DOI":"10.1080/13632469.2016.1277568","ISSN":"13632469","abstract":"The publication of Part 3 of Eurocode 8 (EC8-3), dedicated to the seismic assessment of existing buildings, took place a decade ago. However, its application in engineering practice has been limited. Moreover, no studies have been conducted regarding the application of EC8-3 to steel structures. In this paper, a critical review and practical application of EC8-3 and ASCE41-13 are carried out. Issues related to the definition of the performance requirements, compliance criteria, and the consistency of the analysis procedures proposed by both standards are identified. Conceptual differences between both documents are highlighted, and several inconsistencies in EC8-3 are discussed.","author":[{"dropping-particle":"","family":"Araújo","given":"Miguel","non-dropping-particle":"","parse-names":false,"suffix":""},{"dropping-particle":"","family":"Castro","given":"José Miguel","non-dropping-particle":"","parse-names":false,"suffix":""}],"container-title":"Journal of Earthquake Engineering","id":"ITEM-1","issue":"8","issued":{"date-parts":[["2018"]]},"page":"1336-1364","publisher":"Taylor &amp; Francis","title":"A Critical Review of European and American Provisions for the Seismic Assessment of Existing Steel Moment-Resisting Frame Buildings","type":"article-journal","volume":"22"},"uris":["http://www.mendeley.com/documents/?uuid=a57b2080-830d-4bc1-ae89-c285ff6fddf9"]}],"mendeley":{"formattedCitation":"[7]","plainTextFormattedCitation":"[7]","previouslyFormattedCitation":"[7]"},"properties":{"noteIndex":0},"schema":"https://github.com/citation-style-language/schema/raw/master/csl-citation.json"}</w:instrText>
      </w:r>
      <w:r w:rsidR="0060193F" w:rsidRPr="004A68AC">
        <w:rPr>
          <w:lang w:val="en-US"/>
        </w:rPr>
        <w:fldChar w:fldCharType="separate"/>
      </w:r>
      <w:r w:rsidR="00855F83" w:rsidRPr="004A68AC">
        <w:rPr>
          <w:noProof/>
          <w:lang w:val="en-US"/>
        </w:rPr>
        <w:t>[7]</w:t>
      </w:r>
      <w:r w:rsidR="0060193F" w:rsidRPr="004A68AC">
        <w:rPr>
          <w:lang w:val="en-US"/>
        </w:rPr>
        <w:fldChar w:fldCharType="end"/>
      </w:r>
      <w:r w:rsidR="0060193F" w:rsidRPr="004A68AC">
        <w:rPr>
          <w:lang w:val="en-US"/>
        </w:rPr>
        <w:t>, rather than from its</w:t>
      </w:r>
      <w:r w:rsidR="00992493" w:rsidRPr="004A68AC">
        <w:rPr>
          <w:lang w:val="en-US"/>
        </w:rPr>
        <w:t xml:space="preserve"> own</w:t>
      </w:r>
      <w:r w:rsidR="0060193F" w:rsidRPr="004A68AC">
        <w:rPr>
          <w:lang w:val="en-US"/>
        </w:rPr>
        <w:t xml:space="preserve"> pre-standard </w:t>
      </w:r>
      <w:r w:rsidR="0060193F" w:rsidRPr="004A68AC">
        <w:rPr>
          <w:lang w:val="en-US"/>
        </w:rPr>
        <w:fldChar w:fldCharType="begin" w:fldLock="1"/>
      </w:r>
      <w:r w:rsidR="000E577D" w:rsidRPr="004A68AC">
        <w:rPr>
          <w:lang w:val="en-US"/>
        </w:rPr>
        <w:instrText>ADDIN CSL_CITATION {"citationItems":[{"id":"ITEM-1","itemData":{"author":[{"dropping-particle":"","family":"European Committe for Standarization","given":"","non-dropping-particle":"","parse-names":false,"suffix":""}],"container-title":"ENV 1998-1-4","id":"ITEM-1","issued":{"date-parts":[["1996"]]},"title":"Eurocode 8: Design Provisions for Earthquake Resistance of Structures. General Rules - Strengthening and Repair of Buildings","type":"article-journal"},"uris":["http://www.mendeley.com/documents/?uuid=7e57f610-a106-4b69-a584-be99ac934014"]}],"mendeley":{"formattedCitation":"[12]","plainTextFormattedCitation":"[12]","previouslyFormattedCitation":"[12]"},"properties":{"noteIndex":0},"schema":"https://github.com/citation-style-language/schema/raw/master/csl-citation.json"}</w:instrText>
      </w:r>
      <w:r w:rsidR="0060193F" w:rsidRPr="004A68AC">
        <w:rPr>
          <w:lang w:val="en-US"/>
        </w:rPr>
        <w:fldChar w:fldCharType="separate"/>
      </w:r>
      <w:r w:rsidR="00855F83" w:rsidRPr="004A68AC">
        <w:rPr>
          <w:noProof/>
          <w:lang w:val="en-US"/>
        </w:rPr>
        <w:t>[12]</w:t>
      </w:r>
      <w:r w:rsidR="0060193F" w:rsidRPr="004A68AC">
        <w:rPr>
          <w:lang w:val="en-US"/>
        </w:rPr>
        <w:fldChar w:fldCharType="end"/>
      </w:r>
      <w:r w:rsidR="0060193F" w:rsidRPr="004A68AC">
        <w:rPr>
          <w:lang w:val="en-US"/>
        </w:rPr>
        <w:t xml:space="preserve">. </w:t>
      </w:r>
      <w:r w:rsidRPr="004A68AC">
        <w:rPr>
          <w:szCs w:val="17"/>
          <w:lang w:val="en-US"/>
        </w:rPr>
        <w:t>For example, t</w:t>
      </w:r>
      <w:r w:rsidR="0060193F" w:rsidRPr="004A68AC">
        <w:rPr>
          <w:szCs w:val="17"/>
          <w:lang w:val="en-US"/>
        </w:rPr>
        <w:t xml:space="preserve">he EC8-3 </w:t>
      </w:r>
      <w:r w:rsidR="0060193F"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60193F" w:rsidRPr="004A68AC">
        <w:rPr>
          <w:lang w:val="en-US"/>
        </w:rPr>
        <w:fldChar w:fldCharType="separate"/>
      </w:r>
      <w:r w:rsidR="00855F83" w:rsidRPr="004A68AC">
        <w:rPr>
          <w:noProof/>
          <w:lang w:val="en-US"/>
        </w:rPr>
        <w:t>[13]</w:t>
      </w:r>
      <w:r w:rsidR="0060193F" w:rsidRPr="004A68AC">
        <w:rPr>
          <w:lang w:val="en-US"/>
        </w:rPr>
        <w:fldChar w:fldCharType="end"/>
      </w:r>
      <w:r w:rsidR="0060193F" w:rsidRPr="004A68AC">
        <w:rPr>
          <w:szCs w:val="17"/>
          <w:lang w:val="en-US"/>
        </w:rPr>
        <w:t xml:space="preserve"> defines three qualitative limit states in a performance-based framework, corresponding to different levels of the expected damage</w:t>
      </w:r>
      <w:r w:rsidRPr="004A68AC">
        <w:rPr>
          <w:szCs w:val="17"/>
          <w:lang w:val="en-US"/>
        </w:rPr>
        <w:t>, which are</w:t>
      </w:r>
      <w:r w:rsidR="00570E77" w:rsidRPr="004A68AC">
        <w:rPr>
          <w:szCs w:val="17"/>
          <w:lang w:val="en-US"/>
        </w:rPr>
        <w:t xml:space="preserve"> qualitatively defined in a</w:t>
      </w:r>
      <w:r w:rsidR="0060193F" w:rsidRPr="004A68AC">
        <w:rPr>
          <w:szCs w:val="17"/>
          <w:lang w:val="en-US"/>
        </w:rPr>
        <w:t xml:space="preserve"> similar </w:t>
      </w:r>
      <w:r w:rsidR="00D874AD" w:rsidRPr="004A68AC">
        <w:rPr>
          <w:szCs w:val="17"/>
          <w:lang w:val="en-US"/>
        </w:rPr>
        <w:t xml:space="preserve">way </w:t>
      </w:r>
      <w:r w:rsidR="0060193F" w:rsidRPr="004A68AC">
        <w:rPr>
          <w:szCs w:val="17"/>
          <w:lang w:val="en-US"/>
        </w:rPr>
        <w:t xml:space="preserve">to the ones proposed in the FEMA 356 </w:t>
      </w:r>
      <w:r w:rsidR="0060193F" w:rsidRPr="004A68AC">
        <w:rPr>
          <w:szCs w:val="17"/>
          <w:lang w:val="en-US"/>
        </w:rPr>
        <w:fldChar w:fldCharType="begin" w:fldLock="1"/>
      </w:r>
      <w:r w:rsidR="00F534F9" w:rsidRPr="004A68AC">
        <w:rPr>
          <w:szCs w:val="17"/>
          <w:lang w:val="en-US"/>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0060193F" w:rsidRPr="004A68AC">
        <w:rPr>
          <w:szCs w:val="17"/>
          <w:lang w:val="en-US"/>
        </w:rPr>
        <w:fldChar w:fldCharType="separate"/>
      </w:r>
      <w:r w:rsidR="00855F83" w:rsidRPr="004A68AC">
        <w:rPr>
          <w:noProof/>
          <w:szCs w:val="17"/>
          <w:lang w:val="en-US"/>
        </w:rPr>
        <w:t>[14]</w:t>
      </w:r>
      <w:r w:rsidR="0060193F" w:rsidRPr="004A68AC">
        <w:rPr>
          <w:szCs w:val="17"/>
          <w:lang w:val="en-US"/>
        </w:rPr>
        <w:fldChar w:fldCharType="end"/>
      </w:r>
      <w:r w:rsidR="0060193F" w:rsidRPr="004A68AC">
        <w:rPr>
          <w:szCs w:val="17"/>
          <w:lang w:val="en-US"/>
        </w:rPr>
        <w:t>.</w:t>
      </w:r>
      <w:r w:rsidRPr="004A68AC">
        <w:rPr>
          <w:szCs w:val="17"/>
          <w:lang w:val="en-US"/>
        </w:rPr>
        <w:t xml:space="preserve"> In addition, several parameters associated </w:t>
      </w:r>
      <w:r w:rsidR="00FA43F7" w:rsidRPr="004A68AC">
        <w:rPr>
          <w:szCs w:val="17"/>
          <w:lang w:val="en-US"/>
        </w:rPr>
        <w:t xml:space="preserve">with </w:t>
      </w:r>
      <w:r w:rsidRPr="004A68AC">
        <w:rPr>
          <w:szCs w:val="17"/>
          <w:lang w:val="en-US"/>
        </w:rPr>
        <w:t xml:space="preserve">these </w:t>
      </w:r>
      <w:r w:rsidR="00BB55C4" w:rsidRPr="004A68AC">
        <w:rPr>
          <w:szCs w:val="17"/>
          <w:lang w:val="en-US"/>
        </w:rPr>
        <w:t>limit state</w:t>
      </w:r>
      <w:r w:rsidRPr="004A68AC">
        <w:rPr>
          <w:szCs w:val="17"/>
          <w:lang w:val="en-US"/>
        </w:rPr>
        <w:t>s are shared between these codes</w:t>
      </w:r>
      <w:r w:rsidR="00DE5E33" w:rsidRPr="004A68AC">
        <w:rPr>
          <w:szCs w:val="17"/>
          <w:lang w:val="en-US"/>
        </w:rPr>
        <w:t xml:space="preserve">, while others are simply adapted to the European </w:t>
      </w:r>
      <w:r w:rsidR="009C6512" w:rsidRPr="004A68AC">
        <w:rPr>
          <w:szCs w:val="17"/>
          <w:lang w:val="en-US"/>
        </w:rPr>
        <w:t>regulations’</w:t>
      </w:r>
      <w:r w:rsidR="00DE5E33" w:rsidRPr="004A68AC">
        <w:rPr>
          <w:szCs w:val="17"/>
          <w:lang w:val="en-US"/>
        </w:rPr>
        <w:t xml:space="preserve"> context.</w:t>
      </w:r>
    </w:p>
    <w:p w14:paraId="65DDAD35" w14:textId="77777777" w:rsidR="00DF3BB3" w:rsidRPr="004A68AC" w:rsidRDefault="00DF3BB3" w:rsidP="00946900">
      <w:pPr>
        <w:rPr>
          <w:szCs w:val="17"/>
          <w:lang w:val="en-US"/>
        </w:rPr>
      </w:pPr>
    </w:p>
    <w:p w14:paraId="0B71AEFC" w14:textId="3F46E5B3" w:rsidR="00E5729F" w:rsidRPr="004A68AC" w:rsidRDefault="008C5EF2" w:rsidP="00627932">
      <w:pPr>
        <w:rPr>
          <w:szCs w:val="17"/>
          <w:lang w:val="en-US"/>
        </w:rPr>
      </w:pPr>
      <w:r w:rsidRPr="004A68AC">
        <w:rPr>
          <w:lang w:val="en-US"/>
        </w:rPr>
        <w:t xml:space="preserve">     </w:t>
      </w:r>
      <w:r w:rsidR="006F0AC6" w:rsidRPr="004A68AC">
        <w:rPr>
          <w:szCs w:val="17"/>
          <w:lang w:val="en-US"/>
        </w:rPr>
        <w:t>I</w:t>
      </w:r>
      <w:r w:rsidR="00317657" w:rsidRPr="004A68AC">
        <w:rPr>
          <w:szCs w:val="17"/>
          <w:lang w:val="en-US"/>
        </w:rPr>
        <w:t xml:space="preserve">n 2006, </w:t>
      </w:r>
      <w:r w:rsidR="00B31B2D" w:rsidRPr="004A68AC">
        <w:rPr>
          <w:szCs w:val="17"/>
          <w:lang w:val="en-US"/>
        </w:rPr>
        <w:t>the Ame</w:t>
      </w:r>
      <w:r w:rsidR="00BC2112" w:rsidRPr="004A68AC">
        <w:rPr>
          <w:szCs w:val="17"/>
          <w:lang w:val="en-US"/>
        </w:rPr>
        <w:t>rican Society of Civil Engineers</w:t>
      </w:r>
      <w:r w:rsidR="00B31B2D" w:rsidRPr="004A68AC">
        <w:rPr>
          <w:szCs w:val="17"/>
          <w:lang w:val="en-US"/>
        </w:rPr>
        <w:t xml:space="preserve"> (</w:t>
      </w:r>
      <w:r w:rsidR="00317657" w:rsidRPr="004A68AC">
        <w:rPr>
          <w:szCs w:val="17"/>
          <w:lang w:val="en-US"/>
        </w:rPr>
        <w:t>ASCE</w:t>
      </w:r>
      <w:r w:rsidR="00B31B2D" w:rsidRPr="004A68AC">
        <w:rPr>
          <w:szCs w:val="17"/>
          <w:lang w:val="en-US"/>
        </w:rPr>
        <w:t>)</w:t>
      </w:r>
      <w:r w:rsidR="00317657" w:rsidRPr="004A68AC">
        <w:rPr>
          <w:szCs w:val="17"/>
          <w:lang w:val="en-US"/>
        </w:rPr>
        <w:t xml:space="preserve"> released the </w:t>
      </w:r>
      <w:r w:rsidR="009630B4" w:rsidRPr="004A68AC">
        <w:rPr>
          <w:szCs w:val="17"/>
          <w:lang w:val="en-US"/>
        </w:rPr>
        <w:t>ASCE 41</w:t>
      </w:r>
      <w:r w:rsidR="00317657" w:rsidRPr="004A68AC">
        <w:rPr>
          <w:szCs w:val="17"/>
          <w:lang w:val="en-US"/>
        </w:rPr>
        <w:t xml:space="preserve">-06 </w:t>
      </w:r>
      <w:r w:rsidR="00317657"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317657" w:rsidRPr="004A68AC">
        <w:rPr>
          <w:szCs w:val="17"/>
          <w:lang w:val="en-US"/>
        </w:rPr>
        <w:fldChar w:fldCharType="separate"/>
      </w:r>
      <w:r w:rsidR="00B339CD" w:rsidRPr="004A68AC">
        <w:rPr>
          <w:noProof/>
          <w:szCs w:val="17"/>
          <w:lang w:val="en-US"/>
        </w:rPr>
        <w:t>[15]</w:t>
      </w:r>
      <w:r w:rsidR="00317657" w:rsidRPr="004A68AC">
        <w:rPr>
          <w:szCs w:val="17"/>
          <w:lang w:val="en-US"/>
        </w:rPr>
        <w:fldChar w:fldCharType="end"/>
      </w:r>
      <w:r w:rsidR="00317657" w:rsidRPr="004A68AC">
        <w:rPr>
          <w:szCs w:val="17"/>
          <w:lang w:val="en-US"/>
        </w:rPr>
        <w:t xml:space="preserve">, as an update to FEMA 356 </w:t>
      </w:r>
      <w:r w:rsidR="00317657" w:rsidRPr="004A68AC">
        <w:rPr>
          <w:lang w:val="en-US"/>
        </w:rPr>
        <w:fldChar w:fldCharType="begin" w:fldLock="1"/>
      </w:r>
      <w:r w:rsidR="00F534F9" w:rsidRPr="004A68AC">
        <w:rPr>
          <w:lang w:val="en-US"/>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00317657" w:rsidRPr="004A68AC">
        <w:rPr>
          <w:lang w:val="en-US"/>
        </w:rPr>
        <w:fldChar w:fldCharType="separate"/>
      </w:r>
      <w:r w:rsidR="00855F83" w:rsidRPr="004A68AC">
        <w:rPr>
          <w:noProof/>
          <w:lang w:val="en-US"/>
        </w:rPr>
        <w:t>[14]</w:t>
      </w:r>
      <w:r w:rsidR="00317657" w:rsidRPr="004A68AC">
        <w:rPr>
          <w:lang w:val="en-US"/>
        </w:rPr>
        <w:fldChar w:fldCharType="end"/>
      </w:r>
      <w:r w:rsidR="00317657" w:rsidRPr="004A68AC">
        <w:rPr>
          <w:lang w:val="en-US"/>
        </w:rPr>
        <w:t>,</w:t>
      </w:r>
      <w:r w:rsidR="00317657" w:rsidRPr="004A68AC">
        <w:rPr>
          <w:szCs w:val="17"/>
          <w:lang w:val="en-US"/>
        </w:rPr>
        <w:t xml:space="preserve"> in an attempt to standardize the assessment</w:t>
      </w:r>
      <w:r w:rsidR="006F0AC6" w:rsidRPr="004A68AC">
        <w:rPr>
          <w:szCs w:val="17"/>
          <w:lang w:val="en-US"/>
        </w:rPr>
        <w:t xml:space="preserve"> and rehabilitation</w:t>
      </w:r>
      <w:r w:rsidR="00317657" w:rsidRPr="004A68AC">
        <w:rPr>
          <w:szCs w:val="17"/>
          <w:lang w:val="en-US"/>
        </w:rPr>
        <w:t xml:space="preserve"> practices through the United States. </w:t>
      </w:r>
      <w:r w:rsidR="006F0AC6" w:rsidRPr="004A68AC">
        <w:rPr>
          <w:szCs w:val="17"/>
          <w:lang w:val="en-US"/>
        </w:rPr>
        <w:t xml:space="preserve">Although this code was intended to establish rehabilitation </w:t>
      </w:r>
      <w:r w:rsidR="009630B4" w:rsidRPr="004A68AC">
        <w:rPr>
          <w:szCs w:val="17"/>
          <w:lang w:val="en-US"/>
        </w:rPr>
        <w:t>standards</w:t>
      </w:r>
      <w:r w:rsidR="006F0AC6" w:rsidRPr="004A68AC">
        <w:rPr>
          <w:szCs w:val="17"/>
          <w:lang w:val="en-US"/>
        </w:rPr>
        <w:t xml:space="preserve">, it heavily relied on implicit off-site assessment </w:t>
      </w:r>
      <w:r w:rsidR="00D41341" w:rsidRPr="004A68AC">
        <w:rPr>
          <w:szCs w:val="17"/>
          <w:lang w:val="en-US"/>
        </w:rPr>
        <w:t>procedures</w:t>
      </w:r>
      <w:r w:rsidR="006F0AC6" w:rsidRPr="004A68AC">
        <w:rPr>
          <w:szCs w:val="17"/>
          <w:lang w:val="en-US"/>
        </w:rPr>
        <w:t xml:space="preserve">. </w:t>
      </w:r>
      <w:r w:rsidRPr="004A68AC">
        <w:rPr>
          <w:szCs w:val="17"/>
          <w:lang w:val="en-US"/>
        </w:rPr>
        <w:t>Due</w:t>
      </w:r>
      <w:r w:rsidR="00A53858" w:rsidRPr="004A68AC">
        <w:rPr>
          <w:szCs w:val="17"/>
          <w:lang w:val="en-US"/>
        </w:rPr>
        <w:t xml:space="preserve"> to the uncoordinated evolution of the FEMA standards, </w:t>
      </w:r>
      <w:r w:rsidRPr="004A68AC">
        <w:rPr>
          <w:szCs w:val="17"/>
          <w:lang w:val="en-US"/>
        </w:rPr>
        <w:t xml:space="preserve">the </w:t>
      </w:r>
      <w:r w:rsidR="009630B4" w:rsidRPr="004A68AC">
        <w:rPr>
          <w:szCs w:val="17"/>
          <w:lang w:val="en-US"/>
        </w:rPr>
        <w:t>ASCE 41</w:t>
      </w:r>
      <w:r w:rsidRPr="004A68AC">
        <w:rPr>
          <w:szCs w:val="17"/>
          <w:lang w:val="en-US"/>
        </w:rPr>
        <w:t>-06</w:t>
      </w:r>
      <w:r w:rsidR="00A53858" w:rsidRPr="004A68AC">
        <w:rPr>
          <w:szCs w:val="17"/>
          <w:lang w:val="en-US"/>
        </w:rPr>
        <w:t xml:space="preserve"> contained discrepancies in procedures and philosophies</w:t>
      </w:r>
      <w:r w:rsidR="00B51A47" w:rsidRPr="004A68AC">
        <w:rPr>
          <w:szCs w:val="17"/>
          <w:lang w:val="en-US"/>
        </w:rPr>
        <w:t xml:space="preserve"> when compared to other ASCE codes</w:t>
      </w:r>
      <w:r w:rsidR="00D41341" w:rsidRPr="004A68AC">
        <w:rPr>
          <w:szCs w:val="17"/>
          <w:lang w:val="en-US"/>
        </w:rPr>
        <w:t xml:space="preserve"> </w:t>
      </w:r>
      <w:r w:rsidR="00D41341" w:rsidRPr="004A68AC">
        <w:rPr>
          <w:szCs w:val="17"/>
          <w:lang w:val="en-US"/>
        </w:rPr>
        <w:fldChar w:fldCharType="begin" w:fldLock="1"/>
      </w:r>
      <w:r w:rsidR="000E577D" w:rsidRPr="004A68AC">
        <w:rPr>
          <w:szCs w:val="17"/>
          <w:lang w:val="en-US"/>
        </w:rPr>
        <w:instrText>ADDIN CSL_CITATION {"citationItems":[{"id":"ITEM-1","itemData":{"abstract":"For the past 3 years the ASCE/SEI Standards Committee on Seismic Rehabilitation has been working to combine ASCE 31-03 into ASCE 41-06 while also updating both standards. The result of that humongous effort is the soon-to-be released ASCE 41-13: Seismic Evaluation and Retrofit of Existing Buildings. The new combined standard has eliminated any inconsistencies that previously existed between the two standards. Now the user decides if they want to go forward with lower performance objectives traditionally used for existing buildings, as was the case within ASCE 31 or an equivalent hazard to a new building, similar to the Basic Safety Objective in ASCE 41. In addition, the Tier 1 checklists have been significantly modified and reorganized. The use deficiency-only procedures (Tier 2) have been greatly expanded to regular buildings of greater heights. Plus, there have been a number of significant technical changes including updated analysis provisions with more emphasis on nonlinear response history analysis, provisions for bucking restrained braced frames, expanded liquefaction provisions, a new foundation rocking analysis procedure, substantially updated URM provisions, and a full updated Chapter on Seismic isolation and Energy dissipation.","author":[{"dropping-particle":"","family":"Pekelnicky","given":"Robert","non-dropping-particle":"","parse-names":false,"suffix":""},{"dropping-particle":"","family":"Poland","given":"Chris","non-dropping-particle":"","parse-names":false,"suffix":""}],"container-title":"SEAOC 2012 Convention Proceedings","id":"ITEM-1","issued":{"date-parts":[["2012"]]},"page":"1-12","title":"ASCE 41-13: Seismic Evaluation and Retrofit Rehabilitation of Existing Buildings","type":"paper-conference"},"uris":["http://www.mendeley.com/documents/?uuid=40a21c88-8661-4847-922b-5f06a2bb361b"]}],"mendeley":{"formattedCitation":"[10]","plainTextFormattedCitation":"[10]","previouslyFormattedCitation":"[10]"},"properties":{"noteIndex":0},"schema":"https://github.com/citation-style-language/schema/raw/master/csl-citation.json"}</w:instrText>
      </w:r>
      <w:r w:rsidR="00D41341" w:rsidRPr="004A68AC">
        <w:rPr>
          <w:szCs w:val="17"/>
          <w:lang w:val="en-US"/>
        </w:rPr>
        <w:fldChar w:fldCharType="separate"/>
      </w:r>
      <w:r w:rsidR="00855F83" w:rsidRPr="004A68AC">
        <w:rPr>
          <w:noProof/>
          <w:szCs w:val="17"/>
          <w:lang w:val="en-US"/>
        </w:rPr>
        <w:t>[10]</w:t>
      </w:r>
      <w:r w:rsidR="00D41341" w:rsidRPr="004A68AC">
        <w:rPr>
          <w:szCs w:val="17"/>
          <w:lang w:val="en-US"/>
        </w:rPr>
        <w:fldChar w:fldCharType="end"/>
      </w:r>
      <w:r w:rsidR="00B51A47" w:rsidRPr="004A68AC">
        <w:rPr>
          <w:szCs w:val="17"/>
          <w:lang w:val="en-US"/>
        </w:rPr>
        <w:t xml:space="preserve">, such as the ASCE 31-03 </w:t>
      </w:r>
      <w:r w:rsidR="00513321" w:rsidRPr="004A68AC">
        <w:rPr>
          <w:szCs w:val="17"/>
          <w:lang w:val="en-US"/>
        </w:rPr>
        <w:fldChar w:fldCharType="begin" w:fldLock="1"/>
      </w:r>
      <w:r w:rsidR="005C47A3" w:rsidRPr="004A68AC">
        <w:rPr>
          <w:szCs w:val="17"/>
          <w:lang w:val="en-US"/>
        </w:rPr>
        <w:instrText>ADDIN CSL_CITATION {"citationItems":[{"id":"ITEM-1","itemData":{"DOI":"10.1061/9780784406700","ISBN":"0784406707","author":[{"dropping-particle":"","family":"American Society of Civil Engineers","given":"","non-dropping-particle":"","parse-names":false,"suffix":""}],"container-title":"ASCE/SEI 31-03","id":"ITEM-1","issued":{"date-parts":[["2003"]]},"title":"Seismic Evaluation of Existing Buildings","type":"article"},"uris":["http://www.mendeley.com/documents/?uuid=79dc1f20-fcc7-4b60-95cd-f318b951b8f4"]}],"mendeley":{"formattedCitation":"[16]","plainTextFormattedCitation":"[16]","previouslyFormattedCitation":"[16]"},"properties":{"noteIndex":0},"schema":"https://github.com/citation-style-language/schema/raw/master/csl-citation.json"}</w:instrText>
      </w:r>
      <w:r w:rsidR="00513321" w:rsidRPr="004A68AC">
        <w:rPr>
          <w:szCs w:val="17"/>
          <w:lang w:val="en-US"/>
        </w:rPr>
        <w:fldChar w:fldCharType="separate"/>
      </w:r>
      <w:r w:rsidR="00B339CD" w:rsidRPr="004A68AC">
        <w:rPr>
          <w:noProof/>
          <w:szCs w:val="17"/>
          <w:lang w:val="en-US"/>
        </w:rPr>
        <w:t>[16]</w:t>
      </w:r>
      <w:r w:rsidR="00513321" w:rsidRPr="004A68AC">
        <w:rPr>
          <w:szCs w:val="17"/>
          <w:lang w:val="en-US"/>
        </w:rPr>
        <w:fldChar w:fldCharType="end"/>
      </w:r>
      <w:r w:rsidR="00B31B2D" w:rsidRPr="004A68AC">
        <w:rPr>
          <w:szCs w:val="17"/>
          <w:lang w:val="en-US"/>
        </w:rPr>
        <w:t xml:space="preserve"> and the ASCE 7</w:t>
      </w:r>
      <w:r w:rsidR="00E23E92" w:rsidRPr="004A68AC">
        <w:rPr>
          <w:szCs w:val="17"/>
          <w:lang w:val="en-US"/>
        </w:rPr>
        <w:t xml:space="preserve"> </w:t>
      </w:r>
      <w:r w:rsidR="00E23E92" w:rsidRPr="004A68AC">
        <w:rPr>
          <w:szCs w:val="17"/>
          <w:lang w:val="en-US"/>
        </w:rPr>
        <w:fldChar w:fldCharType="begin" w:fldLock="1"/>
      </w:r>
      <w:r w:rsidR="005C47A3" w:rsidRPr="004A68AC">
        <w:rPr>
          <w:szCs w:val="17"/>
          <w:lang w:val="en-US"/>
        </w:rPr>
        <w:instrText>ADDIN CSL_CITATION {"citationItems":[{"id":"ITEM-1","itemData":{"DOI":"10.1061/9780784412916","ISBN":"978-0-7844-1085-1","author":[{"dropping-particle":"","family":"American Society of Civil Engineers","given":"","non-dropping-particle":"","parse-names":false,"suffix":""}],"container-title":"ASCE/SEI 7-10","id":"ITEM-1","issued":{"date-parts":[["2010"]]},"title":"Minimum Design Loads for Buildings and Other Structures","type":"article"},"uris":["http://www.mendeley.com/documents/?uuid=39032740-8a0a-4a5d-a287-facdc384cb0f"]}],"mendeley":{"formattedCitation":"[17]","plainTextFormattedCitation":"[17]","previouslyFormattedCitation":"[17]"},"properties":{"noteIndex":0},"schema":"https://github.com/citation-style-language/schema/raw/master/csl-citation.json"}</w:instrText>
      </w:r>
      <w:r w:rsidR="00E23E92" w:rsidRPr="004A68AC">
        <w:rPr>
          <w:szCs w:val="17"/>
          <w:lang w:val="en-US"/>
        </w:rPr>
        <w:fldChar w:fldCharType="separate"/>
      </w:r>
      <w:r w:rsidR="00B339CD" w:rsidRPr="004A68AC">
        <w:rPr>
          <w:noProof/>
          <w:szCs w:val="17"/>
          <w:lang w:val="en-US"/>
        </w:rPr>
        <w:t>[17]</w:t>
      </w:r>
      <w:r w:rsidR="00E23E92" w:rsidRPr="004A68AC">
        <w:rPr>
          <w:szCs w:val="17"/>
          <w:lang w:val="en-US"/>
        </w:rPr>
        <w:fldChar w:fldCharType="end"/>
      </w:r>
      <w:r w:rsidR="00513321" w:rsidRPr="004A68AC">
        <w:rPr>
          <w:szCs w:val="17"/>
          <w:lang w:val="en-US"/>
        </w:rPr>
        <w:t xml:space="preserve">. </w:t>
      </w:r>
      <w:r w:rsidR="00A53858" w:rsidRPr="004A68AC">
        <w:rPr>
          <w:szCs w:val="17"/>
          <w:lang w:val="en-US"/>
        </w:rPr>
        <w:t xml:space="preserve">In </w:t>
      </w:r>
      <w:r w:rsidR="00005BA6" w:rsidRPr="004A68AC">
        <w:rPr>
          <w:szCs w:val="17"/>
          <w:lang w:val="en-US"/>
        </w:rPr>
        <w:t xml:space="preserve">order to address </w:t>
      </w:r>
      <w:r w:rsidR="00B31B2D" w:rsidRPr="004A68AC">
        <w:rPr>
          <w:szCs w:val="17"/>
          <w:lang w:val="en-US"/>
        </w:rPr>
        <w:t>this issue</w:t>
      </w:r>
      <w:r w:rsidR="00005BA6" w:rsidRPr="004A68AC">
        <w:rPr>
          <w:szCs w:val="17"/>
          <w:lang w:val="en-US"/>
        </w:rPr>
        <w:t>,</w:t>
      </w:r>
      <w:r w:rsidR="006F0AC6" w:rsidRPr="004A68AC">
        <w:rPr>
          <w:szCs w:val="17"/>
          <w:lang w:val="en-US"/>
        </w:rPr>
        <w:t xml:space="preserve"> the </w:t>
      </w:r>
      <w:r w:rsidR="0094275C" w:rsidRPr="004A68AC">
        <w:rPr>
          <w:szCs w:val="17"/>
          <w:lang w:val="en-US"/>
        </w:rPr>
        <w:t>ASCE 41</w:t>
      </w:r>
      <w:r w:rsidR="0094275C" w:rsidRPr="004A68AC">
        <w:rPr>
          <w:i/>
          <w:iCs/>
          <w:szCs w:val="17"/>
          <w:lang w:val="en-US"/>
        </w:rPr>
        <w:t xml:space="preserve"> </w:t>
      </w:r>
      <w:r w:rsidR="0094275C" w:rsidRPr="004A68AC">
        <w:rPr>
          <w:szCs w:val="17"/>
          <w:lang w:val="en-US"/>
        </w:rPr>
        <w:t>was updated to its version of 2013</w:t>
      </w:r>
      <w:r w:rsidR="006F0AC6" w:rsidRPr="004A68AC">
        <w:rPr>
          <w:szCs w:val="17"/>
          <w:lang w:val="en-US"/>
        </w:rPr>
        <w:t xml:space="preserve"> (</w:t>
      </w:r>
      <w:r w:rsidR="009630B4" w:rsidRPr="004A68AC">
        <w:rPr>
          <w:szCs w:val="17"/>
          <w:lang w:val="en-US"/>
        </w:rPr>
        <w:t>ASCE 41</w:t>
      </w:r>
      <w:r w:rsidR="006F0AC6" w:rsidRPr="004A68AC">
        <w:rPr>
          <w:szCs w:val="17"/>
          <w:lang w:val="en-US"/>
        </w:rPr>
        <w:t xml:space="preserve">-13) </w:t>
      </w:r>
      <w:r w:rsidR="006F0AC6" w:rsidRPr="004A68AC">
        <w:rPr>
          <w:szCs w:val="17"/>
          <w:lang w:val="en-US"/>
        </w:rPr>
        <w:fldChar w:fldCharType="begin" w:fldLock="1"/>
      </w:r>
      <w:r w:rsidR="005C47A3" w:rsidRPr="004A68AC">
        <w:rPr>
          <w:szCs w:val="17"/>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6F0AC6" w:rsidRPr="004A68AC">
        <w:rPr>
          <w:szCs w:val="17"/>
          <w:lang w:val="en-US"/>
        </w:rPr>
        <w:fldChar w:fldCharType="separate"/>
      </w:r>
      <w:r w:rsidR="00B339CD" w:rsidRPr="004A68AC">
        <w:rPr>
          <w:noProof/>
          <w:szCs w:val="17"/>
          <w:lang w:val="en-US"/>
        </w:rPr>
        <w:t>[18]</w:t>
      </w:r>
      <w:r w:rsidR="006F0AC6" w:rsidRPr="004A68AC">
        <w:rPr>
          <w:szCs w:val="17"/>
          <w:lang w:val="en-US"/>
        </w:rPr>
        <w:fldChar w:fldCharType="end"/>
      </w:r>
      <w:r w:rsidR="00005BA6" w:rsidRPr="004A68AC">
        <w:rPr>
          <w:szCs w:val="17"/>
          <w:lang w:val="en-US"/>
        </w:rPr>
        <w:t xml:space="preserve"> substitut</w:t>
      </w:r>
      <w:r w:rsidR="0063268E" w:rsidRPr="004A68AC">
        <w:rPr>
          <w:szCs w:val="17"/>
          <w:lang w:val="en-US"/>
        </w:rPr>
        <w:t>ing</w:t>
      </w:r>
      <w:r w:rsidR="00D41341" w:rsidRPr="004A68AC">
        <w:rPr>
          <w:szCs w:val="17"/>
          <w:lang w:val="en-US"/>
        </w:rPr>
        <w:t xml:space="preserve"> </w:t>
      </w:r>
      <w:r w:rsidR="006F0AC6" w:rsidRPr="004A68AC">
        <w:rPr>
          <w:szCs w:val="17"/>
          <w:lang w:val="en-US"/>
        </w:rPr>
        <w:t>both the ASCE</w:t>
      </w:r>
      <w:r w:rsidR="009630B4" w:rsidRPr="004A68AC">
        <w:rPr>
          <w:szCs w:val="17"/>
          <w:lang w:val="en-US"/>
        </w:rPr>
        <w:t xml:space="preserve"> </w:t>
      </w:r>
      <w:r w:rsidR="006F0AC6" w:rsidRPr="004A68AC">
        <w:rPr>
          <w:szCs w:val="17"/>
          <w:lang w:val="en-US"/>
        </w:rPr>
        <w:t xml:space="preserve">31-03 </w:t>
      </w:r>
      <w:r w:rsidR="006F0AC6" w:rsidRPr="004A68AC">
        <w:rPr>
          <w:szCs w:val="17"/>
          <w:lang w:val="en-US"/>
        </w:rPr>
        <w:fldChar w:fldCharType="begin" w:fldLock="1"/>
      </w:r>
      <w:r w:rsidR="005C47A3" w:rsidRPr="004A68AC">
        <w:rPr>
          <w:szCs w:val="17"/>
          <w:lang w:val="en-US"/>
        </w:rPr>
        <w:instrText>ADDIN CSL_CITATION {"citationItems":[{"id":"ITEM-1","itemData":{"DOI":"10.1061/9780784406700","ISBN":"0784406707","author":[{"dropping-particle":"","family":"American Society of Civil Engineers","given":"","non-dropping-particle":"","parse-names":false,"suffix":""}],"container-title":"ASCE/SEI 31-03","id":"ITEM-1","issued":{"date-parts":[["2003"]]},"title":"Seismic Evaluation of Existing Buildings","type":"article"},"uris":["http://www.mendeley.com/documents/?uuid=79dc1f20-fcc7-4b60-95cd-f318b951b8f4"]}],"mendeley":{"formattedCitation":"[16]","plainTextFormattedCitation":"[16]","previouslyFormattedCitation":"[16]"},"properties":{"noteIndex":0},"schema":"https://github.com/citation-style-language/schema/raw/master/csl-citation.json"}</w:instrText>
      </w:r>
      <w:r w:rsidR="006F0AC6" w:rsidRPr="004A68AC">
        <w:rPr>
          <w:szCs w:val="17"/>
          <w:lang w:val="en-US"/>
        </w:rPr>
        <w:fldChar w:fldCharType="separate"/>
      </w:r>
      <w:r w:rsidR="00B339CD" w:rsidRPr="004A68AC">
        <w:rPr>
          <w:noProof/>
          <w:szCs w:val="17"/>
          <w:lang w:val="en-US"/>
        </w:rPr>
        <w:t>[16]</w:t>
      </w:r>
      <w:r w:rsidR="006F0AC6" w:rsidRPr="004A68AC">
        <w:rPr>
          <w:szCs w:val="17"/>
          <w:lang w:val="en-US"/>
        </w:rPr>
        <w:fldChar w:fldCharType="end"/>
      </w:r>
      <w:r w:rsidR="006F0AC6" w:rsidRPr="004A68AC">
        <w:rPr>
          <w:szCs w:val="17"/>
          <w:lang w:val="en-US"/>
        </w:rPr>
        <w:t xml:space="preserve"> and the ASCE</w:t>
      </w:r>
      <w:r w:rsidR="009630B4" w:rsidRPr="004A68AC">
        <w:rPr>
          <w:szCs w:val="17"/>
          <w:lang w:val="en-US"/>
        </w:rPr>
        <w:t xml:space="preserve"> </w:t>
      </w:r>
      <w:r w:rsidR="006F0AC6" w:rsidRPr="004A68AC">
        <w:rPr>
          <w:szCs w:val="17"/>
          <w:lang w:val="en-US"/>
        </w:rPr>
        <w:t xml:space="preserve">41-06 </w:t>
      </w:r>
      <w:r w:rsidR="006F0AC6"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6F0AC6" w:rsidRPr="004A68AC">
        <w:rPr>
          <w:szCs w:val="17"/>
          <w:lang w:val="en-US"/>
        </w:rPr>
        <w:fldChar w:fldCharType="separate"/>
      </w:r>
      <w:r w:rsidR="00B339CD" w:rsidRPr="004A68AC">
        <w:rPr>
          <w:noProof/>
          <w:szCs w:val="17"/>
          <w:lang w:val="en-US"/>
        </w:rPr>
        <w:t>[15]</w:t>
      </w:r>
      <w:r w:rsidR="006F0AC6" w:rsidRPr="004A68AC">
        <w:rPr>
          <w:szCs w:val="17"/>
          <w:lang w:val="en-US"/>
        </w:rPr>
        <w:fldChar w:fldCharType="end"/>
      </w:r>
      <w:r w:rsidR="006F0AC6" w:rsidRPr="004A68AC">
        <w:rPr>
          <w:szCs w:val="17"/>
          <w:lang w:val="en-US"/>
        </w:rPr>
        <w:t xml:space="preserve">. </w:t>
      </w:r>
      <w:r w:rsidR="00743727" w:rsidRPr="004A68AC">
        <w:rPr>
          <w:szCs w:val="17"/>
          <w:lang w:val="en-US"/>
        </w:rPr>
        <w:t xml:space="preserve">Finally, in 2017, the ASCE released the new version of this </w:t>
      </w:r>
      <w:r w:rsidR="00B31B2D" w:rsidRPr="004A68AC">
        <w:rPr>
          <w:szCs w:val="17"/>
          <w:lang w:val="en-US"/>
        </w:rPr>
        <w:t>standard</w:t>
      </w:r>
      <w:r w:rsidR="00743727" w:rsidRPr="004A68AC">
        <w:rPr>
          <w:szCs w:val="17"/>
          <w:lang w:val="en-US"/>
        </w:rPr>
        <w:t xml:space="preserve"> (</w:t>
      </w:r>
      <w:r w:rsidR="009630B4" w:rsidRPr="004A68AC">
        <w:rPr>
          <w:szCs w:val="17"/>
          <w:lang w:val="en-US"/>
        </w:rPr>
        <w:t>ASCE 41</w:t>
      </w:r>
      <w:r w:rsidR="00743727" w:rsidRPr="004A68AC">
        <w:rPr>
          <w:szCs w:val="17"/>
          <w:lang w:val="en-US"/>
        </w:rPr>
        <w:t xml:space="preserve">-17 </w:t>
      </w:r>
      <w:r w:rsidR="00743727" w:rsidRPr="004A68AC">
        <w:rPr>
          <w:szCs w:val="17"/>
          <w:lang w:val="en-US"/>
        </w:rPr>
        <w:fldChar w:fldCharType="begin" w:fldLock="1"/>
      </w:r>
      <w:r w:rsidR="005C47A3" w:rsidRPr="004A68AC">
        <w:rPr>
          <w:szCs w:val="17"/>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743727" w:rsidRPr="004A68AC">
        <w:rPr>
          <w:szCs w:val="17"/>
          <w:lang w:val="en-US"/>
        </w:rPr>
        <w:fldChar w:fldCharType="separate"/>
      </w:r>
      <w:r w:rsidR="00B339CD" w:rsidRPr="004A68AC">
        <w:rPr>
          <w:noProof/>
          <w:szCs w:val="17"/>
          <w:lang w:val="en-US"/>
        </w:rPr>
        <w:t>[19]</w:t>
      </w:r>
      <w:r w:rsidR="00743727" w:rsidRPr="004A68AC">
        <w:rPr>
          <w:szCs w:val="17"/>
          <w:lang w:val="en-US"/>
        </w:rPr>
        <w:fldChar w:fldCharType="end"/>
      </w:r>
      <w:r w:rsidR="000F3264" w:rsidRPr="004A68AC">
        <w:rPr>
          <w:szCs w:val="17"/>
          <w:lang w:val="en-US"/>
        </w:rPr>
        <w:t>)</w:t>
      </w:r>
      <w:r w:rsidR="00743727" w:rsidRPr="004A68AC">
        <w:rPr>
          <w:szCs w:val="17"/>
          <w:lang w:val="en-US"/>
        </w:rPr>
        <w:t xml:space="preserve">, which incorporated significant changes in the hazard calculation, analysis, </w:t>
      </w:r>
      <w:r w:rsidR="009C6512" w:rsidRPr="004A68AC">
        <w:rPr>
          <w:szCs w:val="17"/>
          <w:lang w:val="en-US"/>
        </w:rPr>
        <w:t>modeling</w:t>
      </w:r>
      <w:r w:rsidR="00743727" w:rsidRPr="004A68AC">
        <w:rPr>
          <w:szCs w:val="17"/>
          <w:lang w:val="en-US"/>
        </w:rPr>
        <w:t xml:space="preserve"> and acceptance criteria</w:t>
      </w:r>
      <w:r w:rsidR="00EB6725" w:rsidRPr="004A68AC">
        <w:rPr>
          <w:szCs w:val="17"/>
          <w:lang w:val="en-US"/>
        </w:rPr>
        <w:t xml:space="preserve">, when compared to its predecessors </w:t>
      </w:r>
      <w:r w:rsidR="00EB6725"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EB6725" w:rsidRPr="004A68AC">
        <w:rPr>
          <w:szCs w:val="17"/>
          <w:lang w:val="en-US"/>
        </w:rPr>
        <w:fldChar w:fldCharType="separate"/>
      </w:r>
      <w:r w:rsidR="00EB6725" w:rsidRPr="004A68AC">
        <w:rPr>
          <w:noProof/>
          <w:szCs w:val="17"/>
          <w:lang w:val="en-US"/>
        </w:rPr>
        <w:t>[15,18]</w:t>
      </w:r>
      <w:r w:rsidR="00EB6725" w:rsidRPr="004A68AC">
        <w:rPr>
          <w:szCs w:val="17"/>
          <w:lang w:val="en-US"/>
        </w:rPr>
        <w:fldChar w:fldCharType="end"/>
      </w:r>
      <w:r w:rsidR="00743727" w:rsidRPr="004A68AC">
        <w:rPr>
          <w:szCs w:val="17"/>
          <w:lang w:val="en-US"/>
        </w:rPr>
        <w:t xml:space="preserve">. </w:t>
      </w:r>
      <w:r w:rsidR="0020374F" w:rsidRPr="004A68AC">
        <w:rPr>
          <w:szCs w:val="17"/>
          <w:lang w:val="en-US"/>
        </w:rPr>
        <w:t>F</w:t>
      </w:r>
      <w:r w:rsidR="00743727" w:rsidRPr="004A68AC">
        <w:rPr>
          <w:szCs w:val="17"/>
          <w:lang w:val="en-US"/>
        </w:rPr>
        <w:t>or steel</w:t>
      </w:r>
      <w:r w:rsidR="009A135B" w:rsidRPr="004A68AC">
        <w:rPr>
          <w:szCs w:val="17"/>
          <w:lang w:val="en-US"/>
        </w:rPr>
        <w:t xml:space="preserve"> structures</w:t>
      </w:r>
      <w:r w:rsidR="00743727" w:rsidRPr="004A68AC">
        <w:rPr>
          <w:szCs w:val="17"/>
          <w:lang w:val="en-US"/>
        </w:rPr>
        <w:t>, the most significant change</w:t>
      </w:r>
      <w:r w:rsidR="0094275C" w:rsidRPr="004A68AC">
        <w:rPr>
          <w:szCs w:val="17"/>
          <w:lang w:val="en-US"/>
        </w:rPr>
        <w:t>s</w:t>
      </w:r>
      <w:r w:rsidR="00743727" w:rsidRPr="004A68AC">
        <w:rPr>
          <w:szCs w:val="17"/>
          <w:lang w:val="en-US"/>
        </w:rPr>
        <w:t xml:space="preserve"> </w:t>
      </w:r>
      <w:r w:rsidR="0094275C" w:rsidRPr="004A68AC">
        <w:rPr>
          <w:szCs w:val="17"/>
          <w:lang w:val="en-US"/>
        </w:rPr>
        <w:t xml:space="preserve">were related </w:t>
      </w:r>
      <w:r w:rsidR="009A135B" w:rsidRPr="004A68AC">
        <w:rPr>
          <w:szCs w:val="17"/>
          <w:lang w:val="en-US"/>
        </w:rPr>
        <w:t xml:space="preserve">to </w:t>
      </w:r>
      <w:r w:rsidR="00743727" w:rsidRPr="004A68AC">
        <w:rPr>
          <w:szCs w:val="17"/>
          <w:lang w:val="en-US"/>
        </w:rPr>
        <w:t xml:space="preserve">the </w:t>
      </w:r>
      <w:r w:rsidR="009C6512" w:rsidRPr="004A68AC">
        <w:rPr>
          <w:szCs w:val="17"/>
          <w:lang w:val="en-US"/>
        </w:rPr>
        <w:t>modeling</w:t>
      </w:r>
      <w:r w:rsidR="00743727" w:rsidRPr="004A68AC">
        <w:rPr>
          <w:szCs w:val="17"/>
          <w:lang w:val="en-US"/>
        </w:rPr>
        <w:t xml:space="preserve"> and </w:t>
      </w:r>
      <w:r w:rsidR="00743727" w:rsidRPr="004A68AC">
        <w:rPr>
          <w:szCs w:val="17"/>
          <w:lang w:val="en-US"/>
        </w:rPr>
        <w:lastRenderedPageBreak/>
        <w:t xml:space="preserve">acceptance criteria </w:t>
      </w:r>
      <w:r w:rsidR="0094275C" w:rsidRPr="004A68AC">
        <w:rPr>
          <w:szCs w:val="17"/>
          <w:lang w:val="en-US"/>
        </w:rPr>
        <w:t xml:space="preserve">definition for </w:t>
      </w:r>
      <w:r w:rsidR="00743727" w:rsidRPr="004A68AC">
        <w:rPr>
          <w:szCs w:val="17"/>
          <w:lang w:val="en-US"/>
        </w:rPr>
        <w:t xml:space="preserve">steel columns </w:t>
      </w:r>
      <w:r w:rsidR="0020374F" w:rsidRPr="004A68AC">
        <w:rPr>
          <w:szCs w:val="17"/>
          <w:lang w:val="en-US"/>
        </w:rPr>
        <w:t>to</w:t>
      </w:r>
      <w:r w:rsidR="00AD77C0" w:rsidRPr="004A68AC">
        <w:rPr>
          <w:szCs w:val="17"/>
          <w:lang w:val="en-US"/>
        </w:rPr>
        <w:t xml:space="preserve"> </w:t>
      </w:r>
      <w:r w:rsidR="0020374F" w:rsidRPr="004A68AC">
        <w:rPr>
          <w:szCs w:val="17"/>
          <w:lang w:val="en-US"/>
        </w:rPr>
        <w:t xml:space="preserve">provide </w:t>
      </w:r>
      <w:r w:rsidR="00743727" w:rsidRPr="004A68AC">
        <w:rPr>
          <w:szCs w:val="17"/>
          <w:lang w:val="en-US"/>
        </w:rPr>
        <w:t>less conservative</w:t>
      </w:r>
      <w:r w:rsidR="00AD77C0" w:rsidRPr="004A68AC">
        <w:rPr>
          <w:szCs w:val="17"/>
          <w:lang w:val="en-US"/>
        </w:rPr>
        <w:t xml:space="preserve"> assessment</w:t>
      </w:r>
      <w:r w:rsidR="009630B4" w:rsidRPr="004A68AC">
        <w:rPr>
          <w:szCs w:val="17"/>
          <w:lang w:val="en-US"/>
        </w:rPr>
        <w:t>s</w:t>
      </w:r>
      <w:r w:rsidR="00AD77C0" w:rsidRPr="004A68AC">
        <w:rPr>
          <w:szCs w:val="17"/>
          <w:lang w:val="en-US"/>
        </w:rPr>
        <w:t xml:space="preserve"> </w:t>
      </w:r>
      <w:r w:rsidR="00743727" w:rsidRPr="004A68AC">
        <w:rPr>
          <w:szCs w:val="17"/>
          <w:lang w:val="en-US"/>
        </w:rPr>
        <w:fldChar w:fldCharType="begin" w:fldLock="1"/>
      </w:r>
      <w:r w:rsidR="005C47A3" w:rsidRPr="004A68AC">
        <w:rPr>
          <w:szCs w:val="17"/>
          <w:lang w:val="en-US"/>
        </w:rPr>
        <w:instrText>ADDIN CSL_CITATION {"citationItems":[{"id":"ITEM-1","itemData":{"author":[{"dropping-particle":"","family":"Pekelnicky","given":"Robert","non-dropping-particle":"","parse-names":false,"suffix":""},{"dropping-particle":"","family":"Hagen","given":"Garrett","non-dropping-particle":"","parse-names":false,"suffix":""},{"dropping-particle":"","family":"Martin","given":"Dave","non-dropping-particle":"","parse-names":false,"suffix":""}],"container-title":"SEAOC 2017 Convention Proceedings","id":"ITEM-1","issued":{"date-parts":[["2017"]]},"title":"A Summary of Significant Updates in ASCE 41-17","type":"article-journal"},"uris":["http://www.mendeley.com/documents/?uuid=e8bbe942-ae14-44d7-8eae-a6b78b90d972"]},{"id":"ITEM-2","itemData":{"DOI":"10.1061/9780784414859","ISBN":"9780784412855","author":[{"dropping-particle":"","family":"American Society of Civil Engineers","given":"","non-dropping-particle":"","parse-names":false,"suffix":""}],"container-title":"ASCE/SEI 41-17","id":"ITEM-2","issued":{"date-parts":[["2017"]]},"title":"Seismic Evaluation and Retrofit of Existing Buildings","type":"article"},"uris":["http://www.mendeley.com/documents/?uuid=0dfd1fff-db69-4728-b658-30ff1c502a98"]},{"id":"ITEM-3","itemData":{"author":[{"dropping-particle":"","family":"Bech","given":"Daniel","non-dropping-particle":"","parse-names":false,"suffix":""},{"dropping-particle":"","family":"Houston","given":"Jonas","non-dropping-particle":"","parse-names":false,"suffix":""},{"dropping-particle":"","family":"Tremayne","given":"Bill","non-dropping-particle":"","parse-names":false,"suffix":""}],"container-title":"Structures Congress 2017","id":"ITEM-3","issued":{"date-parts":[["2017"]]},"title":"ASCE 41-17 Steel Column Modeling and Acceptance Criteria","type":"paper-conference"},"uris":["http://www.mendeley.com/documents/?uuid=02db5e85-acdb-449a-9a57-a524baca176b"]}],"mendeley":{"formattedCitation":"[19–21]","plainTextFormattedCitation":"[19–21]","previouslyFormattedCitation":"[19–21]"},"properties":{"noteIndex":0},"schema":"https://github.com/citation-style-language/schema/raw/master/csl-citation.json"}</w:instrText>
      </w:r>
      <w:r w:rsidR="00743727" w:rsidRPr="004A68AC">
        <w:rPr>
          <w:szCs w:val="17"/>
          <w:lang w:val="en-US"/>
        </w:rPr>
        <w:fldChar w:fldCharType="separate"/>
      </w:r>
      <w:r w:rsidR="00B339CD" w:rsidRPr="004A68AC">
        <w:rPr>
          <w:noProof/>
          <w:szCs w:val="17"/>
          <w:lang w:val="en-US"/>
        </w:rPr>
        <w:t>[19–21]</w:t>
      </w:r>
      <w:r w:rsidR="00743727" w:rsidRPr="004A68AC">
        <w:rPr>
          <w:szCs w:val="17"/>
          <w:lang w:val="en-US"/>
        </w:rPr>
        <w:fldChar w:fldCharType="end"/>
      </w:r>
      <w:r w:rsidR="009E6AE6" w:rsidRPr="004A68AC">
        <w:rPr>
          <w:szCs w:val="17"/>
          <w:lang w:val="en-US"/>
        </w:rPr>
        <w:t>, as t</w:t>
      </w:r>
      <w:r w:rsidR="00EB6725" w:rsidRPr="004A68AC">
        <w:rPr>
          <w:szCs w:val="17"/>
          <w:lang w:val="en-US"/>
        </w:rPr>
        <w:t xml:space="preserve">he ASCE 41-17 </w:t>
      </w:r>
      <w:r w:rsidR="00EB6725" w:rsidRPr="004A68AC">
        <w:rPr>
          <w:szCs w:val="17"/>
          <w:lang w:val="en-US"/>
        </w:rPr>
        <w:fldChar w:fldCharType="begin" w:fldLock="1"/>
      </w:r>
      <w:r w:rsidR="005C47A3" w:rsidRPr="004A68AC">
        <w:rPr>
          <w:szCs w:val="17"/>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EB6725" w:rsidRPr="004A68AC">
        <w:rPr>
          <w:szCs w:val="17"/>
          <w:lang w:val="en-US"/>
        </w:rPr>
        <w:fldChar w:fldCharType="separate"/>
      </w:r>
      <w:r w:rsidR="00EB6725" w:rsidRPr="004A68AC">
        <w:rPr>
          <w:noProof/>
          <w:szCs w:val="17"/>
          <w:lang w:val="en-US"/>
        </w:rPr>
        <w:t>[19]</w:t>
      </w:r>
      <w:r w:rsidR="00EB6725" w:rsidRPr="004A68AC">
        <w:rPr>
          <w:szCs w:val="17"/>
          <w:lang w:val="en-US"/>
        </w:rPr>
        <w:fldChar w:fldCharType="end"/>
      </w:r>
      <w:r w:rsidR="00EB6725" w:rsidRPr="004A68AC">
        <w:rPr>
          <w:szCs w:val="17"/>
          <w:lang w:val="en-US"/>
        </w:rPr>
        <w:t xml:space="preserve"> relies </w:t>
      </w:r>
      <w:r w:rsidR="00FA43F7" w:rsidRPr="004A68AC">
        <w:rPr>
          <w:szCs w:val="17"/>
          <w:lang w:val="en-US"/>
        </w:rPr>
        <w:t xml:space="preserve">upon </w:t>
      </w:r>
      <w:r w:rsidR="00EB6725" w:rsidRPr="004A68AC">
        <w:rPr>
          <w:szCs w:val="17"/>
          <w:lang w:val="en-US"/>
        </w:rPr>
        <w:t xml:space="preserve">values established from regressions made on experimentally-obtained data available in </w:t>
      </w:r>
      <w:r w:rsidR="00FA43F7" w:rsidRPr="004A68AC">
        <w:rPr>
          <w:szCs w:val="17"/>
          <w:lang w:val="en-US"/>
        </w:rPr>
        <w:t xml:space="preserve">the </w:t>
      </w:r>
      <w:r w:rsidR="00EB6725" w:rsidRPr="004A68AC">
        <w:rPr>
          <w:szCs w:val="17"/>
          <w:lang w:val="en-US"/>
        </w:rPr>
        <w:t xml:space="preserve">literature, which represented a step forward from the values based </w:t>
      </w:r>
      <w:r w:rsidR="004B66BC" w:rsidRPr="004A68AC">
        <w:rPr>
          <w:szCs w:val="17"/>
          <w:lang w:val="en-US"/>
        </w:rPr>
        <w:t>o</w:t>
      </w:r>
      <w:r w:rsidR="00EB6725" w:rsidRPr="004A68AC">
        <w:rPr>
          <w:szCs w:val="17"/>
          <w:lang w:val="en-US"/>
        </w:rPr>
        <w:t xml:space="preserve">n simple mechanical relationships used by the ASCE 41-06 </w:t>
      </w:r>
      <w:r w:rsidR="00EB6725"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EB6725" w:rsidRPr="004A68AC">
        <w:rPr>
          <w:szCs w:val="17"/>
          <w:lang w:val="en-US"/>
        </w:rPr>
        <w:fldChar w:fldCharType="separate"/>
      </w:r>
      <w:r w:rsidR="00EB6725" w:rsidRPr="004A68AC">
        <w:rPr>
          <w:noProof/>
          <w:szCs w:val="17"/>
          <w:lang w:val="en-US"/>
        </w:rPr>
        <w:t>[15]</w:t>
      </w:r>
      <w:r w:rsidR="00EB6725" w:rsidRPr="004A68AC">
        <w:rPr>
          <w:szCs w:val="17"/>
          <w:lang w:val="en-US"/>
        </w:rPr>
        <w:fldChar w:fldCharType="end"/>
      </w:r>
      <w:r w:rsidR="00EB6725" w:rsidRPr="004A68AC">
        <w:rPr>
          <w:szCs w:val="17"/>
          <w:lang w:val="en-US"/>
        </w:rPr>
        <w:t xml:space="preserve"> and -13 </w:t>
      </w:r>
      <w:r w:rsidR="00EB6725" w:rsidRPr="004A68AC">
        <w:rPr>
          <w:szCs w:val="17"/>
          <w:lang w:val="en-US"/>
        </w:rPr>
        <w:fldChar w:fldCharType="begin" w:fldLock="1"/>
      </w:r>
      <w:r w:rsidR="005C47A3" w:rsidRPr="004A68AC">
        <w:rPr>
          <w:szCs w:val="17"/>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EB6725" w:rsidRPr="004A68AC">
        <w:rPr>
          <w:szCs w:val="17"/>
          <w:lang w:val="en-US"/>
        </w:rPr>
        <w:fldChar w:fldCharType="separate"/>
      </w:r>
      <w:r w:rsidR="00EB6725" w:rsidRPr="004A68AC">
        <w:rPr>
          <w:noProof/>
          <w:szCs w:val="17"/>
          <w:lang w:val="en-US"/>
        </w:rPr>
        <w:t>[18]</w:t>
      </w:r>
      <w:r w:rsidR="00EB6725" w:rsidRPr="004A68AC">
        <w:rPr>
          <w:szCs w:val="17"/>
          <w:lang w:val="en-US"/>
        </w:rPr>
        <w:fldChar w:fldCharType="end"/>
      </w:r>
      <w:r w:rsidR="00640BB7" w:rsidRPr="004A68AC">
        <w:rPr>
          <w:szCs w:val="17"/>
          <w:lang w:val="en-US"/>
        </w:rPr>
        <w:t>.</w:t>
      </w:r>
    </w:p>
    <w:p w14:paraId="590E5C19" w14:textId="77777777" w:rsidR="00DF3BB3" w:rsidRPr="004A68AC" w:rsidRDefault="00DF3BB3" w:rsidP="00627932">
      <w:pPr>
        <w:rPr>
          <w:szCs w:val="17"/>
          <w:lang w:val="en-US"/>
        </w:rPr>
      </w:pPr>
    </w:p>
    <w:p w14:paraId="4EEC66A4" w14:textId="0885B9C7" w:rsidR="0022180D" w:rsidRPr="004A68AC" w:rsidRDefault="009A135B" w:rsidP="00F5026E">
      <w:pPr>
        <w:rPr>
          <w:szCs w:val="17"/>
          <w:lang w:val="en-US"/>
        </w:rPr>
      </w:pPr>
      <w:r w:rsidRPr="004A68AC">
        <w:rPr>
          <w:szCs w:val="17"/>
          <w:lang w:val="en-US"/>
        </w:rPr>
        <w:t xml:space="preserve">     </w:t>
      </w:r>
      <w:r w:rsidR="00E5729F" w:rsidRPr="004A68AC">
        <w:rPr>
          <w:szCs w:val="17"/>
          <w:lang w:val="en-US"/>
        </w:rPr>
        <w:t xml:space="preserve">While the advancements obtained in recent research have been </w:t>
      </w:r>
      <w:r w:rsidR="001E6D52" w:rsidRPr="004A68AC">
        <w:rPr>
          <w:szCs w:val="17"/>
          <w:lang w:val="en-US"/>
        </w:rPr>
        <w:t xml:space="preserve">constantly reflected </w:t>
      </w:r>
      <w:r w:rsidR="00B31B2D" w:rsidRPr="004A68AC">
        <w:rPr>
          <w:szCs w:val="17"/>
          <w:lang w:val="en-US"/>
        </w:rPr>
        <w:t>in the</w:t>
      </w:r>
      <w:r w:rsidR="001E6D52" w:rsidRPr="004A68AC">
        <w:rPr>
          <w:szCs w:val="17"/>
          <w:lang w:val="en-US"/>
        </w:rPr>
        <w:t xml:space="preserve"> </w:t>
      </w:r>
      <w:r w:rsidR="00411441" w:rsidRPr="004A68AC">
        <w:rPr>
          <w:szCs w:val="17"/>
          <w:lang w:val="en-US"/>
        </w:rPr>
        <w:t>ASCE</w:t>
      </w:r>
      <w:r w:rsidR="009630B4" w:rsidRPr="004A68AC">
        <w:rPr>
          <w:szCs w:val="17"/>
          <w:lang w:val="en-US"/>
        </w:rPr>
        <w:t xml:space="preserve"> </w:t>
      </w:r>
      <w:r w:rsidR="00411441" w:rsidRPr="004A68AC">
        <w:rPr>
          <w:szCs w:val="17"/>
          <w:lang w:val="en-US"/>
        </w:rPr>
        <w:t xml:space="preserve">41 </w:t>
      </w:r>
      <w:r w:rsidR="001E6D52" w:rsidRPr="004A68AC">
        <w:rPr>
          <w:szCs w:val="17"/>
          <w:lang w:val="en-US"/>
        </w:rPr>
        <w:t xml:space="preserve">codes with newer versions about every 5 years </w:t>
      </w:r>
      <w:r w:rsidR="008B7751" w:rsidRPr="004A68AC">
        <w:rPr>
          <w:szCs w:val="17"/>
          <w:lang w:val="en-US"/>
        </w:rPr>
        <w:t>(</w:t>
      </w:r>
      <w:r w:rsidR="001E6D52" w:rsidRPr="004A68AC">
        <w:rPr>
          <w:i/>
          <w:iCs/>
          <w:szCs w:val="17"/>
          <w:lang w:val="en-US"/>
        </w:rPr>
        <w:t>e.g.,</w:t>
      </w:r>
      <w:r w:rsidR="001E6D52" w:rsidRPr="004A68AC">
        <w:rPr>
          <w:szCs w:val="17"/>
          <w:lang w:val="en-US"/>
        </w:rPr>
        <w:t xml:space="preserve"> </w:t>
      </w:r>
      <w:r w:rsidR="0045240E" w:rsidRPr="004A68AC">
        <w:rPr>
          <w:szCs w:val="17"/>
          <w:lang w:val="en-US"/>
        </w:rPr>
        <w:t xml:space="preserve">41-06 </w:t>
      </w:r>
      <w:r w:rsidR="001E6D52"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1E6D52" w:rsidRPr="004A68AC">
        <w:rPr>
          <w:szCs w:val="17"/>
          <w:lang w:val="en-US"/>
        </w:rPr>
        <w:fldChar w:fldCharType="separate"/>
      </w:r>
      <w:r w:rsidR="0045240E" w:rsidRPr="004A68AC">
        <w:rPr>
          <w:noProof/>
          <w:szCs w:val="17"/>
          <w:lang w:val="en-US"/>
        </w:rPr>
        <w:t>[15]</w:t>
      </w:r>
      <w:r w:rsidR="001E6D52" w:rsidRPr="004A68AC">
        <w:rPr>
          <w:szCs w:val="17"/>
          <w:lang w:val="en-US"/>
        </w:rPr>
        <w:fldChar w:fldCharType="end"/>
      </w:r>
      <w:r w:rsidR="0045240E" w:rsidRPr="004A68AC">
        <w:rPr>
          <w:szCs w:val="17"/>
          <w:lang w:val="en-US"/>
        </w:rPr>
        <w:t xml:space="preserve">, -13 </w:t>
      </w:r>
      <w:r w:rsidR="0045240E" w:rsidRPr="004A68AC">
        <w:rPr>
          <w:szCs w:val="17"/>
          <w:lang w:val="en-US"/>
        </w:rPr>
        <w:fldChar w:fldCharType="begin" w:fldLock="1"/>
      </w:r>
      <w:r w:rsidR="005C47A3" w:rsidRPr="004A68AC">
        <w:rPr>
          <w:szCs w:val="17"/>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45240E" w:rsidRPr="004A68AC">
        <w:rPr>
          <w:szCs w:val="17"/>
          <w:lang w:val="en-US"/>
        </w:rPr>
        <w:fldChar w:fldCharType="separate"/>
      </w:r>
      <w:r w:rsidR="0045240E" w:rsidRPr="004A68AC">
        <w:rPr>
          <w:noProof/>
          <w:szCs w:val="17"/>
          <w:lang w:val="en-US"/>
        </w:rPr>
        <w:t>[18]</w:t>
      </w:r>
      <w:r w:rsidR="0045240E" w:rsidRPr="004A68AC">
        <w:rPr>
          <w:szCs w:val="17"/>
          <w:lang w:val="en-US"/>
        </w:rPr>
        <w:fldChar w:fldCharType="end"/>
      </w:r>
      <w:r w:rsidR="0045240E" w:rsidRPr="004A68AC">
        <w:rPr>
          <w:szCs w:val="17"/>
          <w:lang w:val="en-US"/>
        </w:rPr>
        <w:t xml:space="preserve">, -17 </w:t>
      </w:r>
      <w:r w:rsidR="0045240E" w:rsidRPr="004A68AC">
        <w:rPr>
          <w:szCs w:val="17"/>
          <w:lang w:val="en-US"/>
        </w:rPr>
        <w:fldChar w:fldCharType="begin" w:fldLock="1"/>
      </w:r>
      <w:r w:rsidR="005C47A3" w:rsidRPr="004A68AC">
        <w:rPr>
          <w:szCs w:val="17"/>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45240E" w:rsidRPr="004A68AC">
        <w:rPr>
          <w:szCs w:val="17"/>
          <w:lang w:val="en-US"/>
        </w:rPr>
        <w:fldChar w:fldCharType="separate"/>
      </w:r>
      <w:r w:rsidR="0045240E" w:rsidRPr="004A68AC">
        <w:rPr>
          <w:noProof/>
          <w:szCs w:val="17"/>
          <w:lang w:val="en-US"/>
        </w:rPr>
        <w:t>[19]</w:t>
      </w:r>
      <w:r w:rsidR="0045240E" w:rsidRPr="004A68AC">
        <w:rPr>
          <w:szCs w:val="17"/>
          <w:lang w:val="en-US"/>
        </w:rPr>
        <w:fldChar w:fldCharType="end"/>
      </w:r>
      <w:r w:rsidR="008B7751" w:rsidRPr="004A68AC">
        <w:rPr>
          <w:szCs w:val="17"/>
          <w:lang w:val="en-US"/>
        </w:rPr>
        <w:t>)</w:t>
      </w:r>
      <w:r w:rsidR="001E6D52" w:rsidRPr="004A68AC">
        <w:rPr>
          <w:szCs w:val="17"/>
          <w:lang w:val="en-US"/>
        </w:rPr>
        <w:t>, the EC8-3 is still in its version of 2005</w:t>
      </w:r>
      <w:r w:rsidR="001D7D01" w:rsidRPr="004A68AC">
        <w:rPr>
          <w:szCs w:val="17"/>
          <w:lang w:val="en-US"/>
        </w:rPr>
        <w:t>, which</w:t>
      </w:r>
      <w:r w:rsidR="001E6D52" w:rsidRPr="004A68AC">
        <w:rPr>
          <w:szCs w:val="17"/>
          <w:lang w:val="en-US"/>
        </w:rPr>
        <w:t xml:space="preserve"> highlight</w:t>
      </w:r>
      <w:r w:rsidR="001D7D01" w:rsidRPr="004A68AC">
        <w:rPr>
          <w:szCs w:val="17"/>
          <w:lang w:val="en-US"/>
        </w:rPr>
        <w:t>s</w:t>
      </w:r>
      <w:r w:rsidR="001E6D52" w:rsidRPr="004A68AC">
        <w:rPr>
          <w:szCs w:val="17"/>
          <w:lang w:val="en-US"/>
        </w:rPr>
        <w:t xml:space="preserve"> the urgent need for its update to incorporate the current state-of-the-art research.</w:t>
      </w:r>
      <w:r w:rsidR="006816FC" w:rsidRPr="004A68AC">
        <w:rPr>
          <w:szCs w:val="17"/>
          <w:lang w:val="en-US"/>
        </w:rPr>
        <w:t xml:space="preserve"> </w:t>
      </w:r>
      <w:r w:rsidR="0094275C" w:rsidRPr="004A68AC">
        <w:rPr>
          <w:szCs w:val="17"/>
          <w:lang w:val="en-US"/>
        </w:rPr>
        <w:t>For</w:t>
      </w:r>
      <w:r w:rsidR="00F423E5" w:rsidRPr="004A68AC">
        <w:rPr>
          <w:szCs w:val="17"/>
          <w:lang w:val="en-US"/>
        </w:rPr>
        <w:t xml:space="preserve"> steel </w:t>
      </w:r>
      <w:r w:rsidR="008519A9" w:rsidRPr="004A68AC">
        <w:rPr>
          <w:szCs w:val="17"/>
          <w:lang w:val="en-US"/>
        </w:rPr>
        <w:t>MRFs</w:t>
      </w:r>
      <w:r w:rsidR="00F423E5" w:rsidRPr="004A68AC">
        <w:rPr>
          <w:szCs w:val="17"/>
          <w:lang w:val="en-US"/>
        </w:rPr>
        <w:t>, several open issues of the current version of the EC8-3</w:t>
      </w:r>
      <w:r w:rsidR="001079C3" w:rsidRPr="004A68AC">
        <w:rPr>
          <w:szCs w:val="17"/>
          <w:lang w:val="en-US"/>
        </w:rPr>
        <w:t xml:space="preserve"> </w:t>
      </w:r>
      <w:r w:rsidR="001079C3"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1079C3" w:rsidRPr="004A68AC">
        <w:rPr>
          <w:lang w:val="en-US"/>
        </w:rPr>
        <w:fldChar w:fldCharType="separate"/>
      </w:r>
      <w:r w:rsidR="00855F83" w:rsidRPr="004A68AC">
        <w:rPr>
          <w:noProof/>
          <w:lang w:val="en-US"/>
        </w:rPr>
        <w:t>[13]</w:t>
      </w:r>
      <w:r w:rsidR="001079C3" w:rsidRPr="004A68AC">
        <w:rPr>
          <w:lang w:val="en-US"/>
        </w:rPr>
        <w:fldChar w:fldCharType="end"/>
      </w:r>
      <w:r w:rsidR="00F423E5" w:rsidRPr="004A68AC">
        <w:rPr>
          <w:szCs w:val="17"/>
          <w:lang w:val="en-US"/>
        </w:rPr>
        <w:t xml:space="preserve"> have been highlighted by previous studies and based on the comparison with the ‘equivalent’ American codes. First, t</w:t>
      </w:r>
      <w:r w:rsidR="0041253E" w:rsidRPr="004A68AC">
        <w:rPr>
          <w:szCs w:val="17"/>
          <w:lang w:val="en-US"/>
        </w:rPr>
        <w:t xml:space="preserve">he EC8-3 </w:t>
      </w:r>
      <w:r w:rsidR="0041253E"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41253E" w:rsidRPr="004A68AC">
        <w:rPr>
          <w:lang w:val="en-US"/>
        </w:rPr>
        <w:fldChar w:fldCharType="separate"/>
      </w:r>
      <w:r w:rsidR="00855F83" w:rsidRPr="004A68AC">
        <w:rPr>
          <w:noProof/>
          <w:lang w:val="en-US"/>
        </w:rPr>
        <w:t>[13]</w:t>
      </w:r>
      <w:r w:rsidR="0041253E" w:rsidRPr="004A68AC">
        <w:rPr>
          <w:lang w:val="en-US"/>
        </w:rPr>
        <w:fldChar w:fldCharType="end"/>
      </w:r>
      <w:r w:rsidR="0041253E" w:rsidRPr="004A68AC">
        <w:rPr>
          <w:lang w:val="en-US"/>
        </w:rPr>
        <w:t xml:space="preserve"> </w:t>
      </w:r>
      <w:r w:rsidR="0043505E" w:rsidRPr="004A68AC">
        <w:rPr>
          <w:lang w:val="en-US"/>
        </w:rPr>
        <w:t>does not</w:t>
      </w:r>
      <w:r w:rsidR="0041253E" w:rsidRPr="004A68AC">
        <w:rPr>
          <w:lang w:val="en-US"/>
        </w:rPr>
        <w:t xml:space="preserve"> establish </w:t>
      </w:r>
      <w:r w:rsidR="009C6512" w:rsidRPr="004A68AC">
        <w:rPr>
          <w:lang w:val="en-US"/>
        </w:rPr>
        <w:t>modeling</w:t>
      </w:r>
      <w:r w:rsidR="0041253E" w:rsidRPr="004A68AC">
        <w:rPr>
          <w:lang w:val="en-US"/>
        </w:rPr>
        <w:t xml:space="preserve"> parameters and </w:t>
      </w:r>
      <w:r w:rsidR="00EF48F2" w:rsidRPr="004A68AC">
        <w:rPr>
          <w:lang w:val="en-US"/>
        </w:rPr>
        <w:t xml:space="preserve">plastic rotation </w:t>
      </w:r>
      <w:r w:rsidR="0041253E" w:rsidRPr="004A68AC">
        <w:rPr>
          <w:lang w:val="en-US"/>
        </w:rPr>
        <w:t>capacity limits that account for simultaneous effects</w:t>
      </w:r>
      <w:r w:rsidR="00F423E5" w:rsidRPr="004A68AC">
        <w:rPr>
          <w:lang w:val="en-US"/>
        </w:rPr>
        <w:t xml:space="preserve">. This issue, as pointed out by Araújo and Castro </w:t>
      </w:r>
      <w:r w:rsidR="00F423E5" w:rsidRPr="004A68AC">
        <w:rPr>
          <w:lang w:val="en-US"/>
        </w:rPr>
        <w:fldChar w:fldCharType="begin" w:fldLock="1"/>
      </w:r>
      <w:r w:rsidR="00B339CD" w:rsidRPr="004A68AC">
        <w:rPr>
          <w:lang w:val="en-US"/>
        </w:rPr>
        <w:instrText>ADDIN CSL_CITATION {"citationItems":[{"id":"ITEM-1","itemData":{"DOI":"10.1007/s10518-016-9897-4","ISSN":"15731456","abstract":"The application of performance-based design and assessment procedures requires an accurate estimation of local component deformation demands. In the case of steel moment-resisting frames, these are usually defined in terms of plastic rotations. A rigorous estimation of this response parameter is not straightforward, requiring not only the adoption of complex nonlinear structural models, but also of time-consuming numerical integration calculations. Moreover, the majority of existing codes and guidelines do not provide any guidance in terms of how these response parameters should be estimated. Part 3 of Eurocode 8 (EC8-3) requires the quantification of plastic rotations even when linear methods of analysis are used. Therefore, the aim of the research presented in this paper is to evaluate different methods of quantifying local component demands and also to answer the question of how reliable are the estimates obtained using the EC8-3 linear analysis procedures in comparison to more accurate nonlinear methods of analysis, particularly when the linear analysis applicability criterion proposed by EC8-3 is verified. An alternative methodology to assess the applicability of linear analysis is proposed which overcomes the important limitations identified in the EC8-3 criterion.","author":[{"dropping-particle":"","family":"Araújo","given":"Miguel","non-dropping-particle":"","parse-names":false,"suffix":""},{"dropping-particle":"","family":"Castro","given":"José Miguel","non-dropping-particle":"","parse-names":false,"suffix":""}],"container-title":"Bulletin of Earthquake Engineering","id":"ITEM-1","issue":"6","issued":{"date-parts":[["2016"]]},"page":"1613-1642","title":"On the quantification of local deformation demands and adequacy of linear analysis procedures for the seismic assessment of existing steel buildings to EC8-3","type":"article-journal","volume":"14"},"uris":["http://www.mendeley.com/documents/?uuid=6ca9b618-0b04-4152-be1b-c16a9bec9c43"]}],"mendeley":{"formattedCitation":"[22]","plainTextFormattedCitation":"[22]","previouslyFormattedCitation":"[22]"},"properties":{"noteIndex":0},"schema":"https://github.com/citation-style-language/schema/raw/master/csl-citation.json"}</w:instrText>
      </w:r>
      <w:r w:rsidR="00F423E5" w:rsidRPr="004A68AC">
        <w:rPr>
          <w:lang w:val="en-US"/>
        </w:rPr>
        <w:fldChar w:fldCharType="separate"/>
      </w:r>
      <w:r w:rsidR="00B339CD" w:rsidRPr="004A68AC">
        <w:rPr>
          <w:noProof/>
          <w:lang w:val="en-US"/>
        </w:rPr>
        <w:t>[22]</w:t>
      </w:r>
      <w:r w:rsidR="00F423E5" w:rsidRPr="004A68AC">
        <w:rPr>
          <w:lang w:val="en-US"/>
        </w:rPr>
        <w:fldChar w:fldCharType="end"/>
      </w:r>
      <w:r w:rsidR="00F423E5" w:rsidRPr="004A68AC">
        <w:rPr>
          <w:lang w:val="en-US"/>
        </w:rPr>
        <w:t xml:space="preserve">, </w:t>
      </w:r>
      <w:r w:rsidR="0041253E" w:rsidRPr="004A68AC">
        <w:rPr>
          <w:lang w:val="en-US"/>
        </w:rPr>
        <w:t>may lead to the overestimation of the capacity</w:t>
      </w:r>
      <w:r w:rsidR="00304C29" w:rsidRPr="004A68AC">
        <w:rPr>
          <w:lang w:val="en-US"/>
        </w:rPr>
        <w:t xml:space="preserve"> of structural elements</w:t>
      </w:r>
      <w:r w:rsidR="0041253E" w:rsidRPr="004A68AC">
        <w:rPr>
          <w:lang w:val="en-US"/>
        </w:rPr>
        <w:t>.</w:t>
      </w:r>
      <w:r w:rsidR="006816FC" w:rsidRPr="004A68AC">
        <w:rPr>
          <w:szCs w:val="20"/>
          <w:lang w:val="en-US"/>
        </w:rPr>
        <w:t xml:space="preserve"> </w:t>
      </w:r>
      <w:r w:rsidR="0063268E" w:rsidRPr="004A68AC">
        <w:rPr>
          <w:szCs w:val="20"/>
          <w:lang w:val="en-US"/>
        </w:rPr>
        <w:t>Moreover</w:t>
      </w:r>
      <w:r w:rsidR="00D52366" w:rsidRPr="004A68AC">
        <w:rPr>
          <w:szCs w:val="17"/>
          <w:lang w:val="en-US"/>
        </w:rPr>
        <w:t xml:space="preserve">, Araújo and Castro </w:t>
      </w:r>
      <w:r w:rsidR="00D52366" w:rsidRPr="004A68AC">
        <w:rPr>
          <w:szCs w:val="17"/>
          <w:lang w:val="en-US"/>
        </w:rPr>
        <w:fldChar w:fldCharType="begin" w:fldLock="1"/>
      </w:r>
      <w:r w:rsidR="000E577D" w:rsidRPr="004A68AC">
        <w:rPr>
          <w:szCs w:val="17"/>
          <w:lang w:val="en-US"/>
        </w:rPr>
        <w:instrText>ADDIN CSL_CITATION {"citationItems":[{"id":"ITEM-1","itemData":{"DOI":"10.1080/13632469.2016.1277568","ISSN":"13632469","abstract":"The publication of Part 3 of Eurocode 8 (EC8-3), dedicated to the seismic assessment of existing buildings, took place a decade ago. However, its application in engineering practice has been limited. Moreover, no studies have been conducted regarding the application of EC8-3 to steel structures. In this paper, a critical review and practical application of EC8-3 and ASCE41-13 are carried out. Issues related to the definition of the performance requirements, compliance criteria, and the consistency of the analysis procedures proposed by both standards are identified. Conceptual differences between both documents are highlighted, and several inconsistencies in EC8-3 are discussed.","author":[{"dropping-particle":"","family":"Araújo","given":"Miguel","non-dropping-particle":"","parse-names":false,"suffix":""},{"dropping-particle":"","family":"Castro","given":"José Miguel","non-dropping-particle":"","parse-names":false,"suffix":""}],"container-title":"Journal of Earthquake Engineering","id":"ITEM-1","issue":"8","issued":{"date-parts":[["2018"]]},"page":"1336-1364","publisher":"Taylor &amp; Francis","title":"A Critical Review of European and American Provisions for the Seismic Assessment of Existing Steel Moment-Resisting Frame Buildings","type":"article-journal","volume":"22"},"uris":["http://www.mendeley.com/documents/?uuid=a57b2080-830d-4bc1-ae89-c285ff6fddf9"]}],"mendeley":{"formattedCitation":"[7]","plainTextFormattedCitation":"[7]","previouslyFormattedCitation":"[7]"},"properties":{"noteIndex":0},"schema":"https://github.com/citation-style-language/schema/raw/master/csl-citation.json"}</w:instrText>
      </w:r>
      <w:r w:rsidR="00D52366" w:rsidRPr="004A68AC">
        <w:rPr>
          <w:szCs w:val="17"/>
          <w:lang w:val="en-US"/>
        </w:rPr>
        <w:fldChar w:fldCharType="separate"/>
      </w:r>
      <w:r w:rsidR="00855F83" w:rsidRPr="004A68AC">
        <w:rPr>
          <w:noProof/>
          <w:szCs w:val="17"/>
          <w:lang w:val="en-US"/>
        </w:rPr>
        <w:t>[7]</w:t>
      </w:r>
      <w:r w:rsidR="00D52366" w:rsidRPr="004A68AC">
        <w:rPr>
          <w:szCs w:val="17"/>
          <w:lang w:val="en-US"/>
        </w:rPr>
        <w:fldChar w:fldCharType="end"/>
      </w:r>
      <w:r w:rsidR="00D52366" w:rsidRPr="004A68AC">
        <w:rPr>
          <w:szCs w:val="17"/>
          <w:lang w:val="en-US"/>
        </w:rPr>
        <w:t xml:space="preserve"> compared the EC8-3 </w:t>
      </w:r>
      <w:r w:rsidR="00D52366" w:rsidRPr="004A68AC">
        <w:rPr>
          <w:szCs w:val="17"/>
          <w:lang w:val="en-US"/>
        </w:rPr>
        <w:fldChar w:fldCharType="begin" w:fldLock="1"/>
      </w:r>
      <w:r w:rsidR="005C47A3" w:rsidRPr="004A68AC">
        <w:rPr>
          <w:szCs w:val="17"/>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D52366" w:rsidRPr="004A68AC">
        <w:rPr>
          <w:szCs w:val="17"/>
          <w:lang w:val="en-US"/>
        </w:rPr>
        <w:fldChar w:fldCharType="separate"/>
      </w:r>
      <w:r w:rsidR="00855F83" w:rsidRPr="004A68AC">
        <w:rPr>
          <w:noProof/>
          <w:szCs w:val="17"/>
          <w:lang w:val="en-US"/>
        </w:rPr>
        <w:t>[13]</w:t>
      </w:r>
      <w:r w:rsidR="00D52366" w:rsidRPr="004A68AC">
        <w:rPr>
          <w:szCs w:val="17"/>
          <w:lang w:val="en-US"/>
        </w:rPr>
        <w:fldChar w:fldCharType="end"/>
      </w:r>
      <w:r w:rsidR="00D52366" w:rsidRPr="004A68AC">
        <w:rPr>
          <w:szCs w:val="17"/>
          <w:lang w:val="en-US"/>
        </w:rPr>
        <w:t xml:space="preserve"> and the </w:t>
      </w:r>
      <w:r w:rsidR="009630B4" w:rsidRPr="004A68AC">
        <w:rPr>
          <w:szCs w:val="17"/>
          <w:lang w:val="en-US"/>
        </w:rPr>
        <w:t>ASCE 41</w:t>
      </w:r>
      <w:r w:rsidR="00D52366" w:rsidRPr="004A68AC">
        <w:rPr>
          <w:szCs w:val="17"/>
          <w:lang w:val="en-US"/>
        </w:rPr>
        <w:t xml:space="preserve">-13 </w:t>
      </w:r>
      <w:r w:rsidR="00D52366" w:rsidRPr="004A68AC">
        <w:rPr>
          <w:szCs w:val="17"/>
          <w:lang w:val="en-US"/>
        </w:rPr>
        <w:fldChar w:fldCharType="begin" w:fldLock="1"/>
      </w:r>
      <w:r w:rsidR="005C47A3" w:rsidRPr="004A68AC">
        <w:rPr>
          <w:szCs w:val="17"/>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D52366" w:rsidRPr="004A68AC">
        <w:rPr>
          <w:szCs w:val="17"/>
          <w:lang w:val="en-US"/>
        </w:rPr>
        <w:fldChar w:fldCharType="separate"/>
      </w:r>
      <w:r w:rsidR="00B339CD" w:rsidRPr="004A68AC">
        <w:rPr>
          <w:noProof/>
          <w:szCs w:val="17"/>
          <w:lang w:val="en-US"/>
        </w:rPr>
        <w:t>[18]</w:t>
      </w:r>
      <w:r w:rsidR="00D52366" w:rsidRPr="004A68AC">
        <w:rPr>
          <w:szCs w:val="17"/>
          <w:lang w:val="en-US"/>
        </w:rPr>
        <w:fldChar w:fldCharType="end"/>
      </w:r>
      <w:r w:rsidR="00D52366" w:rsidRPr="004A68AC">
        <w:rPr>
          <w:szCs w:val="17"/>
          <w:lang w:val="en-US"/>
        </w:rPr>
        <w:t xml:space="preserve"> </w:t>
      </w:r>
      <w:r w:rsidR="0063268E" w:rsidRPr="004A68AC">
        <w:rPr>
          <w:szCs w:val="17"/>
          <w:lang w:val="en-US"/>
        </w:rPr>
        <w:t xml:space="preserve">while investigating </w:t>
      </w:r>
      <w:r w:rsidR="00D52366" w:rsidRPr="004A68AC">
        <w:rPr>
          <w:szCs w:val="17"/>
          <w:lang w:val="en-US"/>
        </w:rPr>
        <w:t xml:space="preserve">the </w:t>
      </w:r>
      <w:r w:rsidR="0063268E" w:rsidRPr="004A68AC">
        <w:rPr>
          <w:szCs w:val="17"/>
          <w:lang w:val="en-US"/>
        </w:rPr>
        <w:t xml:space="preserve">seismic </w:t>
      </w:r>
      <w:r w:rsidR="00D52366" w:rsidRPr="004A68AC">
        <w:rPr>
          <w:szCs w:val="17"/>
          <w:lang w:val="en-US"/>
        </w:rPr>
        <w:t xml:space="preserve">response of two case study </w:t>
      </w:r>
      <w:r w:rsidR="0063268E" w:rsidRPr="004A68AC">
        <w:rPr>
          <w:szCs w:val="17"/>
          <w:lang w:val="en-US"/>
        </w:rPr>
        <w:t xml:space="preserve">steel </w:t>
      </w:r>
      <w:r w:rsidR="00D52366" w:rsidRPr="004A68AC">
        <w:rPr>
          <w:szCs w:val="17"/>
          <w:lang w:val="en-US"/>
        </w:rPr>
        <w:t>buildings. The outcomes of this study highlight</w:t>
      </w:r>
      <w:r w:rsidR="009630B4" w:rsidRPr="004A68AC">
        <w:rPr>
          <w:szCs w:val="17"/>
          <w:lang w:val="en-US"/>
        </w:rPr>
        <w:t>ed</w:t>
      </w:r>
      <w:r w:rsidR="00D52366" w:rsidRPr="004A68AC">
        <w:rPr>
          <w:szCs w:val="17"/>
          <w:lang w:val="en-US"/>
        </w:rPr>
        <w:t xml:space="preserve"> some of the limitations of the EC8-3 plastic rotation capacity limits and, among others, they </w:t>
      </w:r>
      <w:r w:rsidR="0032426D" w:rsidRPr="004A68AC">
        <w:rPr>
          <w:szCs w:val="17"/>
          <w:lang w:val="en-US"/>
        </w:rPr>
        <w:t xml:space="preserve">suggested </w:t>
      </w:r>
      <w:r w:rsidR="00D52366" w:rsidRPr="004A68AC">
        <w:rPr>
          <w:szCs w:val="17"/>
          <w:lang w:val="en-US"/>
        </w:rPr>
        <w:t>that these limits may be inadequate considering that they were</w:t>
      </w:r>
      <w:r w:rsidR="0032426D" w:rsidRPr="004A68AC">
        <w:rPr>
          <w:szCs w:val="17"/>
          <w:lang w:val="en-US"/>
        </w:rPr>
        <w:t xml:space="preserve"> simply</w:t>
      </w:r>
      <w:r w:rsidR="00D52366" w:rsidRPr="004A68AC">
        <w:rPr>
          <w:szCs w:val="17"/>
          <w:lang w:val="en-US"/>
        </w:rPr>
        <w:t xml:space="preserve"> adapted from the American codes, and therefore, </w:t>
      </w:r>
      <w:r w:rsidR="0032426D" w:rsidRPr="004A68AC">
        <w:rPr>
          <w:szCs w:val="17"/>
          <w:lang w:val="en-US"/>
        </w:rPr>
        <w:t>the new versions of the EC8-3 may requir</w:t>
      </w:r>
      <w:r w:rsidR="00AA19ED" w:rsidRPr="004A68AC">
        <w:rPr>
          <w:szCs w:val="17"/>
          <w:lang w:val="en-US"/>
        </w:rPr>
        <w:t>e</w:t>
      </w:r>
      <w:r w:rsidR="0032426D" w:rsidRPr="004A68AC">
        <w:rPr>
          <w:szCs w:val="17"/>
          <w:lang w:val="en-US"/>
        </w:rPr>
        <w:t xml:space="preserve"> tailored provisions based on the European context.</w:t>
      </w:r>
    </w:p>
    <w:p w14:paraId="285452DD" w14:textId="77777777" w:rsidR="00DF3BB3" w:rsidRPr="004A68AC" w:rsidRDefault="00DF3BB3" w:rsidP="00F5026E">
      <w:pPr>
        <w:rPr>
          <w:szCs w:val="17"/>
          <w:lang w:val="en-US"/>
        </w:rPr>
      </w:pPr>
    </w:p>
    <w:p w14:paraId="73486E8C" w14:textId="7BAAC15F" w:rsidR="00020F33" w:rsidRPr="004A68AC" w:rsidRDefault="0004350F" w:rsidP="004A5724">
      <w:pPr>
        <w:rPr>
          <w:szCs w:val="17"/>
          <w:lang w:val="en-US"/>
        </w:rPr>
      </w:pPr>
      <w:r w:rsidRPr="004A68AC">
        <w:rPr>
          <w:szCs w:val="17"/>
          <w:lang w:val="en-US"/>
        </w:rPr>
        <w:t xml:space="preserve">     </w:t>
      </w:r>
      <w:r w:rsidR="00C21463" w:rsidRPr="004A68AC">
        <w:rPr>
          <w:szCs w:val="17"/>
          <w:lang w:val="en-US"/>
        </w:rPr>
        <w:t xml:space="preserve">Future versions of the EC8-3 could benefit from the research done on European steel sections </w:t>
      </w:r>
      <w:r w:rsidR="000575F2" w:rsidRPr="004A68AC">
        <w:rPr>
          <w:szCs w:val="17"/>
          <w:lang w:val="en-US"/>
        </w:rPr>
        <w:t xml:space="preserve">in the last few years. For this matter, some researchers have gathered the </w:t>
      </w:r>
      <w:r w:rsidR="0083586F" w:rsidRPr="004A68AC">
        <w:rPr>
          <w:szCs w:val="17"/>
          <w:lang w:val="en-US"/>
        </w:rPr>
        <w:t>results of experimental work done on</w:t>
      </w:r>
      <w:r w:rsidR="000575F2" w:rsidRPr="004A68AC">
        <w:rPr>
          <w:szCs w:val="17"/>
          <w:lang w:val="en-US"/>
        </w:rPr>
        <w:t xml:space="preserve"> European profiles</w:t>
      </w:r>
      <w:r w:rsidR="0083586F" w:rsidRPr="004A68AC">
        <w:rPr>
          <w:szCs w:val="17"/>
          <w:lang w:val="en-US"/>
        </w:rPr>
        <w:t xml:space="preserve"> (</w:t>
      </w:r>
      <w:r w:rsidR="0083586F" w:rsidRPr="004A68AC">
        <w:rPr>
          <w:i/>
          <w:szCs w:val="17"/>
          <w:lang w:val="en-US"/>
        </w:rPr>
        <w:t>e.g.</w:t>
      </w:r>
      <w:r w:rsidR="0083586F" w:rsidRPr="004A68AC">
        <w:rPr>
          <w:szCs w:val="17"/>
          <w:lang w:val="en-US"/>
        </w:rPr>
        <w:t xml:space="preserve">, </w:t>
      </w:r>
      <w:r w:rsidR="0083586F" w:rsidRPr="004A68AC">
        <w:rPr>
          <w:szCs w:val="17"/>
          <w:lang w:val="en-US"/>
        </w:rPr>
        <w:fldChar w:fldCharType="begin" w:fldLock="1"/>
      </w:r>
      <w:r w:rsidR="00443F26" w:rsidRPr="004A68AC">
        <w:rPr>
          <w:szCs w:val="17"/>
          <w:lang w:val="en-US"/>
        </w:rPr>
        <w:instrText>ADDIN CSL_CITATION {"citationItems":[{"id":"ITEM-1","itemData":{"DOI":"10.1061/(ASCE)ST.1943-541X.0002499","ISSN":"07339445","abstract":"This paper presents results from an experimental evaluation on the pre- and post-buckling behavior of 12 steel wide-flange cantilever columns under axial load and lateral drift demands. The influence of several loading and geometric parameters, including the cross-sectional local web and flange slenderness ratios, applied axial load, and lateral and axial loading history on the performance of these columns is thoroughly examined. The test data indicate that cross-sectional local buckling is highly asymmetric in steel columns under variable axial load. A relatively high compressive axial load can significantly compromise the steel column seismic stability and ductility, but this also depends on the imposed lateral loading history. The AISC axial load-bending moment interaction equation provides accurate estimates of a steel column's yield resistance. However, the same equation underestimates by at least 30% the column's peak resistance, regardless of the loading scenario. Measurements of column flange deformation, axial shortening, flexural resistance, and lateral drift are combined in a single graphical format aiding the process of assessing steel column repairability after earthquakes. The test data suggest that current practice-oriented nonlinear component modeling guidelines may not provide sufficient accuracy in establishing both the monotonic and first-cycle envelope curves of steel columns. It is also shown that high-fidelity continuum finite-element models should consider geometric imperfections of proper magnitude, in addition to the steel material inelasticity, to properly simulate the inelastic buckling of wide-flange steel columns and generalize the findings of physical tests. Issues arising due to similitude are also discussed to properly limit steel column instability modes in future studies.","author":[{"dropping-particle":"","family":"Cravero","given":"Julien","non-dropping-particle":"","parse-names":false,"suffix":""},{"dropping-particle":"","family":"Elkady","given":"Ahmed","non-dropping-particle":"","parse-names":false,"suffix":""},{"dropping-particle":"","family":"Lignos","given":"Dimitrios G.","non-dropping-particle":"","parse-names":false,"suffix":""}],"container-title":"Journal of Structural Engineering","id":"ITEM-1","issue":"3","issued":{"date-parts":[["2020"]]},"page":"1-19","title":"Experimental Evaluation and Numerical Modeling of Wide-Flange Steel Columns Subjected to Constant and Variable Axial Load Coupled with Lateral Drift Demands","type":"article-journal","volume":"146"},"uris":["http://www.mendeley.com/documents/?uuid=d4fb787c-d8e5-4dec-8c7e-39f76c48b937"]},{"id":"ITEM-2","itemData":{"DOI":"10.1016/j.jcsr.2012.07.003","ISSN":"0143974X","abstract":"The ultimate behavior of steel beams deeply influences the overall performance of steel frames. The main response parameters are the rotation capacity and the flexural ultimate resistance. The former is the source of the local ductility supply needed to achieve a global dissipative behavior of structures under seismic actions, whereas the latter governs the flexural overstrength whose knowledge is needed for an appropriate application of hierarchy criteria in seismic design of structures. Therefore, a twofold classification of steel members according to their ductility and overstrength is the most appropriate approach for seismic design applications. Currently, modern international design codes are based on the classification of steel sections for both plastic and seismic designs of structures, providing misleading emphasis mainly on local buckling as the primary strain-weakening effect. Even though different methods are available in the technical literature for predicting the ultimate behavior of steel members under non-uniform bending, the problem still deserves further investigations, because of the high number of parameters affecting the ultimate response and the variety of cross-sectional shapes. Therefore, a new experimental program dealing with a wide range of cross section typologies (I and H sections, Square and Rectangular Hollow sections) under monotonic and cyclic loading has been carried out by testing specimens with different local slenderness ratios properly selected to integrate the data already available in the technical literature. The obtained results are herein presented and discussed. © 2012 Elsevier Ltd. All rights reserved.","author":[{"dropping-particle":"","family":"D'Aniello","given":"Mario","non-dropping-particle":"","parse-names":false,"suffix":""},{"dropping-particle":"","family":"Landolfo","given":"Raffaele","non-dropping-particle":"","parse-names":false,"suffix":""},{"dropping-particle":"","family":"Piluso","given":"Vincenzo","non-dropping-particle":"","parse-names":false,"suffix":""},{"dropping-particle":"","family":"Rizzano","given":"Gianvittorio","non-dropping-particle":"","parse-names":false,"suffix":""}],"container-title":"Journal of Constructional Steel Research","id":"ITEM-2","issued":{"date-parts":[["2012"]]},"page":"144-158","publisher":"Elsevier Ltd","title":"Ultimate behavior of steel beams under non-uniform bending","type":"article-journal","volume":"78"},"uris":["http://www.mendeley.com/documents/?uuid=7156eb5b-7ba7-47f6-9961-4eca2ec654aa"]}],"mendeley":{"formattedCitation":"[23,24]","plainTextFormattedCitation":"[23,24]","previouslyFormattedCitation":"[23,24]"},"properties":{"noteIndex":0},"schema":"https://github.com/citation-style-language/schema/raw/master/csl-citation.json"}</w:instrText>
      </w:r>
      <w:r w:rsidR="0083586F" w:rsidRPr="004A68AC">
        <w:rPr>
          <w:szCs w:val="17"/>
          <w:lang w:val="en-US"/>
        </w:rPr>
        <w:fldChar w:fldCharType="separate"/>
      </w:r>
      <w:r w:rsidR="00B339CD" w:rsidRPr="004A68AC">
        <w:rPr>
          <w:noProof/>
          <w:szCs w:val="17"/>
          <w:lang w:val="en-US"/>
        </w:rPr>
        <w:t>[23,24]</w:t>
      </w:r>
      <w:r w:rsidR="0083586F" w:rsidRPr="004A68AC">
        <w:rPr>
          <w:szCs w:val="17"/>
          <w:lang w:val="en-US"/>
        </w:rPr>
        <w:fldChar w:fldCharType="end"/>
      </w:r>
      <w:r w:rsidRPr="004A68AC">
        <w:rPr>
          <w:szCs w:val="17"/>
          <w:lang w:val="en-US"/>
        </w:rPr>
        <w:t>)</w:t>
      </w:r>
      <w:r w:rsidR="000575F2" w:rsidRPr="004A68AC">
        <w:rPr>
          <w:szCs w:val="17"/>
          <w:lang w:val="en-US"/>
        </w:rPr>
        <w:t xml:space="preserve"> and have developed parametric analyses to fill the gaps in-between the avai</w:t>
      </w:r>
      <w:r w:rsidR="0083586F" w:rsidRPr="004A68AC">
        <w:rPr>
          <w:szCs w:val="17"/>
          <w:lang w:val="en-US"/>
        </w:rPr>
        <w:t>lable experimental data.</w:t>
      </w:r>
      <w:r w:rsidRPr="004A68AC">
        <w:rPr>
          <w:szCs w:val="20"/>
          <w:lang w:val="en-US"/>
        </w:rPr>
        <w:t xml:space="preserve"> </w:t>
      </w:r>
      <w:r w:rsidR="000575F2" w:rsidRPr="004A68AC">
        <w:rPr>
          <w:szCs w:val="17"/>
          <w:lang w:val="en-US"/>
        </w:rPr>
        <w:t>For example,</w:t>
      </w:r>
      <w:r w:rsidR="00C21463" w:rsidRPr="004A68AC">
        <w:rPr>
          <w:szCs w:val="17"/>
          <w:lang w:val="en-US"/>
        </w:rPr>
        <w:t xml:space="preserve"> </w:t>
      </w:r>
      <w:r w:rsidR="0022180D" w:rsidRPr="004A68AC">
        <w:rPr>
          <w:szCs w:val="17"/>
          <w:lang w:val="en-US"/>
        </w:rPr>
        <w:t xml:space="preserve">Araújo </w:t>
      </w:r>
      <w:r w:rsidR="0022180D" w:rsidRPr="004A68AC">
        <w:rPr>
          <w:i/>
          <w:szCs w:val="17"/>
          <w:lang w:val="en-US"/>
        </w:rPr>
        <w:t>et al.</w:t>
      </w:r>
      <w:r w:rsidR="0022180D" w:rsidRPr="004A68AC">
        <w:rPr>
          <w:szCs w:val="17"/>
          <w:lang w:val="en-US"/>
        </w:rPr>
        <w:t xml:space="preserve"> </w:t>
      </w:r>
      <w:r w:rsidR="0022180D" w:rsidRPr="004A68AC">
        <w:rPr>
          <w:szCs w:val="17"/>
          <w:lang w:val="en-US"/>
        </w:rPr>
        <w:fldChar w:fldCharType="begin" w:fldLock="1"/>
      </w:r>
      <w:r w:rsidR="00B339CD" w:rsidRPr="004A68AC">
        <w:rPr>
          <w:szCs w:val="17"/>
          <w:lang w:val="en-US"/>
        </w:rPr>
        <w:instrText>ADDIN CSL_CITATION {"citationItems":[{"id":"ITEM-1","itemData":{"DOI":"10.1016/j.jcsr.2017.04.004","ISSN":"0143974X","abstract":"One issue of major importance regarding the application of seismic assessment guidelines is that of the deformation capacity limits prescribed for the various limit states. In the case of existing steel structures, Part 3 of Eurocode 8 (EC8-3) defines the limits in terms of plastic rotations, which are only applicable to cases where normalized axial load levels are lower than 0.3 and to cross-section classes of type 1 and 2. These limits resemble the ones defined in ASCE 41, suggesting a direct reproduction from the latter document despite their derivation on the basis of typical American profiles. Hence, this paper aims at evaluating the deformation capacity of European steel members and to answer the question of how adequate are the current EC8-3 limits. Based on detailed FE models, the influence of member imperfections, axial load and real ground motion records is assessed. Fracture due to ultra-low cycle fatigue is taken into account and general expressions for predicting the rotation capacity of a wide number of European cross-section profiles are proposed.","author":[{"dropping-particle":"","family":"Araújo","given":"Miguel","non-dropping-particle":"","parse-names":false,"suffix":""},{"dropping-particle":"","family":"Macedo","given":"Luís","non-dropping-particle":"","parse-names":false,"suffix":""},{"dropping-particle":"","family":"Castro","given":"José Miguel","non-dropping-particle":"","parse-names":false,"suffix":""}],"container-title":"Journal of Constructional Steel Research","id":"ITEM-1","issue":"September 2016","issued":{"date-parts":[["2017"]]},"page":"11-29","publisher":"Elsevier","title":"Evaluation of the rotation capacity limits of steel members defined in EC8-3","type":"article-journal","volume":"135"},"uris":["http://www.mendeley.com/documents/?uuid=4a458b54-22af-4a8a-b45a-8987b34f6548"]}],"mendeley":{"formattedCitation":"[25]","plainTextFormattedCitation":"[25]","previouslyFormattedCitation":"[25]"},"properties":{"noteIndex":0},"schema":"https://github.com/citation-style-language/schema/raw/master/csl-citation.json"}</w:instrText>
      </w:r>
      <w:r w:rsidR="0022180D" w:rsidRPr="004A68AC">
        <w:rPr>
          <w:szCs w:val="17"/>
          <w:lang w:val="en-US"/>
        </w:rPr>
        <w:fldChar w:fldCharType="separate"/>
      </w:r>
      <w:r w:rsidR="00B339CD" w:rsidRPr="004A68AC">
        <w:rPr>
          <w:noProof/>
          <w:szCs w:val="17"/>
          <w:lang w:val="en-US"/>
        </w:rPr>
        <w:t>[25]</w:t>
      </w:r>
      <w:r w:rsidR="0022180D" w:rsidRPr="004A68AC">
        <w:rPr>
          <w:szCs w:val="17"/>
          <w:lang w:val="en-US"/>
        </w:rPr>
        <w:fldChar w:fldCharType="end"/>
      </w:r>
      <w:r w:rsidR="0022180D" w:rsidRPr="004A68AC">
        <w:rPr>
          <w:szCs w:val="17"/>
          <w:lang w:val="en-US"/>
        </w:rPr>
        <w:t xml:space="preserve"> replicated the experiments performed by D’Aniello </w:t>
      </w:r>
      <w:r w:rsidR="0022180D" w:rsidRPr="004A68AC">
        <w:rPr>
          <w:i/>
          <w:szCs w:val="17"/>
          <w:lang w:val="en-US"/>
        </w:rPr>
        <w:t>et al.</w:t>
      </w:r>
      <w:r w:rsidR="0022180D" w:rsidRPr="004A68AC">
        <w:rPr>
          <w:szCs w:val="17"/>
          <w:lang w:val="en-US"/>
        </w:rPr>
        <w:t xml:space="preserve"> </w:t>
      </w:r>
      <w:r w:rsidRPr="004A68AC">
        <w:rPr>
          <w:szCs w:val="17"/>
          <w:lang w:val="en-US"/>
        </w:rPr>
        <w:fldChar w:fldCharType="begin" w:fldLock="1"/>
      </w:r>
      <w:r w:rsidR="00B339CD" w:rsidRPr="004A68AC">
        <w:rPr>
          <w:szCs w:val="17"/>
          <w:lang w:val="en-US"/>
        </w:rPr>
        <w:instrText>ADDIN CSL_CITATION {"citationItems":[{"id":"ITEM-1","itemData":{"DOI":"10.1016/j.jcsr.2012.07.003","ISSN":"0143974X","abstract":"The ultimate behavior of steel beams deeply influences the overall performance of steel frames. The main response parameters are the rotation capacity and the flexural ultimate resistance. The former is the source of the local ductility supply needed to achieve a global dissipative behavior of structures under seismic actions, whereas the latter governs the flexural overstrength whose knowledge is needed for an appropriate application of hierarchy criteria in seismic design of structures. Therefore, a twofold classification of steel members according to their ductility and overstrength is the most appropriate approach for seismic design applications. Currently, modern international design codes are based on the classification of steel sections for both plastic and seismic designs of structures, providing misleading emphasis mainly on local buckling as the primary strain-weakening effect. Even though different methods are available in the technical literature for predicting the ultimate behavior of steel members under non-uniform bending, the problem still deserves further investigations, because of the high number of parameters affecting the ultimate response and the variety of cross-sectional shapes. Therefore, a new experimental program dealing with a wide range of cross section typologies (I and H sections, Square and Rectangular Hollow sections) under monotonic and cyclic loading has been carried out by testing specimens with different local slenderness ratios properly selected to integrate the data already available in the technical literature. The obtained results are herein presented and discussed. © 2012 Elsevier Ltd. All rights reserved.","author":[{"dropping-particle":"","family":"D'Aniello","given":"Mario","non-dropping-particle":"","parse-names":false,"suffix":""},{"dropping-particle":"","family":"Landolfo","given":"Raffaele","non-dropping-particle":"","parse-names":false,"suffix":""},{"dropping-particle":"","family":"Piluso","given":"Vincenzo","non-dropping-particle":"","parse-names":false,"suffix":""},{"dropping-particle":"","family":"Rizzano","given":"Gianvittorio","non-dropping-particle":"","parse-names":false,"suffix":""}],"container-title":"Journal of Constructional Steel Research","id":"ITEM-1","issued":{"date-parts":[["2012"]]},"page":"144-158","publisher":"Elsevier Ltd","title":"Ultimate behavior of steel beams under non-uniform bending","type":"article-journal","volume":"78"},"uris":["http://www.mendeley.com/documents/?uuid=7156eb5b-7ba7-47f6-9961-4eca2ec654aa"]}],"mendeley":{"formattedCitation":"[24]","plainTextFormattedCitation":"[24]","previouslyFormattedCitation":"[24]"},"properties":{"noteIndex":0},"schema":"https://github.com/citation-style-language/schema/raw/master/csl-citation.json"}</w:instrText>
      </w:r>
      <w:r w:rsidRPr="004A68AC">
        <w:rPr>
          <w:szCs w:val="17"/>
          <w:lang w:val="en-US"/>
        </w:rPr>
        <w:fldChar w:fldCharType="separate"/>
      </w:r>
      <w:r w:rsidR="00B339CD" w:rsidRPr="004A68AC">
        <w:rPr>
          <w:noProof/>
          <w:szCs w:val="17"/>
          <w:lang w:val="en-US"/>
        </w:rPr>
        <w:t>[24]</w:t>
      </w:r>
      <w:r w:rsidRPr="004A68AC">
        <w:rPr>
          <w:szCs w:val="17"/>
          <w:lang w:val="en-US"/>
        </w:rPr>
        <w:fldChar w:fldCharType="end"/>
      </w:r>
      <w:r w:rsidR="0022180D" w:rsidRPr="004A68AC">
        <w:rPr>
          <w:szCs w:val="17"/>
          <w:lang w:val="en-US"/>
        </w:rPr>
        <w:t xml:space="preserve"> by developing detailed finite element</w:t>
      </w:r>
      <w:r w:rsidR="001902A0" w:rsidRPr="004A68AC">
        <w:rPr>
          <w:szCs w:val="17"/>
          <w:lang w:val="en-US"/>
        </w:rPr>
        <w:t xml:space="preserve"> (FE)</w:t>
      </w:r>
      <w:r w:rsidR="0022180D" w:rsidRPr="004A68AC">
        <w:rPr>
          <w:szCs w:val="17"/>
          <w:lang w:val="en-US"/>
        </w:rPr>
        <w:t xml:space="preserve"> models, to carry out a parametric study for assessing the influence of global and local geometrical imperfections, the axial load level and the type of loading on the deformation capacity of steel members. </w:t>
      </w:r>
      <w:r w:rsidR="0022180D" w:rsidRPr="004A68AC">
        <w:rPr>
          <w:szCs w:val="20"/>
          <w:lang w:val="en-US"/>
        </w:rPr>
        <w:t xml:space="preserve">The outcomes of this work highlighted that the code systematically overestimates the deformation capacity of deep and slender web </w:t>
      </w:r>
      <w:r w:rsidR="00FA43F7" w:rsidRPr="004A68AC">
        <w:rPr>
          <w:szCs w:val="20"/>
          <w:lang w:val="en-US"/>
        </w:rPr>
        <w:t>cross</w:t>
      </w:r>
      <w:r w:rsidR="00AF7B95" w:rsidRPr="004A68AC">
        <w:rPr>
          <w:szCs w:val="20"/>
          <w:lang w:val="en-US"/>
        </w:rPr>
        <w:t xml:space="preserve"> </w:t>
      </w:r>
      <w:r w:rsidR="0022180D" w:rsidRPr="004A68AC">
        <w:rPr>
          <w:szCs w:val="20"/>
          <w:lang w:val="en-US"/>
        </w:rPr>
        <w:t xml:space="preserve">section profiles. This overestimation is even more pronounced when considering axial loads. In addition, a set of prediction equations for the definition of rotation capacity limits and numerical </w:t>
      </w:r>
      <w:r w:rsidR="009C6512" w:rsidRPr="004A68AC">
        <w:rPr>
          <w:szCs w:val="20"/>
          <w:lang w:val="en-US"/>
        </w:rPr>
        <w:t>modeling</w:t>
      </w:r>
      <w:r w:rsidR="0022180D" w:rsidRPr="004A68AC">
        <w:rPr>
          <w:szCs w:val="20"/>
          <w:lang w:val="en-US"/>
        </w:rPr>
        <w:t xml:space="preserve"> of steel beam-column members was proposed.</w:t>
      </w:r>
      <w:r w:rsidR="007C543D" w:rsidRPr="004A68AC">
        <w:rPr>
          <w:szCs w:val="20"/>
          <w:lang w:val="en-US"/>
        </w:rPr>
        <w:t xml:space="preserve"> </w:t>
      </w:r>
      <w:r w:rsidR="0022180D" w:rsidRPr="004A68AC">
        <w:rPr>
          <w:szCs w:val="17"/>
          <w:lang w:val="en-US"/>
        </w:rPr>
        <w:t xml:space="preserve">More recently, Lignos and Hartloper </w:t>
      </w:r>
      <w:r w:rsidR="0022180D" w:rsidRPr="004A68AC">
        <w:rPr>
          <w:szCs w:val="17"/>
          <w:lang w:val="en-US"/>
        </w:rPr>
        <w:fldChar w:fldCharType="begin" w:fldLock="1"/>
      </w:r>
      <w:r w:rsidR="00B339CD" w:rsidRPr="004A68AC">
        <w:rPr>
          <w:szCs w:val="17"/>
          <w:lang w:val="en-US"/>
        </w:rPr>
        <w:instrText>ADDIN CSL_CITATION {"citationItems":[{"id":"ITEM-1","itemData":{"DOI":"10.1002/stab.201900108","ISSN":"14371049","abstract":"Seismic performance assessment of new and existing steel structures based on nonlinear static (pushover) analysis necessitates the use of engineering-oriented models that trace the nonlinear response of structural steel elements under static and cyclic loading. Recent experiments and corroborating finite element simulations on I- and H-shaped steel columns constitute an important data source for such a development. This paper presents important insights regarding the behaviour of steel columns under cyclic and monotonic loading based on an assembled steel column database. We propose simple, yet accurate, practice-oriented models to predict the strength and deformation capacities at yield and ultimate rotation (near collapse) of steel columns within the framework of Eurocode 8 Part 3 (EC8-Part 3). The proposed models are derived from first principles of mechanics along with robust statistical approaches leveraging the assembled datasets. It is shown that modelling provisions for steel columns in the current EC8 Part 3 do not reflect column behavioural trends from the available databases. The influence of loading history on the derived modelling recommendations for columns is also quantified and discussed. The proposed recommendations may be incorporated in future versions of EC8-Part 3 for seismic performance assessment of new and existing steel structures.","author":[{"dropping-particle":"","family":"Lignos","given":"Dimitrios G.","non-dropping-particle":"","parse-names":false,"suffix":""},{"dropping-particle":"","family":"Hartloper","given":"Alexander R.","non-dropping-particle":"","parse-names":false,"suffix":""}],"container-title":"Stahlbau","id":"ITEM-1","issue":"1","issued":{"date-parts":[["2020"]]},"page":"16-27","title":"Steel column stability and implications in the seismic assessment of steel structures according to Eurocode 8 Part 3","type":"article-journal","volume":"89"},"uris":["http://www.mendeley.com/documents/?uuid=6768b7d0-12f0-44b5-9e75-ef43074b11eb"]}],"mendeley":{"formattedCitation":"[26]","plainTextFormattedCitation":"[26]","previouslyFormattedCitation":"[26]"},"properties":{"noteIndex":0},"schema":"https://github.com/citation-style-language/schema/raw/master/csl-citation.json"}</w:instrText>
      </w:r>
      <w:r w:rsidR="0022180D" w:rsidRPr="004A68AC">
        <w:rPr>
          <w:szCs w:val="17"/>
          <w:lang w:val="en-US"/>
        </w:rPr>
        <w:fldChar w:fldCharType="separate"/>
      </w:r>
      <w:r w:rsidR="00B339CD" w:rsidRPr="004A68AC">
        <w:rPr>
          <w:noProof/>
          <w:szCs w:val="17"/>
          <w:lang w:val="en-US"/>
        </w:rPr>
        <w:t>[26]</w:t>
      </w:r>
      <w:r w:rsidR="0022180D" w:rsidRPr="004A68AC">
        <w:rPr>
          <w:szCs w:val="17"/>
          <w:lang w:val="en-US"/>
        </w:rPr>
        <w:fldChar w:fldCharType="end"/>
      </w:r>
      <w:r w:rsidR="0022180D" w:rsidRPr="004A68AC">
        <w:rPr>
          <w:szCs w:val="17"/>
          <w:lang w:val="en-US"/>
        </w:rPr>
        <w:t xml:space="preserve"> </w:t>
      </w:r>
      <w:r w:rsidR="00141D18" w:rsidRPr="004A68AC">
        <w:rPr>
          <w:szCs w:val="20"/>
          <w:lang w:val="en-US"/>
        </w:rPr>
        <w:t xml:space="preserve">gathered experimental information on the rotation capacity of European steel shapes and </w:t>
      </w:r>
      <w:r w:rsidR="0080241F" w:rsidRPr="004A68AC">
        <w:rPr>
          <w:szCs w:val="20"/>
          <w:lang w:val="en-US"/>
        </w:rPr>
        <w:t xml:space="preserve">numerically investigated </w:t>
      </w:r>
      <w:r w:rsidR="00141D18" w:rsidRPr="004A68AC">
        <w:rPr>
          <w:rStyle w:val="CommentReference"/>
          <w:sz w:val="20"/>
          <w:szCs w:val="20"/>
          <w:lang w:val="en-US"/>
        </w:rPr>
        <w:t>the stability of</w:t>
      </w:r>
      <w:r w:rsidR="0022180D" w:rsidRPr="004A68AC">
        <w:rPr>
          <w:szCs w:val="20"/>
          <w:lang w:val="en-US"/>
        </w:rPr>
        <w:t xml:space="preserve"> steel column</w:t>
      </w:r>
      <w:r w:rsidR="00141D18" w:rsidRPr="004A68AC">
        <w:rPr>
          <w:szCs w:val="20"/>
          <w:lang w:val="en-US"/>
        </w:rPr>
        <w:t>s</w:t>
      </w:r>
      <w:r w:rsidR="0022180D" w:rsidRPr="004A68AC">
        <w:rPr>
          <w:szCs w:val="20"/>
          <w:lang w:val="en-US"/>
        </w:rPr>
        <w:t xml:space="preserve"> and</w:t>
      </w:r>
      <w:r w:rsidR="00141D18" w:rsidRPr="004A68AC">
        <w:rPr>
          <w:szCs w:val="20"/>
          <w:lang w:val="en-US"/>
        </w:rPr>
        <w:t xml:space="preserve"> its</w:t>
      </w:r>
      <w:r w:rsidR="0022180D" w:rsidRPr="004A68AC">
        <w:rPr>
          <w:szCs w:val="20"/>
          <w:lang w:val="en-US"/>
        </w:rPr>
        <w:t xml:space="preserve"> implications in the seismic assessment of structures </w:t>
      </w:r>
      <w:r w:rsidR="0080241F" w:rsidRPr="004A68AC">
        <w:rPr>
          <w:szCs w:val="20"/>
          <w:lang w:val="en-US"/>
        </w:rPr>
        <w:t>with</w:t>
      </w:r>
      <w:r w:rsidR="0022180D" w:rsidRPr="004A68AC">
        <w:rPr>
          <w:szCs w:val="20"/>
          <w:lang w:val="en-US"/>
        </w:rPr>
        <w:t>in</w:t>
      </w:r>
      <w:r w:rsidR="0080241F" w:rsidRPr="004A68AC">
        <w:rPr>
          <w:szCs w:val="20"/>
          <w:lang w:val="en-US"/>
        </w:rPr>
        <w:t xml:space="preserve"> the</w:t>
      </w:r>
      <w:r w:rsidR="0022180D" w:rsidRPr="004A68AC">
        <w:rPr>
          <w:szCs w:val="20"/>
          <w:lang w:val="en-US"/>
        </w:rPr>
        <w:t xml:space="preserve"> EC8-3 </w:t>
      </w:r>
      <w:r w:rsidR="0022180D"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22180D" w:rsidRPr="004A68AC">
        <w:rPr>
          <w:szCs w:val="20"/>
          <w:lang w:val="en-US"/>
        </w:rPr>
        <w:fldChar w:fldCharType="separate"/>
      </w:r>
      <w:r w:rsidR="00855F83" w:rsidRPr="004A68AC">
        <w:rPr>
          <w:noProof/>
          <w:szCs w:val="20"/>
          <w:lang w:val="en-US"/>
        </w:rPr>
        <w:t>[13]</w:t>
      </w:r>
      <w:r w:rsidR="0022180D" w:rsidRPr="004A68AC">
        <w:rPr>
          <w:szCs w:val="20"/>
          <w:lang w:val="en-US"/>
        </w:rPr>
        <w:fldChar w:fldCharType="end"/>
      </w:r>
      <w:r w:rsidR="00141D18" w:rsidRPr="004A68AC">
        <w:rPr>
          <w:szCs w:val="17"/>
          <w:lang w:val="en-US"/>
        </w:rPr>
        <w:t>.</w:t>
      </w:r>
      <w:r w:rsidR="0022180D" w:rsidRPr="004A68AC">
        <w:rPr>
          <w:szCs w:val="17"/>
          <w:lang w:val="en-US"/>
        </w:rPr>
        <w:t xml:space="preserve"> </w:t>
      </w:r>
      <w:r w:rsidR="00141D18" w:rsidRPr="004A68AC">
        <w:rPr>
          <w:szCs w:val="17"/>
          <w:lang w:val="en-US"/>
        </w:rPr>
        <w:t>They</w:t>
      </w:r>
      <w:r w:rsidR="0022180D" w:rsidRPr="004A68AC">
        <w:rPr>
          <w:szCs w:val="17"/>
          <w:lang w:val="en-US"/>
        </w:rPr>
        <w:t xml:space="preserve"> concluded that the current</w:t>
      </w:r>
      <w:r w:rsidR="00401730" w:rsidRPr="004A68AC">
        <w:rPr>
          <w:szCs w:val="17"/>
          <w:lang w:val="en-US"/>
        </w:rPr>
        <w:t xml:space="preserve"> Eurocode</w:t>
      </w:r>
      <w:r w:rsidR="0022180D" w:rsidRPr="004A68AC">
        <w:rPr>
          <w:szCs w:val="17"/>
          <w:lang w:val="en-US"/>
        </w:rPr>
        <w:t xml:space="preserve"> provisions for steel columns do not</w:t>
      </w:r>
      <w:r w:rsidR="00B25B88" w:rsidRPr="004A68AC">
        <w:rPr>
          <w:szCs w:val="17"/>
          <w:lang w:val="en-US"/>
        </w:rPr>
        <w:t xml:space="preserve"> necessarily</w:t>
      </w:r>
      <w:r w:rsidR="0022180D" w:rsidRPr="004A68AC">
        <w:rPr>
          <w:szCs w:val="17"/>
          <w:lang w:val="en-US"/>
        </w:rPr>
        <w:t xml:space="preserve"> reflect the column behavioral trends from </w:t>
      </w:r>
      <w:r w:rsidR="00401730" w:rsidRPr="004A68AC">
        <w:rPr>
          <w:szCs w:val="17"/>
          <w:lang w:val="en-US"/>
        </w:rPr>
        <w:t xml:space="preserve">experimental </w:t>
      </w:r>
      <w:r w:rsidR="0022180D" w:rsidRPr="004A68AC">
        <w:rPr>
          <w:szCs w:val="17"/>
          <w:lang w:val="en-US"/>
        </w:rPr>
        <w:t>databases</w:t>
      </w:r>
      <w:r w:rsidR="00401730" w:rsidRPr="004A68AC">
        <w:rPr>
          <w:szCs w:val="17"/>
          <w:lang w:val="en-US"/>
        </w:rPr>
        <w:t xml:space="preserve"> performed on European steel sections</w:t>
      </w:r>
      <w:r w:rsidR="0022180D" w:rsidRPr="004A68AC">
        <w:rPr>
          <w:szCs w:val="17"/>
          <w:lang w:val="en-US"/>
        </w:rPr>
        <w:t>. In addition, they</w:t>
      </w:r>
      <w:r w:rsidR="00401730" w:rsidRPr="004A68AC">
        <w:rPr>
          <w:szCs w:val="17"/>
          <w:lang w:val="en-US"/>
        </w:rPr>
        <w:t xml:space="preserve"> proposed steel column modeling parameters (</w:t>
      </w:r>
      <w:r w:rsidR="00401730" w:rsidRPr="004A68AC">
        <w:rPr>
          <w:i/>
          <w:szCs w:val="17"/>
          <w:lang w:val="en-US"/>
        </w:rPr>
        <w:t>i.e.</w:t>
      </w:r>
      <w:r w:rsidR="00401730" w:rsidRPr="004A68AC">
        <w:rPr>
          <w:szCs w:val="17"/>
          <w:lang w:val="en-US"/>
        </w:rPr>
        <w:t>, prediction parameters)</w:t>
      </w:r>
      <w:r w:rsidR="0022180D" w:rsidRPr="004A68AC">
        <w:rPr>
          <w:szCs w:val="17"/>
          <w:lang w:val="en-US"/>
        </w:rPr>
        <w:t xml:space="preserve"> based on statistical approaches on column stability experiments and refined models.</w:t>
      </w:r>
      <w:r w:rsidR="005E41A8" w:rsidRPr="004A68AC">
        <w:rPr>
          <w:szCs w:val="17"/>
          <w:lang w:val="en-US"/>
        </w:rPr>
        <w:t xml:space="preserve"> Other authors have opted for performing </w:t>
      </w:r>
      <w:r w:rsidR="00760119" w:rsidRPr="004A68AC">
        <w:rPr>
          <w:szCs w:val="17"/>
          <w:lang w:val="en-US"/>
        </w:rPr>
        <w:t xml:space="preserve">building-level </w:t>
      </w:r>
      <w:r w:rsidR="005E41A8" w:rsidRPr="004A68AC">
        <w:rPr>
          <w:szCs w:val="17"/>
          <w:lang w:val="en-US"/>
        </w:rPr>
        <w:t xml:space="preserve">parametric analyses to develop simplified methods to relate the </w:t>
      </w:r>
      <w:r w:rsidR="001F01FD" w:rsidRPr="004A68AC">
        <w:rPr>
          <w:szCs w:val="17"/>
          <w:lang w:val="en-US"/>
        </w:rPr>
        <w:t xml:space="preserve">building </w:t>
      </w:r>
      <w:r w:rsidR="005E41A8" w:rsidRPr="004A68AC">
        <w:rPr>
          <w:szCs w:val="17"/>
          <w:lang w:val="en-US"/>
        </w:rPr>
        <w:t xml:space="preserve">structural properties with a given seismic </w:t>
      </w:r>
      <w:r w:rsidR="002A6C5C" w:rsidRPr="004A68AC">
        <w:rPr>
          <w:szCs w:val="17"/>
          <w:lang w:val="en-US"/>
        </w:rPr>
        <w:t>capacity</w:t>
      </w:r>
      <w:r w:rsidR="005E41A8" w:rsidRPr="004A68AC">
        <w:rPr>
          <w:szCs w:val="17"/>
          <w:lang w:val="en-US"/>
        </w:rPr>
        <w:t xml:space="preserve">. Montuori </w:t>
      </w:r>
      <w:r w:rsidR="005E41A8" w:rsidRPr="004A68AC">
        <w:rPr>
          <w:i/>
          <w:iCs/>
          <w:szCs w:val="17"/>
          <w:lang w:val="en-US"/>
        </w:rPr>
        <w:t>et al.</w:t>
      </w:r>
      <w:r w:rsidR="005E41A8" w:rsidRPr="004A68AC">
        <w:rPr>
          <w:szCs w:val="17"/>
          <w:lang w:val="en-US"/>
        </w:rPr>
        <w:t xml:space="preserve"> </w:t>
      </w:r>
      <w:r w:rsidR="005E41A8" w:rsidRPr="004A68AC">
        <w:rPr>
          <w:szCs w:val="17"/>
          <w:lang w:val="en-US"/>
        </w:rPr>
        <w:fldChar w:fldCharType="begin" w:fldLock="1"/>
      </w:r>
      <w:r w:rsidR="005C2936" w:rsidRPr="004A68AC">
        <w:rPr>
          <w:szCs w:val="17"/>
          <w:lang w:val="en-US"/>
        </w:rPr>
        <w:instrText>ADDIN CSL_CITATION {"citationItems":[{"id":"ITEM-1","itemData":{"DOI":"10.1016/j.engstruct.2020.111222","ISSN":"18737323","abstract":"Recent earthquakes have underlined the need for a prompt classification of buildings in terms of seismic performances. The capacity of a structure can be assessed by means of inelastic analysis, requiring sophisticated numerical procedures. Therefore, a simplified method for the evaluation of seismic performance of steel frames to be used in the everyday practice is proposed in this paper. This method can evaluate the capacity of an existing building without resorting to any static non-linear or dynamic non-linear analyses. To set up the method, an extensive parametric analysis was carried out on 420 frames designed according to 3 different approaches: the first is the Theory of Plastic Mechanism Control and ensures the design of structures characterized by global collapse mechanism (Global Moment Resisting Frames (GMRFs)), the second is based on the application of the Eurocode 8 requirements (Special Moment Resisting Frames (SMRFs)) while the third is a non-seismic design, based on sizing for vertical loads only (Ordinary Moment Resisting Frames (OMRFs)).","author":[{"dropping-particle":"","family":"Montuori","given":"Rosario","non-dropping-particle":"","parse-names":false,"suffix":""},{"dropping-particle":"","family":"Nastri","given":"Elide","non-dropping-particle":"","parse-names":false,"suffix":""},{"dropping-particle":"","family":"Piluso","given":"Vincenzo","non-dropping-particle":"","parse-names":false,"suffix":""},{"dropping-particle":"","family":"Todisco","given":"Paolo","non-dropping-particle":"","parse-names":false,"suffix":""}],"container-title":"Engineering Structures","id":"ITEM-1","issue":"February","issued":{"date-parts":[["2020"]]},"page":"111222","publisher":"Elsevier","title":"A simplified performance based approach for the evaluation of seismic performances of steel frames","type":"article-journal","volume":"224"},"uris":["http://www.mendeley.com/documents/?uuid=4821adf1-6026-463e-a74d-db37bf21a383"]}],"mendeley":{"formattedCitation":"[27]","plainTextFormattedCitation":"[27]","previouslyFormattedCitation":"[27]"},"properties":{"noteIndex":0},"schema":"https://github.com/citation-style-language/schema/raw/master/csl-citation.json"}</w:instrText>
      </w:r>
      <w:r w:rsidR="005E41A8" w:rsidRPr="004A68AC">
        <w:rPr>
          <w:szCs w:val="17"/>
          <w:lang w:val="en-US"/>
        </w:rPr>
        <w:fldChar w:fldCharType="separate"/>
      </w:r>
      <w:r w:rsidR="005E41A8" w:rsidRPr="004A68AC">
        <w:rPr>
          <w:noProof/>
          <w:szCs w:val="17"/>
          <w:lang w:val="en-US"/>
        </w:rPr>
        <w:t>[27]</w:t>
      </w:r>
      <w:r w:rsidR="005E41A8" w:rsidRPr="004A68AC">
        <w:rPr>
          <w:szCs w:val="17"/>
          <w:lang w:val="en-US"/>
        </w:rPr>
        <w:fldChar w:fldCharType="end"/>
      </w:r>
      <w:r w:rsidR="005E41A8" w:rsidRPr="004A68AC">
        <w:rPr>
          <w:szCs w:val="17"/>
          <w:lang w:val="en-US"/>
        </w:rPr>
        <w:t>, for example,</w:t>
      </w:r>
      <w:r w:rsidR="000377AC" w:rsidRPr="004A68AC">
        <w:rPr>
          <w:szCs w:val="17"/>
          <w:lang w:val="en-US"/>
        </w:rPr>
        <w:t xml:space="preserve"> proposed a method to evaluate the seismic performance of MRFs</w:t>
      </w:r>
      <w:r w:rsidR="005E41A8" w:rsidRPr="004A68AC">
        <w:rPr>
          <w:szCs w:val="17"/>
          <w:lang w:val="en-US"/>
        </w:rPr>
        <w:t xml:space="preserve"> </w:t>
      </w:r>
      <w:r w:rsidR="008D3206" w:rsidRPr="004A68AC">
        <w:rPr>
          <w:szCs w:val="17"/>
          <w:lang w:val="en-US"/>
        </w:rPr>
        <w:t xml:space="preserve">by </w:t>
      </w:r>
      <w:r w:rsidR="002A6C5C" w:rsidRPr="004A68AC">
        <w:rPr>
          <w:szCs w:val="17"/>
          <w:lang w:val="en-US"/>
        </w:rPr>
        <w:t>directly comparing</w:t>
      </w:r>
      <w:r w:rsidR="008D3206" w:rsidRPr="004A68AC">
        <w:rPr>
          <w:szCs w:val="17"/>
          <w:lang w:val="en-US"/>
        </w:rPr>
        <w:t xml:space="preserve"> simplified</w:t>
      </w:r>
      <w:r w:rsidR="002A6C5C" w:rsidRPr="004A68AC">
        <w:rPr>
          <w:szCs w:val="17"/>
          <w:lang w:val="en-US"/>
        </w:rPr>
        <w:t xml:space="preserve"> pushover-based</w:t>
      </w:r>
      <w:r w:rsidR="008D3206" w:rsidRPr="004A68AC">
        <w:rPr>
          <w:szCs w:val="17"/>
          <w:lang w:val="en-US"/>
        </w:rPr>
        <w:t xml:space="preserve"> trilinear </w:t>
      </w:r>
      <w:r w:rsidR="002A6C5C" w:rsidRPr="004A68AC">
        <w:rPr>
          <w:szCs w:val="17"/>
          <w:lang w:val="en-US"/>
        </w:rPr>
        <w:t xml:space="preserve">capacity </w:t>
      </w:r>
      <w:r w:rsidR="008D3206" w:rsidRPr="004A68AC">
        <w:rPr>
          <w:szCs w:val="17"/>
          <w:lang w:val="en-US"/>
        </w:rPr>
        <w:t>curves</w:t>
      </w:r>
      <w:r w:rsidR="002A6C5C" w:rsidRPr="004A68AC">
        <w:rPr>
          <w:szCs w:val="17"/>
          <w:lang w:val="en-US"/>
        </w:rPr>
        <w:t xml:space="preserve"> with </w:t>
      </w:r>
      <w:r w:rsidR="00760119" w:rsidRPr="004A68AC">
        <w:rPr>
          <w:szCs w:val="17"/>
          <w:lang w:val="en-US"/>
        </w:rPr>
        <w:t>demands in an Acceleration-Displacement Response Spectrum (ADRS)</w:t>
      </w:r>
      <w:r w:rsidR="00184296" w:rsidRPr="004A68AC">
        <w:rPr>
          <w:szCs w:val="17"/>
          <w:lang w:val="en-US"/>
        </w:rPr>
        <w:t xml:space="preserve">. The different limit states on the capacity curve were calibrated based on </w:t>
      </w:r>
      <w:r w:rsidR="00020F33" w:rsidRPr="004A68AC">
        <w:rPr>
          <w:szCs w:val="17"/>
          <w:lang w:val="en-US"/>
        </w:rPr>
        <w:t xml:space="preserve">an extensive parametric analysis </w:t>
      </w:r>
      <w:r w:rsidR="00184296" w:rsidRPr="004A68AC">
        <w:rPr>
          <w:szCs w:val="17"/>
          <w:lang w:val="en-US"/>
        </w:rPr>
        <w:t>made on</w:t>
      </w:r>
      <w:r w:rsidR="00020F33" w:rsidRPr="004A68AC">
        <w:rPr>
          <w:szCs w:val="17"/>
          <w:lang w:val="en-US"/>
        </w:rPr>
        <w:t xml:space="preserve"> 420 European-profile-based steel MRFs,</w:t>
      </w:r>
      <w:r w:rsidR="00184296" w:rsidRPr="004A68AC">
        <w:rPr>
          <w:szCs w:val="17"/>
          <w:lang w:val="en-US"/>
        </w:rPr>
        <w:t xml:space="preserve"> which were representative of different failure mechanisms (</w:t>
      </w:r>
      <w:r w:rsidR="00184296" w:rsidRPr="004A68AC">
        <w:rPr>
          <w:i/>
          <w:iCs/>
          <w:szCs w:val="17"/>
          <w:lang w:val="en-US"/>
        </w:rPr>
        <w:t>e.g.</w:t>
      </w:r>
      <w:r w:rsidR="00054CE6" w:rsidRPr="004A68AC">
        <w:rPr>
          <w:i/>
          <w:iCs/>
          <w:szCs w:val="17"/>
          <w:lang w:val="en-US"/>
        </w:rPr>
        <w:t>,</w:t>
      </w:r>
      <w:r w:rsidR="00184296" w:rsidRPr="004A68AC">
        <w:rPr>
          <w:szCs w:val="17"/>
          <w:lang w:val="en-US"/>
        </w:rPr>
        <w:t xml:space="preserve"> </w:t>
      </w:r>
      <w:r w:rsidR="005C2936" w:rsidRPr="004A68AC">
        <w:rPr>
          <w:szCs w:val="17"/>
          <w:lang w:val="en-US"/>
        </w:rPr>
        <w:t>global mechanism</w:t>
      </w:r>
      <w:r w:rsidR="00184296" w:rsidRPr="004A68AC">
        <w:rPr>
          <w:szCs w:val="17"/>
          <w:lang w:val="en-US"/>
        </w:rPr>
        <w:t xml:space="preserve">, soft-story </w:t>
      </w:r>
      <w:r w:rsidR="005C2936" w:rsidRPr="004A68AC">
        <w:rPr>
          <w:szCs w:val="17"/>
          <w:lang w:val="en-US"/>
        </w:rPr>
        <w:t>mechanism</w:t>
      </w:r>
      <w:r w:rsidR="00184296" w:rsidRPr="004A68AC">
        <w:rPr>
          <w:szCs w:val="17"/>
          <w:lang w:val="en-US"/>
        </w:rPr>
        <w:t>).</w:t>
      </w:r>
      <w:r w:rsidR="00020F33" w:rsidRPr="004A68AC">
        <w:rPr>
          <w:szCs w:val="17"/>
          <w:lang w:val="en-US"/>
        </w:rPr>
        <w:t xml:space="preserve"> </w:t>
      </w:r>
      <w:r w:rsidR="0022180D" w:rsidRPr="004A68AC">
        <w:rPr>
          <w:szCs w:val="17"/>
          <w:lang w:val="en-US"/>
        </w:rPr>
        <w:t xml:space="preserve">The outcomes of these studies highlight the need for significant efforts toward the definition of more adequate provisions for the assessment of existing steel structures that can accurately describe the performance of </w:t>
      </w:r>
      <w:r w:rsidR="00401730" w:rsidRPr="004A68AC">
        <w:rPr>
          <w:szCs w:val="17"/>
          <w:lang w:val="en-US"/>
        </w:rPr>
        <w:t>structural elements</w:t>
      </w:r>
      <w:r w:rsidR="0022180D" w:rsidRPr="004A68AC">
        <w:rPr>
          <w:szCs w:val="17"/>
          <w:lang w:val="en-US"/>
        </w:rPr>
        <w:t xml:space="preserve"> within European countries.</w:t>
      </w:r>
    </w:p>
    <w:p w14:paraId="236C5B9F" w14:textId="77777777" w:rsidR="00DF3BB3" w:rsidRPr="004A68AC" w:rsidRDefault="00DF3BB3" w:rsidP="0022180D">
      <w:pPr>
        <w:rPr>
          <w:rStyle w:val="CommentReference"/>
          <w:sz w:val="20"/>
          <w:szCs w:val="20"/>
          <w:lang w:val="en-US"/>
        </w:rPr>
      </w:pPr>
    </w:p>
    <w:p w14:paraId="0F002060" w14:textId="2A79DC6B" w:rsidR="00297976" w:rsidRPr="004A68AC" w:rsidRDefault="007C543D" w:rsidP="004F14AA">
      <w:pPr>
        <w:rPr>
          <w:szCs w:val="20"/>
          <w:lang w:val="en-US"/>
        </w:rPr>
      </w:pPr>
      <w:r w:rsidRPr="004A68AC">
        <w:rPr>
          <w:rStyle w:val="CommentReference"/>
          <w:sz w:val="20"/>
          <w:szCs w:val="20"/>
          <w:lang w:val="en-US"/>
        </w:rPr>
        <w:t xml:space="preserve">     </w:t>
      </w:r>
      <w:r w:rsidR="002F11A3" w:rsidRPr="004A68AC">
        <w:rPr>
          <w:rStyle w:val="CommentReference"/>
          <w:sz w:val="20"/>
          <w:szCs w:val="20"/>
          <w:lang w:val="en-US"/>
        </w:rPr>
        <w:t>O</w:t>
      </w:r>
      <w:r w:rsidR="0018759C" w:rsidRPr="004A68AC">
        <w:rPr>
          <w:rStyle w:val="CommentReference"/>
          <w:sz w:val="20"/>
          <w:szCs w:val="20"/>
          <w:lang w:val="en-US"/>
        </w:rPr>
        <w:t xml:space="preserve">ne of the </w:t>
      </w:r>
      <w:r w:rsidR="0018759C" w:rsidRPr="004A68AC">
        <w:rPr>
          <w:lang w:val="en-US"/>
        </w:rPr>
        <w:t>most significant deficiencies of the</w:t>
      </w:r>
      <w:r w:rsidR="00B25B88" w:rsidRPr="004A68AC">
        <w:rPr>
          <w:lang w:val="en-US"/>
        </w:rPr>
        <w:t xml:space="preserve"> current version of the</w:t>
      </w:r>
      <w:r w:rsidR="0018759C" w:rsidRPr="004A68AC">
        <w:rPr>
          <w:lang w:val="en-US"/>
        </w:rPr>
        <w:t xml:space="preserve"> EC8-3 </w:t>
      </w:r>
      <w:r w:rsidR="0018759C"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18759C" w:rsidRPr="004A68AC">
        <w:rPr>
          <w:lang w:val="en-US"/>
        </w:rPr>
        <w:fldChar w:fldCharType="separate"/>
      </w:r>
      <w:r w:rsidR="00855F83" w:rsidRPr="004A68AC">
        <w:rPr>
          <w:noProof/>
          <w:lang w:val="en-US"/>
        </w:rPr>
        <w:t>[13]</w:t>
      </w:r>
      <w:r w:rsidR="0018759C" w:rsidRPr="004A68AC">
        <w:rPr>
          <w:lang w:val="en-US"/>
        </w:rPr>
        <w:fldChar w:fldCharType="end"/>
      </w:r>
      <w:r w:rsidR="0018759C" w:rsidRPr="004A68AC">
        <w:rPr>
          <w:lang w:val="en-US"/>
        </w:rPr>
        <w:t xml:space="preserve"> is the lack of </w:t>
      </w:r>
      <w:r w:rsidR="009C6512" w:rsidRPr="004A68AC">
        <w:rPr>
          <w:lang w:val="en-US"/>
        </w:rPr>
        <w:t>modeling</w:t>
      </w:r>
      <w:r w:rsidR="0018759C" w:rsidRPr="004A68AC">
        <w:rPr>
          <w:lang w:val="en-US"/>
        </w:rPr>
        <w:t xml:space="preserve"> parameters and capacity </w:t>
      </w:r>
      <w:r w:rsidR="00B378A0" w:rsidRPr="004A68AC">
        <w:rPr>
          <w:lang w:val="en-US"/>
        </w:rPr>
        <w:t>limits</w:t>
      </w:r>
      <w:r w:rsidR="0018759C" w:rsidRPr="004A68AC">
        <w:rPr>
          <w:lang w:val="en-US"/>
        </w:rPr>
        <w:t xml:space="preserve"> for panel zones.</w:t>
      </w:r>
      <w:r w:rsidR="002867D8" w:rsidRPr="004A68AC">
        <w:rPr>
          <w:lang w:val="en-US"/>
        </w:rPr>
        <w:t xml:space="preserve"> The importance of the panel zone behavior in the structural response has been </w:t>
      </w:r>
      <w:r w:rsidR="00546320" w:rsidRPr="004A68AC">
        <w:rPr>
          <w:lang w:val="en-US"/>
        </w:rPr>
        <w:t>acknowledged</w:t>
      </w:r>
      <w:r w:rsidR="002867D8" w:rsidRPr="004A68AC">
        <w:rPr>
          <w:lang w:val="en-US"/>
        </w:rPr>
        <w:t xml:space="preserve"> by multiple authors</w:t>
      </w:r>
      <w:r w:rsidR="00546320" w:rsidRPr="004A68AC">
        <w:rPr>
          <w:lang w:val="en-US"/>
        </w:rPr>
        <w:t xml:space="preserve"> since decades ago. </w:t>
      </w:r>
      <w:r w:rsidR="00DC129B" w:rsidRPr="004A68AC">
        <w:rPr>
          <w:lang w:val="en-US"/>
        </w:rPr>
        <w:t xml:space="preserve">Krawinkler and Mohasseb </w:t>
      </w:r>
      <w:r w:rsidR="00DC129B" w:rsidRPr="004A68AC">
        <w:rPr>
          <w:lang w:val="en-US"/>
        </w:rPr>
        <w:fldChar w:fldCharType="begin" w:fldLock="1"/>
      </w:r>
      <w:r w:rsidR="005C2936" w:rsidRPr="004A68AC">
        <w:rPr>
          <w:lang w:val="en-US"/>
        </w:rPr>
        <w:instrText>ADDIN CSL_CITATION {"citationItems":[{"id":"ITEM-1","itemData":{"DOI":"10.1016/0143-974X(87)90060-5","ISSN":"0143974X","abstract":"This paper shows that joint panel zone shear deformations may have a significant effect on the structure strength and stiffness and on the distribution of inelastic deformations in a frame structure subjected to earthquake excitations. If panel zones are strong in shear, frame behavior is as predicted from conventional rigid frame analysis with inelastic deformations concentrated in plastic hinge regions in beams or columns. If panel zones are weak in shear, the joints are weak links in which inelastic deformations are concentrated and the beams and columns will not develop their bending strength under lateral loading. As a consequence the structure strength and stiffness may be reduced considerably. Since designs with weak joints are becoming the rule rather than the exception, due consideration should be given to the effects of joint shear deformations on frame behavior. © 1987.","author":[{"dropping-particle":"","family":"Krawinkler","given":"H.","non-dropping-particle":"","parse-names":false,"suffix":""},{"dropping-particle":"","family":"Mohasseb","given":"S.","non-dropping-particle":"","parse-names":false,"suffix":""}],"container-title":"Journal of Constructional Steel Research","id":"ITEM-1","issue":"C","issued":{"date-parts":[["1987"]]},"page":"233-250","title":"Effects of panel zone deformations on seismic response","type":"article-journal","volume":"8"},"uris":["http://www.mendeley.com/documents/?uuid=882f3ffb-87cf-4970-a4d4-4576da72a998"]}],"mendeley":{"formattedCitation":"[28]","plainTextFormattedCitation":"[28]","previouslyFormattedCitation":"[28]"},"properties":{"noteIndex":0},"schema":"https://github.com/citation-style-language/schema/raw/master/csl-citation.json"}</w:instrText>
      </w:r>
      <w:r w:rsidR="00DC129B" w:rsidRPr="004A68AC">
        <w:rPr>
          <w:lang w:val="en-US"/>
        </w:rPr>
        <w:fldChar w:fldCharType="separate"/>
      </w:r>
      <w:r w:rsidR="005E41A8" w:rsidRPr="004A68AC">
        <w:rPr>
          <w:noProof/>
          <w:lang w:val="en-US"/>
        </w:rPr>
        <w:t>[28]</w:t>
      </w:r>
      <w:r w:rsidR="00DC129B" w:rsidRPr="004A68AC">
        <w:rPr>
          <w:lang w:val="en-US"/>
        </w:rPr>
        <w:fldChar w:fldCharType="end"/>
      </w:r>
      <w:r w:rsidR="00DC129B" w:rsidRPr="004A68AC">
        <w:rPr>
          <w:lang w:val="en-US"/>
        </w:rPr>
        <w:t>, for example, highlighted the importance of in</w:t>
      </w:r>
      <w:r w:rsidR="00381B75" w:rsidRPr="004A68AC">
        <w:rPr>
          <w:lang w:val="en-US"/>
        </w:rPr>
        <w:t>cluding panel zones in the analysis of steel MRFs</w:t>
      </w:r>
      <w:r w:rsidR="008D26E4" w:rsidRPr="004A68AC">
        <w:rPr>
          <w:lang w:val="en-US"/>
        </w:rPr>
        <w:t xml:space="preserve"> and used the ‘scissors’ </w:t>
      </w:r>
      <w:r w:rsidR="009C6512" w:rsidRPr="004A68AC">
        <w:rPr>
          <w:lang w:val="en-US"/>
        </w:rPr>
        <w:t>modeling</w:t>
      </w:r>
      <w:r w:rsidR="008D26E4" w:rsidRPr="004A68AC">
        <w:rPr>
          <w:lang w:val="en-US"/>
        </w:rPr>
        <w:t xml:space="preserve"> approach to represent them.</w:t>
      </w:r>
      <w:r w:rsidR="00104678" w:rsidRPr="004A68AC">
        <w:rPr>
          <w:lang w:val="en-US"/>
        </w:rPr>
        <w:t xml:space="preserve"> Later, Gupta and Krawinkler </w:t>
      </w:r>
      <w:r w:rsidR="00104678"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104678" w:rsidRPr="004A68AC">
        <w:rPr>
          <w:lang w:val="en-US"/>
        </w:rPr>
        <w:fldChar w:fldCharType="separate"/>
      </w:r>
      <w:r w:rsidR="005E41A8" w:rsidRPr="004A68AC">
        <w:rPr>
          <w:noProof/>
          <w:lang w:val="en-US"/>
        </w:rPr>
        <w:t>[29]</w:t>
      </w:r>
      <w:r w:rsidR="00104678" w:rsidRPr="004A68AC">
        <w:rPr>
          <w:lang w:val="en-US"/>
        </w:rPr>
        <w:fldChar w:fldCharType="end"/>
      </w:r>
      <w:r w:rsidR="00104678" w:rsidRPr="004A68AC">
        <w:rPr>
          <w:lang w:val="en-US"/>
        </w:rPr>
        <w:t xml:space="preserve"> presented a more refined model for the assessment of American archetype structures within the SAC project. As highlighted</w:t>
      </w:r>
      <w:r w:rsidR="00104678" w:rsidRPr="004A68AC">
        <w:rPr>
          <w:rStyle w:val="CommentReference"/>
          <w:sz w:val="20"/>
          <w:szCs w:val="20"/>
          <w:lang w:val="en-US"/>
        </w:rPr>
        <w:t xml:space="preserve"> </w:t>
      </w:r>
      <w:r w:rsidR="00B378A0" w:rsidRPr="004A68AC">
        <w:rPr>
          <w:rStyle w:val="CommentReference"/>
          <w:sz w:val="20"/>
          <w:szCs w:val="20"/>
          <w:lang w:val="en-US"/>
        </w:rPr>
        <w:t xml:space="preserve">by the authors, the inclusion of panel zones in the </w:t>
      </w:r>
      <w:r w:rsidR="009C6512" w:rsidRPr="004A68AC">
        <w:rPr>
          <w:rStyle w:val="CommentReference"/>
          <w:sz w:val="20"/>
          <w:szCs w:val="20"/>
          <w:lang w:val="en-US"/>
        </w:rPr>
        <w:t>modeling</w:t>
      </w:r>
      <w:r w:rsidR="00B378A0" w:rsidRPr="004A68AC">
        <w:rPr>
          <w:rStyle w:val="CommentReference"/>
          <w:sz w:val="20"/>
          <w:szCs w:val="20"/>
          <w:lang w:val="en-US"/>
        </w:rPr>
        <w:t xml:space="preserve"> of a steel MRF may influence the performance of the structure in post-Northridge structures (</w:t>
      </w:r>
      <w:r w:rsidR="00B378A0" w:rsidRPr="004A68AC">
        <w:rPr>
          <w:rStyle w:val="CommentReference"/>
          <w:i/>
          <w:sz w:val="20"/>
          <w:szCs w:val="20"/>
          <w:lang w:val="en-US"/>
        </w:rPr>
        <w:t>i.e.</w:t>
      </w:r>
      <w:r w:rsidR="00B378A0" w:rsidRPr="004A68AC">
        <w:rPr>
          <w:rStyle w:val="CommentReference"/>
          <w:sz w:val="20"/>
          <w:szCs w:val="20"/>
          <w:lang w:val="en-US"/>
        </w:rPr>
        <w:t>, capacity design considered), moreover, it will likely control the performance in pre-Northridge structures</w:t>
      </w:r>
      <w:r w:rsidR="00B25B88" w:rsidRPr="004A68AC">
        <w:rPr>
          <w:rStyle w:val="CommentReference"/>
          <w:sz w:val="20"/>
          <w:szCs w:val="20"/>
          <w:lang w:val="en-US"/>
        </w:rPr>
        <w:t>, as confirmed later in this paper</w:t>
      </w:r>
      <w:r w:rsidR="00B378A0" w:rsidRPr="004A68AC">
        <w:rPr>
          <w:rStyle w:val="CommentReference"/>
          <w:sz w:val="20"/>
          <w:szCs w:val="20"/>
          <w:lang w:val="en-US"/>
        </w:rPr>
        <w:t>.</w:t>
      </w:r>
      <w:r w:rsidRPr="004A68AC">
        <w:rPr>
          <w:rStyle w:val="CommentReference"/>
          <w:sz w:val="20"/>
          <w:szCs w:val="20"/>
          <w:lang w:val="en-US"/>
        </w:rPr>
        <w:t xml:space="preserve"> </w:t>
      </w:r>
      <w:r w:rsidR="00104678" w:rsidRPr="004A68AC">
        <w:rPr>
          <w:rStyle w:val="CommentReference"/>
          <w:sz w:val="20"/>
          <w:szCs w:val="20"/>
          <w:lang w:val="en-US"/>
        </w:rPr>
        <w:t xml:space="preserve">Although </w:t>
      </w:r>
      <w:r w:rsidR="00B378A0" w:rsidRPr="004A68AC">
        <w:rPr>
          <w:rStyle w:val="CommentReference"/>
          <w:sz w:val="20"/>
          <w:szCs w:val="20"/>
          <w:lang w:val="en-US"/>
        </w:rPr>
        <w:t xml:space="preserve">the inclusion of panel zones has become common in the non-linear analysis of steel MRFs, the EC8-3 </w:t>
      </w:r>
      <w:r w:rsidR="00B378A0" w:rsidRPr="004A68AC">
        <w:rPr>
          <w:rStyle w:val="CommentReference"/>
          <w:sz w:val="20"/>
          <w:szCs w:val="20"/>
          <w:lang w:val="en-US"/>
        </w:rPr>
        <w:fldChar w:fldCharType="begin" w:fldLock="1"/>
      </w:r>
      <w:r w:rsidR="005C47A3" w:rsidRPr="004A68AC">
        <w:rPr>
          <w:rStyle w:val="CommentReference"/>
          <w:sz w:val="20"/>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B378A0" w:rsidRPr="004A68AC">
        <w:rPr>
          <w:rStyle w:val="CommentReference"/>
          <w:sz w:val="20"/>
          <w:szCs w:val="20"/>
          <w:lang w:val="en-US"/>
        </w:rPr>
        <w:fldChar w:fldCharType="separate"/>
      </w:r>
      <w:r w:rsidR="00855F83" w:rsidRPr="004A68AC">
        <w:rPr>
          <w:rStyle w:val="CommentReference"/>
          <w:noProof/>
          <w:sz w:val="20"/>
          <w:szCs w:val="20"/>
          <w:lang w:val="en-US"/>
        </w:rPr>
        <w:t>[13]</w:t>
      </w:r>
      <w:r w:rsidR="00B378A0" w:rsidRPr="004A68AC">
        <w:rPr>
          <w:rStyle w:val="CommentReference"/>
          <w:sz w:val="20"/>
          <w:szCs w:val="20"/>
          <w:lang w:val="en-US"/>
        </w:rPr>
        <w:fldChar w:fldCharType="end"/>
      </w:r>
      <w:r w:rsidR="00B378A0" w:rsidRPr="004A68AC">
        <w:rPr>
          <w:rStyle w:val="CommentReference"/>
          <w:sz w:val="20"/>
          <w:szCs w:val="20"/>
          <w:lang w:val="en-US"/>
        </w:rPr>
        <w:t xml:space="preserve"> did not incorporate </w:t>
      </w:r>
      <w:r w:rsidR="009C6512" w:rsidRPr="004A68AC">
        <w:rPr>
          <w:rStyle w:val="CommentReference"/>
          <w:sz w:val="20"/>
          <w:szCs w:val="20"/>
          <w:lang w:val="en-US"/>
        </w:rPr>
        <w:t>modeling</w:t>
      </w:r>
      <w:r w:rsidR="00B378A0" w:rsidRPr="004A68AC">
        <w:rPr>
          <w:rStyle w:val="CommentReference"/>
          <w:sz w:val="20"/>
          <w:szCs w:val="20"/>
          <w:lang w:val="en-US"/>
        </w:rPr>
        <w:t xml:space="preserve"> parameters or capacity limits for these elements. </w:t>
      </w:r>
      <w:r w:rsidR="006362FE" w:rsidRPr="004A68AC">
        <w:rPr>
          <w:rStyle w:val="CommentReference"/>
          <w:sz w:val="20"/>
          <w:szCs w:val="20"/>
          <w:lang w:val="en-US"/>
        </w:rPr>
        <w:t>D</w:t>
      </w:r>
      <w:r w:rsidR="00A95820" w:rsidRPr="004A68AC">
        <w:rPr>
          <w:szCs w:val="20"/>
          <w:lang w:val="en-US"/>
        </w:rPr>
        <w:t xml:space="preserve">i Sarno and Wu </w:t>
      </w:r>
      <w:r w:rsidR="00CD61DD" w:rsidRPr="004A68AC">
        <w:rPr>
          <w:szCs w:val="20"/>
          <w:lang w:val="en-US"/>
        </w:rPr>
        <w:fldChar w:fldCharType="begin" w:fldLock="1"/>
      </w:r>
      <w:r w:rsidR="00996444" w:rsidRPr="004A68AC">
        <w:rPr>
          <w:szCs w:val="20"/>
          <w:lang w:val="en-US"/>
        </w:rPr>
        <w:instrText>ADDIN CSL_CITATION {"citationItems":[{"id":"ITEM-1","itemData":{"DOI":"10.1016/j.jcsr.2020.106040","ISSN":"0143974X","abstract":"Many existing steel moment-resisting frames were constructed before the provisions of modern seismic codes; therefore, they are likely to exhibit high vulnerability to earthquakes due to their inadequate ductility design, hence low energy dissipation capacity. Public concern has been raised about the development of a reliable code-based framework for assessing existing structures, however, previous research has shown that the current European code EC8–3 may not be sufficient and requires urgent improvements. Particular attention should be paid to the contribution from infill walls in steel buildings, especially those made of masonry, and beam-column connections, as they play a significant role in the structural performance under earthquakes. To this end, an updated assessment procedure, which is an extension of the current procedure in EC8–3 but with several improvements to the non-linear analysis methods, is proposed in this paper and is applied to an existing steel building as a case study. The building is a three-storey steel moment-resisting frame located at Amatrice in Central Italy, which survived the recent 2016–2017 Central Italy earthquakes. Refined 3D models of the case study building, which account for the effects of infill walls and column panel zones, were implemented in a refined finite element platform. The effects of masonry infills on structural components, such as beams and columns, were investigated through non-linear analysis methods. The results emphasise the significance of including masonry infills in the numerical model for seismic assessment especially when an optimised retrofit solution is needed.","author":[{"dropping-particle":"","family":"Sarno","given":"Luigi","non-dropping-particle":"Di","parse-names":false,"suffix":""},{"dropping-particle":"","family":"Wu","given":"Jing Ren","non-dropping-particle":"","parse-names":false,"suffix":""}],"container-title":"Journal of Constructional Steel Research","id":"ITEM-1","issued":{"date-parts":[["2020"]]},"page":"106040","publisher":"Elsevier Ltd","title":"Seismic assessment of existing steel frames with masonry infills","type":"article-journal","volume":"169"},"uris":["http://www.mendeley.com/documents/?uuid=138f2e1e-2a45-48ac-b9bc-c958d8500bf7"]}],"mendeley":{"formattedCitation":"[6]","plainTextFormattedCitation":"[6]","previouslyFormattedCitation":"[6]"},"properties":{"noteIndex":0},"schema":"https://github.com/citation-style-language/schema/raw/master/csl-citation.json"}</w:instrText>
      </w:r>
      <w:r w:rsidR="00CD61DD" w:rsidRPr="004A68AC">
        <w:rPr>
          <w:szCs w:val="20"/>
          <w:lang w:val="en-US"/>
        </w:rPr>
        <w:fldChar w:fldCharType="separate"/>
      </w:r>
      <w:r w:rsidR="00996444" w:rsidRPr="004A68AC">
        <w:rPr>
          <w:noProof/>
          <w:szCs w:val="20"/>
          <w:lang w:val="en-US"/>
        </w:rPr>
        <w:t>[6]</w:t>
      </w:r>
      <w:r w:rsidR="00CD61DD" w:rsidRPr="004A68AC">
        <w:rPr>
          <w:szCs w:val="20"/>
          <w:lang w:val="en-US"/>
        </w:rPr>
        <w:fldChar w:fldCharType="end"/>
      </w:r>
      <w:r w:rsidR="0018759C" w:rsidRPr="004A68AC">
        <w:rPr>
          <w:szCs w:val="20"/>
          <w:lang w:val="en-US"/>
        </w:rPr>
        <w:t xml:space="preserve"> overcame this limitation by using</w:t>
      </w:r>
      <w:r w:rsidR="00B378A0" w:rsidRPr="004A68AC">
        <w:rPr>
          <w:szCs w:val="20"/>
          <w:lang w:val="en-US"/>
        </w:rPr>
        <w:t xml:space="preserve"> the </w:t>
      </w:r>
      <w:r w:rsidR="009C6512" w:rsidRPr="004A68AC">
        <w:rPr>
          <w:szCs w:val="20"/>
          <w:lang w:val="en-US"/>
        </w:rPr>
        <w:t>modeling</w:t>
      </w:r>
      <w:r w:rsidR="00B378A0" w:rsidRPr="004A68AC">
        <w:rPr>
          <w:szCs w:val="20"/>
          <w:lang w:val="en-US"/>
        </w:rPr>
        <w:t xml:space="preserve"> approach proposed by Gupta and Krawinkler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00B378A0" w:rsidRPr="004A68AC">
        <w:rPr>
          <w:rStyle w:val="CommentReference"/>
          <w:sz w:val="20"/>
          <w:szCs w:val="20"/>
          <w:lang w:val="en-US"/>
        </w:rPr>
        <w:t xml:space="preserve">, and </w:t>
      </w:r>
      <w:r w:rsidR="0018759C" w:rsidRPr="004A68AC">
        <w:rPr>
          <w:szCs w:val="20"/>
          <w:lang w:val="en-US"/>
        </w:rPr>
        <w:t>the capacity limits established by the American codes</w:t>
      </w:r>
      <w:r w:rsidR="00ED1738" w:rsidRPr="004A68AC">
        <w:rPr>
          <w:szCs w:val="20"/>
          <w:lang w:val="en-US"/>
        </w:rPr>
        <w:t>, in the assessment of</w:t>
      </w:r>
      <w:r w:rsidR="00FD0B12" w:rsidRPr="004A68AC">
        <w:rPr>
          <w:szCs w:val="20"/>
          <w:lang w:val="en-US"/>
        </w:rPr>
        <w:t xml:space="preserve"> an infilled steel MRF located in </w:t>
      </w:r>
      <w:r w:rsidR="00ED1738" w:rsidRPr="004A68AC">
        <w:rPr>
          <w:szCs w:val="20"/>
          <w:lang w:val="en-US"/>
        </w:rPr>
        <w:t>Amatrice (Italy)</w:t>
      </w:r>
      <w:r w:rsidR="00FD0B12" w:rsidRPr="004A68AC">
        <w:rPr>
          <w:szCs w:val="20"/>
          <w:lang w:val="en-US"/>
        </w:rPr>
        <w:t xml:space="preserve">, </w:t>
      </w:r>
      <w:r w:rsidR="00ED1738" w:rsidRPr="004A68AC">
        <w:rPr>
          <w:szCs w:val="20"/>
          <w:lang w:val="en-US"/>
        </w:rPr>
        <w:t xml:space="preserve">which was </w:t>
      </w:r>
      <w:r w:rsidR="00FD0B12" w:rsidRPr="004A68AC">
        <w:rPr>
          <w:szCs w:val="20"/>
          <w:lang w:val="en-US"/>
        </w:rPr>
        <w:t>damaged during the 2016 Central Italy earthquakes</w:t>
      </w:r>
      <w:r w:rsidR="00BB6B97" w:rsidRPr="004A68AC">
        <w:rPr>
          <w:szCs w:val="20"/>
          <w:lang w:val="en-US"/>
        </w:rPr>
        <w:t xml:space="preserve">. </w:t>
      </w:r>
      <w:r w:rsidR="00ED1738" w:rsidRPr="004A68AC">
        <w:rPr>
          <w:szCs w:val="20"/>
          <w:lang w:val="en-US"/>
        </w:rPr>
        <w:t xml:space="preserve">The authors </w:t>
      </w:r>
      <w:r w:rsidR="0080241F" w:rsidRPr="004A68AC">
        <w:rPr>
          <w:szCs w:val="20"/>
          <w:lang w:val="en-US"/>
        </w:rPr>
        <w:t xml:space="preserve">investigated several </w:t>
      </w:r>
      <w:r w:rsidR="00ED1738" w:rsidRPr="004A68AC">
        <w:rPr>
          <w:szCs w:val="20"/>
          <w:lang w:val="en-US"/>
        </w:rPr>
        <w:t xml:space="preserve">non-linear </w:t>
      </w:r>
      <w:r w:rsidR="0080241F" w:rsidRPr="004A68AC">
        <w:rPr>
          <w:szCs w:val="20"/>
          <w:lang w:val="en-US"/>
        </w:rPr>
        <w:t>modeling strategies</w:t>
      </w:r>
      <w:r w:rsidR="00ED1738" w:rsidRPr="004A68AC">
        <w:rPr>
          <w:szCs w:val="20"/>
          <w:lang w:val="en-US"/>
        </w:rPr>
        <w:t xml:space="preserve">, </w:t>
      </w:r>
      <w:r w:rsidR="0080241F" w:rsidRPr="004A68AC">
        <w:rPr>
          <w:szCs w:val="20"/>
          <w:lang w:val="en-US"/>
        </w:rPr>
        <w:t>with and without considering the deformability of the panel zones. The outcomes highlighted that the presence of the</w:t>
      </w:r>
      <w:r w:rsidR="00BB6B97" w:rsidRPr="004A68AC">
        <w:rPr>
          <w:szCs w:val="20"/>
          <w:lang w:val="en-US"/>
        </w:rPr>
        <w:t xml:space="preserve"> panel zones </w:t>
      </w:r>
      <w:r w:rsidR="00ED1738" w:rsidRPr="004A68AC">
        <w:rPr>
          <w:szCs w:val="20"/>
          <w:lang w:val="en-US"/>
        </w:rPr>
        <w:t xml:space="preserve">significantly </w:t>
      </w:r>
      <w:r w:rsidR="0080241F" w:rsidRPr="004A68AC">
        <w:rPr>
          <w:szCs w:val="20"/>
          <w:lang w:val="en-US"/>
        </w:rPr>
        <w:t xml:space="preserve">affect the </w:t>
      </w:r>
      <w:r w:rsidR="00ED1738" w:rsidRPr="004A68AC">
        <w:rPr>
          <w:szCs w:val="20"/>
          <w:lang w:val="en-US"/>
        </w:rPr>
        <w:t xml:space="preserve">behavior </w:t>
      </w:r>
      <w:r w:rsidR="0080241F" w:rsidRPr="004A68AC">
        <w:rPr>
          <w:szCs w:val="20"/>
          <w:lang w:val="en-US"/>
        </w:rPr>
        <w:t xml:space="preserve">of the structure </w:t>
      </w:r>
      <w:r w:rsidR="00ED1738" w:rsidRPr="004A68AC">
        <w:rPr>
          <w:szCs w:val="20"/>
          <w:lang w:val="en-US"/>
        </w:rPr>
        <w:t>and</w:t>
      </w:r>
      <w:r w:rsidR="00141D18" w:rsidRPr="004A68AC">
        <w:rPr>
          <w:szCs w:val="20"/>
          <w:lang w:val="en-US"/>
        </w:rPr>
        <w:t xml:space="preserve"> </w:t>
      </w:r>
      <w:r w:rsidR="0080241F" w:rsidRPr="004A68AC">
        <w:rPr>
          <w:szCs w:val="20"/>
          <w:lang w:val="en-US"/>
        </w:rPr>
        <w:t xml:space="preserve">that, </w:t>
      </w:r>
      <w:r w:rsidR="00141D18" w:rsidRPr="004A68AC">
        <w:rPr>
          <w:szCs w:val="20"/>
          <w:lang w:val="en-US"/>
        </w:rPr>
        <w:t xml:space="preserve">for </w:t>
      </w:r>
      <w:r w:rsidR="0080241F" w:rsidRPr="004A68AC">
        <w:rPr>
          <w:szCs w:val="20"/>
          <w:lang w:val="en-US"/>
        </w:rPr>
        <w:t xml:space="preserve">the </w:t>
      </w:r>
      <w:r w:rsidR="00141D18" w:rsidRPr="004A68AC">
        <w:rPr>
          <w:szCs w:val="20"/>
          <w:lang w:val="en-US"/>
        </w:rPr>
        <w:t>case study</w:t>
      </w:r>
      <w:r w:rsidR="00ED1738" w:rsidRPr="004A68AC">
        <w:rPr>
          <w:szCs w:val="20"/>
          <w:lang w:val="en-US"/>
        </w:rPr>
        <w:t xml:space="preserve"> </w:t>
      </w:r>
      <w:r w:rsidR="0080241F" w:rsidRPr="004A68AC">
        <w:rPr>
          <w:szCs w:val="20"/>
          <w:lang w:val="en-US"/>
        </w:rPr>
        <w:t>investigated</w:t>
      </w:r>
      <w:r w:rsidR="00141D18" w:rsidRPr="004A68AC">
        <w:rPr>
          <w:szCs w:val="20"/>
          <w:lang w:val="en-US"/>
        </w:rPr>
        <w:t>, the capacity of the</w:t>
      </w:r>
      <w:r w:rsidR="00802F24" w:rsidRPr="004A68AC">
        <w:rPr>
          <w:szCs w:val="20"/>
          <w:lang w:val="en-US"/>
        </w:rPr>
        <w:t xml:space="preserve"> bare frame</w:t>
      </w:r>
      <w:r w:rsidR="00141D18" w:rsidRPr="004A68AC">
        <w:rPr>
          <w:szCs w:val="20"/>
          <w:lang w:val="en-US"/>
        </w:rPr>
        <w:t xml:space="preserve"> structure was controlled by</w:t>
      </w:r>
      <w:r w:rsidR="00ED1738" w:rsidRPr="004A68AC">
        <w:rPr>
          <w:szCs w:val="20"/>
          <w:lang w:val="en-US"/>
        </w:rPr>
        <w:t xml:space="preserve"> the deformation in panel zones.</w:t>
      </w:r>
    </w:p>
    <w:p w14:paraId="6FC98960" w14:textId="77777777" w:rsidR="00DF3BB3" w:rsidRPr="004A68AC" w:rsidRDefault="00DF3BB3" w:rsidP="004F14AA">
      <w:pPr>
        <w:rPr>
          <w:szCs w:val="20"/>
          <w:lang w:val="en-US"/>
        </w:rPr>
      </w:pPr>
    </w:p>
    <w:p w14:paraId="5D528B94" w14:textId="2511634C" w:rsidR="00130674" w:rsidRPr="004A68AC" w:rsidRDefault="00972A01" w:rsidP="00C31318">
      <w:pPr>
        <w:rPr>
          <w:szCs w:val="17"/>
          <w:lang w:val="en-US"/>
        </w:rPr>
      </w:pPr>
      <w:r w:rsidRPr="004A68AC">
        <w:rPr>
          <w:szCs w:val="20"/>
          <w:lang w:val="en-US"/>
        </w:rPr>
        <w:t xml:space="preserve">     </w:t>
      </w:r>
      <w:r w:rsidR="00CF6DC6" w:rsidRPr="004A68AC">
        <w:rPr>
          <w:szCs w:val="20"/>
          <w:lang w:val="en-US"/>
        </w:rPr>
        <w:t xml:space="preserve">Although the deformation of </w:t>
      </w:r>
      <w:r w:rsidR="004F3EAD" w:rsidRPr="004A68AC">
        <w:rPr>
          <w:szCs w:val="20"/>
          <w:lang w:val="en-US"/>
        </w:rPr>
        <w:t xml:space="preserve">a </w:t>
      </w:r>
      <w:r w:rsidR="002D4B6B" w:rsidRPr="004A68AC">
        <w:rPr>
          <w:szCs w:val="20"/>
          <w:lang w:val="en-US"/>
        </w:rPr>
        <w:t>structure</w:t>
      </w:r>
      <w:r w:rsidR="00CF6DC6" w:rsidRPr="004A68AC">
        <w:rPr>
          <w:szCs w:val="20"/>
          <w:lang w:val="en-US"/>
        </w:rPr>
        <w:t xml:space="preserve"> </w:t>
      </w:r>
      <w:r w:rsidR="00265C4A" w:rsidRPr="004A68AC">
        <w:rPr>
          <w:szCs w:val="20"/>
          <w:lang w:val="en-US"/>
        </w:rPr>
        <w:t>is c</w:t>
      </w:r>
      <w:r w:rsidR="00CF6DC6" w:rsidRPr="004A68AC">
        <w:rPr>
          <w:szCs w:val="20"/>
          <w:lang w:val="en-US"/>
        </w:rPr>
        <w:t>ontrolled by</w:t>
      </w:r>
      <w:r w:rsidR="004F3EAD" w:rsidRPr="004A68AC">
        <w:rPr>
          <w:szCs w:val="20"/>
          <w:lang w:val="en-US"/>
        </w:rPr>
        <w:t xml:space="preserve"> its components</w:t>
      </w:r>
      <w:r w:rsidR="00CF6DC6" w:rsidRPr="004A68AC">
        <w:rPr>
          <w:szCs w:val="20"/>
          <w:lang w:val="en-US"/>
        </w:rPr>
        <w:t xml:space="preserve"> (</w:t>
      </w:r>
      <w:r w:rsidR="00CF6DC6" w:rsidRPr="004A68AC">
        <w:rPr>
          <w:i/>
          <w:szCs w:val="20"/>
          <w:lang w:val="en-US"/>
        </w:rPr>
        <w:t>e.g.</w:t>
      </w:r>
      <w:r w:rsidR="00CF6DC6" w:rsidRPr="004A68AC">
        <w:rPr>
          <w:szCs w:val="20"/>
          <w:lang w:val="en-US"/>
        </w:rPr>
        <w:t>, columns, panel zones, connections, beams)</w:t>
      </w:r>
      <w:r w:rsidR="007B159F" w:rsidRPr="004A68AC">
        <w:rPr>
          <w:szCs w:val="20"/>
          <w:lang w:val="en-US"/>
        </w:rPr>
        <w:t xml:space="preserve">, </w:t>
      </w:r>
      <w:r w:rsidR="00CD198F" w:rsidRPr="004A68AC">
        <w:rPr>
          <w:szCs w:val="20"/>
          <w:lang w:val="en-US"/>
        </w:rPr>
        <w:t xml:space="preserve">in seismic risk assessment procedures, </w:t>
      </w:r>
      <w:r w:rsidR="002178A5" w:rsidRPr="004A68AC">
        <w:rPr>
          <w:szCs w:val="20"/>
          <w:lang w:val="en-US"/>
        </w:rPr>
        <w:t xml:space="preserve">it is a common practice to measure the </w:t>
      </w:r>
      <w:r w:rsidR="00DE27F5" w:rsidRPr="004A68AC">
        <w:rPr>
          <w:szCs w:val="20"/>
          <w:lang w:val="en-US"/>
        </w:rPr>
        <w:t>structural damage</w:t>
      </w:r>
      <w:r w:rsidR="00CD198F" w:rsidRPr="004A68AC">
        <w:rPr>
          <w:szCs w:val="20"/>
          <w:lang w:val="en-US"/>
        </w:rPr>
        <w:t xml:space="preserve"> </w:t>
      </w:r>
      <w:r w:rsidR="00DE27F5" w:rsidRPr="004A68AC">
        <w:rPr>
          <w:szCs w:val="20"/>
          <w:lang w:val="en-US"/>
        </w:rPr>
        <w:t>by using simpler</w:t>
      </w:r>
      <w:r w:rsidR="007B159F" w:rsidRPr="004A68AC">
        <w:rPr>
          <w:szCs w:val="20"/>
          <w:lang w:val="en-US"/>
        </w:rPr>
        <w:t xml:space="preserve"> global </w:t>
      </w:r>
      <w:r w:rsidR="00C30C0B" w:rsidRPr="004A68AC">
        <w:rPr>
          <w:szCs w:val="17"/>
          <w:lang w:val="en-US"/>
        </w:rPr>
        <w:t xml:space="preserve">EDPs. </w:t>
      </w:r>
      <w:r w:rsidR="00A62D17" w:rsidRPr="004A68AC">
        <w:rPr>
          <w:szCs w:val="17"/>
          <w:lang w:val="en-US"/>
        </w:rPr>
        <w:t>G</w:t>
      </w:r>
      <w:r w:rsidR="00DE27F5" w:rsidRPr="004A68AC">
        <w:rPr>
          <w:szCs w:val="17"/>
          <w:lang w:val="en-US"/>
        </w:rPr>
        <w:t>lobal EDPs</w:t>
      </w:r>
      <w:r w:rsidR="00C31318" w:rsidRPr="004A68AC">
        <w:rPr>
          <w:szCs w:val="17"/>
          <w:lang w:val="en-US"/>
        </w:rPr>
        <w:t>,</w:t>
      </w:r>
      <w:r w:rsidR="00DE27F5" w:rsidRPr="004A68AC">
        <w:rPr>
          <w:szCs w:val="17"/>
          <w:lang w:val="en-US"/>
        </w:rPr>
        <w:t xml:space="preserve"> such as the inter-story drift ratio (IDR)</w:t>
      </w:r>
      <w:r w:rsidR="00C31318" w:rsidRPr="004A68AC">
        <w:rPr>
          <w:szCs w:val="17"/>
          <w:lang w:val="en-US"/>
        </w:rPr>
        <w:t>,</w:t>
      </w:r>
      <w:r w:rsidR="00265C4A" w:rsidRPr="004A68AC">
        <w:rPr>
          <w:szCs w:val="17"/>
          <w:lang w:val="en-US"/>
        </w:rPr>
        <w:t xml:space="preserve"> are </w:t>
      </w:r>
      <w:r w:rsidR="001E3A93" w:rsidRPr="004A68AC">
        <w:rPr>
          <w:szCs w:val="17"/>
          <w:lang w:val="en-US"/>
        </w:rPr>
        <w:t xml:space="preserve">often </w:t>
      </w:r>
      <w:r w:rsidR="002D4B6B" w:rsidRPr="004A68AC">
        <w:rPr>
          <w:szCs w:val="17"/>
          <w:lang w:val="en-US"/>
        </w:rPr>
        <w:t>proposed</w:t>
      </w:r>
      <w:r w:rsidR="00DE694B" w:rsidRPr="004A68AC">
        <w:rPr>
          <w:szCs w:val="17"/>
          <w:lang w:val="en-US"/>
        </w:rPr>
        <w:t xml:space="preserve"> </w:t>
      </w:r>
      <w:r w:rsidR="00DE27F5" w:rsidRPr="004A68AC">
        <w:rPr>
          <w:szCs w:val="20"/>
          <w:lang w:val="en-US"/>
        </w:rPr>
        <w:t xml:space="preserve">in </w:t>
      </w:r>
      <w:r w:rsidR="00DE694B" w:rsidRPr="004A68AC">
        <w:rPr>
          <w:szCs w:val="20"/>
          <w:lang w:val="en-US"/>
        </w:rPr>
        <w:t>assessment guidelines (</w:t>
      </w:r>
      <w:r w:rsidR="00DE694B" w:rsidRPr="004A68AC">
        <w:rPr>
          <w:i/>
          <w:iCs/>
          <w:szCs w:val="20"/>
          <w:lang w:val="en-US"/>
        </w:rPr>
        <w:t>e.g.,</w:t>
      </w:r>
      <w:r w:rsidR="00DE694B" w:rsidRPr="004A68AC">
        <w:rPr>
          <w:szCs w:val="20"/>
          <w:lang w:val="en-US"/>
        </w:rPr>
        <w:t xml:space="preserve"> </w:t>
      </w:r>
      <w:r w:rsidR="00DE694B" w:rsidRPr="004A68AC">
        <w:rPr>
          <w:szCs w:val="20"/>
          <w:lang w:val="en-US"/>
        </w:rPr>
        <w:fldChar w:fldCharType="begin" w:fldLock="1"/>
      </w:r>
      <w:r w:rsidR="00F534F9" w:rsidRPr="004A68AC">
        <w:rPr>
          <w:szCs w:val="20"/>
          <w:lang w:val="en-US"/>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Buildings","type":"article"},"uris":["http://www.mendeley.com/documents/?uuid=57ec954b-54c8-44b7-a5dc-2e7a89287325"]},{"id":"ITEM-2","itemData":{"DOI":"10.1061/9780784408841","ISBN":"9780784408841","author":[{"dropping-particle":"","family":"American Society of Civil Engineers","given":"","non-dropping-particle":"","parse-names":false,"suffix":""}],"container-title":"ASCE/SEI 41-06","id":"ITEM-2","issued":{"date-parts":[["2007"]]},"title":"Seismic Rehabilitation of Existing Buildings","type":"article"},"uris":["http://www.mendeley.com/documents/?uuid=e32cfdb6-620a-411a-a7d6-8e56de32bcc1"]}],"mendeley":{"formattedCitation":"[14,15]","plainTextFormattedCitation":"[14,15]","previouslyFormattedCitation":"[14,15]"},"properties":{"noteIndex":0},"schema":"https://github.com/citation-style-language/schema/raw/master/csl-citation.json"}</w:instrText>
      </w:r>
      <w:r w:rsidR="00DE694B" w:rsidRPr="004A68AC">
        <w:rPr>
          <w:szCs w:val="20"/>
          <w:lang w:val="en-US"/>
        </w:rPr>
        <w:fldChar w:fldCharType="separate"/>
      </w:r>
      <w:r w:rsidR="00855F83" w:rsidRPr="004A68AC">
        <w:rPr>
          <w:noProof/>
          <w:szCs w:val="20"/>
          <w:lang w:val="en-US"/>
        </w:rPr>
        <w:t>[14,15]</w:t>
      </w:r>
      <w:r w:rsidR="00DE694B" w:rsidRPr="004A68AC">
        <w:rPr>
          <w:szCs w:val="20"/>
          <w:lang w:val="en-US"/>
        </w:rPr>
        <w:fldChar w:fldCharType="end"/>
      </w:r>
      <w:r w:rsidR="00DE694B" w:rsidRPr="004A68AC">
        <w:rPr>
          <w:szCs w:val="20"/>
          <w:lang w:val="en-US"/>
        </w:rPr>
        <w:t>) and used in</w:t>
      </w:r>
      <w:r w:rsidR="00DE27F5" w:rsidRPr="004A68AC">
        <w:rPr>
          <w:szCs w:val="20"/>
          <w:lang w:val="en-US"/>
        </w:rPr>
        <w:t xml:space="preserve"> multiple</w:t>
      </w:r>
      <w:r w:rsidR="00DE694B" w:rsidRPr="004A68AC">
        <w:rPr>
          <w:szCs w:val="20"/>
          <w:lang w:val="en-US"/>
        </w:rPr>
        <w:t xml:space="preserve"> research studies (</w:t>
      </w:r>
      <w:r w:rsidR="00DE694B" w:rsidRPr="004A68AC">
        <w:rPr>
          <w:i/>
          <w:iCs/>
          <w:szCs w:val="20"/>
          <w:lang w:val="en-US"/>
        </w:rPr>
        <w:t>e.g.,</w:t>
      </w:r>
      <w:r w:rsidR="006E5368" w:rsidRPr="004A68AC">
        <w:rPr>
          <w:szCs w:val="20"/>
          <w:lang w:val="en-US"/>
        </w:rPr>
        <w:t xml:space="preserve"> </w:t>
      </w:r>
      <w:r w:rsidR="006E5368" w:rsidRPr="004A68AC">
        <w:rPr>
          <w:szCs w:val="20"/>
          <w:lang w:val="en-US"/>
        </w:rPr>
        <w:fldChar w:fldCharType="begin" w:fldLock="1"/>
      </w:r>
      <w:r w:rsidR="005C2936" w:rsidRPr="004A68AC">
        <w:rPr>
          <w:szCs w:val="20"/>
          <w:lang w:val="en-US"/>
        </w:rPr>
        <w:instrText>ADDIN CSL_CITATION {"citationItems":[{"id":"ITEM-1","itemData":{"DOI":"10.1016/j.jcsr.2019.05.012","ISSN":"0143974X","abstract":"This study benchmarks the performance of older existing tall steel moment resisting frame buildings designed following historic code-prescriptive requirements (1973 Uniform Building Code) against modern design standards (2015 International Building Code). The comparison is based on seismic risk assessments of alternative designs of a 50-story archetype office building, located at a site in San Francisco, CA. The mean annual frequency collapse risk of the 1973 building is 28 times greater than the equivalent 2015 building (28 × 10−4 versus 1 × 10−4), or approximately 13% versus 0.5% probability of collapse in 50 years. The average annual economic loss (based on cost of repair) is 65% higher for the 1973 as compared to the 2015 building (0.66% versus 0.40% of building replacement cost). The average annual downtime to re-occupancy for the 1973 building is 72% longer (8.1 vs 4.7 days) and to functional recovery is about 100% longer (10.4 vs 5.0 days). Building performance evaluations at the design basis earthquake (DBE) and the maximum considered earthquake (MCE) shaking intensities further suggest that 1970s tall steel moment frames have much higher risks of collapse under extreme ground motions and risks of damage and building closure in moderate earthquakes. Furthermore, while modern building code requirements provide acceptable seismic collapse safety, they do not necessarily ensure a level of damage control to assure a swift recovery after a damaging earthquake due to extensive downtime. A set of vulnerability functions are proposed for both archetype buildings considered in the assessment.","author":[{"dropping-particle":"","family":"Molina Hutt","given":"Carlos","non-dropping-particle":"","parse-names":false,"suffix":""},{"dropping-particle":"","family":"Rossetto","given":"Tiziana","non-dropping-particle":"","parse-names":false,"suffix":""},{"dropping-particle":"","family":"Deierlein","given":"Gregory G.","non-dropping-particle":"","parse-names":false,"suffix":""}],"container-title":"Journal of Constructional Steel Research","id":"ITEM-1","issued":{"date-parts":[["2019"]]},"page":"598-610","publisher":"Elsevier Ltd","title":"Comparative risk-based seismic assessment of 1970s vs modern tall steel moment frames","type":"article-journal","volume":"159"},"uris":["http://www.mendeley.com/documents/?uuid=f320352a-3b50-4856-9778-ff90446ea7c7"]},{"id":"ITEM-2","itemData":{"DOI":"10.1080/13632460701512993","ISBN":"1363246070","ISSN":"13632469","abstract":"With the move towards performance and consequence-based design and assessment of structures under seismic loading, the engineering community is becoming increasingly convinced that design practices need to be developed and checked using probabilistic methods. In this article, a methodology for the probabilistic assessment of low-rise steel buildings is presented and applied to a welded Moment Resisting Frame (MRF). In light of recent field experience for this form of construction, emphasis is given to the modeling of connections, particularly with respect to fracture characteristics. The seismic behavior of the building is assessed by means of nonlinear dynamic time history analyses, using a set of ground motions scaled according to spectral acceleration. Randomness related both to structural properties and earthquake excitation is explicitly taken into account. Fragility curves are generated using the Monte Carlo (MC) simulation method coupled with the Latin Hypercube Sampling (LHS) technique, and the failure probabilities are presented in terms of drift angles at different performance levels. Furthermore, evaluation of the seismic risk through a hazard analysis is presented in order to compare present results with previous pertinent studies. The study reveals that structures experiencing brittle connection fractures undergo large deformations, resulting in a low reliability in terms of achieving code-related performance requirements.","author":[{"dropping-particle":"","family":"Kazantzi","given":"A. K.","non-dropping-particle":"","parse-names":false,"suffix":""},{"dropping-particle":"","family":"Righiniotis","given":"T. D.","non-dropping-particle":"","parse-names":false,"suffix":""},{"dropping-particle":"","family":"Chryssanthopoulos","given":"M. K.","non-dropping-particle":"","parse-names":false,"suffix":""}],"container-title":"Journal of Earthquake Engineering","id":"ITEM-2","issue":"4","issued":{"date-parts":[["2008"]]},"page":"596-615","title":"Fragility and hazard analysis of a welded steel moment resisting frame","type":"article-journal","volume":"12"},"uris":["http://www.mendeley.com/documents/?uuid=20089201-0ab8-42d5-94a7-7e8ecaee3692"]},{"id":"ITEM-3","itemData":{"DOI":"10.12989/scs.2016.21.1.093","ISSN":"12299367","abstract":"Seismic fragility analysis is a probabilistic decision-making framework which is widely implemented for evaluating vulnerability of a building under earthquake loading. It requires ingredient named probabilistic model and commonly developed using statistics requiring collecting data in large quantities. Preparation of such a data-base is often costly and time-consuming. Therefore, in this paper, by developing generic seismic drift demand model for regular-multi-story steel moment resisting frames is tried to present a novel application of the probabilistic decisionmaking analysis to practical purposes. To this end, a demand model which is a linear function of intensity measure in logarithmic space is developed to predict overall maximum inter-story drift. Next, the model is coupled with a set of regression-based equations which are capable of directly estimating unknown statistical characteristics of the model parameters.To explicitly address uncertainties arise from randomness and lack of knowledge, the Bayesian regression inference is employed, when these relations are developed. The developed demand model is then employed in a Seismic Fragility Analysis (SFA) for two designed building. The accuracy of the results is also assessed by comparison with the results directly obtained from Incremental Dynamic analysis.","author":[{"dropping-particle":"","family":"Kia","given":"M.","non-dropping-particle":"","parse-names":false,"suffix":""},{"dropping-particle":"","family":"Banazadeh","given":"M.","non-dropping-particle":"","parse-names":false,"suffix":""}],"container-title":"Steel and Composite Structures","id":"ITEM-3","issue":"1","issued":{"date-parts":[["2016"]]},"page":"93-107","title":"Closed-form fragility analysis of the steel moment resisting frames","type":"article-journal","volume":"21"},"uris":["http://www.mendeley.com/documents/?uuid=d27865fb-0024-439d-be65-4cfc6b12b2d2"]}],"mendeley":{"formattedCitation":"[30–32]","plainTextFormattedCitation":"[30–32]","previouslyFormattedCitation":"[30–32]"},"properties":{"noteIndex":0},"schema":"https://github.com/citation-style-language/schema/raw/master/csl-citation.json"}</w:instrText>
      </w:r>
      <w:r w:rsidR="006E5368" w:rsidRPr="004A68AC">
        <w:rPr>
          <w:szCs w:val="20"/>
          <w:lang w:val="en-US"/>
        </w:rPr>
        <w:fldChar w:fldCharType="separate"/>
      </w:r>
      <w:r w:rsidR="005E41A8" w:rsidRPr="004A68AC">
        <w:rPr>
          <w:noProof/>
          <w:szCs w:val="20"/>
          <w:lang w:val="en-US"/>
        </w:rPr>
        <w:t>[30–32]</w:t>
      </w:r>
      <w:r w:rsidR="006E5368" w:rsidRPr="004A68AC">
        <w:rPr>
          <w:szCs w:val="20"/>
          <w:lang w:val="en-US"/>
        </w:rPr>
        <w:fldChar w:fldCharType="end"/>
      </w:r>
      <w:r w:rsidR="00DE694B" w:rsidRPr="004A68AC">
        <w:rPr>
          <w:szCs w:val="20"/>
          <w:lang w:val="en-US"/>
        </w:rPr>
        <w:t>)</w:t>
      </w:r>
      <w:r w:rsidR="00DE27F5" w:rsidRPr="004A68AC">
        <w:rPr>
          <w:szCs w:val="20"/>
          <w:lang w:val="en-US"/>
        </w:rPr>
        <w:t xml:space="preserve"> to </w:t>
      </w:r>
      <w:r w:rsidR="00A12EA3" w:rsidRPr="004A68AC">
        <w:rPr>
          <w:szCs w:val="20"/>
          <w:lang w:val="en-US"/>
        </w:rPr>
        <w:t xml:space="preserve">synthetically describe </w:t>
      </w:r>
      <w:r w:rsidR="00DE27F5" w:rsidRPr="004A68AC">
        <w:rPr>
          <w:szCs w:val="20"/>
          <w:lang w:val="en-US"/>
        </w:rPr>
        <w:t xml:space="preserve">the </w:t>
      </w:r>
      <w:r w:rsidR="00A12EA3" w:rsidRPr="004A68AC">
        <w:rPr>
          <w:szCs w:val="20"/>
          <w:lang w:val="en-US"/>
        </w:rPr>
        <w:t>seismic response</w:t>
      </w:r>
      <w:r w:rsidR="00130674" w:rsidRPr="004A68AC">
        <w:rPr>
          <w:szCs w:val="20"/>
          <w:lang w:val="en-US"/>
        </w:rPr>
        <w:t xml:space="preserve"> and indirectly monitor the demand imposed on</w:t>
      </w:r>
      <w:r w:rsidR="00A12EA3" w:rsidRPr="004A68AC">
        <w:rPr>
          <w:szCs w:val="20"/>
          <w:lang w:val="en-US"/>
        </w:rPr>
        <w:t xml:space="preserve"> the components</w:t>
      </w:r>
      <w:r w:rsidR="00DE27F5" w:rsidRPr="004A68AC">
        <w:rPr>
          <w:szCs w:val="20"/>
          <w:lang w:val="en-US"/>
        </w:rPr>
        <w:t xml:space="preserve">. </w:t>
      </w:r>
      <w:r w:rsidR="002D4B6B" w:rsidRPr="004A68AC">
        <w:rPr>
          <w:szCs w:val="20"/>
          <w:lang w:val="en-US"/>
        </w:rPr>
        <w:t xml:space="preserve">However, </w:t>
      </w:r>
      <w:r w:rsidR="00DE27F5" w:rsidRPr="004A68AC">
        <w:rPr>
          <w:szCs w:val="20"/>
          <w:lang w:val="en-US"/>
        </w:rPr>
        <w:t xml:space="preserve">due to the lack of modern seismic design rules in existing buildings, such as strength hierarchy </w:t>
      </w:r>
      <w:r w:rsidR="00DE27F5" w:rsidRPr="004A68AC">
        <w:rPr>
          <w:szCs w:val="17"/>
          <w:lang w:val="en-US"/>
        </w:rPr>
        <w:t>(</w:t>
      </w:r>
      <w:r w:rsidR="00DE27F5" w:rsidRPr="004A68AC">
        <w:rPr>
          <w:i/>
          <w:szCs w:val="17"/>
          <w:lang w:val="en-US"/>
        </w:rPr>
        <w:t>i.e.,</w:t>
      </w:r>
      <w:r w:rsidR="00DE27F5" w:rsidRPr="004A68AC">
        <w:rPr>
          <w:szCs w:val="17"/>
          <w:lang w:val="en-US"/>
        </w:rPr>
        <w:t xml:space="preserve"> capacity design), </w:t>
      </w:r>
      <w:r w:rsidR="00124A7A" w:rsidRPr="004A68AC">
        <w:rPr>
          <w:szCs w:val="17"/>
          <w:lang w:val="en-US"/>
        </w:rPr>
        <w:t xml:space="preserve">global EDPs </w:t>
      </w:r>
      <w:r w:rsidR="00833A16" w:rsidRPr="004A68AC">
        <w:rPr>
          <w:szCs w:val="17"/>
          <w:lang w:val="en-US"/>
        </w:rPr>
        <w:t xml:space="preserve">may </w:t>
      </w:r>
      <w:r w:rsidR="00B04F53" w:rsidRPr="004A68AC">
        <w:rPr>
          <w:szCs w:val="17"/>
          <w:lang w:val="en-US"/>
        </w:rPr>
        <w:t xml:space="preserve">not </w:t>
      </w:r>
      <w:r w:rsidR="00833A16" w:rsidRPr="004A68AC">
        <w:rPr>
          <w:szCs w:val="17"/>
          <w:lang w:val="en-US"/>
        </w:rPr>
        <w:t xml:space="preserve">be </w:t>
      </w:r>
      <w:r w:rsidR="00124A7A" w:rsidRPr="004A68AC">
        <w:rPr>
          <w:szCs w:val="17"/>
          <w:lang w:val="en-US"/>
        </w:rPr>
        <w:t xml:space="preserve">representative of the local </w:t>
      </w:r>
      <w:r w:rsidR="00734F70" w:rsidRPr="004A68AC">
        <w:rPr>
          <w:szCs w:val="17"/>
          <w:lang w:val="en-US"/>
        </w:rPr>
        <w:t xml:space="preserve">seismic demand </w:t>
      </w:r>
      <w:r w:rsidR="00124A7A" w:rsidRPr="004A68AC">
        <w:rPr>
          <w:szCs w:val="17"/>
          <w:lang w:val="en-US"/>
        </w:rPr>
        <w:fldChar w:fldCharType="begin" w:fldLock="1"/>
      </w:r>
      <w:r w:rsidR="005C2936" w:rsidRPr="004A68AC">
        <w:rPr>
          <w:szCs w:val="17"/>
          <w:lang w:val="en-US"/>
        </w:rPr>
        <w:instrText>ADDIN CSL_CITATION {"citationItems":[{"id":"ITEM-1","itemData":{"DOI":"10.1002/eqe.2255","author":[{"dropping-particle":"","family":"Freddi","given":"Fabio","non-dropping-particle":"","parse-names":false,"suffix":""},{"dropping-particle":"","family":"Tubaldi","given":"Enrico","non-dropping-particle":"","parse-names":false,"suffix":""},{"dropping-particle":"","family":"Ragni","given":"Laura","non-dropping-particle":"","parse-names":false,"suffix":""},{"dropping-particle":"","family":"Dall'Asta","given":"Andrea","non-dropping-particle":"","parse-names":false,"suffix":""}],"container-title":"Earthquake Engineering and Structural Dynamics","id":"ITEM-1","issued":{"date-parts":[["2013"]]},"page":"993-1011","title":"Probabilistic performance assessment of low-ductility reinforced concrete frames retrofitted with dissipative braces","type":"article-journal","volume":"42"},"uris":["http://www.mendeley.com/documents/?uuid=a02259b7-0d93-4523-8009-03140a8161f5"]}],"mendeley":{"formattedCitation":"[33]","plainTextFormattedCitation":"[33]","previouslyFormattedCitation":"[33]"},"properties":{"noteIndex":0},"schema":"https://github.com/citation-style-language/schema/raw/master/csl-citation.json"}</w:instrText>
      </w:r>
      <w:r w:rsidR="00124A7A" w:rsidRPr="004A68AC">
        <w:rPr>
          <w:szCs w:val="17"/>
          <w:lang w:val="en-US"/>
        </w:rPr>
        <w:fldChar w:fldCharType="separate"/>
      </w:r>
      <w:r w:rsidR="005E41A8" w:rsidRPr="004A68AC">
        <w:rPr>
          <w:noProof/>
          <w:szCs w:val="17"/>
          <w:lang w:val="en-US"/>
        </w:rPr>
        <w:t>[33]</w:t>
      </w:r>
      <w:r w:rsidR="00124A7A" w:rsidRPr="004A68AC">
        <w:rPr>
          <w:szCs w:val="17"/>
          <w:lang w:val="en-US"/>
        </w:rPr>
        <w:fldChar w:fldCharType="end"/>
      </w:r>
      <w:r w:rsidR="00124A7A" w:rsidRPr="004A68AC">
        <w:rPr>
          <w:szCs w:val="17"/>
          <w:lang w:val="en-US"/>
        </w:rPr>
        <w:t xml:space="preserve">, as (1) the capacity may be governed by force-controlled actions, (2) the local capacity of the multiple elements </w:t>
      </w:r>
      <w:r w:rsidR="00D56DB9" w:rsidRPr="004A68AC">
        <w:rPr>
          <w:szCs w:val="17"/>
          <w:lang w:val="en-US"/>
        </w:rPr>
        <w:t>along</w:t>
      </w:r>
      <w:r w:rsidR="00124A7A" w:rsidRPr="004A68AC">
        <w:rPr>
          <w:szCs w:val="17"/>
          <w:lang w:val="en-US"/>
        </w:rPr>
        <w:t xml:space="preserve"> the </w:t>
      </w:r>
      <w:r w:rsidR="00D56DB9" w:rsidRPr="004A68AC">
        <w:rPr>
          <w:szCs w:val="17"/>
          <w:lang w:val="en-US"/>
        </w:rPr>
        <w:t>s</w:t>
      </w:r>
      <w:r w:rsidR="00124A7A" w:rsidRPr="004A68AC">
        <w:rPr>
          <w:szCs w:val="17"/>
          <w:lang w:val="en-US"/>
        </w:rPr>
        <w:t>tory</w:t>
      </w:r>
      <w:r w:rsidR="00D56DB9" w:rsidRPr="004A68AC">
        <w:rPr>
          <w:szCs w:val="17"/>
          <w:lang w:val="en-US"/>
        </w:rPr>
        <w:t xml:space="preserve"> level</w:t>
      </w:r>
      <w:r w:rsidR="00124A7A" w:rsidRPr="004A68AC">
        <w:rPr>
          <w:szCs w:val="17"/>
          <w:lang w:val="en-US"/>
        </w:rPr>
        <w:t xml:space="preserve"> is not necessarily uniform, and (3) the story drift may be enabled by </w:t>
      </w:r>
      <w:r w:rsidR="002178A5" w:rsidRPr="004A68AC">
        <w:rPr>
          <w:szCs w:val="17"/>
          <w:lang w:val="en-US"/>
        </w:rPr>
        <w:t>combined</w:t>
      </w:r>
      <w:r w:rsidR="00124A7A" w:rsidRPr="004A68AC">
        <w:rPr>
          <w:szCs w:val="17"/>
          <w:lang w:val="en-US"/>
        </w:rPr>
        <w:t xml:space="preserve"> local demand</w:t>
      </w:r>
      <w:r w:rsidR="004F3006" w:rsidRPr="004A68AC">
        <w:rPr>
          <w:szCs w:val="17"/>
          <w:lang w:val="en-US"/>
        </w:rPr>
        <w:t xml:space="preserve"> mechanisms</w:t>
      </w:r>
      <w:r w:rsidR="00124A7A" w:rsidRPr="004A68AC">
        <w:rPr>
          <w:szCs w:val="17"/>
          <w:lang w:val="en-US"/>
        </w:rPr>
        <w:t xml:space="preserve"> (</w:t>
      </w:r>
      <w:r w:rsidR="00124A7A" w:rsidRPr="004A68AC">
        <w:rPr>
          <w:i/>
          <w:szCs w:val="17"/>
          <w:lang w:val="en-US"/>
        </w:rPr>
        <w:t>e.g.</w:t>
      </w:r>
      <w:r w:rsidR="00124A7A" w:rsidRPr="004A68AC">
        <w:rPr>
          <w:szCs w:val="17"/>
          <w:lang w:val="en-US"/>
        </w:rPr>
        <w:t xml:space="preserve">, rotation in beams plus panel zone </w:t>
      </w:r>
      <w:r w:rsidR="00DE4F6A" w:rsidRPr="004A68AC">
        <w:rPr>
          <w:szCs w:val="17"/>
          <w:lang w:val="en-US"/>
        </w:rPr>
        <w:t>strain</w:t>
      </w:r>
      <w:r w:rsidR="004F3006" w:rsidRPr="004A68AC">
        <w:rPr>
          <w:szCs w:val="17"/>
          <w:lang w:val="en-US"/>
        </w:rPr>
        <w:t>, instead of</w:t>
      </w:r>
      <w:r w:rsidR="009F70BF" w:rsidRPr="004A68AC">
        <w:rPr>
          <w:szCs w:val="17"/>
          <w:lang w:val="en-US"/>
        </w:rPr>
        <w:t xml:space="preserve"> a</w:t>
      </w:r>
      <w:r w:rsidR="004F3006" w:rsidRPr="004A68AC">
        <w:rPr>
          <w:szCs w:val="17"/>
          <w:lang w:val="en-US"/>
        </w:rPr>
        <w:t xml:space="preserve"> large rotation in beams</w:t>
      </w:r>
      <w:r w:rsidR="00124A7A" w:rsidRPr="004A68AC">
        <w:rPr>
          <w:szCs w:val="17"/>
          <w:lang w:val="en-US"/>
        </w:rPr>
        <w:t>)</w:t>
      </w:r>
      <w:r w:rsidR="00DE27F5" w:rsidRPr="004A68AC">
        <w:rPr>
          <w:szCs w:val="17"/>
          <w:lang w:val="en-US"/>
        </w:rPr>
        <w:t>. Therefore,</w:t>
      </w:r>
      <w:r w:rsidR="00C31318" w:rsidRPr="004A68AC">
        <w:rPr>
          <w:szCs w:val="17"/>
          <w:lang w:val="en-US"/>
        </w:rPr>
        <w:t xml:space="preserve"> the establishment of capacity limits based on a uniform value of IDR</w:t>
      </w:r>
      <w:r w:rsidR="00DE27F5" w:rsidRPr="004A68AC">
        <w:rPr>
          <w:szCs w:val="17"/>
          <w:lang w:val="en-US"/>
        </w:rPr>
        <w:t xml:space="preserve"> may not be </w:t>
      </w:r>
      <w:r w:rsidR="00A12EA3" w:rsidRPr="004A68AC">
        <w:rPr>
          <w:szCs w:val="17"/>
          <w:lang w:val="en-US"/>
        </w:rPr>
        <w:t xml:space="preserve">adequate </w:t>
      </w:r>
      <w:r w:rsidR="00DE27F5" w:rsidRPr="004A68AC">
        <w:rPr>
          <w:szCs w:val="17"/>
          <w:lang w:val="en-US"/>
        </w:rPr>
        <w:t xml:space="preserve">to reflect the </w:t>
      </w:r>
      <w:r w:rsidR="00C31318" w:rsidRPr="004A68AC">
        <w:rPr>
          <w:szCs w:val="17"/>
          <w:lang w:val="en-US"/>
        </w:rPr>
        <w:t>damage in</w:t>
      </w:r>
      <w:r w:rsidR="00DE27F5" w:rsidRPr="004A68AC">
        <w:rPr>
          <w:szCs w:val="17"/>
          <w:lang w:val="en-US"/>
        </w:rPr>
        <w:t xml:space="preserve"> the structural elements </w:t>
      </w:r>
      <w:r w:rsidR="00DE27F5" w:rsidRPr="004A68AC">
        <w:rPr>
          <w:szCs w:val="17"/>
          <w:lang w:val="en-US"/>
        </w:rPr>
        <w:fldChar w:fldCharType="begin" w:fldLock="1"/>
      </w:r>
      <w:r w:rsidR="005C2936" w:rsidRPr="004A68AC">
        <w:rPr>
          <w:szCs w:val="17"/>
          <w:lang w:val="en-US"/>
        </w:rPr>
        <w:instrText>ADDIN CSL_CITATION {"citationItems":[{"id":"ITEM-1","itemData":{"DOI":"10.1002/eqe.2255","author":[{"dropping-particle":"","family":"Freddi","given":"Fabio","non-dropping-particle":"","parse-names":false,"suffix":""},{"dropping-particle":"","family":"Tubaldi","given":"Enrico","non-dropping-particle":"","parse-names":false,"suffix":""},{"dropping-particle":"","family":"Ragni","given":"Laura","non-dropping-particle":"","parse-names":false,"suffix":""},{"dropping-particle":"","family":"Dall'Asta","given":"Andrea","non-dropping-particle":"","parse-names":false,"suffix":""}],"container-title":"Earthquake Engineering and Structural Dynamics","id":"ITEM-1","issued":{"date-parts":[["2013"]]},"page":"993-1011","title":"Probabilistic performance assessment of low-ductility reinforced concrete frames retrofitted with dissipative braces","type":"article-journal","volume":"42"},"uris":["http://www.mendeley.com/documents/?uuid=a02259b7-0d93-4523-8009-03140a8161f5"]}],"mendeley":{"formattedCitation":"[33]","plainTextFormattedCitation":"[33]","previouslyFormattedCitation":"[33]"},"properties":{"noteIndex":0},"schema":"https://github.com/citation-style-language/schema/raw/master/csl-citation.json"}</w:instrText>
      </w:r>
      <w:r w:rsidR="00DE27F5" w:rsidRPr="004A68AC">
        <w:rPr>
          <w:szCs w:val="17"/>
          <w:lang w:val="en-US"/>
        </w:rPr>
        <w:fldChar w:fldCharType="separate"/>
      </w:r>
      <w:r w:rsidR="005E41A8" w:rsidRPr="004A68AC">
        <w:rPr>
          <w:noProof/>
          <w:szCs w:val="17"/>
          <w:lang w:val="en-US"/>
        </w:rPr>
        <w:t>[33]</w:t>
      </w:r>
      <w:r w:rsidR="00DE27F5" w:rsidRPr="004A68AC">
        <w:rPr>
          <w:szCs w:val="17"/>
          <w:lang w:val="en-US"/>
        </w:rPr>
        <w:fldChar w:fldCharType="end"/>
      </w:r>
      <w:r w:rsidR="00C31318" w:rsidRPr="004A68AC">
        <w:rPr>
          <w:szCs w:val="17"/>
          <w:lang w:val="en-US"/>
        </w:rPr>
        <w:t>.</w:t>
      </w:r>
    </w:p>
    <w:p w14:paraId="6AA066A6" w14:textId="77777777" w:rsidR="00DF3BB3" w:rsidRPr="004A68AC" w:rsidRDefault="00DF3BB3" w:rsidP="00C31318">
      <w:pPr>
        <w:rPr>
          <w:szCs w:val="17"/>
          <w:lang w:val="en-US"/>
        </w:rPr>
      </w:pPr>
    </w:p>
    <w:p w14:paraId="639B2BA3" w14:textId="370C44B9" w:rsidR="00C31318" w:rsidRPr="004A68AC" w:rsidRDefault="00C31318" w:rsidP="00C31318">
      <w:pPr>
        <w:rPr>
          <w:lang w:val="en-US"/>
        </w:rPr>
      </w:pPr>
      <w:r w:rsidRPr="004A68AC">
        <w:rPr>
          <w:szCs w:val="17"/>
          <w:lang w:val="en-US"/>
        </w:rPr>
        <w:t xml:space="preserve"> </w:t>
      </w:r>
      <w:r w:rsidR="00130674" w:rsidRPr="004A68AC">
        <w:rPr>
          <w:szCs w:val="17"/>
          <w:lang w:val="en-US"/>
        </w:rPr>
        <w:t xml:space="preserve">     </w:t>
      </w:r>
      <w:r w:rsidR="00CD198F" w:rsidRPr="004A68AC">
        <w:rPr>
          <w:szCs w:val="17"/>
          <w:lang w:val="en-US"/>
        </w:rPr>
        <w:t>To overcome this limitation, o</w:t>
      </w:r>
      <w:r w:rsidRPr="004A68AC">
        <w:rPr>
          <w:szCs w:val="17"/>
          <w:lang w:val="en-US"/>
        </w:rPr>
        <w:t>nly few research studies</w:t>
      </w:r>
      <w:r w:rsidR="00605B01" w:rsidRPr="004A68AC">
        <w:rPr>
          <w:szCs w:val="17"/>
          <w:lang w:val="en-US"/>
        </w:rPr>
        <w:t xml:space="preserve"> have</w:t>
      </w:r>
      <w:r w:rsidRPr="004A68AC">
        <w:rPr>
          <w:szCs w:val="17"/>
          <w:lang w:val="en-US"/>
        </w:rPr>
        <w:t xml:space="preserve"> investigated the seismic performance of existing structures</w:t>
      </w:r>
      <w:r w:rsidR="00734F70" w:rsidRPr="004A68AC">
        <w:rPr>
          <w:szCs w:val="17"/>
          <w:lang w:val="en-US"/>
        </w:rPr>
        <w:t xml:space="preserve"> in probabilistic risk assessment frameworks</w:t>
      </w:r>
      <w:r w:rsidRPr="004A68AC">
        <w:rPr>
          <w:szCs w:val="17"/>
          <w:lang w:val="en-US"/>
        </w:rPr>
        <w:t xml:space="preserve"> by considering local EDPs. Among others, Freddi </w:t>
      </w:r>
      <w:r w:rsidRPr="004A68AC">
        <w:rPr>
          <w:i/>
          <w:szCs w:val="17"/>
          <w:lang w:val="en-US"/>
        </w:rPr>
        <w:t>et al.</w:t>
      </w:r>
      <w:r w:rsidRPr="004A68AC">
        <w:rPr>
          <w:szCs w:val="17"/>
          <w:lang w:val="en-US"/>
        </w:rPr>
        <w:t xml:space="preserve"> </w:t>
      </w:r>
      <w:r w:rsidRPr="004A68AC">
        <w:rPr>
          <w:szCs w:val="17"/>
          <w:lang w:val="en-US"/>
        </w:rPr>
        <w:fldChar w:fldCharType="begin" w:fldLock="1"/>
      </w:r>
      <w:r w:rsidR="005C2936" w:rsidRPr="004A68AC">
        <w:rPr>
          <w:szCs w:val="17"/>
          <w:lang w:val="en-US"/>
        </w:rPr>
        <w:instrText>ADDIN CSL_CITATION {"citationItems":[{"id":"ITEM-1","itemData":{"DOI":"10.1002/eqe.2255","author":[{"dropping-particle":"","family":"Freddi","given":"Fabio","non-dropping-particle":"","parse-names":false,"suffix":""},{"dropping-particle":"","family":"Tubaldi","given":"Enrico","non-dropping-particle":"","parse-names":false,"suffix":""},{"dropping-particle":"","family":"Ragni","given":"Laura","non-dropping-particle":"","parse-names":false,"suffix":""},{"dropping-particle":"","family":"Dall'Asta","given":"Andrea","non-dropping-particle":"","parse-names":false,"suffix":""}],"container-title":"Earthquake Engineering and Structural Dynamics","id":"ITEM-1","issued":{"date-parts":[["2013"]]},"page":"993-1011","title":"Probabilistic performance assessment of low-ductility reinforced concrete frames retrofitted with dissipative braces","type":"article-journal","volume":"42"},"uris":["http://www.mendeley.com/documents/?uuid=a02259b7-0d93-4523-8009-03140a8161f5"]}],"mendeley":{"formattedCitation":"[33]","plainTextFormattedCitation":"[33]","previouslyFormattedCitation":"[33]"},"properties":{"noteIndex":0},"schema":"https://github.com/citation-style-language/schema/raw/master/csl-citation.json"}</w:instrText>
      </w:r>
      <w:r w:rsidRPr="004A68AC">
        <w:rPr>
          <w:szCs w:val="17"/>
          <w:lang w:val="en-US"/>
        </w:rPr>
        <w:fldChar w:fldCharType="separate"/>
      </w:r>
      <w:r w:rsidR="005E41A8" w:rsidRPr="004A68AC">
        <w:rPr>
          <w:noProof/>
          <w:szCs w:val="17"/>
          <w:lang w:val="en-US"/>
        </w:rPr>
        <w:t>[33]</w:t>
      </w:r>
      <w:r w:rsidRPr="004A68AC">
        <w:rPr>
          <w:szCs w:val="17"/>
          <w:lang w:val="en-US"/>
        </w:rPr>
        <w:fldChar w:fldCharType="end"/>
      </w:r>
      <w:r w:rsidRPr="004A68AC">
        <w:rPr>
          <w:szCs w:val="17"/>
          <w:lang w:val="en-US"/>
        </w:rPr>
        <w:t xml:space="preserve"> performed Incremental Dynamic Analyses (IDA) </w:t>
      </w:r>
      <w:r w:rsidRPr="004A68AC">
        <w:rPr>
          <w:szCs w:val="17"/>
          <w:lang w:val="en-US"/>
        </w:rPr>
        <w:fldChar w:fldCharType="begin" w:fldLock="1"/>
      </w:r>
      <w:r w:rsidR="005C2936" w:rsidRPr="004A68AC">
        <w:rPr>
          <w:szCs w:val="17"/>
          <w:lang w:val="en-US"/>
        </w:rPr>
        <w:instrText>ADDIN CSL_CITATION {"citationItems":[{"id":"ITEM-1","itemData":{"DOI":"10.1002/eqe.141","ISSN":"00988847","abstract":"Incremental dynamic analysis (IDA) is a parametric analysis method that has recently emerged in several different forms to estimate more thoroughly structural performance under seismic loads. It involves subjecting a structural model to one (or more) ground motion record(s), each scaled to multiple levels of intensity, thus producing one (or more) curve(s) of response parameterized versus intensity level. To establish a common frame of reference, the fundamental concepts are analysed, a unified terminology is proposed, suitable algorithms are presented, and properties of the IDA curve are looked into for both single-degree-of-freedom and multi-degree-of-freedom structures. In addition, summarization techniques for multi-record IDA studies and the association of the IDA study with the conventional static pushover analysis and the yield reduction R-factor are discussed. Finally, in the framework of performance-based earthquake engineering, the assessment of demand and capacity is viewed through the lens of an IDA study. © 2001 John Wiley &amp; Sons, Ltd.","author":[{"dropping-particle":"","family":"Vamvatsikos","given":"Dimitrios","non-dropping-particle":"","parse-names":false,"suffix":""},{"dropping-particle":"","family":"Allin Cornell","given":"C.","non-dropping-particle":"","parse-names":false,"suffix":""}],"container-title":"Earthquake Engineering and Structural Dynamics","id":"ITEM-1","issue":"3","issued":{"date-parts":[["2002"]]},"page":"491-514","title":"Incremental dynamic analysis","type":"article-journal","volume":"31"},"uris":["http://www.mendeley.com/documents/?uuid=3737dd3d-3876-4570-a0e5-6a28ed64d28a"]}],"mendeley":{"formattedCitation":"[34]","plainTextFormattedCitation":"[34]","previouslyFormattedCitation":"[34]"},"properties":{"noteIndex":0},"schema":"https://github.com/citation-style-language/schema/raw/master/csl-citation.json"}</w:instrText>
      </w:r>
      <w:r w:rsidRPr="004A68AC">
        <w:rPr>
          <w:szCs w:val="17"/>
          <w:lang w:val="en-US"/>
        </w:rPr>
        <w:fldChar w:fldCharType="separate"/>
      </w:r>
      <w:r w:rsidR="005E41A8" w:rsidRPr="004A68AC">
        <w:rPr>
          <w:noProof/>
          <w:szCs w:val="17"/>
          <w:lang w:val="en-US"/>
        </w:rPr>
        <w:t>[34]</w:t>
      </w:r>
      <w:r w:rsidRPr="004A68AC">
        <w:rPr>
          <w:szCs w:val="17"/>
          <w:lang w:val="en-US"/>
        </w:rPr>
        <w:fldChar w:fldCharType="end"/>
      </w:r>
      <w:r w:rsidRPr="004A68AC">
        <w:rPr>
          <w:szCs w:val="17"/>
          <w:lang w:val="en-US"/>
        </w:rPr>
        <w:t xml:space="preserve"> to evaluate the fragilities for both the system and the components of a reinforced concrete frame retrofitted with buckling restrained braces. The outcomes show how the use of global EDPs may be inadequate in some situations. Similarly, Freddi </w:t>
      </w:r>
      <w:r w:rsidRPr="004A68AC">
        <w:rPr>
          <w:i/>
          <w:szCs w:val="17"/>
          <w:lang w:val="en-US"/>
        </w:rPr>
        <w:t>et al.</w:t>
      </w:r>
      <w:r w:rsidRPr="004A68AC">
        <w:rPr>
          <w:szCs w:val="17"/>
          <w:lang w:val="en-US"/>
        </w:rPr>
        <w:t xml:space="preserve"> </w:t>
      </w:r>
      <w:r w:rsidRPr="004A68AC">
        <w:rPr>
          <w:szCs w:val="17"/>
          <w:lang w:val="en-US"/>
        </w:rPr>
        <w:fldChar w:fldCharType="begin" w:fldLock="1"/>
      </w:r>
      <w:r w:rsidR="005C2936" w:rsidRPr="004A68AC">
        <w:rPr>
          <w:szCs w:val="17"/>
          <w:lang w:val="en-US"/>
        </w:rPr>
        <w:instrText>ADDIN CSL_CITATION {"citationItems":[{"id":"ITEM-1","itemData":{"DOI":"10.1007/s10518-016-9948-x","ISBN":"1051801699","ISSN":"15731456","abstract":"Probabilistic methods to evaluate the seismic vulnerability of reinforced concrete (RC) frames are largely used in the context of performance based design and assessment, often describing the structural response using global engineering demand parameters (EDPs) such as the maximum interstory drift. While such EDPs are able to synthetically describe the structural behavior, the use of local EDPs is necessary to provide a more realistic and thorough description of failure mechanisms of low-ductility frames lacking seismic details. The objective of this paper is to investigate viable probabilistic seismic demand models of local EDPs, which may be used in developing fragility curves for the assessment of the low-ductility RC frames. The present work explores adequate regression models, probability distributions and uncertainty variation of the demand models. In addition, the adequacy of several ground motion intensity measures (IMs) to be used for predictive modeling of local EDPs is investigated. A realistic benchmark three-story RC frame representative of non-ductile buildings is used as a case study to identify key considerations.","author":[{"dropping-particle":"","family":"Freddi","given":"Fabio","non-dropping-particle":"","parse-names":false,"suffix":""},{"dropping-particle":"","family":"Padgett","given":"Jamie Ellen","non-dropping-particle":"","parse-names":false,"suffix":""},{"dropping-particle":"","family":"Dall’Asta","given":"Andrea","non-dropping-particle":"","parse-names":false,"suffix":""}],"container-title":"Bulletin of Earthquake Engineering","id":"ITEM-1","issue":"1","issued":{"date-parts":[["2017"]]},"publisher":"Springer Netherlands","title":"Probabilistic seismic demand modeling of local level response parameters of an RC frame","type":"article-journal","volume":"15"},"uris":["http://www.mendeley.com/documents/?uuid=e20799b9-6c52-47fe-b3ab-73038f2dd4c1"]}],"mendeley":{"formattedCitation":"[35]","plainTextFormattedCitation":"[35]","previouslyFormattedCitation":"[35]"},"properties":{"noteIndex":0},"schema":"https://github.com/citation-style-language/schema/raw/master/csl-citation.json"}</w:instrText>
      </w:r>
      <w:r w:rsidRPr="004A68AC">
        <w:rPr>
          <w:szCs w:val="17"/>
          <w:lang w:val="en-US"/>
        </w:rPr>
        <w:fldChar w:fldCharType="separate"/>
      </w:r>
      <w:r w:rsidR="005E41A8" w:rsidRPr="004A68AC">
        <w:rPr>
          <w:noProof/>
          <w:szCs w:val="17"/>
          <w:lang w:val="en-US"/>
        </w:rPr>
        <w:t>[35]</w:t>
      </w:r>
      <w:r w:rsidRPr="004A68AC">
        <w:rPr>
          <w:szCs w:val="17"/>
          <w:lang w:val="en-US"/>
        </w:rPr>
        <w:fldChar w:fldCharType="end"/>
      </w:r>
      <w:r w:rsidRPr="004A68AC">
        <w:rPr>
          <w:szCs w:val="17"/>
          <w:lang w:val="en-US"/>
        </w:rPr>
        <w:t xml:space="preserve"> investigated the definition of Probabilistic Seismic Demand Models for local EDPs while performing Cloud Analyses on a reinforced concrete frame. The authors concluded that the use of a probabilistic component-based approach (</w:t>
      </w:r>
      <w:r w:rsidRPr="004A68AC">
        <w:rPr>
          <w:i/>
          <w:iCs/>
          <w:szCs w:val="17"/>
          <w:lang w:val="en-US"/>
        </w:rPr>
        <w:t>i.e.,</w:t>
      </w:r>
      <w:r w:rsidRPr="004A68AC">
        <w:rPr>
          <w:szCs w:val="17"/>
          <w:lang w:val="en-US"/>
        </w:rPr>
        <w:t xml:space="preserve"> using local EDPs) provides a more comprehensive understanding of the structural behavior of the analyzed building. Song </w:t>
      </w:r>
      <w:r w:rsidRPr="004A68AC">
        <w:rPr>
          <w:i/>
          <w:iCs/>
          <w:szCs w:val="17"/>
          <w:lang w:val="en-US"/>
        </w:rPr>
        <w:t>et al.</w:t>
      </w:r>
      <w:r w:rsidRPr="004A68AC">
        <w:rPr>
          <w:szCs w:val="17"/>
          <w:lang w:val="en-US"/>
        </w:rPr>
        <w:t xml:space="preserve"> </w:t>
      </w:r>
      <w:r w:rsidRPr="004A68AC">
        <w:rPr>
          <w:szCs w:val="17"/>
          <w:lang w:val="en-US"/>
        </w:rPr>
        <w:fldChar w:fldCharType="begin" w:fldLock="1"/>
      </w:r>
      <w:r w:rsidR="005C2936" w:rsidRPr="004A68AC">
        <w:rPr>
          <w:szCs w:val="17"/>
          <w:lang w:val="en-US"/>
        </w:rPr>
        <w:instrText>ADDIN CSL_CITATION {"citationItems":[{"id":"ITEM-1","itemData":{"DOI":"10.1002/eqe.3228","ISSN":"10969845","abstract":"A refined probabilistic assessment of seismic demands and fracture capacity of welded column splice (WCS) connections in welded steel moment resisting frames (WSMRFs) is presented. Seismic demand assessment is performed through cloud-based nonlinear time history analysis (NLTHA) for two case-study structures, i.e., a 4- and a 20- story WSMRFs. Results from NLTHA are used to derive fracture fragility of WCS connections. To this aim, the study investigates (1) optimal ground-motion intensity measures for conditioning probabilistic seismic demand models in terms of global (i.e., maximum inter-story drift ratio) and local (i.e., peak tensile stress in the flange of WCSs) engineering demand parameters of WSMRFs; (2) the effect of ground-motion vertical components on the longitudinal flange stress of WCS connections and their resulting fracture fragility; and (3) the effect of WCS capacity uncertainties on the fracture fragility estimates of those connections. For the latter case, an advanced finite element fracture mechanics-based approach proposed by the authors is employed to capture aleatory and epistemic uncertainties affecting fracture capacities. The focus is on pre-Northridge WCS connections featuring partial joint penetration and brittle materials, making them highly vulnerable to seismic fracture. Fracture fragility results for the case-study structures are compared and discussed, highlighting the importance of the considered issues on fragility estimates, particularly in the case of high-rise structures. Findings from the study contribute shedding some light on the influence of seismic demand and capacity uncertainties on the assessment of fracture fragility of WCS connections. These findings can guide similar performance-based assessment exercises for WSMRFs to inform, for instance, the planning and design of retrofitting strategies for those vulnerable connections.","author":[{"dropping-particle":"","family":"Song","given":"Biao","non-dropping-particle":"","parse-names":false,"suffix":""},{"dropping-particle":"","family":"Galasso","given":"Carmine","non-dropping-particle":"","parse-names":false,"suffix":""},{"dropping-particle":"","family":"Kanvinde","given":"Amit","non-dropping-particle":"","parse-names":false,"suffix":""}],"container-title":"Earthquake Engineering and Structural Dynamics","id":"ITEM-1","issue":"2","issued":{"date-parts":[["2020"]]},"page":"132-154","title":"Advancing fracture fragility assessment of pre-Northridge welded column splices","type":"article-journal","volume":"49"},"uris":["http://www.mendeley.com/documents/?uuid=09595d5f-6d69-4b48-a367-31d31885d2e9"]}],"mendeley":{"formattedCitation":"[36]","plainTextFormattedCitation":"[36]","previouslyFormattedCitation":"[36]"},"properties":{"noteIndex":0},"schema":"https://github.com/citation-style-language/schema/raw/master/csl-citation.json"}</w:instrText>
      </w:r>
      <w:r w:rsidRPr="004A68AC">
        <w:rPr>
          <w:szCs w:val="17"/>
          <w:lang w:val="en-US"/>
        </w:rPr>
        <w:fldChar w:fldCharType="separate"/>
      </w:r>
      <w:r w:rsidR="005E41A8" w:rsidRPr="004A68AC">
        <w:rPr>
          <w:noProof/>
          <w:szCs w:val="17"/>
          <w:lang w:val="en-US"/>
        </w:rPr>
        <w:t>[36]</w:t>
      </w:r>
      <w:r w:rsidRPr="004A68AC">
        <w:rPr>
          <w:szCs w:val="17"/>
          <w:lang w:val="en-US"/>
        </w:rPr>
        <w:fldChar w:fldCharType="end"/>
      </w:r>
      <w:r w:rsidRPr="004A68AC">
        <w:rPr>
          <w:szCs w:val="17"/>
          <w:lang w:val="en-US"/>
        </w:rPr>
        <w:t xml:space="preserve"> recently performed a probabilistic assessment of the seismic demands and fracture capacity of welded column splice connections, </w:t>
      </w:r>
      <w:r w:rsidRPr="004A68AC">
        <w:rPr>
          <w:i/>
          <w:szCs w:val="17"/>
          <w:lang w:val="en-US"/>
        </w:rPr>
        <w:t>i.e.,</w:t>
      </w:r>
      <w:r w:rsidRPr="004A68AC">
        <w:rPr>
          <w:szCs w:val="17"/>
          <w:lang w:val="en-US"/>
        </w:rPr>
        <w:t xml:space="preserve"> local EDP, in steel </w:t>
      </w:r>
      <w:r w:rsidRPr="004A68AC">
        <w:rPr>
          <w:szCs w:val="17"/>
          <w:lang w:val="en-US"/>
        </w:rPr>
        <w:lastRenderedPageBreak/>
        <w:t>MRFs. The study was based on Cloud and Monte</w:t>
      </w:r>
      <w:r w:rsidR="00CF7F7F" w:rsidRPr="004A68AC">
        <w:rPr>
          <w:szCs w:val="17"/>
          <w:lang w:val="en-US"/>
        </w:rPr>
        <w:t xml:space="preserve"> C</w:t>
      </w:r>
      <w:r w:rsidRPr="004A68AC">
        <w:rPr>
          <w:szCs w:val="17"/>
          <w:lang w:val="en-US"/>
        </w:rPr>
        <w:t>arlo analyses and focused on two case study structures providing insights on the influence of relevant uncertainties on the assessment of fracture fragility of welded column splice</w:t>
      </w:r>
      <w:r w:rsidR="00376138" w:rsidRPr="004A68AC">
        <w:rPr>
          <w:szCs w:val="17"/>
          <w:lang w:val="en-US"/>
        </w:rPr>
        <w:t>s</w:t>
      </w:r>
      <w:r w:rsidRPr="004A68AC">
        <w:rPr>
          <w:lang w:val="en-US"/>
        </w:rPr>
        <w:t>.</w:t>
      </w:r>
    </w:p>
    <w:p w14:paraId="2459C21C" w14:textId="77777777" w:rsidR="00DF3BB3" w:rsidRPr="004A68AC" w:rsidRDefault="00DF3BB3" w:rsidP="00C31318">
      <w:pPr>
        <w:rPr>
          <w:lang w:val="en-US"/>
        </w:rPr>
      </w:pPr>
    </w:p>
    <w:p w14:paraId="7FECC01D" w14:textId="710CA6B9" w:rsidR="00AF5BAB" w:rsidRPr="004A68AC" w:rsidRDefault="00466E8F" w:rsidP="00454CE5">
      <w:pPr>
        <w:rPr>
          <w:szCs w:val="17"/>
          <w:lang w:val="en-US"/>
        </w:rPr>
      </w:pPr>
      <w:r w:rsidRPr="004A68AC">
        <w:rPr>
          <w:lang w:val="en-US"/>
        </w:rPr>
        <w:t xml:space="preserve">     </w:t>
      </w:r>
      <w:r w:rsidR="00A35E4B" w:rsidRPr="004A68AC">
        <w:rPr>
          <w:lang w:val="en-US"/>
        </w:rPr>
        <w:t>The quantification of uncertaint</w:t>
      </w:r>
      <w:r w:rsidR="0092504B" w:rsidRPr="004A68AC">
        <w:rPr>
          <w:lang w:val="en-US"/>
        </w:rPr>
        <w:t>ies</w:t>
      </w:r>
      <w:r w:rsidR="00A35E4B" w:rsidRPr="004A68AC">
        <w:rPr>
          <w:lang w:val="en-US"/>
        </w:rPr>
        <w:t xml:space="preserve"> is </w:t>
      </w:r>
      <w:r w:rsidR="0092504B" w:rsidRPr="004A68AC">
        <w:rPr>
          <w:lang w:val="en-US"/>
        </w:rPr>
        <w:t>essential in the seismic risk assessment of structures</w:t>
      </w:r>
      <w:r w:rsidR="00EE292F" w:rsidRPr="004A68AC">
        <w:rPr>
          <w:lang w:val="en-US"/>
        </w:rPr>
        <w:t>. In this context,</w:t>
      </w:r>
      <w:r w:rsidR="00893002" w:rsidRPr="004A68AC">
        <w:rPr>
          <w:lang w:val="en-US"/>
        </w:rPr>
        <w:t xml:space="preserve"> EDPs play a crucial role, as they are used as a measure of structural and non-structural damage to be correlated with decision variables, such as repairing cost and downtime </w:t>
      </w:r>
      <w:r w:rsidR="00893002" w:rsidRPr="004A68AC">
        <w:rPr>
          <w:szCs w:val="20"/>
          <w:lang w:val="en-US"/>
        </w:rPr>
        <w:fldChar w:fldCharType="begin" w:fldLock="1"/>
      </w:r>
      <w:r w:rsidR="005C2936" w:rsidRPr="004A68AC">
        <w:rPr>
          <w:szCs w:val="20"/>
          <w:lang w:val="en-US"/>
        </w:rPr>
        <w:instrText>ADDIN CSL_CITATION {"citationItems":[{"id":"ITEM-1","itemData":{"DOI":"10.1016/S0141-0296(02)00174-8","ISSN":"01410296","abstract":"The objective of this study is to improve the understanding of behavior patterns and the quantification of seismic demands for nondeteriorating regular frames subjected to ordinary ground motions. In this study, the term ordinary refers to ground motions that are recorded at distances greater than 13 km from the fault rupture, that do not exhibit pulse-type characteristics, and that are recorded on stiff soil sites. Engineering demand parameters (EDPs) of interest include roof and story drifts, local deformations, absolute floor accelerations and velocities, story shears and overturning moments, and energy terms, which are obtained by means of nonlinear time history analyses. Since nondeteriorating frames are used, the EDPs of primary interest are those that correlate best with structural, nonstructural, and contents damage at performance levels related to dollar losses and downtime. A relational database management system is used to perform statistical evaluation of EDPs and to establish relationships between structural and ground motion parameters. The primary intensity measure used, IM, is the spectral acceleration at the first mode of the structure, Sa(T1). The emphasis of this study is on quantification of EDPs for performance evaluation but includes a discussion of issues related to the design of components that need to be protected to avoid brittle failure in the response, e.g., columns in a moment-resisting frame. An exploration of probabilistic evaluation of EDPs is summarized, in which EDP hazard curves are developed and based on numerical integration procedures and closed-form solutions. The use of global collapse fragility functions (for a frame in which P-delta causes dynamic instability in the response) along with an IM hazard curve to estimate the mean annual frequency of collapse is explored and illustrated in an example. This study has provided much insight into the inelastic dynamic response characteristics of moment-resisting frames and the statistical properties of important engineering demand parameters. The data from the extensive nonlinear analyses of various frames with variations in their properties are stored in a database management system and can be exploited to obtain comprehensive statistical information on other EDPs of interest in the performance evaluation of frame structures.","author":[{"dropping-particle":"","family":"Medina","given":"R.A.","non-dropping-particle":"","parse-names":false,"suffix":""},{"dropping-particle":"","family":"Krawinkler","given":"H.","non-dropping-particle":"","parse-names":false,"suffix":""},{"dropping-particle":"","family":"Alavi","given":"B.","non-dropping-particle":"","parse-names":false,"suffix":""}],"container-title":"Report No. 144","id":"ITEM-1","issued":{"date-parts":[["2003"]]},"title":"Seismic demand for nondeteriorating frame structures and their dependence on ground motion","type":"report"},"uris":["http://www.mendeley.com/documents/?uuid=ffc73920-6054-4701-8aa5-4d4ada3c9814"]},{"id":"ITEM-2","itemData":{"DOI":"10.1007/s10518-016-9948-x","ISBN":"1051801699","ISSN":"15731456","abstract":"Probabilistic methods to evaluate the seismic vulnerability of reinforced concrete (RC) frames are largely used in the context of performance based design and assessment, often describing the structural response using global engineering demand parameters (EDPs) such as the maximum interstory drift. While such EDPs are able to synthetically describe the structural behavior, the use of local EDPs is necessary to provide a more realistic and thorough description of failure mechanisms of low-ductility frames lacking seismic details. The objective of this paper is to investigate viable probabilistic seismic demand models of local EDPs, which may be used in developing fragility curves for the assessment of the low-ductility RC frames. The present work explores adequate regression models, probability distributions and uncertainty variation of the demand models. In addition, the adequacy of several ground motion intensity measures (IMs) to be used for predictive modeling of local EDPs is investigated. A realistic benchmark three-story RC frame representative of non-ductile buildings is used as a case study to identify key considerations.","author":[{"dropping-particle":"","family":"Freddi","given":"Fabio","non-dropping-particle":"","parse-names":false,"suffix":""},{"dropping-particle":"","family":"Padgett","given":"Jamie Ellen","non-dropping-particle":"","parse-names":false,"suffix":""},{"dropping-particle":"","family":"Dall’Asta","given":"Andrea","non-dropping-particle":"","parse-names":false,"suffix":""}],"container-title":"Bulletin of Earthquake Engineering","id":"ITEM-2","issue":"1","issued":{"date-parts":[["2017"]]},"publisher":"Springer Netherlands","title":"Probabilistic seismic demand modeling of local level response parameters of an RC frame","type":"article-journal","volume":"15"},"uris":["http://www.mendeley.com/documents/?uuid=e20799b9-6c52-47fe-b3ab-73038f2dd4c1"]}],"mendeley":{"formattedCitation":"[35,37]","plainTextFormattedCitation":"[35,37]","previouslyFormattedCitation":"[35,37]"},"properties":{"noteIndex":0},"schema":"https://github.com/citation-style-language/schema/raw/master/csl-citation.json"}</w:instrText>
      </w:r>
      <w:r w:rsidR="00893002" w:rsidRPr="004A68AC">
        <w:rPr>
          <w:szCs w:val="20"/>
          <w:lang w:val="en-US"/>
        </w:rPr>
        <w:fldChar w:fldCharType="separate"/>
      </w:r>
      <w:r w:rsidR="005E41A8" w:rsidRPr="004A68AC">
        <w:rPr>
          <w:noProof/>
          <w:szCs w:val="20"/>
          <w:lang w:val="en-US"/>
        </w:rPr>
        <w:t>[35,37]</w:t>
      </w:r>
      <w:r w:rsidR="00893002" w:rsidRPr="004A68AC">
        <w:rPr>
          <w:szCs w:val="20"/>
          <w:lang w:val="en-US"/>
        </w:rPr>
        <w:fldChar w:fldCharType="end"/>
      </w:r>
      <w:r w:rsidR="00893002" w:rsidRPr="004A68AC">
        <w:rPr>
          <w:lang w:val="en-US"/>
        </w:rPr>
        <w:t xml:space="preserve">. </w:t>
      </w:r>
      <w:r w:rsidR="000E65A4" w:rsidRPr="004A68AC">
        <w:rPr>
          <w:szCs w:val="17"/>
          <w:lang w:val="en-US"/>
        </w:rPr>
        <w:t>Previous studies have demonstrated that the effects of epistemic uncertainty</w:t>
      </w:r>
      <w:r w:rsidR="00EE292F" w:rsidRPr="004A68AC">
        <w:rPr>
          <w:szCs w:val="17"/>
          <w:lang w:val="en-US"/>
        </w:rPr>
        <w:t xml:space="preserve"> (material properties, geometry)</w:t>
      </w:r>
      <w:r w:rsidR="000E65A4" w:rsidRPr="004A68AC">
        <w:rPr>
          <w:szCs w:val="17"/>
          <w:lang w:val="en-US"/>
        </w:rPr>
        <w:t xml:space="preserve"> </w:t>
      </w:r>
      <w:r w:rsidR="00592E25" w:rsidRPr="004A68AC">
        <w:rPr>
          <w:szCs w:val="17"/>
          <w:lang w:val="en-US"/>
        </w:rPr>
        <w:t xml:space="preserve">is generally </w:t>
      </w:r>
      <w:r w:rsidR="000E65A4" w:rsidRPr="004A68AC">
        <w:rPr>
          <w:szCs w:val="17"/>
          <w:lang w:val="en-US"/>
        </w:rPr>
        <w:t>less notable than the effects of</w:t>
      </w:r>
      <w:r w:rsidR="00893002" w:rsidRPr="004A68AC">
        <w:rPr>
          <w:szCs w:val="17"/>
          <w:lang w:val="en-US"/>
        </w:rPr>
        <w:t xml:space="preserve"> the aleatory uncertainty</w:t>
      </w:r>
      <w:r w:rsidR="000E65A4" w:rsidRPr="004A68AC">
        <w:rPr>
          <w:szCs w:val="17"/>
          <w:lang w:val="en-US"/>
        </w:rPr>
        <w:t xml:space="preserve"> </w:t>
      </w:r>
      <w:r w:rsidR="00893002" w:rsidRPr="004A68AC">
        <w:rPr>
          <w:szCs w:val="17"/>
          <w:lang w:val="en-US"/>
        </w:rPr>
        <w:t>(</w:t>
      </w:r>
      <w:r w:rsidR="000E65A4" w:rsidRPr="004A68AC">
        <w:rPr>
          <w:szCs w:val="17"/>
          <w:lang w:val="en-US"/>
        </w:rPr>
        <w:t>record-to-record variability</w:t>
      </w:r>
      <w:r w:rsidR="00893002" w:rsidRPr="004A68AC">
        <w:rPr>
          <w:szCs w:val="17"/>
          <w:lang w:val="en-US"/>
        </w:rPr>
        <w:t>)</w:t>
      </w:r>
      <w:r w:rsidR="007B3568" w:rsidRPr="004A68AC">
        <w:rPr>
          <w:szCs w:val="17"/>
          <w:lang w:val="en-US"/>
        </w:rPr>
        <w:t xml:space="preserve"> </w:t>
      </w:r>
      <w:r w:rsidR="000E65A4" w:rsidRPr="004A68AC">
        <w:rPr>
          <w:szCs w:val="17"/>
          <w:lang w:val="en-US"/>
        </w:rPr>
        <w:fldChar w:fldCharType="begin" w:fldLock="1"/>
      </w:r>
      <w:r w:rsidR="005C2936" w:rsidRPr="004A68AC">
        <w:rPr>
          <w:szCs w:val="17"/>
          <w:lang w:val="en-US"/>
        </w:rPr>
        <w:instrText>ADDIN CSL_CITATION {"citationItems":[{"id":"ITEM-1","itemData":{"DOI":"10.1016/j.engstruct.2005.07.010","ISSN":"01410296","abstract":"Starting from the premise that vulnerability curves are an indispensable ingredient of earthquake loss assessment, this paper focuses on establishing the relative effect of strong-motion variability and random structural parameters on the ensuing vulnerability curves. Moreover, the effect of the selection of statistical models used to present simulation results is studied. A three story ordinary moment resisting reinforced concrete frame, previously shake-table tested, is used as a basis for the fragility analysis. The analytical environment and the structural model are verified through comparison with shaking-table test results. The selection of ground motion sets, definition of limit states, statistical manipulation of simulation results, and the effect of material variability are investigated. No approximations are used to reduce the sample size or minimize the analytical effort, in order that attention is focused on the parameters under investigation. Notwithstanding the limited scope of the study, the results presented indicate that the effect of randomness in material response parameters is far less significant than the effect of strong-motion characteristics. Therefore, the importance of scrupulous selection and scaling of strong-motion and use of appropriate limit states and statistical models is emphasized. © 2005 Elsevier Ltd. All rights reserved.","author":[{"dropping-particle":"","family":"Kwon","given":"Oh Sung","non-dropping-particle":"","parse-names":false,"suffix":""},{"dropping-particle":"","family":"Elnashai","given":"Amr","non-dropping-particle":"","parse-names":false,"suffix":""}],"container-title":"Engineering Structures","id":"ITEM-1","issue":"2","issued":{"date-parts":[["2006"]]},"page":"289-303","title":"The effect of material and ground motion uncertainty on the seismic vulnerability curves of RC structure","type":"article-journal","volume":"28"},"uris":["http://www.mendeley.com/documents/?uuid=26387882-17f6-4047-80f1-2ff33d8cbe32"]},{"id":"ITEM-2","itemData":{"DOI":"10.1061/(ASCE)ST.1943-541X.0000456","ISSN":"07339445","abstract":"This paper uses a fully probabilistic approach to investigate the seismic response of multispan continuous bridges with dissipative piers and a steel-concrete composite (SCC) deck, the motion of which is transversally restrained at the abutments. This bridge typology is characterized by complex dual load path behavior in the transverse direction, with multiple failure modes involving both the deck and the piers. Proper assessment of the seismic vulnerability of these structural systems must rigorously take into account all pertinent sources of uncertainty, including uncertainties in both the seismic input (record-to-record variability) and the properties defining the structural model (model parameters). Model parameter uncertainty affects not only the structural capacity, but also the seismic response of a structural system. However, most of the procedures for seismic vulnerability assessment focus on the variability of the response resulting solely from seismic input uncertainty. These procedures either neglect model parameter uncertainty effects or incorporate these effects only in a simplified way. A computationally expensive but rigorous procedure is introduced in this work to include the effects of model parameter uncertainty on the seismic response and vulnerability assessment of SCC bridges with dual load path. Monte Carlo simulation with Latin hypercube sampling, in conjunction with probabilistic moment-curvature analysis, is used to build probabilistic finite-element models of the bridges under study. Extended incremental dynamic analysis is used to propagate all pertinent sources of uncertainty to the seismic demand. The proposed pro-cedure is then applied to the assessment of three benchmark bridges exhibiting different seismic behavior and dominant failure modes. Comparison of the response variability induced by seismic input uncertainty and the response variability induced by model parameter un-certainty highlights the importance of accounting for the latter when evaluating the safety of the typology of bridges considered in this study. © 2012 American Society of Civil Engineers.","author":[{"dropping-particle":"","family":"Tubaldi","given":"Enrico","non-dropping-particle":"","parse-names":false,"suffix":""},{"dropping-particle":"","family":"Barbato","given":"Michele","non-dropping-particle":"","parse-names":false,"suffix":""},{"dropping-particle":"","family":"Dall'Asta","given":"Andrea","non-dropping-particle":"","parse-names":false,"suffix":""}],"container-title":"Journal of Structural Engineering","id":"ITEM-2","issue":"3","issued":{"date-parts":[["2012"]]},"page":"363-374","title":"Influence of model parameter uncertainty on seismic transverse response and vulnerability of steel-concrete composite bridges with dual load path","type":"article-journal","volume":"138"},"uris":["http://www.mendeley.com/documents/?uuid=8d130777-770a-4871-a277-1648f852af21"]}],"mendeley":{"formattedCitation":"[38,39]","plainTextFormattedCitation":"[38,39]","previouslyFormattedCitation":"[38,39]"},"properties":{"noteIndex":0},"schema":"https://github.com/citation-style-language/schema/raw/master/csl-citation.json"}</w:instrText>
      </w:r>
      <w:r w:rsidR="000E65A4" w:rsidRPr="004A68AC">
        <w:rPr>
          <w:szCs w:val="17"/>
          <w:lang w:val="en-US"/>
        </w:rPr>
        <w:fldChar w:fldCharType="separate"/>
      </w:r>
      <w:r w:rsidR="005E41A8" w:rsidRPr="004A68AC">
        <w:rPr>
          <w:noProof/>
          <w:szCs w:val="17"/>
          <w:lang w:val="en-US"/>
        </w:rPr>
        <w:t>[38,39]</w:t>
      </w:r>
      <w:r w:rsidR="000E65A4" w:rsidRPr="004A68AC">
        <w:rPr>
          <w:szCs w:val="17"/>
          <w:lang w:val="en-US"/>
        </w:rPr>
        <w:fldChar w:fldCharType="end"/>
      </w:r>
      <w:r w:rsidR="00893002" w:rsidRPr="004A68AC">
        <w:rPr>
          <w:szCs w:val="17"/>
          <w:lang w:val="en-US"/>
        </w:rPr>
        <w:t>.</w:t>
      </w:r>
      <w:r w:rsidR="007B3568" w:rsidRPr="004A68AC">
        <w:rPr>
          <w:szCs w:val="17"/>
          <w:lang w:val="en-US"/>
        </w:rPr>
        <w:t xml:space="preserve"> </w:t>
      </w:r>
      <w:r w:rsidR="00F72792" w:rsidRPr="004A68AC">
        <w:rPr>
          <w:lang w:val="en-US"/>
        </w:rPr>
        <w:t>Hence, the present study neglects the variability related to the uncertainty in materials and geometric properties and account only for the uncertainty related to the seismic input</w:t>
      </w:r>
      <w:r w:rsidR="008B7BC4" w:rsidRPr="004A68AC">
        <w:rPr>
          <w:lang w:val="en-US"/>
        </w:rPr>
        <w:t xml:space="preserve"> for the assessment of the two case study structures</w:t>
      </w:r>
      <w:r w:rsidR="007B3568" w:rsidRPr="004A68AC">
        <w:rPr>
          <w:szCs w:val="17"/>
          <w:lang w:val="en-US"/>
        </w:rPr>
        <w:t>.</w:t>
      </w:r>
      <w:r w:rsidR="000E65A4" w:rsidRPr="004A68AC">
        <w:rPr>
          <w:szCs w:val="17"/>
          <w:lang w:val="en-US"/>
        </w:rPr>
        <w:t xml:space="preserve"> </w:t>
      </w:r>
      <w:r w:rsidR="000E65A4" w:rsidRPr="004A68AC">
        <w:rPr>
          <w:szCs w:val="20"/>
          <w:lang w:val="en-US"/>
        </w:rPr>
        <w:t xml:space="preserve">To account for the record-to-record variability in </w:t>
      </w:r>
      <w:r w:rsidR="000E65A4" w:rsidRPr="004A68AC">
        <w:rPr>
          <w:szCs w:val="17"/>
          <w:lang w:val="en-US"/>
        </w:rPr>
        <w:t>the seismic vulnerability assessment of structural systems, a popular approach involves the development of fragility curves (</w:t>
      </w:r>
      <w:r w:rsidR="000E65A4" w:rsidRPr="004A68AC">
        <w:rPr>
          <w:i/>
          <w:szCs w:val="17"/>
          <w:lang w:val="en-US"/>
        </w:rPr>
        <w:t>e.g.,</w:t>
      </w:r>
      <w:r w:rsidR="000D4F71" w:rsidRPr="004A68AC">
        <w:rPr>
          <w:szCs w:val="17"/>
          <w:lang w:val="en-US"/>
        </w:rPr>
        <w:t xml:space="preserve"> </w:t>
      </w:r>
      <w:r w:rsidR="000D4F71" w:rsidRPr="004A68AC">
        <w:rPr>
          <w:szCs w:val="17"/>
          <w:lang w:val="en-US"/>
        </w:rPr>
        <w:fldChar w:fldCharType="begin" w:fldLock="1"/>
      </w:r>
      <w:r w:rsidR="005C2936" w:rsidRPr="004A68AC">
        <w:rPr>
          <w:szCs w:val="17"/>
          <w:lang w:val="en-US"/>
        </w:rPr>
        <w:instrText>ADDIN CSL_CITATION {"citationItems":[{"id":"ITEM-1","itemData":{"DOI":"10.1002/eqe.2255","author":[{"dropping-particle":"","family":"Freddi","given":"Fabio","non-dropping-particle":"","parse-names":false,"suffix":""},{"dropping-particle":"","family":"Tubaldi","given":"Enrico","non-dropping-particle":"","parse-names":false,"suffix":""},{"dropping-particle":"","family":"Ragni","given":"Laura","non-dropping-particle":"","parse-names":false,"suffix":""},{"dropping-particle":"","family":"Dall'Asta","given":"Andrea","non-dropping-particle":"","parse-names":false,"suffix":""}],"container-title":"Earthquake Engineering and Structural Dynamics","id":"ITEM-1","issued":{"date-parts":[["2013"]]},"page":"993-1011","title":"Probabilistic performance assessment of low-ductility reinforced concrete frames retrofitted with dissipative braces","type":"article-journal","volume":"42"},"uris":["http://www.mendeley.com/documents/?uuid=a02259b7-0d93-4523-8009-03140a8161f5"]},{"id":"ITEM-2","itemData":{"DOI":"10.1016/j.jcsr.2019.05.012","ISSN":"0143974X","abstract":"This study benchmarks the performance of older existing tall steel moment resisting frame buildings designed following historic code-prescriptive requirements (1973 Uniform Building Code) against modern design standards (2015 International Building Code). The comparison is based on seismic risk assessments of alternative designs of a 50-story archetype office building, located at a site in San Francisco, CA. The mean annual frequency collapse risk of the 1973 building is 28 times greater than the equivalent 2015 building (28 × 10−4 versus 1 × 10−4), or approximately 13% versus 0.5% probability of collapse in 50 years. The average annual economic loss (based on cost of repair) is 65% higher for the 1973 as compared to the 2015 building (0.66% versus 0.40% of building replacement cost). The average annual downtime to re-occupancy for the 1973 building is 72% longer (8.1 vs 4.7 days) and to functional recovery is about 100% longer (10.4 vs 5.0 days). Building performance evaluations at the design basis earthquake (DBE) and the maximum considered earthquake (MCE) shaking intensities further suggest that 1970s tall steel moment frames have much higher risks of collapse under extreme ground motions and risks of damage and building closure in moderate earthquakes. Furthermore, while modern building code requirements provide acceptable seismic collapse safety, they do not necessarily ensure a level of damage control to assure a swift recovery after a damaging earthquake due to extensive downtime. A set of vulnerability functions are proposed for both archetype buildings considered in the assessment.","author":[{"dropping-particle":"","family":"Molina Hutt","given":"Carlos","non-dropping-particle":"","parse-names":false,"suffix":""},{"dropping-particle":"","family":"Rossetto","given":"Tiziana","non-dropping-particle":"","parse-names":false,"suffix":""},{"dropping-particle":"","family":"Deierlein","given":"Gregory G.","non-dropping-particle":"","parse-names":false,"suffix":""}],"container-title":"Journal of Constructional Steel Research","id":"ITEM-2","issued":{"date-parts":[["2019"]]},"page":"598-610","publisher":"Elsevier Ltd","title":"Comparative risk-based seismic assessment of 1970s vs modern tall steel moment frames","type":"article-journal","volume":"159"},"uris":["http://www.mendeley.com/documents/?uuid=f320352a-3b50-4856-9778-ff90446ea7c7"]},{"id":"ITEM-3","itemData":{"DOI":"10.1080/13632460701512993","ISBN":"1363246070","ISSN":"13632469","abstract":"With the move towards performance and consequence-based design and assessment of structures under seismic loading, the engineering community is becoming increasingly convinced that design practices need to be developed and checked using probabilistic methods. In this article, a methodology for the probabilistic assessment of low-rise steel buildings is presented and applied to a welded Moment Resisting Frame (MRF). In light of recent field experience for this form of construction, emphasis is given to the modeling of connections, particularly with respect to fracture characteristics. The seismic behavior of the building is assessed by means of nonlinear dynamic time history analyses, using a set of ground motions scaled according to spectral acceleration. Randomness related both to structural properties and earthquake excitation is explicitly taken into account. Fragility curves are generated using the Monte Carlo (MC) simulation method coupled with the Latin Hypercube Sampling (LHS) technique, and the failure probabilities are presented in terms of drift angles at different performance levels. Furthermore, evaluation of the seismic risk through a hazard analysis is presented in order to compare present results with previous pertinent studies. The study reveals that structures experiencing brittle connection fractures undergo large deformations, resulting in a low reliability in terms of achieving code-related performance requirements.","author":[{"dropping-particle":"","family":"Kazantzi","given":"A. K.","non-dropping-particle":"","parse-names":false,"suffix":""},{"dropping-particle":"","family":"Righiniotis","given":"T. D.","non-dropping-particle":"","parse-names":false,"suffix":""},{"dropping-particle":"","family":"Chryssanthopoulos","given":"M. K.","non-dropping-particle":"","parse-names":false,"suffix":""}],"container-title":"Journal of Earthquake Engineering","id":"ITEM-3","issue":"4","issued":{"date-parts":[["2008"]]},"page":"596-615","title":"Fragility and hazard analysis of a welded steel moment resisting frame","type":"article-journal","volume":"12"},"uris":["http://www.mendeley.com/documents/?uuid=20089201-0ab8-42d5-94a7-7e8ecaee3692"]},{"id":"ITEM-4","itemData":{"DOI":"10.12989/scs.2016.21.1.093","ISSN":"12299367","abstract":"Seismic fragility analysis is a probabilistic decision-making framework which is widely implemented for evaluating vulnerability of a building under earthquake loading. It requires ingredient named probabilistic model and commonly developed using statistics requiring collecting data in large quantities. Preparation of such a data-base is often costly and time-consuming. Therefore, in this paper, by developing generic seismic drift demand model for regular-multi-story steel moment resisting frames is tried to present a novel application of the probabilistic decisionmaking analysis to practical purposes. To this end, a demand model which is a linear function of intensity measure in logarithmic space is developed to predict overall maximum inter-story drift. Next, the model is coupled with a set of regression-based equations which are capable of directly estimating unknown statistical characteristics of the model parameters.To explicitly address uncertainties arise from randomness and lack of knowledge, the Bayesian regression inference is employed, when these relations are developed. The developed demand model is then employed in a Seismic Fragility Analysis (SFA) for two designed building. The accuracy of the results is also assessed by comparison with the results directly obtained from Incremental Dynamic analysis.","author":[{"dropping-particle":"","family":"Kia","given":"M.","non-dropping-particle":"","parse-names":false,"suffix":""},{"dropping-particle":"","family":"Banazadeh","given":"M.","non-dropping-particle":"","parse-names":false,"suffix":""}],"container-title":"Steel and Composite Structures","id":"ITEM-4","issue":"1","issued":{"date-parts":[["2016"]]},"page":"93-107","title":"Closed-form fragility analysis of the steel moment resisting frames","type":"article-journal","volume":"21"},"uris":["http://www.mendeley.com/documents/?uuid=d27865fb-0024-439d-be65-4cfc6b12b2d2"]}],"mendeley":{"formattedCitation":"[30–33]","plainTextFormattedCitation":"[30–33]","previouslyFormattedCitation":"[30–33]"},"properties":{"noteIndex":0},"schema":"https://github.com/citation-style-language/schema/raw/master/csl-citation.json"}</w:instrText>
      </w:r>
      <w:r w:rsidR="000D4F71" w:rsidRPr="004A68AC">
        <w:rPr>
          <w:szCs w:val="17"/>
          <w:lang w:val="en-US"/>
        </w:rPr>
        <w:fldChar w:fldCharType="separate"/>
      </w:r>
      <w:r w:rsidR="005E41A8" w:rsidRPr="004A68AC">
        <w:rPr>
          <w:noProof/>
          <w:szCs w:val="17"/>
          <w:lang w:val="en-US"/>
        </w:rPr>
        <w:t>[30–33]</w:t>
      </w:r>
      <w:r w:rsidR="000D4F71" w:rsidRPr="004A68AC">
        <w:rPr>
          <w:szCs w:val="17"/>
          <w:lang w:val="en-US"/>
        </w:rPr>
        <w:fldChar w:fldCharType="end"/>
      </w:r>
      <w:r w:rsidR="000E65A4" w:rsidRPr="004A68AC">
        <w:rPr>
          <w:szCs w:val="17"/>
          <w:lang w:val="en-US"/>
        </w:rPr>
        <w:t>). These tools provide the probability of exceeding a specified limit state or a defined failure condition for different levels of seismic intensity, measured by using an appropriate Intensity Measure (IM) (</w:t>
      </w:r>
      <w:r w:rsidR="000E65A4" w:rsidRPr="004A68AC">
        <w:rPr>
          <w:i/>
          <w:szCs w:val="17"/>
          <w:lang w:val="en-US"/>
        </w:rPr>
        <w:t>e.g.,</w:t>
      </w:r>
      <w:r w:rsidR="000E65A4" w:rsidRPr="004A68AC">
        <w:rPr>
          <w:szCs w:val="17"/>
          <w:lang w:val="en-US"/>
        </w:rPr>
        <w:t xml:space="preserve"> </w:t>
      </w:r>
      <w:r w:rsidR="000E65A4" w:rsidRPr="004A68AC">
        <w:rPr>
          <w:szCs w:val="17"/>
          <w:lang w:val="en-US"/>
        </w:rPr>
        <w:fldChar w:fldCharType="begin" w:fldLock="1"/>
      </w:r>
      <w:r w:rsidR="005C2936" w:rsidRPr="004A68AC">
        <w:rPr>
          <w:szCs w:val="17"/>
          <w:lang w:val="en-US"/>
        </w:rPr>
        <w:instrText>ADDIN CSL_CITATION {"citationItems":[{"id":"ITEM-1","itemData":{"DOI":"10.1007/s10518-016-9948-x","ISBN":"1051801699","ISSN":"15731456","abstract":"Probabilistic methods to evaluate the seismic vulnerability of reinforced concrete (RC) frames are largely used in the context of performance based design and assessment, often describing the structural response using global engineering demand parameters (EDPs) such as the maximum interstory drift. While such EDPs are able to synthetically describe the structural behavior, the use of local EDPs is necessary to provide a more realistic and thorough description of failure mechanisms of low-ductility frames lacking seismic details. The objective of this paper is to investigate viable probabilistic seismic demand models of local EDPs, which may be used in developing fragility curves for the assessment of the low-ductility RC frames. The present work explores adequate regression models, probability distributions and uncertainty variation of the demand models. In addition, the adequacy of several ground motion intensity measures (IMs) to be used for predictive modeling of local EDPs is investigated. A realistic benchmark three-story RC frame representative of non-ductile buildings is used as a case study to identify key considerations.","author":[{"dropping-particle":"","family":"Freddi","given":"Fabio","non-dropping-particle":"","parse-names":false,"suffix":""},{"dropping-particle":"","family":"Padgett","given":"Jamie Ellen","non-dropping-particle":"","parse-names":false,"suffix":""},{"dropping-particle":"","family":"Dall’Asta","given":"Andrea","non-dropping-particle":"","parse-names":false,"suffix":""}],"container-title":"Bulletin of Earthquake Engineering","id":"ITEM-1","issue":"1","issued":{"date-parts":[["2017"]]},"publisher":"Springer Netherlands","title":"Probabilistic seismic demand modeling of local level response parameters of an RC frame","type":"article-journal","volume":"15"},"uris":["http://www.mendeley.com/documents/?uuid=e20799b9-6c52-47fe-b3ab-73038f2dd4c1"]},{"id":"ITEM-2","itemData":{"DOI":"10.1002/eqe.2725","author":[{"dropping-particle":"","family":"Tubaldi","given":"Enrico","non-dropping-particle":"","parse-names":false,"suffix":""},{"dropping-particle":"","family":"Freddi","given":"Fabio","non-dropping-particle":"","parse-names":false,"suffix":""},{"dropping-particle":"","family":"Barbato","given":"Michele","non-dropping-particle":"","parse-names":false,"suffix":""}],"container-title":"Earthquake Engineering and Structural Dynamics","id":"ITEM-2","issued":{"date-parts":[["2016"]]},"title":"Probabilistic seismic demand model for pounding risk assessment","type":"article-journal"},"uris":["http://www.mendeley.com/documents/?uuid=18b65ec8-9183-4101-aa2e-cb39c6576cca"]}],"mendeley":{"formattedCitation":"[35,40]","plainTextFormattedCitation":"[35,40]","previouslyFormattedCitation":"[35,40]"},"properties":{"noteIndex":0},"schema":"https://github.com/citation-style-language/schema/raw/master/csl-citation.json"}</w:instrText>
      </w:r>
      <w:r w:rsidR="000E65A4" w:rsidRPr="004A68AC">
        <w:rPr>
          <w:szCs w:val="17"/>
          <w:lang w:val="en-US"/>
        </w:rPr>
        <w:fldChar w:fldCharType="separate"/>
      </w:r>
      <w:r w:rsidR="005E41A8" w:rsidRPr="004A68AC">
        <w:rPr>
          <w:noProof/>
          <w:szCs w:val="17"/>
          <w:lang w:val="en-US"/>
        </w:rPr>
        <w:t>[35,40]</w:t>
      </w:r>
      <w:r w:rsidR="000E65A4" w:rsidRPr="004A68AC">
        <w:rPr>
          <w:szCs w:val="17"/>
          <w:lang w:val="en-US"/>
        </w:rPr>
        <w:fldChar w:fldCharType="end"/>
      </w:r>
      <w:r w:rsidR="000E65A4" w:rsidRPr="004A68AC">
        <w:rPr>
          <w:szCs w:val="17"/>
          <w:lang w:val="en-US"/>
        </w:rPr>
        <w:t xml:space="preserve">). </w:t>
      </w:r>
      <w:r w:rsidR="002F5BE1" w:rsidRPr="004A68AC">
        <w:rPr>
          <w:szCs w:val="17"/>
          <w:lang w:val="en-US"/>
        </w:rPr>
        <w:t>S</w:t>
      </w:r>
      <w:r w:rsidR="000E65A4" w:rsidRPr="004A68AC">
        <w:rPr>
          <w:szCs w:val="17"/>
          <w:lang w:val="en-US"/>
        </w:rPr>
        <w:t>everal studies investigated the seismic performance of existing structures by accounting for the uncertainties related to the seismic input by using fragility curves</w:t>
      </w:r>
      <w:r w:rsidR="0071016C" w:rsidRPr="004A68AC">
        <w:rPr>
          <w:szCs w:val="17"/>
          <w:lang w:val="en-US"/>
        </w:rPr>
        <w:t>, including</w:t>
      </w:r>
      <w:r w:rsidR="0064183A" w:rsidRPr="004A68AC">
        <w:rPr>
          <w:szCs w:val="17"/>
          <w:lang w:val="en-US"/>
        </w:rPr>
        <w:t xml:space="preserve"> studies with steel buildings</w:t>
      </w:r>
      <w:r w:rsidR="0013537D" w:rsidRPr="004A68AC">
        <w:rPr>
          <w:szCs w:val="17"/>
          <w:lang w:val="en-US"/>
        </w:rPr>
        <w:t>.</w:t>
      </w:r>
      <w:r w:rsidR="001D0F1C" w:rsidRPr="004A68AC">
        <w:rPr>
          <w:szCs w:val="17"/>
          <w:lang w:val="en-US"/>
        </w:rPr>
        <w:t xml:space="preserve"> </w:t>
      </w:r>
      <w:r w:rsidR="006B3FC2" w:rsidRPr="004A68AC">
        <w:rPr>
          <w:szCs w:val="17"/>
          <w:lang w:val="en-US"/>
        </w:rPr>
        <w:t>For example</w:t>
      </w:r>
      <w:r w:rsidR="007B3568" w:rsidRPr="004A68AC">
        <w:rPr>
          <w:szCs w:val="17"/>
          <w:lang w:val="en-US"/>
        </w:rPr>
        <w:t>,</w:t>
      </w:r>
      <w:r w:rsidR="000E65A4" w:rsidRPr="004A68AC">
        <w:rPr>
          <w:szCs w:val="17"/>
          <w:lang w:val="en-US"/>
        </w:rPr>
        <w:t xml:space="preserve"> Molina Hutt </w:t>
      </w:r>
      <w:r w:rsidR="000E65A4" w:rsidRPr="004A68AC">
        <w:rPr>
          <w:i/>
          <w:szCs w:val="17"/>
          <w:lang w:val="en-US"/>
        </w:rPr>
        <w:t>et al.</w:t>
      </w:r>
      <w:r w:rsidR="000E65A4" w:rsidRPr="004A68AC">
        <w:rPr>
          <w:szCs w:val="17"/>
          <w:lang w:val="en-US"/>
        </w:rPr>
        <w:fldChar w:fldCharType="begin" w:fldLock="1"/>
      </w:r>
      <w:r w:rsidR="005C2936" w:rsidRPr="004A68AC">
        <w:rPr>
          <w:szCs w:val="17"/>
          <w:lang w:val="en-US"/>
        </w:rPr>
        <w:instrText>ADDIN CSL_CITATION {"citationItems":[{"id":"ITEM-1","itemData":{"DOI":"10.1016/j.jcsr.2019.05.012","ISSN":"0143974X","abstract":"This study benchmarks the performance of older existing tall steel moment resisting frame buildings designed following historic code-prescriptive requirements (1973 Uniform Building Code) against modern design standards (2015 International Building Code). The comparison is based on seismic risk assessments of alternative designs of a 50-story archetype office building, located at a site in San Francisco, CA. The mean annual frequency collapse risk of the 1973 building is 28 times greater than the equivalent 2015 building (28 × 10−4 versus 1 × 10−4), or approximately 13% versus 0.5% probability of collapse in 50 years. The average annual economic loss (based on cost of repair) is 65% higher for the 1973 as compared to the 2015 building (0.66% versus 0.40% of building replacement cost). The average annual downtime to re-occupancy for the 1973 building is 72% longer (8.1 vs 4.7 days) and to functional recovery is about 100% longer (10.4 vs 5.0 days). Building performance evaluations at the design basis earthquake (DBE) and the maximum considered earthquake (MCE) shaking intensities further suggest that 1970s tall steel moment frames have much higher risks of collapse under extreme ground motions and risks of damage and building closure in moderate earthquakes. Furthermore, while modern building code requirements provide acceptable seismic collapse safety, they do not necessarily ensure a level of damage control to assure a swift recovery after a damaging earthquake due to extensive downtime. A set of vulnerability functions are proposed for both archetype buildings considered in the assessment.","author":[{"dropping-particle":"","family":"Molina Hutt","given":"Carlos","non-dropping-particle":"","parse-names":false,"suffix":""},{"dropping-particle":"","family":"Rossetto","given":"Tiziana","non-dropping-particle":"","parse-names":false,"suffix":""},{"dropping-particle":"","family":"Deierlein","given":"Gregory G.","non-dropping-particle":"","parse-names":false,"suffix":""}],"container-title":"Journal of Constructional Steel Research","id":"ITEM-1","issued":{"date-parts":[["2019"]]},"page":"598-610","publisher":"Elsevier Ltd","title":"Comparative risk-based seismic assessment of 1970s vs modern tall steel moment frames","type":"article-journal","volume":"159"},"uris":["http://www.mendeley.com/documents/?uuid=f320352a-3b50-4856-9778-ff90446ea7c7"]}],"mendeley":{"formattedCitation":"[30]","plainTextFormattedCitation":"[30]","previouslyFormattedCitation":"[30]"},"properties":{"noteIndex":0},"schema":"https://github.com/citation-style-language/schema/raw/master/csl-citation.json"}</w:instrText>
      </w:r>
      <w:r w:rsidR="000E65A4" w:rsidRPr="004A68AC">
        <w:rPr>
          <w:szCs w:val="17"/>
          <w:lang w:val="en-US"/>
        </w:rPr>
        <w:fldChar w:fldCharType="separate"/>
      </w:r>
      <w:r w:rsidR="005E41A8" w:rsidRPr="004A68AC">
        <w:rPr>
          <w:noProof/>
          <w:szCs w:val="17"/>
          <w:lang w:val="en-US"/>
        </w:rPr>
        <w:t>[30]</w:t>
      </w:r>
      <w:r w:rsidR="000E65A4" w:rsidRPr="004A68AC">
        <w:rPr>
          <w:szCs w:val="17"/>
          <w:lang w:val="en-US"/>
        </w:rPr>
        <w:fldChar w:fldCharType="end"/>
      </w:r>
      <w:r w:rsidR="007B3568" w:rsidRPr="004A68AC">
        <w:rPr>
          <w:szCs w:val="17"/>
          <w:lang w:val="en-US"/>
        </w:rPr>
        <w:t xml:space="preserve"> </w:t>
      </w:r>
      <w:r w:rsidR="000E65A4" w:rsidRPr="004A68AC">
        <w:rPr>
          <w:szCs w:val="17"/>
          <w:lang w:val="en-US"/>
        </w:rPr>
        <w:t>investigated the vulnerability of steel MRF built in the 1970s</w:t>
      </w:r>
      <w:r w:rsidR="00EE292F" w:rsidRPr="004A68AC">
        <w:rPr>
          <w:szCs w:val="17"/>
          <w:lang w:val="en-US"/>
        </w:rPr>
        <w:t>,</w:t>
      </w:r>
      <w:r w:rsidR="000E65A4" w:rsidRPr="004A68AC">
        <w:rPr>
          <w:szCs w:val="17"/>
          <w:lang w:val="en-US"/>
        </w:rPr>
        <w:t xml:space="preserve"> by using the conditional spectrum method</w:t>
      </w:r>
      <w:r w:rsidR="006B3FC2" w:rsidRPr="004A68AC">
        <w:rPr>
          <w:szCs w:val="17"/>
          <w:lang w:val="en-US"/>
        </w:rPr>
        <w:t>.</w:t>
      </w:r>
      <w:r w:rsidR="001D0F1C" w:rsidRPr="004A68AC">
        <w:rPr>
          <w:szCs w:val="17"/>
          <w:lang w:val="en-US"/>
        </w:rPr>
        <w:t xml:space="preserve"> In a similar way, Kazantzi </w:t>
      </w:r>
      <w:r w:rsidR="001D0F1C" w:rsidRPr="004A68AC">
        <w:rPr>
          <w:i/>
          <w:szCs w:val="17"/>
          <w:lang w:val="en-US"/>
        </w:rPr>
        <w:t>et al.</w:t>
      </w:r>
      <w:r w:rsidR="001D0F1C" w:rsidRPr="004A68AC">
        <w:rPr>
          <w:szCs w:val="17"/>
          <w:lang w:val="en-US"/>
        </w:rPr>
        <w:t xml:space="preserve"> </w:t>
      </w:r>
      <w:r w:rsidR="001D0F1C" w:rsidRPr="004A68AC">
        <w:rPr>
          <w:szCs w:val="17"/>
          <w:lang w:val="en-US"/>
        </w:rPr>
        <w:fldChar w:fldCharType="begin" w:fldLock="1"/>
      </w:r>
      <w:r w:rsidR="005C2936" w:rsidRPr="004A68AC">
        <w:rPr>
          <w:szCs w:val="17"/>
          <w:lang w:val="en-US"/>
        </w:rPr>
        <w:instrText>ADDIN CSL_CITATION {"citationItems":[{"id":"ITEM-1","itemData":{"DOI":"10.1080/13632460701512993","ISBN":"1363246070","ISSN":"13632469","abstract":"With the move towards performance and consequence-based design and assessment of structures under seismic loading, the engineering community is becoming increasingly convinced that design practices need to be developed and checked using probabilistic methods. In this article, a methodology for the probabilistic assessment of low-rise steel buildings is presented and applied to a welded Moment Resisting Frame (MRF). In light of recent field experience for this form of construction, emphasis is given to the modeling of connections, particularly with respect to fracture characteristics. The seismic behavior of the building is assessed by means of nonlinear dynamic time history analyses, using a set of ground motions scaled according to spectral acceleration. Randomness related both to structural properties and earthquake excitation is explicitly taken into account. Fragility curves are generated using the Monte Carlo (MC) simulation method coupled with the Latin Hypercube Sampling (LHS) technique, and the failure probabilities are presented in terms of drift angles at different performance levels. Furthermore, evaluation of the seismic risk through a hazard analysis is presented in order to compare present results with previous pertinent studies. The study reveals that structures experiencing brittle connection fractures undergo large deformations, resulting in a low reliability in terms of achieving code-related performance requirements.","author":[{"dropping-particle":"","family":"Kazantzi","given":"A. K.","non-dropping-particle":"","parse-names":false,"suffix":""},{"dropping-particle":"","family":"Righiniotis","given":"T. D.","non-dropping-particle":"","parse-names":false,"suffix":""},{"dropping-particle":"","family":"Chryssanthopoulos","given":"M. K.","non-dropping-particle":"","parse-names":false,"suffix":""}],"container-title":"Journal of Earthquake Engineering","id":"ITEM-1","issue":"4","issued":{"date-parts":[["2008"]]},"page":"596-615","title":"Fragility and hazard analysis of a welded steel moment resisting frame","type":"article-journal","volume":"12"},"uris":["http://www.mendeley.com/documents/?uuid=20089201-0ab8-42d5-94a7-7e8ecaee3692"]}],"mendeley":{"formattedCitation":"[31]","plainTextFormattedCitation":"[31]","previouslyFormattedCitation":"[31]"},"properties":{"noteIndex":0},"schema":"https://github.com/citation-style-language/schema/raw/master/csl-citation.json"}</w:instrText>
      </w:r>
      <w:r w:rsidR="001D0F1C" w:rsidRPr="004A68AC">
        <w:rPr>
          <w:szCs w:val="17"/>
          <w:lang w:val="en-US"/>
        </w:rPr>
        <w:fldChar w:fldCharType="separate"/>
      </w:r>
      <w:r w:rsidR="005E41A8" w:rsidRPr="004A68AC">
        <w:rPr>
          <w:noProof/>
          <w:szCs w:val="17"/>
          <w:lang w:val="en-US"/>
        </w:rPr>
        <w:t>[31]</w:t>
      </w:r>
      <w:r w:rsidR="001D0F1C" w:rsidRPr="004A68AC">
        <w:rPr>
          <w:szCs w:val="17"/>
          <w:lang w:val="en-US"/>
        </w:rPr>
        <w:fldChar w:fldCharType="end"/>
      </w:r>
      <w:r w:rsidR="000E4639" w:rsidRPr="004A68AC">
        <w:rPr>
          <w:szCs w:val="17"/>
          <w:lang w:val="en-US"/>
        </w:rPr>
        <w:t xml:space="preserve"> studied the performance of a 3 story pre-Northridge case study building, designed for the SAC project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000E4639" w:rsidRPr="004A68AC">
        <w:rPr>
          <w:szCs w:val="17"/>
          <w:lang w:val="en-US"/>
        </w:rPr>
        <w:t xml:space="preserve"> and located in Los Angeles. They used fragility curves developed through a Monte Carlo simulation, to account for the uncertainty attained to the ground motion variability.</w:t>
      </w:r>
      <w:r w:rsidR="00376830" w:rsidRPr="004A68AC">
        <w:rPr>
          <w:szCs w:val="17"/>
          <w:lang w:val="en-US"/>
        </w:rPr>
        <w:t xml:space="preserve"> </w:t>
      </w:r>
      <w:r w:rsidR="008C65F1" w:rsidRPr="004A68AC">
        <w:rPr>
          <w:szCs w:val="17"/>
          <w:lang w:val="en-US"/>
        </w:rPr>
        <w:t xml:space="preserve">Likewise, Kia and Banazadeh </w:t>
      </w:r>
      <w:r w:rsidR="008C65F1" w:rsidRPr="004A68AC">
        <w:rPr>
          <w:szCs w:val="17"/>
          <w:lang w:val="en-US"/>
        </w:rPr>
        <w:fldChar w:fldCharType="begin" w:fldLock="1"/>
      </w:r>
      <w:r w:rsidR="005C2936" w:rsidRPr="004A68AC">
        <w:rPr>
          <w:szCs w:val="17"/>
          <w:lang w:val="en-US"/>
        </w:rPr>
        <w:instrText>ADDIN CSL_CITATION {"citationItems":[{"id":"ITEM-1","itemData":{"DOI":"10.12989/scs.2016.21.1.093","ISSN":"12299367","abstract":"Seismic fragility analysis is a probabilistic decision-making framework which is widely implemented for evaluating vulnerability of a building under earthquake loading. It requires ingredient named probabilistic model and commonly developed using statistics requiring collecting data in large quantities. Preparation of such a data-base is often costly and time-consuming. Therefore, in this paper, by developing generic seismic drift demand model for regular-multi-story steel moment resisting frames is tried to present a novel application of the probabilistic decisionmaking analysis to practical purposes. To this end, a demand model which is a linear function of intensity measure in logarithmic space is developed to predict overall maximum inter-story drift. Next, the model is coupled with a set of regression-based equations which are capable of directly estimating unknown statistical characteristics of the model parameters.To explicitly address uncertainties arise from randomness and lack of knowledge, the Bayesian regression inference is employed, when these relations are developed. The developed demand model is then employed in a Seismic Fragility Analysis (SFA) for two designed building. The accuracy of the results is also assessed by comparison with the results directly obtained from Incremental Dynamic analysis.","author":[{"dropping-particle":"","family":"Kia","given":"M.","non-dropping-particle":"","parse-names":false,"suffix":""},{"dropping-particle":"","family":"Banazadeh","given":"M.","non-dropping-particle":"","parse-names":false,"suffix":""}],"container-title":"Steel and Composite Structures","id":"ITEM-1","issue":"1","issued":{"date-parts":[["2016"]]},"page":"93-107","title":"Closed-form fragility analysis of the steel moment resisting frames","type":"article-journal","volume":"21"},"uris":["http://www.mendeley.com/documents/?uuid=d27865fb-0024-439d-be65-4cfc6b12b2d2"]}],"mendeley":{"formattedCitation":"[32]","plainTextFormattedCitation":"[32]","previouslyFormattedCitation":"[32]"},"properties":{"noteIndex":0},"schema":"https://github.com/citation-style-language/schema/raw/master/csl-citation.json"}</w:instrText>
      </w:r>
      <w:r w:rsidR="008C65F1" w:rsidRPr="004A68AC">
        <w:rPr>
          <w:szCs w:val="17"/>
          <w:lang w:val="en-US"/>
        </w:rPr>
        <w:fldChar w:fldCharType="separate"/>
      </w:r>
      <w:r w:rsidR="005E41A8" w:rsidRPr="004A68AC">
        <w:rPr>
          <w:noProof/>
          <w:szCs w:val="17"/>
          <w:lang w:val="en-US"/>
        </w:rPr>
        <w:t>[32]</w:t>
      </w:r>
      <w:r w:rsidR="008C65F1" w:rsidRPr="004A68AC">
        <w:rPr>
          <w:szCs w:val="17"/>
          <w:lang w:val="en-US"/>
        </w:rPr>
        <w:fldChar w:fldCharType="end"/>
      </w:r>
      <w:r w:rsidR="008C65F1" w:rsidRPr="004A68AC">
        <w:rPr>
          <w:szCs w:val="17"/>
          <w:lang w:val="en-US"/>
        </w:rPr>
        <w:t xml:space="preserve"> </w:t>
      </w:r>
      <w:r w:rsidR="00D37DA5" w:rsidRPr="004A68AC">
        <w:rPr>
          <w:szCs w:val="17"/>
          <w:lang w:val="en-US"/>
        </w:rPr>
        <w:t xml:space="preserve">developed fragility curves for </w:t>
      </w:r>
      <w:r w:rsidR="00075EE1" w:rsidRPr="004A68AC">
        <w:rPr>
          <w:szCs w:val="17"/>
          <w:lang w:val="en-US"/>
        </w:rPr>
        <w:t>IDRs</w:t>
      </w:r>
      <w:r w:rsidR="00D37DA5" w:rsidRPr="004A68AC">
        <w:rPr>
          <w:szCs w:val="17"/>
          <w:lang w:val="en-US"/>
        </w:rPr>
        <w:t xml:space="preserve"> related to different levels of damage in regular multi-story steel buildings, accounting for the record-to-record variability and other sources of uncertainty by using a Bayesian regression inference. </w:t>
      </w:r>
      <w:r w:rsidR="00680637" w:rsidRPr="004A68AC">
        <w:rPr>
          <w:szCs w:val="17"/>
          <w:lang w:val="en-US"/>
        </w:rPr>
        <w:t xml:space="preserve">It is worth mentioning that in </w:t>
      </w:r>
      <w:r w:rsidR="006B3FC2" w:rsidRPr="004A68AC">
        <w:rPr>
          <w:szCs w:val="17"/>
          <w:lang w:val="en-US"/>
        </w:rPr>
        <w:t>these studies</w:t>
      </w:r>
      <w:r w:rsidR="00680637" w:rsidRPr="004A68AC">
        <w:rPr>
          <w:szCs w:val="17"/>
          <w:lang w:val="en-US"/>
        </w:rPr>
        <w:t>, only global EDPs (</w:t>
      </w:r>
      <w:r w:rsidR="004219D1" w:rsidRPr="004A68AC">
        <w:rPr>
          <w:i/>
          <w:iCs/>
          <w:szCs w:val="17"/>
          <w:lang w:val="en-US"/>
        </w:rPr>
        <w:t>i.e.,</w:t>
      </w:r>
      <w:r w:rsidR="004219D1" w:rsidRPr="004A68AC">
        <w:rPr>
          <w:szCs w:val="17"/>
          <w:lang w:val="en-US"/>
        </w:rPr>
        <w:t xml:space="preserve"> </w:t>
      </w:r>
      <w:r w:rsidR="00680637" w:rsidRPr="004A68AC">
        <w:rPr>
          <w:szCs w:val="17"/>
          <w:lang w:val="en-US"/>
        </w:rPr>
        <w:t>IDR) have been considered.</w:t>
      </w:r>
    </w:p>
    <w:p w14:paraId="175C9490" w14:textId="77777777" w:rsidR="00D57E70" w:rsidRPr="004A68AC" w:rsidRDefault="00D57E70" w:rsidP="00454CE5">
      <w:pPr>
        <w:rPr>
          <w:szCs w:val="17"/>
          <w:lang w:val="en-US"/>
        </w:rPr>
      </w:pPr>
    </w:p>
    <w:p w14:paraId="144445AB" w14:textId="29AFAA9B" w:rsidR="00454CE5" w:rsidRPr="004A68AC" w:rsidRDefault="00454CE5" w:rsidP="00454CE5">
      <w:pPr>
        <w:rPr>
          <w:szCs w:val="17"/>
          <w:lang w:val="en-US"/>
        </w:rPr>
      </w:pPr>
      <w:r w:rsidRPr="004A68AC">
        <w:rPr>
          <w:szCs w:val="17"/>
          <w:lang w:val="en-US"/>
        </w:rPr>
        <w:t xml:space="preserve">     The present paper compares the outcomes of assessment procedures performed by using capacity limits for component level EDPs (</w:t>
      </w:r>
      <w:r w:rsidRPr="004A68AC">
        <w:rPr>
          <w:i/>
          <w:iCs/>
          <w:szCs w:val="17"/>
          <w:lang w:val="en-US"/>
        </w:rPr>
        <w:t>i.e.,</w:t>
      </w:r>
      <w:r w:rsidRPr="004A68AC">
        <w:rPr>
          <w:szCs w:val="17"/>
          <w:lang w:val="en-US"/>
        </w:rPr>
        <w:t xml:space="preserve"> local EDPs) established by European and American codes, in order to provide preliminary insights for the revision of the </w:t>
      </w:r>
      <w:r w:rsidR="00AF5BAB" w:rsidRPr="004A68AC">
        <w:rPr>
          <w:szCs w:val="17"/>
          <w:lang w:val="en-US"/>
        </w:rPr>
        <w:t>EC8-3</w:t>
      </w:r>
      <w:r w:rsidRPr="004A68AC">
        <w:rPr>
          <w:szCs w:val="17"/>
          <w:lang w:val="en-US"/>
        </w:rPr>
        <w:t xml:space="preserve">. First, </w:t>
      </w:r>
      <w:r w:rsidR="00F72792" w:rsidRPr="004A68AC">
        <w:rPr>
          <w:lang w:val="en-US"/>
        </w:rPr>
        <w:t>a few considerations are made among all the codes to identify common aspects in order to reduce the number of variables to be investigated. Then,</w:t>
      </w:r>
      <w:r w:rsidR="00F72792" w:rsidRPr="004A68AC">
        <w:rPr>
          <w:szCs w:val="17"/>
          <w:lang w:val="en-US"/>
        </w:rPr>
        <w:t xml:space="preserve"> </w:t>
      </w:r>
      <w:r w:rsidRPr="004A68AC">
        <w:rPr>
          <w:szCs w:val="17"/>
          <w:lang w:val="en-US"/>
        </w:rPr>
        <w:t xml:space="preserve">a side-by-side comparison of the capacity limits between the EC8-3 </w:t>
      </w:r>
      <w:r w:rsidRPr="004A68AC">
        <w:rPr>
          <w:szCs w:val="17"/>
          <w:lang w:val="en-US"/>
        </w:rPr>
        <w:fldChar w:fldCharType="begin" w:fldLock="1"/>
      </w:r>
      <w:r w:rsidR="005C47A3" w:rsidRPr="004A68AC">
        <w:rPr>
          <w:szCs w:val="17"/>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17"/>
          <w:lang w:val="en-US"/>
        </w:rPr>
        <w:fldChar w:fldCharType="separate"/>
      </w:r>
      <w:r w:rsidR="00855F83" w:rsidRPr="004A68AC">
        <w:rPr>
          <w:noProof/>
          <w:szCs w:val="17"/>
          <w:lang w:val="en-US"/>
        </w:rPr>
        <w:t>[13]</w:t>
      </w:r>
      <w:r w:rsidRPr="004A68AC">
        <w:rPr>
          <w:szCs w:val="17"/>
          <w:lang w:val="en-US"/>
        </w:rPr>
        <w:fldChar w:fldCharType="end"/>
      </w:r>
      <w:r w:rsidRPr="004A68AC">
        <w:rPr>
          <w:szCs w:val="17"/>
          <w:lang w:val="en-US"/>
        </w:rPr>
        <w:t xml:space="preserve"> and the different versions of the </w:t>
      </w:r>
      <w:r w:rsidR="009630B4" w:rsidRPr="004A68AC">
        <w:rPr>
          <w:szCs w:val="17"/>
          <w:lang w:val="en-US"/>
        </w:rPr>
        <w:t>ASCE 41</w:t>
      </w:r>
      <w:r w:rsidRPr="004A68AC">
        <w:rPr>
          <w:szCs w:val="17"/>
          <w:lang w:val="en-US"/>
        </w:rPr>
        <w:t xml:space="preserve"> </w:t>
      </w:r>
      <w:r w:rsidRPr="004A68AC">
        <w:rPr>
          <w:szCs w:val="17"/>
          <w:lang w:val="en-US"/>
        </w:rPr>
        <w:fldChar w:fldCharType="begin" w:fldLock="1"/>
      </w:r>
      <w:r w:rsidR="005C47A3" w:rsidRPr="004A68AC">
        <w:rPr>
          <w:szCs w:val="17"/>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17"/>
          <w:lang w:val="en-US"/>
        </w:rPr>
        <w:fldChar w:fldCharType="separate"/>
      </w:r>
      <w:r w:rsidR="00B339CD" w:rsidRPr="004A68AC">
        <w:rPr>
          <w:noProof/>
          <w:szCs w:val="17"/>
          <w:lang w:val="en-US"/>
        </w:rPr>
        <w:t>[15,18,19]</w:t>
      </w:r>
      <w:r w:rsidRPr="004A68AC">
        <w:rPr>
          <w:szCs w:val="17"/>
          <w:lang w:val="en-US"/>
        </w:rPr>
        <w:fldChar w:fldCharType="end"/>
      </w:r>
      <w:r w:rsidRPr="004A68AC">
        <w:rPr>
          <w:szCs w:val="17"/>
          <w:lang w:val="en-US"/>
        </w:rPr>
        <w:t xml:space="preserve"> is made</w:t>
      </w:r>
      <w:r w:rsidR="00780986" w:rsidRPr="004A68AC">
        <w:rPr>
          <w:szCs w:val="17"/>
          <w:lang w:val="en-US"/>
        </w:rPr>
        <w:t>, considering the discrepancies in the available yield capacity values offered by the codes</w:t>
      </w:r>
      <w:r w:rsidR="008B7BC4" w:rsidRPr="004A68AC">
        <w:rPr>
          <w:szCs w:val="17"/>
          <w:lang w:val="en-US"/>
        </w:rPr>
        <w:t>, including the definition of demand-dependent capacity values</w:t>
      </w:r>
      <w:r w:rsidRPr="004A68AC">
        <w:rPr>
          <w:szCs w:val="17"/>
          <w:lang w:val="en-US"/>
        </w:rPr>
        <w:t>.</w:t>
      </w:r>
      <w:r w:rsidR="003C611A" w:rsidRPr="004A68AC">
        <w:rPr>
          <w:szCs w:val="17"/>
          <w:lang w:val="en-US"/>
        </w:rPr>
        <w:t xml:space="preserve"> The comparison is made with the</w:t>
      </w:r>
      <w:r w:rsidR="002355F9" w:rsidRPr="004A68AC">
        <w:rPr>
          <w:szCs w:val="17"/>
          <w:lang w:val="en-US"/>
        </w:rPr>
        <w:t xml:space="preserve"> above-mentioned</w:t>
      </w:r>
      <w:r w:rsidR="003C611A" w:rsidRPr="004A68AC">
        <w:rPr>
          <w:szCs w:val="17"/>
          <w:lang w:val="en-US"/>
        </w:rPr>
        <w:t xml:space="preserve"> American codes as they represent the state-of-the-art in the code-based assessment procedures.</w:t>
      </w:r>
      <w:r w:rsidRPr="004A68AC">
        <w:rPr>
          <w:szCs w:val="17"/>
          <w:lang w:val="en-US"/>
        </w:rPr>
        <w:t xml:space="preserve"> </w:t>
      </w:r>
      <w:r w:rsidR="000D71D3" w:rsidRPr="004A68AC">
        <w:rPr>
          <w:szCs w:val="17"/>
          <w:lang w:val="en-US"/>
        </w:rPr>
        <w:t xml:space="preserve">A parametric analysis is </w:t>
      </w:r>
      <w:r w:rsidR="002355F9" w:rsidRPr="004A68AC">
        <w:rPr>
          <w:szCs w:val="17"/>
          <w:lang w:val="en-US"/>
        </w:rPr>
        <w:t xml:space="preserve">carried out </w:t>
      </w:r>
      <w:r w:rsidR="000D71D3" w:rsidRPr="004A68AC">
        <w:rPr>
          <w:szCs w:val="17"/>
          <w:lang w:val="en-US"/>
        </w:rPr>
        <w:t>o</w:t>
      </w:r>
      <w:r w:rsidR="00780986" w:rsidRPr="004A68AC">
        <w:rPr>
          <w:szCs w:val="17"/>
          <w:lang w:val="en-US"/>
        </w:rPr>
        <w:t>n catalogue-based steel shapes to establish an equivalency between the European and American slenderness</w:t>
      </w:r>
      <w:r w:rsidR="008B7BC4" w:rsidRPr="004A68AC">
        <w:rPr>
          <w:szCs w:val="17"/>
          <w:lang w:val="en-US"/>
        </w:rPr>
        <w:t xml:space="preserve"> terms</w:t>
      </w:r>
      <w:r w:rsidR="00780986" w:rsidRPr="004A68AC">
        <w:rPr>
          <w:szCs w:val="17"/>
          <w:lang w:val="en-US"/>
        </w:rPr>
        <w:t xml:space="preserve"> and draw a comparison in terms of capacity limits. </w:t>
      </w:r>
      <w:r w:rsidR="00F72792" w:rsidRPr="004A68AC">
        <w:rPr>
          <w:szCs w:val="17"/>
          <w:lang w:val="en-US"/>
        </w:rPr>
        <w:t>Finally</w:t>
      </w:r>
      <w:r w:rsidRPr="004A68AC">
        <w:rPr>
          <w:szCs w:val="17"/>
          <w:lang w:val="en-US"/>
        </w:rPr>
        <w:t xml:space="preserve">, the assessment procedures outlined by the codes are </w:t>
      </w:r>
      <w:r w:rsidR="004219D1" w:rsidRPr="004A68AC">
        <w:rPr>
          <w:szCs w:val="17"/>
          <w:lang w:val="en-US"/>
        </w:rPr>
        <w:t>used on</w:t>
      </w:r>
      <w:r w:rsidRPr="004A68AC">
        <w:rPr>
          <w:szCs w:val="17"/>
          <w:lang w:val="en-US"/>
        </w:rPr>
        <w:t xml:space="preserve"> two </w:t>
      </w:r>
      <w:r w:rsidR="00AF5BAB" w:rsidRPr="004A68AC">
        <w:rPr>
          <w:szCs w:val="17"/>
          <w:lang w:val="en-US"/>
        </w:rPr>
        <w:t xml:space="preserve">low-code steel MRFs selected as </w:t>
      </w:r>
      <w:r w:rsidRPr="004A68AC">
        <w:rPr>
          <w:szCs w:val="17"/>
          <w:lang w:val="en-US"/>
        </w:rPr>
        <w:t>case study structures (</w:t>
      </w:r>
      <w:r w:rsidRPr="004A68AC">
        <w:rPr>
          <w:i/>
          <w:szCs w:val="17"/>
          <w:lang w:val="en-US"/>
        </w:rPr>
        <w:t>e.g.,</w:t>
      </w:r>
      <w:r w:rsidRPr="004A68AC">
        <w:rPr>
          <w:szCs w:val="17"/>
          <w:lang w:val="en-US"/>
        </w:rPr>
        <w:t xml:space="preserve">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Pr="004A68AC">
        <w:rPr>
          <w:szCs w:val="17"/>
          <w:lang w:val="en-US"/>
        </w:rPr>
        <w:t>)</w:t>
      </w:r>
      <w:r w:rsidR="008B7BC4" w:rsidRPr="004A68AC">
        <w:rPr>
          <w:szCs w:val="17"/>
          <w:lang w:val="en-US"/>
        </w:rPr>
        <w:t xml:space="preserve"> to be used as test</w:t>
      </w:r>
      <w:r w:rsidR="00DF3BB3" w:rsidRPr="004A68AC">
        <w:rPr>
          <w:szCs w:val="17"/>
          <w:lang w:val="en-US"/>
        </w:rPr>
        <w:t>-</w:t>
      </w:r>
      <w:r w:rsidR="008B7BC4" w:rsidRPr="004A68AC">
        <w:rPr>
          <w:szCs w:val="17"/>
          <w:lang w:val="en-US"/>
        </w:rPr>
        <w:t>bed for the comparison of the codes</w:t>
      </w:r>
      <w:r w:rsidRPr="004A68AC">
        <w:rPr>
          <w:szCs w:val="17"/>
          <w:lang w:val="en-US"/>
        </w:rPr>
        <w:t xml:space="preserve">. The assessment </w:t>
      </w:r>
      <w:r w:rsidR="00A12EA0" w:rsidRPr="004A68AC">
        <w:rPr>
          <w:szCs w:val="17"/>
          <w:lang w:val="en-US"/>
        </w:rPr>
        <w:t xml:space="preserve">is </w:t>
      </w:r>
      <w:r w:rsidRPr="004A68AC">
        <w:rPr>
          <w:szCs w:val="17"/>
          <w:lang w:val="en-US"/>
        </w:rPr>
        <w:t xml:space="preserve">performed based on three local EDPs as implemented in the considered codes, </w:t>
      </w:r>
      <w:r w:rsidRPr="004A68AC">
        <w:rPr>
          <w:i/>
          <w:szCs w:val="17"/>
          <w:lang w:val="en-US"/>
        </w:rPr>
        <w:t>i.e.,</w:t>
      </w:r>
      <w:r w:rsidRPr="004A68AC">
        <w:rPr>
          <w:szCs w:val="17"/>
          <w:lang w:val="en-US"/>
        </w:rPr>
        <w:t xml:space="preserve"> column’s chord rotation, beam’s chord rotation and panel zone’s shear </w:t>
      </w:r>
      <w:r w:rsidR="00DE4F6A" w:rsidRPr="004A68AC">
        <w:rPr>
          <w:szCs w:val="17"/>
          <w:lang w:val="en-US"/>
        </w:rPr>
        <w:t>strain</w:t>
      </w:r>
      <w:r w:rsidR="00925CB2" w:rsidRPr="004A68AC">
        <w:rPr>
          <w:szCs w:val="17"/>
          <w:lang w:val="en-US"/>
        </w:rPr>
        <w:t>, while global EDPs are simultaneously monitored for contextual purposes</w:t>
      </w:r>
      <w:r w:rsidRPr="004A68AC">
        <w:rPr>
          <w:szCs w:val="17"/>
          <w:lang w:val="en-US"/>
        </w:rPr>
        <w:t xml:space="preserve">. IDAs </w:t>
      </w:r>
      <w:r w:rsidR="000F3264" w:rsidRPr="004A68AC">
        <w:rPr>
          <w:szCs w:val="17"/>
          <w:lang w:val="en-US"/>
        </w:rPr>
        <w:fldChar w:fldCharType="begin" w:fldLock="1"/>
      </w:r>
      <w:r w:rsidR="005C2936" w:rsidRPr="004A68AC">
        <w:rPr>
          <w:szCs w:val="17"/>
          <w:lang w:val="en-US"/>
        </w:rPr>
        <w:instrText>ADDIN CSL_CITATION {"citationItems":[{"id":"ITEM-1","itemData":{"DOI":"10.1002/eqe.141","ISSN":"00988847","abstract":"Incremental dynamic analysis (IDA) is a parametric analysis method that has recently emerged in several different forms to estimate more thoroughly structural performance under seismic loads. It involves subjecting a structural model to one (or more) ground motion record(s), each scaled to multiple levels of intensity, thus producing one (or more) curve(s) of response parameterized versus intensity level. To establish a common frame of reference, the fundamental concepts are analysed, a unified terminology is proposed, suitable algorithms are presented, and properties of the IDA curve are looked into for both single-degree-of-freedom and multi-degree-of-freedom structures. In addition, summarization techniques for multi-record IDA studies and the association of the IDA study with the conventional static pushover analysis and the yield reduction R-factor are discussed. Finally, in the framework of performance-based earthquake engineering, the assessment of demand and capacity is viewed through the lens of an IDA study. © 2001 John Wiley &amp; Sons, Ltd.","author":[{"dropping-particle":"","family":"Vamvatsikos","given":"Dimitrios","non-dropping-particle":"","parse-names":false,"suffix":""},{"dropping-particle":"","family":"Allin Cornell","given":"C.","non-dropping-particle":"","parse-names":false,"suffix":""}],"container-title":"Earthquake Engineering and Structural Dynamics","id":"ITEM-1","issue":"3","issued":{"date-parts":[["2002"]]},"page":"491-514","title":"Incremental dynamic analysis","type":"article-journal","volume":"31"},"uris":["http://www.mendeley.com/documents/?uuid=3737dd3d-3876-4570-a0e5-6a28ed64d28a"]}],"mendeley":{"formattedCitation":"[34]","plainTextFormattedCitation":"[34]","previouslyFormattedCitation":"[34]"},"properties":{"noteIndex":0},"schema":"https://github.com/citation-style-language/schema/raw/master/csl-citation.json"}</w:instrText>
      </w:r>
      <w:r w:rsidR="000F3264" w:rsidRPr="004A68AC">
        <w:rPr>
          <w:szCs w:val="17"/>
          <w:lang w:val="en-US"/>
        </w:rPr>
        <w:fldChar w:fldCharType="separate"/>
      </w:r>
      <w:r w:rsidR="005E41A8" w:rsidRPr="004A68AC">
        <w:rPr>
          <w:noProof/>
          <w:szCs w:val="17"/>
          <w:lang w:val="en-US"/>
        </w:rPr>
        <w:t>[34]</w:t>
      </w:r>
      <w:r w:rsidR="000F3264" w:rsidRPr="004A68AC">
        <w:rPr>
          <w:szCs w:val="17"/>
          <w:lang w:val="en-US"/>
        </w:rPr>
        <w:fldChar w:fldCharType="end"/>
      </w:r>
      <w:r w:rsidRPr="004A68AC">
        <w:rPr>
          <w:szCs w:val="17"/>
          <w:lang w:val="en-US"/>
        </w:rPr>
        <w:t xml:space="preserve"> are performed for the development of components and system </w:t>
      </w:r>
      <w:r w:rsidR="00A12EA0" w:rsidRPr="004A68AC">
        <w:rPr>
          <w:szCs w:val="17"/>
          <w:lang w:val="en-US"/>
        </w:rPr>
        <w:t xml:space="preserve">level </w:t>
      </w:r>
      <w:r w:rsidRPr="004A68AC">
        <w:rPr>
          <w:szCs w:val="17"/>
          <w:lang w:val="en-US"/>
        </w:rPr>
        <w:t xml:space="preserve">fragility curves, which allow the comparison of capacity limits established on each code </w:t>
      </w:r>
      <w:r w:rsidR="00A12EA0" w:rsidRPr="004A68AC">
        <w:rPr>
          <w:szCs w:val="17"/>
          <w:lang w:val="en-US"/>
        </w:rPr>
        <w:t xml:space="preserve">accounting for the uncertainty related to the seismic input and </w:t>
      </w:r>
      <w:r w:rsidRPr="004A68AC">
        <w:rPr>
          <w:szCs w:val="17"/>
          <w:lang w:val="en-US"/>
        </w:rPr>
        <w:t>considerin</w:t>
      </w:r>
      <w:r w:rsidR="007C543D" w:rsidRPr="004A68AC">
        <w:rPr>
          <w:szCs w:val="17"/>
          <w:lang w:val="en-US"/>
        </w:rPr>
        <w:t xml:space="preserve">g the variation in the </w:t>
      </w:r>
      <w:r w:rsidR="00A12EA0" w:rsidRPr="004A68AC">
        <w:rPr>
          <w:szCs w:val="17"/>
          <w:lang w:val="en-US"/>
        </w:rPr>
        <w:t xml:space="preserve">seismic </w:t>
      </w:r>
      <w:r w:rsidR="007C543D" w:rsidRPr="004A68AC">
        <w:rPr>
          <w:szCs w:val="17"/>
          <w:lang w:val="en-US"/>
        </w:rPr>
        <w:t>demands</w:t>
      </w:r>
      <w:r w:rsidR="00A12EA0" w:rsidRPr="004A68AC">
        <w:rPr>
          <w:szCs w:val="17"/>
          <w:lang w:val="en-US"/>
        </w:rPr>
        <w:t xml:space="preserve"> related to the ground motion time-history</w:t>
      </w:r>
      <w:r w:rsidR="007C543D" w:rsidRPr="004A68AC">
        <w:rPr>
          <w:szCs w:val="17"/>
          <w:lang w:val="en-US"/>
        </w:rPr>
        <w:t>.</w:t>
      </w:r>
    </w:p>
    <w:p w14:paraId="000E1B8D" w14:textId="77777777" w:rsidR="008B7BC4" w:rsidRPr="004A68AC" w:rsidRDefault="008B7BC4" w:rsidP="00454CE5">
      <w:pPr>
        <w:rPr>
          <w:szCs w:val="17"/>
          <w:lang w:val="en-US"/>
        </w:rPr>
      </w:pPr>
    </w:p>
    <w:p w14:paraId="628D4151" w14:textId="1515942A" w:rsidR="00113976" w:rsidRPr="004A68AC" w:rsidRDefault="00113976" w:rsidP="00113976">
      <w:pPr>
        <w:pStyle w:val="Heading1"/>
        <w:tabs>
          <w:tab w:val="clear" w:pos="720"/>
          <w:tab w:val="num" w:pos="360"/>
        </w:tabs>
        <w:spacing w:before="0" w:after="0"/>
        <w:ind w:left="0" w:firstLine="0"/>
        <w:jc w:val="both"/>
        <w:rPr>
          <w:szCs w:val="20"/>
          <w:lang w:val="en-US"/>
        </w:rPr>
      </w:pPr>
      <w:bookmarkStart w:id="3" w:name="_Toc43469883"/>
      <w:r w:rsidRPr="004A68AC">
        <w:rPr>
          <w:szCs w:val="20"/>
          <w:lang w:val="en-US"/>
        </w:rPr>
        <w:lastRenderedPageBreak/>
        <w:t>ALIGNMENT OF THE CODES</w:t>
      </w:r>
    </w:p>
    <w:bookmarkEnd w:id="3"/>
    <w:p w14:paraId="3CAC9A29" w14:textId="407EC039" w:rsidR="00DC087B" w:rsidRPr="004A68AC" w:rsidRDefault="00567AE7" w:rsidP="005001BB">
      <w:pPr>
        <w:tabs>
          <w:tab w:val="left" w:pos="4592"/>
        </w:tabs>
        <w:rPr>
          <w:lang w:val="en-US" w:eastAsia="it-IT"/>
        </w:rPr>
      </w:pPr>
      <w:r w:rsidRPr="004A68AC">
        <w:rPr>
          <w:lang w:val="en-US" w:eastAsia="it-IT"/>
        </w:rPr>
        <w:t xml:space="preserve">This section presents a </w:t>
      </w:r>
      <w:r w:rsidR="003E7BCE" w:rsidRPr="004A68AC">
        <w:rPr>
          <w:lang w:val="en-US" w:eastAsia="it-IT"/>
        </w:rPr>
        <w:t xml:space="preserve">contextual </w:t>
      </w:r>
      <w:r w:rsidRPr="004A68AC">
        <w:rPr>
          <w:lang w:val="en-US" w:eastAsia="it-IT"/>
        </w:rPr>
        <w:t xml:space="preserve">comparison </w:t>
      </w:r>
      <w:r w:rsidR="004905CA" w:rsidRPr="004A68AC">
        <w:rPr>
          <w:lang w:val="en-US" w:eastAsia="it-IT"/>
        </w:rPr>
        <w:t xml:space="preserve">of some aspects in </w:t>
      </w:r>
      <w:r w:rsidRPr="004A68AC">
        <w:rPr>
          <w:lang w:val="en-US" w:eastAsia="it-IT"/>
        </w:rPr>
        <w:t>the</w:t>
      </w:r>
      <w:r w:rsidR="00E70E16" w:rsidRPr="004A68AC">
        <w:rPr>
          <w:lang w:val="en-US" w:eastAsia="it-IT"/>
        </w:rPr>
        <w:t xml:space="preserve"> EC8-3 </w:t>
      </w:r>
      <w:r w:rsidR="00E70E16"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E70E16" w:rsidRPr="004A68AC">
        <w:rPr>
          <w:lang w:val="en-US" w:eastAsia="it-IT"/>
        </w:rPr>
        <w:fldChar w:fldCharType="separate"/>
      </w:r>
      <w:r w:rsidR="00855F83" w:rsidRPr="004A68AC">
        <w:rPr>
          <w:noProof/>
          <w:lang w:val="en-US" w:eastAsia="it-IT"/>
        </w:rPr>
        <w:t>[13]</w:t>
      </w:r>
      <w:r w:rsidR="00E70E16" w:rsidRPr="004A68AC">
        <w:rPr>
          <w:lang w:val="en-US" w:eastAsia="it-IT"/>
        </w:rPr>
        <w:fldChar w:fldCharType="end"/>
      </w:r>
      <w:r w:rsidR="00E70E16" w:rsidRPr="004A68AC">
        <w:rPr>
          <w:lang w:val="en-US" w:eastAsia="it-IT"/>
        </w:rPr>
        <w:t xml:space="preserve"> </w:t>
      </w:r>
      <w:r w:rsidRPr="004A68AC">
        <w:rPr>
          <w:lang w:val="en-US" w:eastAsia="it-IT"/>
        </w:rPr>
        <w:t>and the</w:t>
      </w:r>
      <w:r w:rsidR="00E70E16" w:rsidRPr="004A68AC">
        <w:rPr>
          <w:lang w:val="en-US" w:eastAsia="it-IT"/>
        </w:rPr>
        <w:t xml:space="preserve"> </w:t>
      </w:r>
      <w:r w:rsidR="009630B4" w:rsidRPr="004A68AC">
        <w:rPr>
          <w:lang w:val="en-US" w:eastAsia="it-IT"/>
        </w:rPr>
        <w:t>ASCE 41</w:t>
      </w:r>
      <w:r w:rsidR="00E70E16" w:rsidRPr="004A68AC">
        <w:rPr>
          <w:lang w:val="en-US" w:eastAsia="it-IT"/>
        </w:rPr>
        <w:t xml:space="preserve"> </w:t>
      </w:r>
      <w:r w:rsidR="00E70E16"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E70E16" w:rsidRPr="004A68AC">
        <w:rPr>
          <w:lang w:val="en-US" w:eastAsia="it-IT"/>
        </w:rPr>
        <w:fldChar w:fldCharType="separate"/>
      </w:r>
      <w:r w:rsidR="00B339CD" w:rsidRPr="004A68AC">
        <w:rPr>
          <w:noProof/>
          <w:lang w:val="en-US" w:eastAsia="it-IT"/>
        </w:rPr>
        <w:t>[15,18,19]</w:t>
      </w:r>
      <w:r w:rsidR="00E70E16" w:rsidRPr="004A68AC">
        <w:rPr>
          <w:lang w:val="en-US" w:eastAsia="it-IT"/>
        </w:rPr>
        <w:fldChar w:fldCharType="end"/>
      </w:r>
      <w:r w:rsidR="004905CA" w:rsidRPr="004A68AC">
        <w:rPr>
          <w:lang w:val="en-US" w:eastAsia="it-IT"/>
        </w:rPr>
        <w:t>, in order to establish a shared starting point for the</w:t>
      </w:r>
      <w:r w:rsidR="00726786" w:rsidRPr="004A68AC">
        <w:rPr>
          <w:lang w:val="en-US" w:eastAsia="it-IT"/>
        </w:rPr>
        <w:t xml:space="preserve"> consistent</w:t>
      </w:r>
      <w:r w:rsidR="004905CA" w:rsidRPr="004A68AC">
        <w:rPr>
          <w:lang w:val="en-US" w:eastAsia="it-IT"/>
        </w:rPr>
        <w:t xml:space="preserve"> comparison of the capacity values </w:t>
      </w:r>
      <w:r w:rsidR="00545FB4" w:rsidRPr="004A68AC">
        <w:rPr>
          <w:lang w:val="en-US" w:eastAsia="it-IT"/>
        </w:rPr>
        <w:t xml:space="preserve">of the </w:t>
      </w:r>
      <w:r w:rsidR="004905CA" w:rsidRPr="004A68AC">
        <w:rPr>
          <w:lang w:val="en-US" w:eastAsia="it-IT"/>
        </w:rPr>
        <w:t xml:space="preserve">local EDPs </w:t>
      </w:r>
      <w:r w:rsidR="002108B8" w:rsidRPr="004A68AC">
        <w:rPr>
          <w:lang w:val="en-US" w:eastAsia="it-IT"/>
        </w:rPr>
        <w:t xml:space="preserve">which is </w:t>
      </w:r>
      <w:r w:rsidR="00545FB4" w:rsidRPr="004A68AC">
        <w:rPr>
          <w:lang w:val="en-US" w:eastAsia="it-IT"/>
        </w:rPr>
        <w:t xml:space="preserve">discussed </w:t>
      </w:r>
      <w:r w:rsidR="004905CA" w:rsidRPr="004A68AC">
        <w:rPr>
          <w:lang w:val="en-US" w:eastAsia="it-IT"/>
        </w:rPr>
        <w:t xml:space="preserve">in </w:t>
      </w:r>
      <w:r w:rsidR="00545FB4" w:rsidRPr="004A68AC">
        <w:rPr>
          <w:lang w:val="en-US" w:eastAsia="it-IT"/>
        </w:rPr>
        <w:t>the follow</w:t>
      </w:r>
      <w:r w:rsidR="002108B8" w:rsidRPr="004A68AC">
        <w:rPr>
          <w:lang w:val="en-US" w:eastAsia="it-IT"/>
        </w:rPr>
        <w:t>ing section</w:t>
      </w:r>
      <w:r w:rsidR="00E70E16" w:rsidRPr="004A68AC">
        <w:rPr>
          <w:lang w:val="en-US" w:eastAsia="it-IT"/>
        </w:rPr>
        <w:t xml:space="preserve">. </w:t>
      </w:r>
      <w:r w:rsidR="004905CA" w:rsidRPr="004A68AC">
        <w:rPr>
          <w:lang w:val="en-US" w:eastAsia="it-IT"/>
        </w:rPr>
        <w:t>Even though t</w:t>
      </w:r>
      <w:r w:rsidR="00DC087B" w:rsidRPr="004A68AC">
        <w:rPr>
          <w:lang w:val="en-US" w:eastAsia="it-IT"/>
        </w:rPr>
        <w:t xml:space="preserve">he two most recent versions of </w:t>
      </w:r>
      <w:r w:rsidR="009630B4" w:rsidRPr="004A68AC">
        <w:rPr>
          <w:lang w:val="en-US" w:eastAsia="it-IT"/>
        </w:rPr>
        <w:t>ASCE 41</w:t>
      </w:r>
      <w:r w:rsidR="00DC087B" w:rsidRPr="004A68AC">
        <w:rPr>
          <w:lang w:val="en-US" w:eastAsia="it-IT"/>
        </w:rPr>
        <w:t xml:space="preserve"> </w:t>
      </w:r>
      <w:r w:rsidR="00DC087B"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Buildings","type":"article"},"uris":["http://www.mendeley.com/documents/?uuid=e1e1c9a1-8439-4464-8e57-e6a99a956fd4"]},{"id":"ITEM-2","itemData":{"DOI":"10.1061/9780784414859","ISBN":"9780784412855","author":[{"dropping-particle":"","family":"American Society of Civil Engineers","given":"","non-dropping-particle":"","parse-names":false,"suffix":""}],"container-title":"ASCE/SEI 41-17","id":"ITEM-2","issued":{"date-parts":[["2017"]]},"title":"Seismic Evaluation and Retrofit of Existing Buildings","type":"article"},"uris":["http://www.mendeley.com/documents/?uuid=0dfd1fff-db69-4728-b658-30ff1c502a98"]}],"mendeley":{"formattedCitation":"[18,19]","plainTextFormattedCitation":"[18,19]","previouslyFormattedCitation":"[18,19]"},"properties":{"noteIndex":0},"schema":"https://github.com/citation-style-language/schema/raw/master/csl-citation.json"}</w:instrText>
      </w:r>
      <w:r w:rsidR="00DC087B" w:rsidRPr="004A68AC">
        <w:rPr>
          <w:lang w:val="en-US" w:eastAsia="it-IT"/>
        </w:rPr>
        <w:fldChar w:fldCharType="separate"/>
      </w:r>
      <w:r w:rsidR="00B339CD" w:rsidRPr="004A68AC">
        <w:rPr>
          <w:noProof/>
          <w:lang w:val="en-US" w:eastAsia="it-IT"/>
        </w:rPr>
        <w:t>[18,19]</w:t>
      </w:r>
      <w:r w:rsidR="00DC087B" w:rsidRPr="004A68AC">
        <w:rPr>
          <w:lang w:val="en-US" w:eastAsia="it-IT"/>
        </w:rPr>
        <w:fldChar w:fldCharType="end"/>
      </w:r>
      <w:r w:rsidR="00DC087B" w:rsidRPr="004A68AC">
        <w:rPr>
          <w:lang w:val="en-US" w:eastAsia="it-IT"/>
        </w:rPr>
        <w:t xml:space="preserve"> contain three </w:t>
      </w:r>
      <w:r w:rsidR="003E7BCE" w:rsidRPr="004A68AC">
        <w:rPr>
          <w:lang w:val="en-US" w:eastAsia="it-IT"/>
        </w:rPr>
        <w:t>assessment approaches,</w:t>
      </w:r>
      <w:r w:rsidR="00BC02C2" w:rsidRPr="004A68AC">
        <w:rPr>
          <w:lang w:val="en-US" w:eastAsia="it-IT"/>
        </w:rPr>
        <w:t xml:space="preserve"> only Tier 3 </w:t>
      </w:r>
      <w:r w:rsidR="003E7BCE" w:rsidRPr="004A68AC">
        <w:rPr>
          <w:lang w:val="en-US" w:eastAsia="it-IT"/>
        </w:rPr>
        <w:t xml:space="preserve">is </w:t>
      </w:r>
      <w:r w:rsidR="00C26E47" w:rsidRPr="004A68AC">
        <w:rPr>
          <w:lang w:val="en-US" w:eastAsia="it-IT"/>
        </w:rPr>
        <w:t xml:space="preserve">considered </w:t>
      </w:r>
      <w:r w:rsidR="003E7BCE" w:rsidRPr="004A68AC">
        <w:rPr>
          <w:lang w:val="en-US" w:eastAsia="it-IT"/>
        </w:rPr>
        <w:t>in this paper</w:t>
      </w:r>
      <w:r w:rsidR="004905CA" w:rsidRPr="004A68AC">
        <w:rPr>
          <w:lang w:val="en-US" w:eastAsia="it-IT"/>
        </w:rPr>
        <w:t xml:space="preserve">, as it is the only approach comparable with the procedures contained in the EC8-3 </w:t>
      </w:r>
      <w:r w:rsidR="004905CA"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4905CA" w:rsidRPr="004A68AC">
        <w:rPr>
          <w:lang w:val="en-US" w:eastAsia="it-IT"/>
        </w:rPr>
        <w:fldChar w:fldCharType="separate"/>
      </w:r>
      <w:r w:rsidR="00855F83" w:rsidRPr="004A68AC">
        <w:rPr>
          <w:noProof/>
          <w:lang w:val="en-US" w:eastAsia="it-IT"/>
        </w:rPr>
        <w:t>[13]</w:t>
      </w:r>
      <w:r w:rsidR="004905CA" w:rsidRPr="004A68AC">
        <w:rPr>
          <w:lang w:val="en-US" w:eastAsia="it-IT"/>
        </w:rPr>
        <w:fldChar w:fldCharType="end"/>
      </w:r>
      <w:r w:rsidR="004905CA" w:rsidRPr="004A68AC">
        <w:rPr>
          <w:lang w:val="en-US" w:eastAsia="it-IT"/>
        </w:rPr>
        <w:t xml:space="preserve"> and the </w:t>
      </w:r>
      <w:r w:rsidR="009630B4" w:rsidRPr="004A68AC">
        <w:rPr>
          <w:lang w:val="en-US" w:eastAsia="it-IT"/>
        </w:rPr>
        <w:t>ASCE 41</w:t>
      </w:r>
      <w:r w:rsidR="004905CA" w:rsidRPr="004A68AC">
        <w:rPr>
          <w:lang w:val="en-US" w:eastAsia="it-IT"/>
        </w:rPr>
        <w:t xml:space="preserve">-06 </w:t>
      </w:r>
      <w:r w:rsidR="004905CA"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4905CA" w:rsidRPr="004A68AC">
        <w:rPr>
          <w:lang w:val="en-US" w:eastAsia="it-IT"/>
        </w:rPr>
        <w:fldChar w:fldCharType="separate"/>
      </w:r>
      <w:r w:rsidR="00B339CD" w:rsidRPr="004A68AC">
        <w:rPr>
          <w:noProof/>
          <w:lang w:val="en-US" w:eastAsia="it-IT"/>
        </w:rPr>
        <w:t>[15]</w:t>
      </w:r>
      <w:r w:rsidR="004905CA" w:rsidRPr="004A68AC">
        <w:rPr>
          <w:lang w:val="en-US" w:eastAsia="it-IT"/>
        </w:rPr>
        <w:fldChar w:fldCharType="end"/>
      </w:r>
      <w:r w:rsidR="004905CA" w:rsidRPr="004A68AC">
        <w:rPr>
          <w:lang w:val="en-US" w:eastAsia="it-IT"/>
        </w:rPr>
        <w:t>.</w:t>
      </w:r>
      <w:r w:rsidR="006B4A26" w:rsidRPr="004A68AC">
        <w:rPr>
          <w:lang w:val="en-US" w:eastAsia="it-IT"/>
        </w:rPr>
        <w:t xml:space="preserve"> </w:t>
      </w:r>
      <w:r w:rsidR="009C7109" w:rsidRPr="004A68AC">
        <w:rPr>
          <w:lang w:val="en-US" w:eastAsia="it-IT"/>
        </w:rPr>
        <w:fldChar w:fldCharType="begin" w:fldLock="1"/>
      </w:r>
      <w:r w:rsidR="009C7109" w:rsidRPr="004A68AC">
        <w:rPr>
          <w:lang w:val="en-US" w:eastAsia="it-IT"/>
        </w:rPr>
        <w:instrText xml:space="preserve"> REF _Ref47717712 \h </w:instrText>
      </w:r>
      <w:r w:rsidR="00C156AB" w:rsidRPr="004A68AC">
        <w:rPr>
          <w:lang w:val="en-US" w:eastAsia="it-IT"/>
        </w:rPr>
        <w:instrText xml:space="preserve"> \* MERGEFORMAT </w:instrText>
      </w:r>
      <w:r w:rsidR="009C7109" w:rsidRPr="004A68AC">
        <w:rPr>
          <w:lang w:val="en-US" w:eastAsia="it-IT"/>
        </w:rPr>
      </w:r>
      <w:r w:rsidR="009C7109" w:rsidRPr="004A68AC">
        <w:rPr>
          <w:lang w:val="en-US" w:eastAsia="it-IT"/>
        </w:rPr>
        <w:fldChar w:fldCharType="separate"/>
      </w:r>
      <w:r w:rsidR="009C7109" w:rsidRPr="004A68AC">
        <w:rPr>
          <w:lang w:val="en-US"/>
        </w:rPr>
        <w:t xml:space="preserve">Figure </w:t>
      </w:r>
      <w:r w:rsidR="009C7109" w:rsidRPr="004A68AC">
        <w:rPr>
          <w:noProof/>
          <w:lang w:val="en-US"/>
        </w:rPr>
        <w:t>1</w:t>
      </w:r>
      <w:r w:rsidR="009C7109" w:rsidRPr="004A68AC">
        <w:rPr>
          <w:lang w:val="en-US" w:eastAsia="it-IT"/>
        </w:rPr>
        <w:fldChar w:fldCharType="end"/>
      </w:r>
      <w:r w:rsidR="009C7109" w:rsidRPr="004A68AC">
        <w:rPr>
          <w:lang w:val="en-US" w:eastAsia="it-IT"/>
        </w:rPr>
        <w:t xml:space="preserve"> shows a </w:t>
      </w:r>
      <w:r w:rsidR="006B4A26" w:rsidRPr="004A68AC">
        <w:rPr>
          <w:lang w:val="en-US" w:eastAsia="it-IT"/>
        </w:rPr>
        <w:t xml:space="preserve">flow chart representing the </w:t>
      </w:r>
      <w:r w:rsidR="003C0B42" w:rsidRPr="004A68AC">
        <w:rPr>
          <w:lang w:val="en-US" w:eastAsia="it-IT"/>
        </w:rPr>
        <w:t>main</w:t>
      </w:r>
      <w:r w:rsidR="006B4A26" w:rsidRPr="004A68AC">
        <w:rPr>
          <w:lang w:val="en-US" w:eastAsia="it-IT"/>
        </w:rPr>
        <w:t xml:space="preserve"> steps that are conventionally involved in the</w:t>
      </w:r>
      <w:r w:rsidR="003C0B42" w:rsidRPr="004A68AC">
        <w:rPr>
          <w:lang w:val="en-US" w:eastAsia="it-IT"/>
        </w:rPr>
        <w:t xml:space="preserve"> non-linear</w:t>
      </w:r>
      <w:r w:rsidR="006B4A26" w:rsidRPr="004A68AC">
        <w:rPr>
          <w:lang w:val="en-US" w:eastAsia="it-IT"/>
        </w:rPr>
        <w:t xml:space="preserve"> assessment procedures</w:t>
      </w:r>
      <w:r w:rsidR="002A1AB6" w:rsidRPr="004A68AC">
        <w:rPr>
          <w:lang w:val="en-US" w:eastAsia="it-IT"/>
        </w:rPr>
        <w:t xml:space="preserve"> for individual structures, </w:t>
      </w:r>
      <w:r w:rsidR="00C156AB" w:rsidRPr="004A68AC">
        <w:rPr>
          <w:lang w:val="en-US" w:eastAsia="it-IT"/>
        </w:rPr>
        <w:t>when following the approaches used in this paper</w:t>
      </w:r>
      <w:r w:rsidR="00284F79" w:rsidRPr="004A68AC">
        <w:rPr>
          <w:lang w:val="en-US" w:eastAsia="it-IT"/>
        </w:rPr>
        <w:t>.</w:t>
      </w:r>
    </w:p>
    <w:p w14:paraId="68CC554D" w14:textId="4FA89CBE" w:rsidR="000F7E62" w:rsidRPr="004A68AC" w:rsidRDefault="000F7E62" w:rsidP="005001BB">
      <w:pPr>
        <w:tabs>
          <w:tab w:val="left" w:pos="4592"/>
        </w:tabs>
        <w:rPr>
          <w:lang w:val="en-US" w:eastAsia="it-IT"/>
        </w:rPr>
      </w:pPr>
    </w:p>
    <w:p w14:paraId="1B572A05" w14:textId="487BA116" w:rsidR="008B7BC4" w:rsidRPr="004A68AC" w:rsidRDefault="002F7CB1" w:rsidP="002B62C2">
      <w:pPr>
        <w:tabs>
          <w:tab w:val="left" w:pos="4592"/>
        </w:tabs>
        <w:spacing w:line="240" w:lineRule="auto"/>
        <w:rPr>
          <w:b/>
          <w:bCs/>
          <w:lang w:val="en-US" w:eastAsia="it-IT"/>
        </w:rPr>
      </w:pPr>
      <w:r w:rsidRPr="004A68AC">
        <w:rPr>
          <w:b/>
          <w:bCs/>
          <w:noProof/>
          <w:lang w:val="en-US" w:eastAsia="it-IT"/>
        </w:rPr>
        <mc:AlternateContent>
          <mc:Choice Requires="wps">
            <w:drawing>
              <wp:anchor distT="0" distB="0" distL="114300" distR="114300" simplePos="0" relativeHeight="251806720" behindDoc="0" locked="0" layoutInCell="1" allowOverlap="1" wp14:anchorId="704B599F" wp14:editId="04F8731E">
                <wp:simplePos x="0" y="0"/>
                <wp:positionH relativeFrom="column">
                  <wp:posOffset>2942590</wp:posOffset>
                </wp:positionH>
                <wp:positionV relativeFrom="paragraph">
                  <wp:posOffset>1036955</wp:posOffset>
                </wp:positionV>
                <wp:extent cx="251460" cy="279400"/>
                <wp:effectExtent l="0" t="19050" r="34290" b="44450"/>
                <wp:wrapNone/>
                <wp:docPr id="32" name="Arrow: Right 32"/>
                <wp:cNvGraphicFramePr/>
                <a:graphic xmlns:a="http://schemas.openxmlformats.org/drawingml/2006/main">
                  <a:graphicData uri="http://schemas.microsoft.com/office/word/2010/wordprocessingShape">
                    <wps:wsp>
                      <wps:cNvSpPr/>
                      <wps:spPr>
                        <a:xfrm>
                          <a:off x="0" y="0"/>
                          <a:ext cx="251460" cy="27940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4AE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 o:spid="_x0000_s1026" type="#_x0000_t13" style="position:absolute;margin-left:231.7pt;margin-top:81.65pt;width:19.8pt;height: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" adj="10800" fillcolor="white [3201]" strokecolor="black [3200]" strokeweight="1pt"/>
            </w:pict>
          </mc:Fallback>
        </mc:AlternateContent>
      </w:r>
      <w:r w:rsidRPr="004A68AC">
        <w:rPr>
          <w:b/>
          <w:bCs/>
          <w:noProof/>
          <w:lang w:val="en-US" w:eastAsia="it-IT"/>
        </w:rPr>
        <mc:AlternateContent>
          <mc:Choice Requires="wps">
            <w:drawing>
              <wp:anchor distT="0" distB="0" distL="114300" distR="114300" simplePos="0" relativeHeight="251805696" behindDoc="0" locked="0" layoutInCell="1" allowOverlap="1" wp14:anchorId="07CABDAA" wp14:editId="62B99791">
                <wp:simplePos x="0" y="0"/>
                <wp:positionH relativeFrom="column">
                  <wp:posOffset>4466590</wp:posOffset>
                </wp:positionH>
                <wp:positionV relativeFrom="paragraph">
                  <wp:posOffset>1036955</wp:posOffset>
                </wp:positionV>
                <wp:extent cx="251460" cy="279400"/>
                <wp:effectExtent l="0" t="19050" r="34290" b="44450"/>
                <wp:wrapNone/>
                <wp:docPr id="29" name="Arrow: Right 29"/>
                <wp:cNvGraphicFramePr/>
                <a:graphic xmlns:a="http://schemas.openxmlformats.org/drawingml/2006/main">
                  <a:graphicData uri="http://schemas.microsoft.com/office/word/2010/wordprocessingShape">
                    <wps:wsp>
                      <wps:cNvSpPr/>
                      <wps:spPr>
                        <a:xfrm>
                          <a:off x="0" y="0"/>
                          <a:ext cx="251460" cy="27940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5586" id="Arrow: Right 29" o:spid="_x0000_s1026" type="#_x0000_t13" style="position:absolute;margin-left:351.7pt;margin-top:81.65pt;width:19.8pt;height: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" adj="10800" fillcolor="white [3201]" strokecolor="black [3200]" strokeweight="1pt"/>
            </w:pict>
          </mc:Fallback>
        </mc:AlternateContent>
      </w:r>
      <w:r w:rsidRPr="004A68AC">
        <w:rPr>
          <w:b/>
          <w:bCs/>
          <w:noProof/>
          <w:lang w:val="en-US" w:eastAsia="it-IT"/>
        </w:rPr>
        <mc:AlternateContent>
          <mc:Choice Requires="wps">
            <w:drawing>
              <wp:anchor distT="0" distB="0" distL="114300" distR="114300" simplePos="0" relativeHeight="251807744" behindDoc="0" locked="0" layoutInCell="1" allowOverlap="1" wp14:anchorId="1579102E" wp14:editId="574DE791">
                <wp:simplePos x="0" y="0"/>
                <wp:positionH relativeFrom="column">
                  <wp:posOffset>1421130</wp:posOffset>
                </wp:positionH>
                <wp:positionV relativeFrom="paragraph">
                  <wp:posOffset>1037116</wp:posOffset>
                </wp:positionV>
                <wp:extent cx="251460" cy="279400"/>
                <wp:effectExtent l="0" t="19050" r="34290" b="44450"/>
                <wp:wrapNone/>
                <wp:docPr id="26" name="Arrow: Right 26"/>
                <wp:cNvGraphicFramePr/>
                <a:graphic xmlns:a="http://schemas.openxmlformats.org/drawingml/2006/main">
                  <a:graphicData uri="http://schemas.microsoft.com/office/word/2010/wordprocessingShape">
                    <wps:wsp>
                      <wps:cNvSpPr/>
                      <wps:spPr>
                        <a:xfrm>
                          <a:off x="0" y="0"/>
                          <a:ext cx="251460" cy="27940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027E" id="Arrow: Right 26" o:spid="_x0000_s1026" type="#_x0000_t13" style="position:absolute;margin-left:111.9pt;margin-top:81.65pt;width:19.8pt;height: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" adj="10800" fillcolor="white [3201]" strokecolor="black [3200]" strokeweight="1pt"/>
            </w:pict>
          </mc:Fallback>
        </mc:AlternateContent>
      </w:r>
      <w:r w:rsidR="008B7BC4" w:rsidRPr="004A68AC">
        <w:rPr>
          <w:b/>
          <w:bCs/>
          <w:noProof/>
          <w:lang w:val="en-US" w:eastAsia="it-IT"/>
        </w:rPr>
        <mc:AlternateContent>
          <mc:Choice Requires="wps">
            <w:drawing>
              <wp:inline distT="0" distB="0" distL="0" distR="0" wp14:anchorId="2240D7CA" wp14:editId="117E9905">
                <wp:extent cx="1512000" cy="2326943"/>
                <wp:effectExtent l="0" t="0" r="12065" b="16510"/>
                <wp:docPr id="33" name="Rectangle 33"/>
                <wp:cNvGraphicFramePr/>
                <a:graphic xmlns:a="http://schemas.openxmlformats.org/drawingml/2006/main">
                  <a:graphicData uri="http://schemas.microsoft.com/office/word/2010/wordprocessingShape">
                    <wps:wsp>
                      <wps:cNvSpPr/>
                      <wps:spPr>
                        <a:xfrm>
                          <a:off x="0" y="0"/>
                          <a:ext cx="1512000" cy="2326943"/>
                        </a:xfrm>
                        <a:prstGeom prst="rect">
                          <a:avLst/>
                        </a:prstGeom>
                        <a:ln w="12700">
                          <a:prstDash val="solid"/>
                        </a:ln>
                      </wps:spPr>
                      <wps:style>
                        <a:lnRef idx="2">
                          <a:schemeClr val="dk1"/>
                        </a:lnRef>
                        <a:fillRef idx="1">
                          <a:schemeClr val="lt1"/>
                        </a:fillRef>
                        <a:effectRef idx="0">
                          <a:schemeClr val="dk1"/>
                        </a:effectRef>
                        <a:fontRef idx="minor">
                          <a:schemeClr val="dk1"/>
                        </a:fontRef>
                      </wps:style>
                      <wps:txbx>
                        <w:txbxContent>
                          <w:p w14:paraId="7110FB7D" w14:textId="7E499AB9" w:rsidR="00F534F9" w:rsidRDefault="00F534F9" w:rsidP="008B7BC4">
                            <w:pPr>
                              <w:jc w:val="center"/>
                              <w:rPr>
                                <w:b/>
                                <w:sz w:val="18"/>
                                <w:szCs w:val="18"/>
                              </w:rPr>
                            </w:pPr>
                            <w:r>
                              <w:rPr>
                                <w:noProof/>
                              </w:rPr>
                              <w:drawing>
                                <wp:inline distT="0" distB="0" distL="0" distR="0" wp14:anchorId="68C19574" wp14:editId="2D9BAE22">
                                  <wp:extent cx="1391285" cy="3498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1285" cy="349885"/>
                                          </a:xfrm>
                                          <a:prstGeom prst="rect">
                                            <a:avLst/>
                                          </a:prstGeom>
                                        </pic:spPr>
                                      </pic:pic>
                                    </a:graphicData>
                                  </a:graphic>
                                </wp:inline>
                              </w:drawing>
                            </w:r>
                          </w:p>
                          <w:p w14:paraId="375BE589" w14:textId="52A723B0" w:rsidR="00F534F9" w:rsidRPr="00ED78F9" w:rsidRDefault="00F534F9" w:rsidP="002B62C2">
                            <w:pPr>
                              <w:spacing w:line="240" w:lineRule="auto"/>
                              <w:jc w:val="center"/>
                              <w:rPr>
                                <w:b/>
                                <w:sz w:val="18"/>
                                <w:szCs w:val="18"/>
                              </w:rPr>
                            </w:pPr>
                            <w:r w:rsidRPr="00ED78F9">
                              <w:rPr>
                                <w:b/>
                                <w:sz w:val="18"/>
                                <w:szCs w:val="18"/>
                              </w:rPr>
                              <w:t>1. Building data gathering</w:t>
                            </w:r>
                          </w:p>
                          <w:p w14:paraId="5B818D4A" w14:textId="77777777" w:rsidR="00F534F9" w:rsidRPr="001F5D62" w:rsidRDefault="00F534F9" w:rsidP="002B62C2">
                            <w:pPr>
                              <w:spacing w:line="240" w:lineRule="auto"/>
                              <w:jc w:val="center"/>
                              <w:rPr>
                                <w:sz w:val="18"/>
                                <w:szCs w:val="18"/>
                                <w:lang w:val="en-US"/>
                              </w:rPr>
                            </w:pPr>
                            <w:r w:rsidRPr="001F5D62">
                              <w:rPr>
                                <w:sz w:val="18"/>
                                <w:szCs w:val="18"/>
                                <w:lang w:val="en-US"/>
                              </w:rPr>
                              <w:t>▪ Material properties</w:t>
                            </w:r>
                          </w:p>
                          <w:p w14:paraId="14162587" w14:textId="77777777" w:rsidR="00F534F9" w:rsidRPr="001F5D62" w:rsidRDefault="00F534F9" w:rsidP="002B62C2">
                            <w:pPr>
                              <w:spacing w:line="240" w:lineRule="auto"/>
                              <w:jc w:val="center"/>
                              <w:rPr>
                                <w:sz w:val="18"/>
                                <w:szCs w:val="18"/>
                                <w:lang w:val="en-US"/>
                              </w:rPr>
                            </w:pPr>
                            <w:r w:rsidRPr="001F5D62">
                              <w:rPr>
                                <w:sz w:val="18"/>
                                <w:szCs w:val="18"/>
                                <w:lang w:val="en-US"/>
                              </w:rPr>
                              <w:t>▪ Local and global geometry</w:t>
                            </w:r>
                          </w:p>
                          <w:p w14:paraId="30AA771F" w14:textId="77777777" w:rsidR="00F534F9" w:rsidRPr="001F5D62" w:rsidRDefault="00F534F9" w:rsidP="002B62C2">
                            <w:pPr>
                              <w:spacing w:line="240" w:lineRule="auto"/>
                              <w:jc w:val="center"/>
                              <w:rPr>
                                <w:sz w:val="18"/>
                                <w:szCs w:val="18"/>
                                <w:lang w:val="en-US"/>
                              </w:rPr>
                            </w:pPr>
                            <w:r w:rsidRPr="001F5D62">
                              <w:rPr>
                                <w:sz w:val="18"/>
                                <w:szCs w:val="18"/>
                                <w:lang w:val="en-US"/>
                              </w:rPr>
                              <w:t>▪ Knowledge levels</w:t>
                            </w:r>
                          </w:p>
                          <w:p w14:paraId="17C8673B" w14:textId="77777777" w:rsidR="00F534F9" w:rsidRDefault="00F534F9" w:rsidP="002B62C2">
                            <w:pPr>
                              <w:spacing w:line="240" w:lineRule="auto"/>
                              <w:jc w:val="center"/>
                              <w:rPr>
                                <w:sz w:val="18"/>
                                <w:szCs w:val="18"/>
                                <w:lang w:val="en-US"/>
                              </w:rPr>
                            </w:pPr>
                          </w:p>
                          <w:p w14:paraId="3FD38A9C" w14:textId="5AFF0162" w:rsidR="00F534F9" w:rsidRPr="00EE7CD2" w:rsidRDefault="00F534F9" w:rsidP="002B62C2">
                            <w:pPr>
                              <w:spacing w:line="240" w:lineRule="auto"/>
                              <w:jc w:val="center"/>
                              <w:rPr>
                                <w:sz w:val="18"/>
                                <w:szCs w:val="18"/>
                                <w:lang w:val="en-US"/>
                              </w:rPr>
                            </w:pPr>
                            <w:r>
                              <w:rPr>
                                <w:noProof/>
                              </w:rPr>
                              <w:drawing>
                                <wp:inline distT="0" distB="0" distL="0" distR="0" wp14:anchorId="03E50431" wp14:editId="2C4C569A">
                                  <wp:extent cx="1391285" cy="392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1285" cy="392430"/>
                                          </a:xfrm>
                                          <a:prstGeom prst="rect">
                                            <a:avLst/>
                                          </a:prstGeom>
                                        </pic:spPr>
                                      </pic:pic>
                                    </a:graphicData>
                                  </a:graphic>
                                </wp:inline>
                              </w:drawing>
                            </w:r>
                          </w:p>
                          <w:p w14:paraId="61FE08DB" w14:textId="77777777" w:rsidR="00F534F9" w:rsidRPr="00EE7CD2" w:rsidRDefault="00F534F9" w:rsidP="002B62C2">
                            <w:pPr>
                              <w:spacing w:line="240" w:lineRule="auto"/>
                              <w:jc w:val="center"/>
                              <w:rPr>
                                <w:b/>
                                <w:sz w:val="18"/>
                                <w:szCs w:val="18"/>
                              </w:rPr>
                            </w:pPr>
                            <w:r>
                              <w:rPr>
                                <w:b/>
                                <w:sz w:val="18"/>
                                <w:szCs w:val="18"/>
                              </w:rPr>
                              <w:t xml:space="preserve">2. </w:t>
                            </w:r>
                            <w:r w:rsidRPr="00EE7CD2">
                              <w:rPr>
                                <w:b/>
                                <w:sz w:val="18"/>
                                <w:szCs w:val="18"/>
                              </w:rPr>
                              <w:t>Hazard definition</w:t>
                            </w:r>
                          </w:p>
                          <w:p w14:paraId="69A6B111" w14:textId="77777777" w:rsidR="00F534F9" w:rsidRPr="001F5D62" w:rsidRDefault="00F534F9" w:rsidP="002B62C2">
                            <w:pPr>
                              <w:spacing w:line="240" w:lineRule="auto"/>
                              <w:jc w:val="center"/>
                              <w:rPr>
                                <w:sz w:val="18"/>
                                <w:szCs w:val="18"/>
                                <w:lang w:val="en-US"/>
                              </w:rPr>
                            </w:pPr>
                            <w:r w:rsidRPr="001F5D62">
                              <w:rPr>
                                <w:sz w:val="18"/>
                                <w:szCs w:val="18"/>
                                <w:lang w:val="en-US"/>
                              </w:rPr>
                              <w:t>▪ Local soil conditions</w:t>
                            </w:r>
                          </w:p>
                          <w:p w14:paraId="3AE3CE84" w14:textId="77777777" w:rsidR="00F534F9" w:rsidRPr="001F5D62" w:rsidRDefault="00F534F9" w:rsidP="002B62C2">
                            <w:pPr>
                              <w:spacing w:line="240" w:lineRule="auto"/>
                              <w:jc w:val="center"/>
                              <w:rPr>
                                <w:sz w:val="18"/>
                                <w:szCs w:val="18"/>
                                <w:lang w:val="en-US"/>
                              </w:rPr>
                            </w:pPr>
                            <w:r w:rsidRPr="001F5D62">
                              <w:rPr>
                                <w:sz w:val="18"/>
                                <w:szCs w:val="18"/>
                                <w:lang w:val="en-US"/>
                              </w:rPr>
                              <w:t>▪ Seismicity information</w:t>
                            </w:r>
                          </w:p>
                          <w:p w14:paraId="507662A9" w14:textId="77777777" w:rsidR="00F534F9" w:rsidRPr="001F5D62" w:rsidRDefault="00F534F9" w:rsidP="002B62C2">
                            <w:pPr>
                              <w:spacing w:line="240" w:lineRule="auto"/>
                              <w:jc w:val="center"/>
                              <w:rPr>
                                <w:sz w:val="18"/>
                                <w:szCs w:val="18"/>
                                <w:lang w:val="en-US"/>
                              </w:rPr>
                            </w:pPr>
                            <w:r w:rsidRPr="001F5D62">
                              <w:rPr>
                                <w:sz w:val="18"/>
                                <w:szCs w:val="18"/>
                                <w:lang w:val="en-US"/>
                              </w:rPr>
                              <w:t>▪ Hazard risk definition for each limit state</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inline>
            </w:drawing>
          </mc:Choice>
          <mc:Fallback>
            <w:pict>
              <v:rect w14:anchorId="2240D7CA" id="Rectangle 33" o:spid="_x0000_s1026" style="width:119.05pt;height:18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" fillcolor="white [3201]" strokecolor="black [3200]" strokeweight="1pt">
                <v:textbox inset="1.5mm,1mm,1.5mm,1mm">
                  <w:txbxContent>
                    <w:p w14:paraId="7110FB7D" w14:textId="7E499AB9" w:rsidR="00F534F9" w:rsidRDefault="00F534F9" w:rsidP="008B7BC4">
                      <w:pPr>
                        <w:jc w:val="center"/>
                        <w:rPr>
                          <w:b/>
                          <w:sz w:val="18"/>
                          <w:szCs w:val="18"/>
                        </w:rPr>
                      </w:pPr>
                      <w:r>
                        <w:rPr>
                          <w:noProof/>
                        </w:rPr>
                        <w:drawing>
                          <wp:inline distT="0" distB="0" distL="0" distR="0" wp14:anchorId="68C19574" wp14:editId="2D9BAE22">
                            <wp:extent cx="1391285" cy="3498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1285" cy="349885"/>
                                    </a:xfrm>
                                    <a:prstGeom prst="rect">
                                      <a:avLst/>
                                    </a:prstGeom>
                                  </pic:spPr>
                                </pic:pic>
                              </a:graphicData>
                            </a:graphic>
                          </wp:inline>
                        </w:drawing>
                      </w:r>
                    </w:p>
                    <w:p w14:paraId="375BE589" w14:textId="52A723B0" w:rsidR="00F534F9" w:rsidRPr="00ED78F9" w:rsidRDefault="00F534F9" w:rsidP="002B62C2">
                      <w:pPr>
                        <w:spacing w:line="240" w:lineRule="auto"/>
                        <w:jc w:val="center"/>
                        <w:rPr>
                          <w:b/>
                          <w:sz w:val="18"/>
                          <w:szCs w:val="18"/>
                        </w:rPr>
                      </w:pPr>
                      <w:r w:rsidRPr="00ED78F9">
                        <w:rPr>
                          <w:b/>
                          <w:sz w:val="18"/>
                          <w:szCs w:val="18"/>
                        </w:rPr>
                        <w:t>1. Building data gathering</w:t>
                      </w:r>
                    </w:p>
                    <w:p w14:paraId="5B818D4A" w14:textId="77777777" w:rsidR="00F534F9" w:rsidRPr="001F5D62" w:rsidRDefault="00F534F9" w:rsidP="002B62C2">
                      <w:pPr>
                        <w:spacing w:line="240" w:lineRule="auto"/>
                        <w:jc w:val="center"/>
                        <w:rPr>
                          <w:sz w:val="18"/>
                          <w:szCs w:val="18"/>
                          <w:lang w:val="en-US"/>
                        </w:rPr>
                      </w:pPr>
                      <w:r w:rsidRPr="001F5D62">
                        <w:rPr>
                          <w:sz w:val="18"/>
                          <w:szCs w:val="18"/>
                          <w:lang w:val="en-US"/>
                        </w:rPr>
                        <w:t>▪ Material properties</w:t>
                      </w:r>
                    </w:p>
                    <w:p w14:paraId="14162587" w14:textId="77777777" w:rsidR="00F534F9" w:rsidRPr="001F5D62" w:rsidRDefault="00F534F9" w:rsidP="002B62C2">
                      <w:pPr>
                        <w:spacing w:line="240" w:lineRule="auto"/>
                        <w:jc w:val="center"/>
                        <w:rPr>
                          <w:sz w:val="18"/>
                          <w:szCs w:val="18"/>
                          <w:lang w:val="en-US"/>
                        </w:rPr>
                      </w:pPr>
                      <w:r w:rsidRPr="001F5D62">
                        <w:rPr>
                          <w:sz w:val="18"/>
                          <w:szCs w:val="18"/>
                          <w:lang w:val="en-US"/>
                        </w:rPr>
                        <w:t>▪ Local and global geometry</w:t>
                      </w:r>
                    </w:p>
                    <w:p w14:paraId="30AA771F" w14:textId="77777777" w:rsidR="00F534F9" w:rsidRPr="001F5D62" w:rsidRDefault="00F534F9" w:rsidP="002B62C2">
                      <w:pPr>
                        <w:spacing w:line="240" w:lineRule="auto"/>
                        <w:jc w:val="center"/>
                        <w:rPr>
                          <w:sz w:val="18"/>
                          <w:szCs w:val="18"/>
                          <w:lang w:val="en-US"/>
                        </w:rPr>
                      </w:pPr>
                      <w:r w:rsidRPr="001F5D62">
                        <w:rPr>
                          <w:sz w:val="18"/>
                          <w:szCs w:val="18"/>
                          <w:lang w:val="en-US"/>
                        </w:rPr>
                        <w:t>▪ Knowledge levels</w:t>
                      </w:r>
                    </w:p>
                    <w:p w14:paraId="17C8673B" w14:textId="77777777" w:rsidR="00F534F9" w:rsidRDefault="00F534F9" w:rsidP="002B62C2">
                      <w:pPr>
                        <w:spacing w:line="240" w:lineRule="auto"/>
                        <w:jc w:val="center"/>
                        <w:rPr>
                          <w:sz w:val="18"/>
                          <w:szCs w:val="18"/>
                          <w:lang w:val="en-US"/>
                        </w:rPr>
                      </w:pPr>
                    </w:p>
                    <w:p w14:paraId="3FD38A9C" w14:textId="5AFF0162" w:rsidR="00F534F9" w:rsidRPr="00EE7CD2" w:rsidRDefault="00F534F9" w:rsidP="002B62C2">
                      <w:pPr>
                        <w:spacing w:line="240" w:lineRule="auto"/>
                        <w:jc w:val="center"/>
                        <w:rPr>
                          <w:sz w:val="18"/>
                          <w:szCs w:val="18"/>
                          <w:lang w:val="en-US"/>
                        </w:rPr>
                      </w:pPr>
                      <w:r>
                        <w:rPr>
                          <w:noProof/>
                        </w:rPr>
                        <w:drawing>
                          <wp:inline distT="0" distB="0" distL="0" distR="0" wp14:anchorId="03E50431" wp14:editId="2C4C569A">
                            <wp:extent cx="1391285" cy="392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1285" cy="392430"/>
                                    </a:xfrm>
                                    <a:prstGeom prst="rect">
                                      <a:avLst/>
                                    </a:prstGeom>
                                  </pic:spPr>
                                </pic:pic>
                              </a:graphicData>
                            </a:graphic>
                          </wp:inline>
                        </w:drawing>
                      </w:r>
                    </w:p>
                    <w:p w14:paraId="61FE08DB" w14:textId="77777777" w:rsidR="00F534F9" w:rsidRPr="00EE7CD2" w:rsidRDefault="00F534F9" w:rsidP="002B62C2">
                      <w:pPr>
                        <w:spacing w:line="240" w:lineRule="auto"/>
                        <w:jc w:val="center"/>
                        <w:rPr>
                          <w:b/>
                          <w:sz w:val="18"/>
                          <w:szCs w:val="18"/>
                        </w:rPr>
                      </w:pPr>
                      <w:r>
                        <w:rPr>
                          <w:b/>
                          <w:sz w:val="18"/>
                          <w:szCs w:val="18"/>
                        </w:rPr>
                        <w:t xml:space="preserve">2. </w:t>
                      </w:r>
                      <w:r w:rsidRPr="00EE7CD2">
                        <w:rPr>
                          <w:b/>
                          <w:sz w:val="18"/>
                          <w:szCs w:val="18"/>
                        </w:rPr>
                        <w:t>Hazard definition</w:t>
                      </w:r>
                    </w:p>
                    <w:p w14:paraId="69A6B111" w14:textId="77777777" w:rsidR="00F534F9" w:rsidRPr="001F5D62" w:rsidRDefault="00F534F9" w:rsidP="002B62C2">
                      <w:pPr>
                        <w:spacing w:line="240" w:lineRule="auto"/>
                        <w:jc w:val="center"/>
                        <w:rPr>
                          <w:sz w:val="18"/>
                          <w:szCs w:val="18"/>
                          <w:lang w:val="en-US"/>
                        </w:rPr>
                      </w:pPr>
                      <w:r w:rsidRPr="001F5D62">
                        <w:rPr>
                          <w:sz w:val="18"/>
                          <w:szCs w:val="18"/>
                          <w:lang w:val="en-US"/>
                        </w:rPr>
                        <w:t>▪ Local soil conditions</w:t>
                      </w:r>
                    </w:p>
                    <w:p w14:paraId="3AE3CE84" w14:textId="77777777" w:rsidR="00F534F9" w:rsidRPr="001F5D62" w:rsidRDefault="00F534F9" w:rsidP="002B62C2">
                      <w:pPr>
                        <w:spacing w:line="240" w:lineRule="auto"/>
                        <w:jc w:val="center"/>
                        <w:rPr>
                          <w:sz w:val="18"/>
                          <w:szCs w:val="18"/>
                          <w:lang w:val="en-US"/>
                        </w:rPr>
                      </w:pPr>
                      <w:r w:rsidRPr="001F5D62">
                        <w:rPr>
                          <w:sz w:val="18"/>
                          <w:szCs w:val="18"/>
                          <w:lang w:val="en-US"/>
                        </w:rPr>
                        <w:t>▪ Seismicity information</w:t>
                      </w:r>
                    </w:p>
                    <w:p w14:paraId="507662A9" w14:textId="77777777" w:rsidR="00F534F9" w:rsidRPr="001F5D62" w:rsidRDefault="00F534F9" w:rsidP="002B62C2">
                      <w:pPr>
                        <w:spacing w:line="240" w:lineRule="auto"/>
                        <w:jc w:val="center"/>
                        <w:rPr>
                          <w:sz w:val="18"/>
                          <w:szCs w:val="18"/>
                          <w:lang w:val="en-US"/>
                        </w:rPr>
                      </w:pPr>
                      <w:r w:rsidRPr="001F5D62">
                        <w:rPr>
                          <w:sz w:val="18"/>
                          <w:szCs w:val="18"/>
                          <w:lang w:val="en-US"/>
                        </w:rPr>
                        <w:t>▪ Hazard risk definition for each limit state</w:t>
                      </w:r>
                    </w:p>
                  </w:txbxContent>
                </v:textbox>
                <w10:anchorlock/>
              </v:rect>
            </w:pict>
          </mc:Fallback>
        </mc:AlternateContent>
      </w:r>
      <w:r w:rsidR="008B7BC4" w:rsidRPr="004A68AC">
        <w:rPr>
          <w:b/>
          <w:bCs/>
          <w:noProof/>
          <w:lang w:val="en-US" w:eastAsia="it-IT"/>
        </w:rPr>
        <mc:AlternateContent>
          <mc:Choice Requires="wps">
            <w:drawing>
              <wp:inline distT="0" distB="0" distL="0" distR="0" wp14:anchorId="09CA333E" wp14:editId="6D46B948">
                <wp:extent cx="1512000" cy="2330166"/>
                <wp:effectExtent l="0" t="0" r="12065" b="13335"/>
                <wp:docPr id="34" name="Rectangle 34"/>
                <wp:cNvGraphicFramePr/>
                <a:graphic xmlns:a="http://schemas.openxmlformats.org/drawingml/2006/main">
                  <a:graphicData uri="http://schemas.microsoft.com/office/word/2010/wordprocessingShape">
                    <wps:wsp>
                      <wps:cNvSpPr/>
                      <wps:spPr>
                        <a:xfrm>
                          <a:off x="0" y="0"/>
                          <a:ext cx="1512000" cy="2330166"/>
                        </a:xfrm>
                        <a:prstGeom prst="rect">
                          <a:avLst/>
                        </a:prstGeom>
                        <a:solidFill>
                          <a:schemeClr val="bg1">
                            <a:lumMod val="95000"/>
                          </a:schemeClr>
                        </a:solidFill>
                        <a:ln w="12700">
                          <a:prstDash val="solid"/>
                        </a:ln>
                      </wps:spPr>
                      <wps:style>
                        <a:lnRef idx="2">
                          <a:schemeClr val="dk1"/>
                        </a:lnRef>
                        <a:fillRef idx="1">
                          <a:schemeClr val="lt1"/>
                        </a:fillRef>
                        <a:effectRef idx="0">
                          <a:schemeClr val="dk1"/>
                        </a:effectRef>
                        <a:fontRef idx="minor">
                          <a:schemeClr val="dk1"/>
                        </a:fontRef>
                      </wps:style>
                      <wps:txbx>
                        <w:txbxContent>
                          <w:p w14:paraId="3A6D4771" w14:textId="5E3F0BF3" w:rsidR="00F534F9" w:rsidRDefault="00F534F9" w:rsidP="008B7BC4">
                            <w:pPr>
                              <w:jc w:val="center"/>
                              <w:rPr>
                                <w:b/>
                                <w:sz w:val="18"/>
                                <w:szCs w:val="18"/>
                              </w:rPr>
                            </w:pPr>
                            <w:r>
                              <w:rPr>
                                <w:noProof/>
                              </w:rPr>
                              <w:drawing>
                                <wp:inline distT="0" distB="0" distL="0" distR="0" wp14:anchorId="5CADBA5A" wp14:editId="43FA981E">
                                  <wp:extent cx="920911" cy="3491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484" cy="359650"/>
                                          </a:xfrm>
                                          <a:prstGeom prst="rect">
                                            <a:avLst/>
                                          </a:prstGeom>
                                          <a:noFill/>
                                          <a:ln>
                                            <a:noFill/>
                                          </a:ln>
                                        </pic:spPr>
                                      </pic:pic>
                                    </a:graphicData>
                                  </a:graphic>
                                </wp:inline>
                              </w:drawing>
                            </w:r>
                          </w:p>
                          <w:p w14:paraId="572DD518" w14:textId="10A8E531" w:rsidR="00F534F9" w:rsidRPr="001F5D62" w:rsidRDefault="00F534F9" w:rsidP="002B62C2">
                            <w:pPr>
                              <w:spacing w:line="240" w:lineRule="auto"/>
                              <w:jc w:val="center"/>
                              <w:rPr>
                                <w:b/>
                                <w:sz w:val="18"/>
                                <w:szCs w:val="18"/>
                              </w:rPr>
                            </w:pPr>
                            <w:r w:rsidRPr="001F5D62">
                              <w:rPr>
                                <w:b/>
                                <w:sz w:val="18"/>
                                <w:szCs w:val="18"/>
                              </w:rPr>
                              <w:t>3. Building Modelling</w:t>
                            </w:r>
                          </w:p>
                          <w:p w14:paraId="1454D163" w14:textId="77777777" w:rsidR="00F534F9" w:rsidRPr="001F5D62" w:rsidRDefault="00F534F9" w:rsidP="002B62C2">
                            <w:pPr>
                              <w:spacing w:line="240" w:lineRule="auto"/>
                              <w:jc w:val="center"/>
                              <w:rPr>
                                <w:sz w:val="18"/>
                                <w:szCs w:val="18"/>
                                <w:lang w:val="en-US"/>
                              </w:rPr>
                            </w:pPr>
                            <w:r w:rsidRPr="001F5D62">
                              <w:rPr>
                                <w:sz w:val="18"/>
                                <w:szCs w:val="18"/>
                                <w:lang w:val="en-US"/>
                              </w:rPr>
                              <w:t>▪ Modeling parameters</w:t>
                            </w:r>
                          </w:p>
                          <w:p w14:paraId="14F18A60" w14:textId="77777777" w:rsidR="00F534F9" w:rsidRPr="001F5D62" w:rsidRDefault="00F534F9" w:rsidP="002B62C2">
                            <w:pPr>
                              <w:spacing w:line="240" w:lineRule="auto"/>
                              <w:jc w:val="center"/>
                              <w:rPr>
                                <w:sz w:val="18"/>
                                <w:szCs w:val="18"/>
                                <w:lang w:val="en-US"/>
                              </w:rPr>
                            </w:pPr>
                            <w:r w:rsidRPr="001F5D62">
                              <w:rPr>
                                <w:sz w:val="18"/>
                                <w:szCs w:val="18"/>
                                <w:lang w:val="en-US"/>
                              </w:rPr>
                              <w:t>▪ Modeling approach for members</w:t>
                            </w:r>
                          </w:p>
                          <w:p w14:paraId="11563C53" w14:textId="3B5C880C" w:rsidR="00F534F9" w:rsidRDefault="00F534F9" w:rsidP="002B62C2">
                            <w:pPr>
                              <w:spacing w:line="240" w:lineRule="auto"/>
                              <w:jc w:val="center"/>
                              <w:rPr>
                                <w:sz w:val="18"/>
                                <w:szCs w:val="18"/>
                                <w:lang w:val="en-US"/>
                              </w:rPr>
                            </w:pPr>
                          </w:p>
                          <w:p w14:paraId="40211E65" w14:textId="60651F61" w:rsidR="00F534F9" w:rsidRPr="001F5D62" w:rsidRDefault="00F534F9" w:rsidP="002B62C2">
                            <w:pPr>
                              <w:spacing w:line="240" w:lineRule="auto"/>
                              <w:jc w:val="center"/>
                              <w:rPr>
                                <w:sz w:val="18"/>
                                <w:szCs w:val="18"/>
                                <w:lang w:val="en-US"/>
                              </w:rPr>
                            </w:pPr>
                            <w:r>
                              <w:rPr>
                                <w:noProof/>
                              </w:rPr>
                              <w:drawing>
                                <wp:inline distT="0" distB="0" distL="0" distR="0" wp14:anchorId="2271B4EA" wp14:editId="5EFC82F6">
                                  <wp:extent cx="898202" cy="327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962" cy="337159"/>
                                          </a:xfrm>
                                          <a:prstGeom prst="rect">
                                            <a:avLst/>
                                          </a:prstGeom>
                                          <a:noFill/>
                                          <a:ln>
                                            <a:noFill/>
                                          </a:ln>
                                        </pic:spPr>
                                      </pic:pic>
                                    </a:graphicData>
                                  </a:graphic>
                                </wp:inline>
                              </w:drawing>
                            </w:r>
                          </w:p>
                          <w:p w14:paraId="3454FF84" w14:textId="77777777" w:rsidR="00F534F9" w:rsidRPr="001F5D62" w:rsidRDefault="00F534F9" w:rsidP="002B62C2">
                            <w:pPr>
                              <w:spacing w:line="240" w:lineRule="auto"/>
                              <w:jc w:val="center"/>
                              <w:rPr>
                                <w:b/>
                                <w:sz w:val="18"/>
                                <w:szCs w:val="18"/>
                              </w:rPr>
                            </w:pPr>
                            <w:r w:rsidRPr="001F5D62">
                              <w:rPr>
                                <w:b/>
                                <w:sz w:val="18"/>
                                <w:szCs w:val="18"/>
                              </w:rPr>
                              <w:t xml:space="preserve">4. Seismic Analysis </w:t>
                            </w:r>
                          </w:p>
                          <w:p w14:paraId="3BDB29BE" w14:textId="77777777" w:rsidR="00F534F9" w:rsidRPr="001F5D62" w:rsidRDefault="00F534F9" w:rsidP="002B62C2">
                            <w:pPr>
                              <w:spacing w:line="240" w:lineRule="auto"/>
                              <w:jc w:val="center"/>
                              <w:rPr>
                                <w:sz w:val="18"/>
                                <w:szCs w:val="18"/>
                                <w:lang w:val="en-US"/>
                              </w:rPr>
                            </w:pPr>
                            <w:r w:rsidRPr="001F5D62">
                              <w:rPr>
                                <w:sz w:val="18"/>
                                <w:szCs w:val="18"/>
                                <w:lang w:val="en-US"/>
                              </w:rPr>
                              <w:t>▪ Analysis of the structure for each limit state</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inline>
            </w:drawing>
          </mc:Choice>
          <mc:Fallback>
            <w:pict>
              <v:rect w14:anchorId="09CA333E" id="Rectangle 34" o:spid="_x0000_s1027" style="width:119.05pt;height: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" fillcolor="#f2f2f2 [3052]" strokecolor="black [3200]" strokeweight="1pt">
                <v:textbox inset="1.5mm,1mm,1.5mm,1mm">
                  <w:txbxContent>
                    <w:p w14:paraId="3A6D4771" w14:textId="5E3F0BF3" w:rsidR="00F534F9" w:rsidRDefault="00F534F9" w:rsidP="008B7BC4">
                      <w:pPr>
                        <w:jc w:val="center"/>
                        <w:rPr>
                          <w:b/>
                          <w:sz w:val="18"/>
                          <w:szCs w:val="18"/>
                        </w:rPr>
                      </w:pPr>
                      <w:r>
                        <w:rPr>
                          <w:noProof/>
                        </w:rPr>
                        <w:drawing>
                          <wp:inline distT="0" distB="0" distL="0" distR="0" wp14:anchorId="5CADBA5A" wp14:editId="43FA981E">
                            <wp:extent cx="920911" cy="3491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484" cy="359650"/>
                                    </a:xfrm>
                                    <a:prstGeom prst="rect">
                                      <a:avLst/>
                                    </a:prstGeom>
                                    <a:noFill/>
                                    <a:ln>
                                      <a:noFill/>
                                    </a:ln>
                                  </pic:spPr>
                                </pic:pic>
                              </a:graphicData>
                            </a:graphic>
                          </wp:inline>
                        </w:drawing>
                      </w:r>
                    </w:p>
                    <w:p w14:paraId="572DD518" w14:textId="10A8E531" w:rsidR="00F534F9" w:rsidRPr="001F5D62" w:rsidRDefault="00F534F9" w:rsidP="002B62C2">
                      <w:pPr>
                        <w:spacing w:line="240" w:lineRule="auto"/>
                        <w:jc w:val="center"/>
                        <w:rPr>
                          <w:b/>
                          <w:sz w:val="18"/>
                          <w:szCs w:val="18"/>
                        </w:rPr>
                      </w:pPr>
                      <w:r w:rsidRPr="001F5D62">
                        <w:rPr>
                          <w:b/>
                          <w:sz w:val="18"/>
                          <w:szCs w:val="18"/>
                        </w:rPr>
                        <w:t>3. Building Modelling</w:t>
                      </w:r>
                    </w:p>
                    <w:p w14:paraId="1454D163" w14:textId="77777777" w:rsidR="00F534F9" w:rsidRPr="001F5D62" w:rsidRDefault="00F534F9" w:rsidP="002B62C2">
                      <w:pPr>
                        <w:spacing w:line="240" w:lineRule="auto"/>
                        <w:jc w:val="center"/>
                        <w:rPr>
                          <w:sz w:val="18"/>
                          <w:szCs w:val="18"/>
                          <w:lang w:val="en-US"/>
                        </w:rPr>
                      </w:pPr>
                      <w:r w:rsidRPr="001F5D62">
                        <w:rPr>
                          <w:sz w:val="18"/>
                          <w:szCs w:val="18"/>
                          <w:lang w:val="en-US"/>
                        </w:rPr>
                        <w:t>▪ Modeling parameters</w:t>
                      </w:r>
                    </w:p>
                    <w:p w14:paraId="14F18A60" w14:textId="77777777" w:rsidR="00F534F9" w:rsidRPr="001F5D62" w:rsidRDefault="00F534F9" w:rsidP="002B62C2">
                      <w:pPr>
                        <w:spacing w:line="240" w:lineRule="auto"/>
                        <w:jc w:val="center"/>
                        <w:rPr>
                          <w:sz w:val="18"/>
                          <w:szCs w:val="18"/>
                          <w:lang w:val="en-US"/>
                        </w:rPr>
                      </w:pPr>
                      <w:r w:rsidRPr="001F5D62">
                        <w:rPr>
                          <w:sz w:val="18"/>
                          <w:szCs w:val="18"/>
                          <w:lang w:val="en-US"/>
                        </w:rPr>
                        <w:t>▪ Modeling approach for members</w:t>
                      </w:r>
                    </w:p>
                    <w:p w14:paraId="11563C53" w14:textId="3B5C880C" w:rsidR="00F534F9" w:rsidRDefault="00F534F9" w:rsidP="002B62C2">
                      <w:pPr>
                        <w:spacing w:line="240" w:lineRule="auto"/>
                        <w:jc w:val="center"/>
                        <w:rPr>
                          <w:sz w:val="18"/>
                          <w:szCs w:val="18"/>
                          <w:lang w:val="en-US"/>
                        </w:rPr>
                      </w:pPr>
                    </w:p>
                    <w:p w14:paraId="40211E65" w14:textId="60651F61" w:rsidR="00F534F9" w:rsidRPr="001F5D62" w:rsidRDefault="00F534F9" w:rsidP="002B62C2">
                      <w:pPr>
                        <w:spacing w:line="240" w:lineRule="auto"/>
                        <w:jc w:val="center"/>
                        <w:rPr>
                          <w:sz w:val="18"/>
                          <w:szCs w:val="18"/>
                          <w:lang w:val="en-US"/>
                        </w:rPr>
                      </w:pPr>
                      <w:r>
                        <w:rPr>
                          <w:noProof/>
                        </w:rPr>
                        <w:drawing>
                          <wp:inline distT="0" distB="0" distL="0" distR="0" wp14:anchorId="2271B4EA" wp14:editId="5EFC82F6">
                            <wp:extent cx="898202" cy="327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962" cy="337159"/>
                                    </a:xfrm>
                                    <a:prstGeom prst="rect">
                                      <a:avLst/>
                                    </a:prstGeom>
                                    <a:noFill/>
                                    <a:ln>
                                      <a:noFill/>
                                    </a:ln>
                                  </pic:spPr>
                                </pic:pic>
                              </a:graphicData>
                            </a:graphic>
                          </wp:inline>
                        </w:drawing>
                      </w:r>
                    </w:p>
                    <w:p w14:paraId="3454FF84" w14:textId="77777777" w:rsidR="00F534F9" w:rsidRPr="001F5D62" w:rsidRDefault="00F534F9" w:rsidP="002B62C2">
                      <w:pPr>
                        <w:spacing w:line="240" w:lineRule="auto"/>
                        <w:jc w:val="center"/>
                        <w:rPr>
                          <w:b/>
                          <w:sz w:val="18"/>
                          <w:szCs w:val="18"/>
                        </w:rPr>
                      </w:pPr>
                      <w:r w:rsidRPr="001F5D62">
                        <w:rPr>
                          <w:b/>
                          <w:sz w:val="18"/>
                          <w:szCs w:val="18"/>
                        </w:rPr>
                        <w:t xml:space="preserve">4. Seismic Analysis </w:t>
                      </w:r>
                    </w:p>
                    <w:p w14:paraId="3BDB29BE" w14:textId="77777777" w:rsidR="00F534F9" w:rsidRPr="001F5D62" w:rsidRDefault="00F534F9" w:rsidP="002B62C2">
                      <w:pPr>
                        <w:spacing w:line="240" w:lineRule="auto"/>
                        <w:jc w:val="center"/>
                        <w:rPr>
                          <w:sz w:val="18"/>
                          <w:szCs w:val="18"/>
                          <w:lang w:val="en-US"/>
                        </w:rPr>
                      </w:pPr>
                      <w:r w:rsidRPr="001F5D62">
                        <w:rPr>
                          <w:sz w:val="18"/>
                          <w:szCs w:val="18"/>
                          <w:lang w:val="en-US"/>
                        </w:rPr>
                        <w:t>▪ Analysis of the structure for each limit state</w:t>
                      </w:r>
                    </w:p>
                  </w:txbxContent>
                </v:textbox>
                <w10:anchorlock/>
              </v:rect>
            </w:pict>
          </mc:Fallback>
        </mc:AlternateContent>
      </w:r>
      <w:r w:rsidR="008B7BC4" w:rsidRPr="004A68AC">
        <w:rPr>
          <w:b/>
          <w:bCs/>
          <w:noProof/>
          <w:lang w:val="en-US" w:eastAsia="it-IT"/>
        </w:rPr>
        <mc:AlternateContent>
          <mc:Choice Requires="wps">
            <w:drawing>
              <wp:inline distT="0" distB="0" distL="0" distR="0" wp14:anchorId="37DF9CED" wp14:editId="5D0D87EC">
                <wp:extent cx="1512000" cy="2330166"/>
                <wp:effectExtent l="0" t="0" r="12065" b="13335"/>
                <wp:docPr id="35" name="Rectangle 35"/>
                <wp:cNvGraphicFramePr/>
                <a:graphic xmlns:a="http://schemas.openxmlformats.org/drawingml/2006/main">
                  <a:graphicData uri="http://schemas.microsoft.com/office/word/2010/wordprocessingShape">
                    <wps:wsp>
                      <wps:cNvSpPr/>
                      <wps:spPr>
                        <a:xfrm>
                          <a:off x="0" y="0"/>
                          <a:ext cx="1512000" cy="2330166"/>
                        </a:xfrm>
                        <a:prstGeom prst="rect">
                          <a:avLst/>
                        </a:prstGeom>
                        <a:solidFill>
                          <a:srgbClr val="E4E4E4"/>
                        </a:solidFill>
                        <a:ln w="12700">
                          <a:prstDash val="solid"/>
                        </a:ln>
                      </wps:spPr>
                      <wps:style>
                        <a:lnRef idx="2">
                          <a:schemeClr val="dk1"/>
                        </a:lnRef>
                        <a:fillRef idx="1">
                          <a:schemeClr val="lt1"/>
                        </a:fillRef>
                        <a:effectRef idx="0">
                          <a:schemeClr val="dk1"/>
                        </a:effectRef>
                        <a:fontRef idx="minor">
                          <a:schemeClr val="dk1"/>
                        </a:fontRef>
                      </wps:style>
                      <wps:txbx>
                        <w:txbxContent>
                          <w:p w14:paraId="1BE86A45" w14:textId="1C41C95D" w:rsidR="00F534F9" w:rsidRDefault="00F534F9" w:rsidP="008B7BC4">
                            <w:pPr>
                              <w:jc w:val="center"/>
                              <w:rPr>
                                <w:b/>
                                <w:sz w:val="18"/>
                                <w:szCs w:val="18"/>
                              </w:rPr>
                            </w:pPr>
                            <w:r>
                              <w:rPr>
                                <w:b/>
                                <w:noProof/>
                                <w:sz w:val="18"/>
                                <w:szCs w:val="18"/>
                              </w:rPr>
                              <w:drawing>
                                <wp:inline distT="0" distB="0" distL="0" distR="0" wp14:anchorId="3AC9F574" wp14:editId="1A41C0E0">
                                  <wp:extent cx="994628" cy="5998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045" cy="629064"/>
                                          </a:xfrm>
                                          <a:prstGeom prst="rect">
                                            <a:avLst/>
                                          </a:prstGeom>
                                          <a:noFill/>
                                          <a:ln>
                                            <a:noFill/>
                                          </a:ln>
                                        </pic:spPr>
                                      </pic:pic>
                                    </a:graphicData>
                                  </a:graphic>
                                </wp:inline>
                              </w:drawing>
                            </w:r>
                          </w:p>
                          <w:p w14:paraId="7FF11CBA" w14:textId="4A64E66B" w:rsidR="00F534F9" w:rsidRPr="00ED78F9" w:rsidRDefault="00F534F9" w:rsidP="002B62C2">
                            <w:pPr>
                              <w:spacing w:line="240" w:lineRule="auto"/>
                              <w:jc w:val="center"/>
                              <w:rPr>
                                <w:b/>
                                <w:sz w:val="18"/>
                                <w:szCs w:val="18"/>
                              </w:rPr>
                            </w:pPr>
                            <w:r w:rsidRPr="00ED78F9">
                              <w:rPr>
                                <w:b/>
                                <w:sz w:val="18"/>
                                <w:szCs w:val="18"/>
                              </w:rPr>
                              <w:t>5. Assessment</w:t>
                            </w:r>
                          </w:p>
                          <w:p w14:paraId="5FE8125D" w14:textId="77777777" w:rsidR="00F534F9" w:rsidRPr="001F5D62" w:rsidRDefault="00F534F9" w:rsidP="002B62C2">
                            <w:pPr>
                              <w:spacing w:line="240" w:lineRule="auto"/>
                              <w:jc w:val="center"/>
                              <w:rPr>
                                <w:bCs/>
                                <w:sz w:val="18"/>
                                <w:szCs w:val="18"/>
                              </w:rPr>
                            </w:pPr>
                            <w:r w:rsidRPr="001F5D62">
                              <w:rPr>
                                <w:sz w:val="18"/>
                                <w:szCs w:val="18"/>
                                <w:lang w:val="en-US"/>
                              </w:rPr>
                              <w:t xml:space="preserve">▪ </w:t>
                            </w:r>
                            <w:r w:rsidRPr="001F5D62">
                              <w:rPr>
                                <w:bCs/>
                                <w:sz w:val="18"/>
                                <w:szCs w:val="18"/>
                              </w:rPr>
                              <w:t xml:space="preserve">Assessment of demands </w:t>
                            </w:r>
                          </w:p>
                          <w:p w14:paraId="6515714B" w14:textId="77777777" w:rsidR="00F534F9" w:rsidRPr="001F5D62" w:rsidRDefault="00F534F9" w:rsidP="002B62C2">
                            <w:pPr>
                              <w:spacing w:line="240" w:lineRule="auto"/>
                              <w:jc w:val="center"/>
                              <w:rPr>
                                <w:bCs/>
                                <w:sz w:val="18"/>
                                <w:szCs w:val="18"/>
                              </w:rPr>
                            </w:pPr>
                            <w:r w:rsidRPr="001F5D62">
                              <w:rPr>
                                <w:bCs/>
                                <w:sz w:val="18"/>
                                <w:szCs w:val="18"/>
                              </w:rPr>
                              <w:t xml:space="preserve">versus capacity limits </w:t>
                            </w:r>
                          </w:p>
                          <w:p w14:paraId="02A83F96" w14:textId="77777777" w:rsidR="00F534F9" w:rsidRPr="001F5D62" w:rsidRDefault="00F534F9" w:rsidP="002B62C2">
                            <w:pPr>
                              <w:spacing w:line="240" w:lineRule="auto"/>
                              <w:jc w:val="center"/>
                              <w:rPr>
                                <w:bCs/>
                                <w:sz w:val="18"/>
                                <w:szCs w:val="18"/>
                                <w:lang w:val="en-US"/>
                              </w:rPr>
                            </w:pPr>
                            <w:r w:rsidRPr="001F5D62">
                              <w:rPr>
                                <w:bCs/>
                                <w:sz w:val="18"/>
                                <w:szCs w:val="18"/>
                              </w:rPr>
                              <w:t>for each limit state</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inline>
            </w:drawing>
          </mc:Choice>
          <mc:Fallback>
            <w:pict>
              <v:rect w14:anchorId="37DF9CED" id="Rectangle 35" o:spid="_x0000_s1028" style="width:119.05pt;height: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" fillcolor="#e4e4e4" strokecolor="black [3200]" strokeweight="1pt">
                <v:textbox inset="1.5mm,1mm,1.5mm,1mm">
                  <w:txbxContent>
                    <w:p w14:paraId="1BE86A45" w14:textId="1C41C95D" w:rsidR="00F534F9" w:rsidRDefault="00F534F9" w:rsidP="008B7BC4">
                      <w:pPr>
                        <w:jc w:val="center"/>
                        <w:rPr>
                          <w:b/>
                          <w:sz w:val="18"/>
                          <w:szCs w:val="18"/>
                        </w:rPr>
                      </w:pPr>
                      <w:r>
                        <w:rPr>
                          <w:b/>
                          <w:noProof/>
                          <w:sz w:val="18"/>
                          <w:szCs w:val="18"/>
                        </w:rPr>
                        <w:drawing>
                          <wp:inline distT="0" distB="0" distL="0" distR="0" wp14:anchorId="3AC9F574" wp14:editId="1A41C0E0">
                            <wp:extent cx="994628" cy="59986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045" cy="629064"/>
                                    </a:xfrm>
                                    <a:prstGeom prst="rect">
                                      <a:avLst/>
                                    </a:prstGeom>
                                    <a:noFill/>
                                    <a:ln>
                                      <a:noFill/>
                                    </a:ln>
                                  </pic:spPr>
                                </pic:pic>
                              </a:graphicData>
                            </a:graphic>
                          </wp:inline>
                        </w:drawing>
                      </w:r>
                    </w:p>
                    <w:p w14:paraId="7FF11CBA" w14:textId="4A64E66B" w:rsidR="00F534F9" w:rsidRPr="00ED78F9" w:rsidRDefault="00F534F9" w:rsidP="002B62C2">
                      <w:pPr>
                        <w:spacing w:line="240" w:lineRule="auto"/>
                        <w:jc w:val="center"/>
                        <w:rPr>
                          <w:b/>
                          <w:sz w:val="18"/>
                          <w:szCs w:val="18"/>
                        </w:rPr>
                      </w:pPr>
                      <w:r w:rsidRPr="00ED78F9">
                        <w:rPr>
                          <w:b/>
                          <w:sz w:val="18"/>
                          <w:szCs w:val="18"/>
                        </w:rPr>
                        <w:t>5. Assessment</w:t>
                      </w:r>
                    </w:p>
                    <w:p w14:paraId="5FE8125D" w14:textId="77777777" w:rsidR="00F534F9" w:rsidRPr="001F5D62" w:rsidRDefault="00F534F9" w:rsidP="002B62C2">
                      <w:pPr>
                        <w:spacing w:line="240" w:lineRule="auto"/>
                        <w:jc w:val="center"/>
                        <w:rPr>
                          <w:bCs/>
                          <w:sz w:val="18"/>
                          <w:szCs w:val="18"/>
                        </w:rPr>
                      </w:pPr>
                      <w:r w:rsidRPr="001F5D62">
                        <w:rPr>
                          <w:sz w:val="18"/>
                          <w:szCs w:val="18"/>
                          <w:lang w:val="en-US"/>
                        </w:rPr>
                        <w:t xml:space="preserve">▪ </w:t>
                      </w:r>
                      <w:r w:rsidRPr="001F5D62">
                        <w:rPr>
                          <w:bCs/>
                          <w:sz w:val="18"/>
                          <w:szCs w:val="18"/>
                        </w:rPr>
                        <w:t xml:space="preserve">Assessment of demands </w:t>
                      </w:r>
                    </w:p>
                    <w:p w14:paraId="6515714B" w14:textId="77777777" w:rsidR="00F534F9" w:rsidRPr="001F5D62" w:rsidRDefault="00F534F9" w:rsidP="002B62C2">
                      <w:pPr>
                        <w:spacing w:line="240" w:lineRule="auto"/>
                        <w:jc w:val="center"/>
                        <w:rPr>
                          <w:bCs/>
                          <w:sz w:val="18"/>
                          <w:szCs w:val="18"/>
                        </w:rPr>
                      </w:pPr>
                      <w:r w:rsidRPr="001F5D62">
                        <w:rPr>
                          <w:bCs/>
                          <w:sz w:val="18"/>
                          <w:szCs w:val="18"/>
                        </w:rPr>
                        <w:t xml:space="preserve">versus capacity limits </w:t>
                      </w:r>
                    </w:p>
                    <w:p w14:paraId="02A83F96" w14:textId="77777777" w:rsidR="00F534F9" w:rsidRPr="001F5D62" w:rsidRDefault="00F534F9" w:rsidP="002B62C2">
                      <w:pPr>
                        <w:spacing w:line="240" w:lineRule="auto"/>
                        <w:jc w:val="center"/>
                        <w:rPr>
                          <w:bCs/>
                          <w:sz w:val="18"/>
                          <w:szCs w:val="18"/>
                          <w:lang w:val="en-US"/>
                        </w:rPr>
                      </w:pPr>
                      <w:r w:rsidRPr="001F5D62">
                        <w:rPr>
                          <w:bCs/>
                          <w:sz w:val="18"/>
                          <w:szCs w:val="18"/>
                        </w:rPr>
                        <w:t>for each limit state</w:t>
                      </w:r>
                    </w:p>
                  </w:txbxContent>
                </v:textbox>
                <w10:anchorlock/>
              </v:rect>
            </w:pict>
          </mc:Fallback>
        </mc:AlternateContent>
      </w:r>
      <w:r w:rsidR="008B7BC4" w:rsidRPr="004A68AC">
        <w:rPr>
          <w:b/>
          <w:bCs/>
          <w:noProof/>
          <w:lang w:val="en-US" w:eastAsia="it-IT"/>
        </w:rPr>
        <mc:AlternateContent>
          <mc:Choice Requires="wps">
            <w:drawing>
              <wp:inline distT="0" distB="0" distL="0" distR="0" wp14:anchorId="01203B71" wp14:editId="5D085466">
                <wp:extent cx="1512000" cy="2330166"/>
                <wp:effectExtent l="0" t="0" r="12065" b="13335"/>
                <wp:docPr id="37" name="Rectangle 37"/>
                <wp:cNvGraphicFramePr/>
                <a:graphic xmlns:a="http://schemas.openxmlformats.org/drawingml/2006/main">
                  <a:graphicData uri="http://schemas.microsoft.com/office/word/2010/wordprocessingShape">
                    <wps:wsp>
                      <wps:cNvSpPr/>
                      <wps:spPr>
                        <a:xfrm>
                          <a:off x="0" y="0"/>
                          <a:ext cx="1512000" cy="2330166"/>
                        </a:xfrm>
                        <a:prstGeom prst="rect">
                          <a:avLst/>
                        </a:prstGeom>
                        <a:solidFill>
                          <a:schemeClr val="bg1">
                            <a:lumMod val="85000"/>
                          </a:schemeClr>
                        </a:solidFill>
                        <a:ln w="12700">
                          <a:prstDash val="solid"/>
                        </a:ln>
                      </wps:spPr>
                      <wps:style>
                        <a:lnRef idx="2">
                          <a:schemeClr val="dk1"/>
                        </a:lnRef>
                        <a:fillRef idx="1">
                          <a:schemeClr val="lt1"/>
                        </a:fillRef>
                        <a:effectRef idx="0">
                          <a:schemeClr val="dk1"/>
                        </a:effectRef>
                        <a:fontRef idx="minor">
                          <a:schemeClr val="dk1"/>
                        </a:fontRef>
                      </wps:style>
                      <wps:txbx>
                        <w:txbxContent>
                          <w:p w14:paraId="331B99E9" w14:textId="0D1FFB30" w:rsidR="00F534F9" w:rsidRDefault="00F534F9" w:rsidP="008B7BC4">
                            <w:pPr>
                              <w:jc w:val="center"/>
                              <w:rPr>
                                <w:b/>
                                <w:sz w:val="18"/>
                                <w:szCs w:val="18"/>
                              </w:rPr>
                            </w:pPr>
                            <w:r w:rsidRPr="00D5654A">
                              <w:rPr>
                                <w:b/>
                                <w:noProof/>
                                <w:sz w:val="18"/>
                                <w:szCs w:val="18"/>
                              </w:rPr>
                              <w:drawing>
                                <wp:inline distT="0" distB="0" distL="0" distR="0" wp14:anchorId="0778E79A" wp14:editId="7714BCAD">
                                  <wp:extent cx="974318" cy="7261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960" cy="731131"/>
                                          </a:xfrm>
                                          <a:prstGeom prst="rect">
                                            <a:avLst/>
                                          </a:prstGeom>
                                          <a:noFill/>
                                          <a:ln>
                                            <a:noFill/>
                                          </a:ln>
                                        </pic:spPr>
                                      </pic:pic>
                                    </a:graphicData>
                                  </a:graphic>
                                </wp:inline>
                              </w:drawing>
                            </w:r>
                          </w:p>
                          <w:p w14:paraId="7FD8EE05" w14:textId="0C7301E0" w:rsidR="00F534F9" w:rsidRPr="001F5D62" w:rsidRDefault="00F534F9" w:rsidP="002B62C2">
                            <w:pPr>
                              <w:spacing w:line="240" w:lineRule="auto"/>
                              <w:jc w:val="center"/>
                              <w:rPr>
                                <w:b/>
                                <w:sz w:val="18"/>
                                <w:szCs w:val="18"/>
                              </w:rPr>
                            </w:pPr>
                            <w:r w:rsidRPr="001F5D62">
                              <w:rPr>
                                <w:b/>
                                <w:sz w:val="18"/>
                                <w:szCs w:val="18"/>
                              </w:rPr>
                              <w:t>6. Decision making</w:t>
                            </w:r>
                          </w:p>
                          <w:p w14:paraId="13E57B85" w14:textId="76D43109" w:rsidR="00F534F9" w:rsidRPr="001F5D62" w:rsidRDefault="00F534F9" w:rsidP="002B62C2">
                            <w:pPr>
                              <w:spacing w:line="240" w:lineRule="auto"/>
                              <w:jc w:val="center"/>
                              <w:rPr>
                                <w:bCs/>
                                <w:sz w:val="18"/>
                                <w:szCs w:val="18"/>
                              </w:rPr>
                            </w:pPr>
                            <w:r w:rsidRPr="001F5D62">
                              <w:rPr>
                                <w:sz w:val="18"/>
                                <w:szCs w:val="18"/>
                                <w:lang w:val="en-US"/>
                              </w:rPr>
                              <w:t xml:space="preserve">▪ </w:t>
                            </w:r>
                            <w:r>
                              <w:rPr>
                                <w:bCs/>
                                <w:sz w:val="18"/>
                                <w:szCs w:val="18"/>
                              </w:rPr>
                              <w:t>If required, probabilistic</w:t>
                            </w:r>
                            <w:r w:rsidRPr="001F5D62">
                              <w:rPr>
                                <w:bCs/>
                                <w:sz w:val="18"/>
                                <w:szCs w:val="18"/>
                              </w:rPr>
                              <w:t>-based assessment</w:t>
                            </w:r>
                          </w:p>
                          <w:p w14:paraId="65C04B05" w14:textId="77777777" w:rsidR="00F534F9" w:rsidRPr="001F5D62" w:rsidRDefault="00F534F9" w:rsidP="002B62C2">
                            <w:pPr>
                              <w:spacing w:line="240" w:lineRule="auto"/>
                              <w:jc w:val="center"/>
                              <w:rPr>
                                <w:bCs/>
                                <w:sz w:val="18"/>
                                <w:szCs w:val="18"/>
                                <w:lang w:val="en-US"/>
                              </w:rPr>
                            </w:pPr>
                            <w:r w:rsidRPr="001F5D62">
                              <w:rPr>
                                <w:sz w:val="18"/>
                                <w:szCs w:val="18"/>
                                <w:lang w:val="en-US"/>
                              </w:rPr>
                              <w:t xml:space="preserve">▪ </w:t>
                            </w:r>
                            <w:r w:rsidRPr="001F5D62">
                              <w:rPr>
                                <w:bCs/>
                                <w:sz w:val="18"/>
                                <w:szCs w:val="18"/>
                              </w:rPr>
                              <w:t>If feasible, retrofit scheme design or other intervention</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inline>
            </w:drawing>
          </mc:Choice>
          <mc:Fallback>
            <w:pict>
              <v:rect w14:anchorId="01203B71" id="Rectangle 37" o:spid="_x0000_s1029" style="width:119.05pt;height:1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" fillcolor="#d8d8d8 [2732]" strokecolor="black [3200]" strokeweight="1pt">
                <v:textbox inset="1.5mm,1mm,1.5mm,1mm">
                  <w:txbxContent>
                    <w:p w14:paraId="331B99E9" w14:textId="0D1FFB30" w:rsidR="00F534F9" w:rsidRDefault="00F534F9" w:rsidP="008B7BC4">
                      <w:pPr>
                        <w:jc w:val="center"/>
                        <w:rPr>
                          <w:b/>
                          <w:sz w:val="18"/>
                          <w:szCs w:val="18"/>
                        </w:rPr>
                      </w:pPr>
                      <w:r w:rsidRPr="00D5654A">
                        <w:rPr>
                          <w:b/>
                          <w:noProof/>
                          <w:sz w:val="18"/>
                          <w:szCs w:val="18"/>
                        </w:rPr>
                        <w:drawing>
                          <wp:inline distT="0" distB="0" distL="0" distR="0" wp14:anchorId="0778E79A" wp14:editId="7714BCAD">
                            <wp:extent cx="974318" cy="7261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960" cy="731131"/>
                                    </a:xfrm>
                                    <a:prstGeom prst="rect">
                                      <a:avLst/>
                                    </a:prstGeom>
                                    <a:noFill/>
                                    <a:ln>
                                      <a:noFill/>
                                    </a:ln>
                                  </pic:spPr>
                                </pic:pic>
                              </a:graphicData>
                            </a:graphic>
                          </wp:inline>
                        </w:drawing>
                      </w:r>
                    </w:p>
                    <w:p w14:paraId="7FD8EE05" w14:textId="0C7301E0" w:rsidR="00F534F9" w:rsidRPr="001F5D62" w:rsidRDefault="00F534F9" w:rsidP="002B62C2">
                      <w:pPr>
                        <w:spacing w:line="240" w:lineRule="auto"/>
                        <w:jc w:val="center"/>
                        <w:rPr>
                          <w:b/>
                          <w:sz w:val="18"/>
                          <w:szCs w:val="18"/>
                        </w:rPr>
                      </w:pPr>
                      <w:r w:rsidRPr="001F5D62">
                        <w:rPr>
                          <w:b/>
                          <w:sz w:val="18"/>
                          <w:szCs w:val="18"/>
                        </w:rPr>
                        <w:t>6. Decision making</w:t>
                      </w:r>
                    </w:p>
                    <w:p w14:paraId="13E57B85" w14:textId="76D43109" w:rsidR="00F534F9" w:rsidRPr="001F5D62" w:rsidRDefault="00F534F9" w:rsidP="002B62C2">
                      <w:pPr>
                        <w:spacing w:line="240" w:lineRule="auto"/>
                        <w:jc w:val="center"/>
                        <w:rPr>
                          <w:bCs/>
                          <w:sz w:val="18"/>
                          <w:szCs w:val="18"/>
                        </w:rPr>
                      </w:pPr>
                      <w:r w:rsidRPr="001F5D62">
                        <w:rPr>
                          <w:sz w:val="18"/>
                          <w:szCs w:val="18"/>
                          <w:lang w:val="en-US"/>
                        </w:rPr>
                        <w:t xml:space="preserve">▪ </w:t>
                      </w:r>
                      <w:r>
                        <w:rPr>
                          <w:bCs/>
                          <w:sz w:val="18"/>
                          <w:szCs w:val="18"/>
                        </w:rPr>
                        <w:t>If required, probabilistic</w:t>
                      </w:r>
                      <w:r w:rsidRPr="001F5D62">
                        <w:rPr>
                          <w:bCs/>
                          <w:sz w:val="18"/>
                          <w:szCs w:val="18"/>
                        </w:rPr>
                        <w:t>-based assessment</w:t>
                      </w:r>
                    </w:p>
                    <w:p w14:paraId="65C04B05" w14:textId="77777777" w:rsidR="00F534F9" w:rsidRPr="001F5D62" w:rsidRDefault="00F534F9" w:rsidP="002B62C2">
                      <w:pPr>
                        <w:spacing w:line="240" w:lineRule="auto"/>
                        <w:jc w:val="center"/>
                        <w:rPr>
                          <w:bCs/>
                          <w:sz w:val="18"/>
                          <w:szCs w:val="18"/>
                          <w:lang w:val="en-US"/>
                        </w:rPr>
                      </w:pPr>
                      <w:r w:rsidRPr="001F5D62">
                        <w:rPr>
                          <w:sz w:val="18"/>
                          <w:szCs w:val="18"/>
                          <w:lang w:val="en-US"/>
                        </w:rPr>
                        <w:t xml:space="preserve">▪ </w:t>
                      </w:r>
                      <w:r w:rsidRPr="001F5D62">
                        <w:rPr>
                          <w:bCs/>
                          <w:sz w:val="18"/>
                          <w:szCs w:val="18"/>
                        </w:rPr>
                        <w:t>If feasible, retrofit scheme design or other intervention</w:t>
                      </w:r>
                    </w:p>
                  </w:txbxContent>
                </v:textbox>
                <w10:anchorlock/>
              </v:rect>
            </w:pict>
          </mc:Fallback>
        </mc:AlternateContent>
      </w:r>
    </w:p>
    <w:p w14:paraId="79F3B524" w14:textId="77777777" w:rsidR="008B7BC4" w:rsidRPr="004A68AC" w:rsidRDefault="008B7BC4" w:rsidP="008B7BC4">
      <w:pPr>
        <w:pStyle w:val="Caption"/>
        <w:spacing w:after="0"/>
        <w:rPr>
          <w:lang w:val="en-US"/>
        </w:rPr>
      </w:pPr>
      <w:bookmarkStart w:id="4" w:name="_Ref47717712"/>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Pr="004A68AC">
        <w:rPr>
          <w:b/>
          <w:noProof/>
          <w:lang w:val="en-US"/>
        </w:rPr>
        <w:t>1</w:t>
      </w:r>
      <w:r w:rsidRPr="004A68AC">
        <w:rPr>
          <w:b/>
          <w:lang w:val="en-US"/>
        </w:rPr>
        <w:fldChar w:fldCharType="end"/>
      </w:r>
      <w:bookmarkEnd w:id="4"/>
      <w:r w:rsidRPr="004A68AC">
        <w:rPr>
          <w:b/>
          <w:lang w:val="en-US"/>
        </w:rPr>
        <w:t>.</w:t>
      </w:r>
      <w:r w:rsidRPr="004A68AC">
        <w:rPr>
          <w:lang w:val="en-US"/>
        </w:rPr>
        <w:t xml:space="preserve"> Steps conventionally involved in the seismic performance non-linear assessment procedures.</w:t>
      </w:r>
    </w:p>
    <w:p w14:paraId="13485425" w14:textId="58D0BD99" w:rsidR="00854B4C" w:rsidRPr="004A68AC" w:rsidRDefault="00854B4C" w:rsidP="005001BB">
      <w:pPr>
        <w:tabs>
          <w:tab w:val="left" w:pos="4592"/>
        </w:tabs>
        <w:rPr>
          <w:lang w:val="en-US" w:eastAsia="it-IT"/>
        </w:rPr>
      </w:pPr>
    </w:p>
    <w:p w14:paraId="7488D30B" w14:textId="0C6299EF" w:rsidR="00851F7C" w:rsidRPr="004A68AC" w:rsidRDefault="00851F7C" w:rsidP="00851F7C">
      <w:pPr>
        <w:pStyle w:val="Heading3"/>
        <w:spacing w:before="0" w:after="0"/>
        <w:rPr>
          <w:rFonts w:ascii="Times New Roman" w:hAnsi="Times New Roman"/>
          <w:bCs w:val="0"/>
          <w:i/>
          <w:sz w:val="20"/>
          <w:szCs w:val="20"/>
          <w:lang w:val="en-US"/>
        </w:rPr>
      </w:pPr>
      <w:bookmarkStart w:id="5" w:name="_Toc43469884"/>
      <w:r w:rsidRPr="004A68AC">
        <w:rPr>
          <w:rFonts w:ascii="Times New Roman" w:hAnsi="Times New Roman"/>
          <w:bCs w:val="0"/>
          <w:i/>
          <w:sz w:val="20"/>
          <w:szCs w:val="20"/>
          <w:lang w:val="en-US"/>
        </w:rPr>
        <w:t>2.1 Knowledge levels</w:t>
      </w:r>
      <w:bookmarkEnd w:id="5"/>
    </w:p>
    <w:p w14:paraId="71C21B57" w14:textId="16E91CCA" w:rsidR="00DE7417" w:rsidRPr="004A68AC" w:rsidRDefault="00851F7C" w:rsidP="00314B9E">
      <w:pPr>
        <w:rPr>
          <w:lang w:val="en-US" w:eastAsia="it-IT"/>
        </w:rPr>
      </w:pPr>
      <w:r w:rsidRPr="004A68AC">
        <w:rPr>
          <w:lang w:val="en-US"/>
        </w:rPr>
        <w:t>Epistemic uncertainties (</w:t>
      </w:r>
      <w:r w:rsidRPr="004A68AC">
        <w:rPr>
          <w:i/>
          <w:iCs/>
          <w:lang w:val="en-US"/>
        </w:rPr>
        <w:t>e.g.,</w:t>
      </w:r>
      <w:r w:rsidRPr="004A68AC">
        <w:rPr>
          <w:lang w:val="en-US"/>
        </w:rPr>
        <w:t xml:space="preserve"> lack of information on geometry, material properties, detailing, etc.) affect the assessment of existing structures </w:t>
      </w:r>
      <w:r w:rsidRPr="004A68AC">
        <w:rPr>
          <w:lang w:val="en-US"/>
        </w:rPr>
        <w:fldChar w:fldCharType="begin" w:fldLock="1"/>
      </w:r>
      <w:r w:rsidR="00454B53" w:rsidRPr="004A68AC">
        <w:rPr>
          <w:lang w:val="en-US"/>
        </w:rPr>
        <w:instrText>ADDIN CSL_CITATION {"citationItems":[{"id":"ITEM-1","itemData":{"DOI":"10.1016/j.engstruct.2005.07.010","ISSN":"01410296","abstract":"Starting from the premise that vulnerability curves are an indispensable ingredient of earthquake loss assessment, this paper focuses on establishing the relative effect of strong-motion variability and random structural parameters on the ensuing vulnerability curves. Moreover, the effect of the selection of statistical models used to present simulation results is studied. A three story ordinary moment resisting reinforced concrete frame, previously shake-table tested, is used as a basis for the fragility analysis. The analytical environment and the structural model are verified through comparison with shaking-table test results. The selection of ground motion sets, definition of limit states, statistical manipulation of simulation results, and the effect of material variability are investigated. No approximations are used to reduce the sample size or minimize the analytical effort, in order that attention is focused on the parameters under investigation. Notwithstanding the limited scope of the study, the results presented indicate that the effect of randomness in material response parameters is far less significant than the effect of strong-motion characteristics. Therefore, the importance of scrupulous selection and scaling of strong-motion and use of appropriate limit states and statistical models is emphasized. © 2005 Elsevier Ltd. All rights reserved.","author":[{"dropping-particle":"","family":"Kwon","given":"Oh Sung","non-dropping-particle":"","parse-names":false,"suffix":""},{"dropping-particle":"","family":"Elnashai","given":"Amr","non-dropping-particle":"","parse-names":false,"suffix":""}],"container-title":"Engineering Structures","id":"ITEM-1","issue":"2","issued":{"date-parts":[["2006"]]},"page":"289-303","title":"The effect of material and ground motion uncertainty on the seismic vulnerability curves of RC structure","type":"article-journal","volume":"28"},"uris":["http://www.mendeley.com/documents/?uuid=26387882-17f6-4047-80f1-2ff33d8cbe32"]},{"id":"ITEM-2","itemData":{"DOI":"10.1061/(ASCE)ST.1943-541X.0000456","ISSN":"07339445","abstract":"This paper uses a fully probabilistic approach to investigate the seismic response of multispan continuous bridges with dissipative piers and a steel-concrete composite (SCC) deck, the motion of which is transversally restrained at the abutments. This bridge typology is characterized by complex dual load path behavior in the transverse direction, with multiple failure modes involving both the deck and the piers. Proper assessment of the seismic vulnerability of these structural systems must rigorously take into account all pertinent sources of uncertainty, including uncertainties in both the seismic input (record-to-record variability) and the properties defining the structural model (model parameters). Model parameter uncertainty affects not only the structural capacity, but also the seismic response of a structural system. However, most of the procedures for seismic vulnerability assessment focus on the variability of the response resulting solely from seismic input uncertainty. These procedures either neglect model parameter uncertainty effects or incorporate these effects only in a simplified way. A computationally expensive but rigorous procedure is introduced in this work to include the effects of model parameter uncertainty on the seismic response and vulnerability assessment of SCC bridges with dual load path. Monte Carlo simulation with Latin hypercube sampling, in conjunction with probabilistic moment-curvature analysis, is used to build probabilistic finite-element models of the bridges under study. Extended incremental dynamic analysis is used to propagate all pertinent sources of uncertainty to the seismic demand. The proposed pro-cedure is then applied to the assessment of three benchmark bridges exhibiting different seismic behavior and dominant failure modes. Comparison of the response variability induced by seismic input uncertainty and the response variability induced by model parameter un-certainty highlights the importance of accounting for the latter when evaluating the safety of the typology of bridges considered in this study. © 2012 American Society of Civil Engineers.","author":[{"dropping-particle":"","family":"Tubaldi","given":"Enrico","non-dropping-particle":"","parse-names":false,"suffix":""},{"dropping-particle":"","family":"Barbato","given":"Michele","non-dropping-particle":"","parse-names":false,"suffix":""},{"dropping-particle":"","family":"Dall'Asta","given":"Andrea","non-dropping-particle":"","parse-names":false,"suffix":""}],"container-title":"Journal of Structural Engineering","id":"ITEM-2","issue":"3","issued":{"date-parts":[["2012"]]},"page":"363-374","title":"Influence of model parameter uncertainty on seismic transverse response and vulnerability of steel-concrete composite bridges with dual load path","type":"article-journal","volume":"138"},"uris":["http://www.mendeley.com/documents/?uuid=8d130777-770a-4871-a277-1648f852af21"]},{"id":"ITEM-3","itemData":{"DOI":"10.1016/j.strusafe.2018.08.003","ISSN":"01674730","abstract":"This work aims at the development of an advanced method for the seismic design of Moment Resisting Frames (MRFs) based on a target value of the failure probability in the attainment of a collapse mechanism of global type for stochastic frames (considering the aleatoric uncertainty of the material properties). Therefore, the method herein presented constitutes the probabilistic version of the Theory of Plastic Mechanism Control (TPMC) already developed for frames with deterministic material properties. With reference to MRFs whose members have random values of the yield strength, when structural collapse is of concern, the failure domain is related to all the possible collapse mechanisms. Within the probabilistic TPMC, the term “failure” does not mean the attainment of a structural collapse, but the development of a collapse mechanism different from the global one. The design requirements normally needed to prevent undesired collapse mechanisms are probabilistic events within the framework of the kinematic theorem of plastic collapse. The limit state function corresponding to each event is represented by a hyperplane in the space of random variables, so that the failure domain is a surface resulting from the intersection of the hyperplanes corresponding to the limit states representing the single failure events. Since plastic hinges in frame's members are common to many different mechanisms, the single limit state events are correlated. Therefore, by applying the theory of binary systems and considering that the limit states are events located in series, the probability of failure can be computed by means of Ditlevsen bounds. This approach has been validated by means of Monte Carlo simulations. In order to achieve a predefined level of reliability in the attainment of the design goal, the reliability analysis is repeated for increasing values of the overstrength factor of the dissipative zones to be used in TPMC, aiming to its calibration. Finally, on the basis of the results of a parametric analysis, a simple relationship to compute the value of the overstrength factor needed to include the influence of random material variability in the application of TPMC is proposed.","author":[{"dropping-particle":"","family":"Piluso","given":"Vincenzo","non-dropping-particle":"","parse-names":false,"suffix":""},{"dropping-particle":"","family":"Pisapia","given":"Alessandro","non-dropping-particle":"","parse-names":false,"suffix":""},{"dropping-particle":"","family":"Castaldo","given":"Paolo","non-dropping-particle":"","parse-names":false,"suffix":""},{"dropping-particle":"","family":"Nastri","given":"Elide","non-dropping-particle":"","parse-names":false,"suffix":""}],"container-title":"Structural Safety","id":"ITEM-3","issue":"June 2018","issued":{"date-parts":[["2019"]]},"page":"95-107","publisher":"Elsevier","title":"Probabilistic Theory of Plastic Mechanism Control for Steel Moment Resisting Frames","type":"article-journal","volume":"76"},"uris":["http://www.mendeley.com/documents/?uuid=434f8813-27e3-46d7-9e90-05789d29490a"]}],"mendeley":{"formattedCitation":"[38,39,41]","plainTextFormattedCitation":"[38,39,41]","previouslyFormattedCitation":"[38,39,41]"},"properties":{"noteIndex":0},"schema":"https://github.com/citation-style-language/schema/raw/master/csl-citation.json"}</w:instrText>
      </w:r>
      <w:r w:rsidRPr="004A68AC">
        <w:rPr>
          <w:lang w:val="en-US"/>
        </w:rPr>
        <w:fldChar w:fldCharType="separate"/>
      </w:r>
      <w:r w:rsidR="00C57A54" w:rsidRPr="004A68AC">
        <w:rPr>
          <w:noProof/>
          <w:lang w:val="en-US"/>
        </w:rPr>
        <w:t>[38,39,41]</w:t>
      </w:r>
      <w:r w:rsidRPr="004A68AC">
        <w:rPr>
          <w:lang w:val="en-US"/>
        </w:rPr>
        <w:fldChar w:fldCharType="end"/>
      </w:r>
      <w:r w:rsidRPr="004A68AC">
        <w:rPr>
          <w:lang w:val="en-US"/>
        </w:rPr>
        <w:t>.</w:t>
      </w:r>
      <w:r w:rsidR="00C57A54" w:rsidRPr="004A68AC">
        <w:rPr>
          <w:lang w:val="en-US"/>
        </w:rPr>
        <w:t xml:space="preserve"> T</w:t>
      </w:r>
      <w:r w:rsidRPr="004A68AC">
        <w:rPr>
          <w:lang w:val="en-US"/>
        </w:rPr>
        <w:t xml:space="preserve">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00855F83" w:rsidRPr="004A68AC">
        <w:rPr>
          <w:noProof/>
          <w:lang w:val="en-US" w:eastAsia="it-IT"/>
        </w:rPr>
        <w:t>[13]</w:t>
      </w:r>
      <w:r w:rsidRPr="004A68AC">
        <w:rPr>
          <w:lang w:val="en-US" w:eastAsia="it-IT"/>
        </w:rPr>
        <w:fldChar w:fldCharType="end"/>
      </w:r>
      <w:r w:rsidRPr="004A68AC">
        <w:rPr>
          <w:lang w:val="en-US" w:eastAsia="it-IT"/>
        </w:rPr>
        <w:t xml:space="preserve"> </w:t>
      </w:r>
      <w:r w:rsidRPr="004A68AC">
        <w:rPr>
          <w:lang w:val="en-US"/>
        </w:rPr>
        <w:t xml:space="preserve">addresses this issue by </w:t>
      </w:r>
      <w:r w:rsidR="00867D00" w:rsidRPr="004A68AC">
        <w:rPr>
          <w:lang w:val="en-US"/>
        </w:rPr>
        <w:t>considering</w:t>
      </w:r>
      <w:r w:rsidRPr="004A68AC">
        <w:rPr>
          <w:lang w:val="en-US"/>
        </w:rPr>
        <w:t xml:space="preserve"> knowledge levels (KL) and confidence factors (</w:t>
      </w:r>
      <w:r w:rsidRPr="004A68AC">
        <w:rPr>
          <w:szCs w:val="17"/>
          <w:lang w:val="en-US"/>
        </w:rPr>
        <w:t>CF</w:t>
      </w:r>
      <w:r w:rsidRPr="004A68AC">
        <w:rPr>
          <w:szCs w:val="17"/>
          <w:vertAlign w:val="subscript"/>
          <w:lang w:val="en-US"/>
        </w:rPr>
        <w:t>KLn</w:t>
      </w:r>
      <w:r w:rsidRPr="004A68AC">
        <w:rPr>
          <w:lang w:val="en-US" w:eastAsia="it-IT"/>
        </w:rPr>
        <w:t>). The knowledge levels establish different minimum knowledge thresholds, while the confidence factors reduce the capacity of the structural components to penalize poor knowledge level</w:t>
      </w:r>
      <w:r w:rsidR="004F6F42" w:rsidRPr="004A68AC">
        <w:rPr>
          <w:lang w:val="en-US" w:eastAsia="it-IT"/>
        </w:rPr>
        <w:t>s</w:t>
      </w:r>
      <w:r w:rsidRPr="004A68AC">
        <w:rPr>
          <w:lang w:val="en-US" w:eastAsia="it-IT"/>
        </w:rPr>
        <w:t xml:space="preserve">. </w:t>
      </w:r>
      <w:r w:rsidRPr="004A68AC">
        <w:rPr>
          <w:szCs w:val="17"/>
          <w:lang w:val="en-US"/>
        </w:rPr>
        <w:t xml:space="preserve">Knowledge levels depend on material testing, availability of drawings, visual assessment, etc. and hence, this approach </w:t>
      </w:r>
      <w:r w:rsidRPr="004A68AC">
        <w:rPr>
          <w:lang w:val="en-US" w:eastAsia="it-IT"/>
        </w:rPr>
        <w:t xml:space="preserve">encourages the practitioner to gather </w:t>
      </w:r>
      <w:r w:rsidR="004F6F42" w:rsidRPr="004A68AC">
        <w:rPr>
          <w:lang w:val="en-US" w:eastAsia="it-IT"/>
        </w:rPr>
        <w:t xml:space="preserve">additional </w:t>
      </w:r>
      <w:r w:rsidRPr="004A68AC">
        <w:rPr>
          <w:lang w:val="en-US" w:eastAsia="it-IT"/>
        </w:rPr>
        <w:t xml:space="preserve">and </w:t>
      </w:r>
      <w:r w:rsidR="004F6F42" w:rsidRPr="004A68AC">
        <w:rPr>
          <w:lang w:val="en-US" w:eastAsia="it-IT"/>
        </w:rPr>
        <w:t xml:space="preserve">detailed </w:t>
      </w:r>
      <w:r w:rsidRPr="004A68AC">
        <w:rPr>
          <w:lang w:val="en-US" w:eastAsia="it-IT"/>
        </w:rPr>
        <w:t>information on the structure to reduce the conservativism of the assessment. The</w:t>
      </w:r>
      <w:r w:rsidRPr="004A68AC">
        <w:rPr>
          <w:lang w:val="en-US"/>
        </w:rPr>
        <w:t xml:space="preserv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00855F83" w:rsidRPr="004A68AC">
        <w:rPr>
          <w:noProof/>
          <w:lang w:val="en-US" w:eastAsia="it-IT"/>
        </w:rPr>
        <w:t>[13]</w:t>
      </w:r>
      <w:r w:rsidRPr="004A68AC">
        <w:rPr>
          <w:lang w:val="en-US" w:eastAsia="it-IT"/>
        </w:rPr>
        <w:fldChar w:fldCharType="end"/>
      </w:r>
      <w:r w:rsidRPr="004A68AC">
        <w:rPr>
          <w:lang w:val="en-US" w:eastAsia="it-IT"/>
        </w:rPr>
        <w:t xml:space="preserve"> specifies three knowledge levels, being KL1</w:t>
      </w:r>
      <w:r w:rsidR="00DE7417" w:rsidRPr="004A68AC">
        <w:rPr>
          <w:lang w:val="en-US" w:eastAsia="it-IT"/>
        </w:rPr>
        <w:t xml:space="preserve"> (limited knowledge)</w:t>
      </w:r>
      <w:r w:rsidRPr="004A68AC">
        <w:rPr>
          <w:lang w:val="en-US" w:eastAsia="it-IT"/>
        </w:rPr>
        <w:t xml:space="preserve"> the lowest, KL2</w:t>
      </w:r>
      <w:r w:rsidR="00DE7417" w:rsidRPr="004A68AC">
        <w:rPr>
          <w:lang w:val="en-US" w:eastAsia="it-IT"/>
        </w:rPr>
        <w:t xml:space="preserve"> (normal knowledge)</w:t>
      </w:r>
      <w:r w:rsidRPr="004A68AC">
        <w:rPr>
          <w:lang w:val="en-US" w:eastAsia="it-IT"/>
        </w:rPr>
        <w:t xml:space="preserve"> the intermediate</w:t>
      </w:r>
      <w:r w:rsidR="00C97771" w:rsidRPr="004A68AC">
        <w:rPr>
          <w:lang w:val="en-US" w:eastAsia="it-IT"/>
        </w:rPr>
        <w:t>,</w:t>
      </w:r>
      <w:r w:rsidRPr="004A68AC">
        <w:rPr>
          <w:lang w:val="en-US" w:eastAsia="it-IT"/>
        </w:rPr>
        <w:t xml:space="preserve"> and KL3</w:t>
      </w:r>
      <w:r w:rsidR="00DE7417" w:rsidRPr="004A68AC">
        <w:rPr>
          <w:lang w:val="en-US" w:eastAsia="it-IT"/>
        </w:rPr>
        <w:t xml:space="preserve"> (full knowledge)</w:t>
      </w:r>
      <w:r w:rsidRPr="004A68AC">
        <w:rPr>
          <w:lang w:val="en-US" w:eastAsia="it-IT"/>
        </w:rPr>
        <w:t xml:space="preserve"> the highest. </w:t>
      </w:r>
      <w:r w:rsidR="00DE7417" w:rsidRPr="004A68AC">
        <w:rPr>
          <w:lang w:val="en-US" w:eastAsia="it-IT"/>
        </w:rPr>
        <w:t>The first knowledge level, KL1 is characterized by limited in-situ inspection</w:t>
      </w:r>
      <w:r w:rsidR="00094014" w:rsidRPr="004A68AC">
        <w:rPr>
          <w:lang w:val="en-US" w:eastAsia="it-IT"/>
        </w:rPr>
        <w:t xml:space="preserve"> and</w:t>
      </w:r>
      <w:r w:rsidR="00DE7417" w:rsidRPr="004A68AC">
        <w:rPr>
          <w:lang w:val="en-US" w:eastAsia="it-IT"/>
        </w:rPr>
        <w:t xml:space="preserve"> limited material testing</w:t>
      </w:r>
      <w:r w:rsidR="00094014" w:rsidRPr="004A68AC">
        <w:rPr>
          <w:lang w:val="en-US" w:eastAsia="it-IT"/>
        </w:rPr>
        <w:t>,</w:t>
      </w:r>
      <w:r w:rsidR="00C97771" w:rsidRPr="004A68AC">
        <w:rPr>
          <w:lang w:val="en-US" w:eastAsia="it-IT"/>
        </w:rPr>
        <w:t xml:space="preserve"> </w:t>
      </w:r>
      <w:r w:rsidR="00094014" w:rsidRPr="004A68AC">
        <w:rPr>
          <w:lang w:val="en-US" w:eastAsia="it-IT"/>
        </w:rPr>
        <w:t>with a</w:t>
      </w:r>
      <w:r w:rsidR="00C97771" w:rsidRPr="004A68AC">
        <w:rPr>
          <w:lang w:val="en-US" w:eastAsia="it-IT"/>
        </w:rPr>
        <w:t xml:space="preserve"> structural analysis based only on the standards </w:t>
      </w:r>
      <w:r w:rsidR="00F479B4" w:rsidRPr="004A68AC">
        <w:rPr>
          <w:lang w:val="en-US" w:eastAsia="it-IT"/>
        </w:rPr>
        <w:t>at</w:t>
      </w:r>
      <w:r w:rsidR="00C97771" w:rsidRPr="004A68AC">
        <w:rPr>
          <w:lang w:val="en-US" w:eastAsia="it-IT"/>
        </w:rPr>
        <w:t xml:space="preserve"> the time of construction and relevant practice. This knowledge level only allows the use of linear procedures</w:t>
      </w:r>
      <w:r w:rsidR="00094014" w:rsidRPr="004A68AC">
        <w:rPr>
          <w:lang w:val="en-US" w:eastAsia="it-IT"/>
        </w:rPr>
        <w:t xml:space="preserve"> (</w:t>
      </w:r>
      <w:r w:rsidR="00094014" w:rsidRPr="004A68AC">
        <w:rPr>
          <w:i/>
          <w:iCs/>
          <w:lang w:val="en-US" w:eastAsia="it-IT"/>
        </w:rPr>
        <w:t>i.e.</w:t>
      </w:r>
      <w:r w:rsidR="00094014" w:rsidRPr="004A68AC">
        <w:rPr>
          <w:lang w:val="en-US" w:eastAsia="it-IT"/>
        </w:rPr>
        <w:t>, increasing the conservativeness of the analysis)</w:t>
      </w:r>
      <w:r w:rsidR="00C97771" w:rsidRPr="004A68AC">
        <w:rPr>
          <w:lang w:val="en-US" w:eastAsia="it-IT"/>
        </w:rPr>
        <w:t xml:space="preserve">, while requires the reduction of the capacity of structural elements by a confidence factor of </w:t>
      </w:r>
      <w:r w:rsidR="00C97771" w:rsidRPr="004A68AC">
        <w:rPr>
          <w:szCs w:val="17"/>
          <w:lang w:val="en-US"/>
        </w:rPr>
        <w:t>CF</w:t>
      </w:r>
      <w:r w:rsidR="00C97771" w:rsidRPr="004A68AC">
        <w:rPr>
          <w:szCs w:val="17"/>
          <w:vertAlign w:val="subscript"/>
          <w:lang w:val="en-US"/>
        </w:rPr>
        <w:t>KL1</w:t>
      </w:r>
      <w:r w:rsidR="00C97771" w:rsidRPr="004A68AC">
        <w:rPr>
          <w:szCs w:val="17"/>
          <w:lang w:val="en-US"/>
        </w:rPr>
        <w:t xml:space="preserve"> = 1.35</w:t>
      </w:r>
      <w:r w:rsidR="00094014" w:rsidRPr="004A68AC">
        <w:rPr>
          <w:szCs w:val="17"/>
          <w:lang w:val="en-US"/>
        </w:rPr>
        <w:t xml:space="preserve"> (</w:t>
      </w:r>
      <w:r w:rsidR="00094014" w:rsidRPr="004A68AC">
        <w:rPr>
          <w:i/>
          <w:iCs/>
          <w:szCs w:val="17"/>
          <w:lang w:val="en-US"/>
        </w:rPr>
        <w:t>i.e.</w:t>
      </w:r>
      <w:r w:rsidR="00947531" w:rsidRPr="004A68AC">
        <w:rPr>
          <w:szCs w:val="17"/>
          <w:lang w:val="en-US"/>
        </w:rPr>
        <w:t>,</w:t>
      </w:r>
      <w:r w:rsidR="00094014" w:rsidRPr="004A68AC">
        <w:rPr>
          <w:szCs w:val="17"/>
          <w:lang w:val="en-US"/>
        </w:rPr>
        <w:t xml:space="preserve"> dividing the capacity by 1.35)</w:t>
      </w:r>
      <w:r w:rsidR="00C97771" w:rsidRPr="004A68AC">
        <w:rPr>
          <w:szCs w:val="17"/>
          <w:lang w:val="en-US"/>
        </w:rPr>
        <w:t xml:space="preserve">, to account for the epistemic uncertainty related to a poor </w:t>
      </w:r>
      <w:r w:rsidR="00094014" w:rsidRPr="004A68AC">
        <w:rPr>
          <w:szCs w:val="17"/>
          <w:lang w:val="en-US"/>
        </w:rPr>
        <w:t>building knowledge. The second knowledge level, KL2, is characterized by an extended in-situ inspection and material testing, or a combination of detailed original construction specifications and limited in-situ inspection and testing. The KL2 allows the use of non-linear procedures and reduces the capacity of structural elements only by CF</w:t>
      </w:r>
      <w:r w:rsidR="00094014" w:rsidRPr="004A68AC">
        <w:rPr>
          <w:szCs w:val="17"/>
          <w:vertAlign w:val="subscript"/>
          <w:lang w:val="en-US"/>
        </w:rPr>
        <w:t>KL2</w:t>
      </w:r>
      <w:r w:rsidR="00094014" w:rsidRPr="004A68AC">
        <w:rPr>
          <w:szCs w:val="17"/>
          <w:lang w:val="en-US"/>
        </w:rPr>
        <w:t xml:space="preserve"> = 1.2. Finally, the </w:t>
      </w:r>
      <w:r w:rsidR="00B16523" w:rsidRPr="004A68AC">
        <w:rPr>
          <w:szCs w:val="17"/>
          <w:lang w:val="en-US"/>
        </w:rPr>
        <w:t xml:space="preserve">full knowledge level, KL3, requires either a comprehensive in-situ inspection and material testing, or a combination of detailed original construction specifications, drawings and reports, with a limited in-situ inspection and material testing. </w:t>
      </w:r>
      <w:r w:rsidR="00B16523" w:rsidRPr="004A68AC">
        <w:rPr>
          <w:szCs w:val="17"/>
          <w:lang w:val="en-US"/>
        </w:rPr>
        <w:lastRenderedPageBreak/>
        <w:t xml:space="preserve">Similarly, KL3 allows the use of non-linear procedures, but does not reduce the capacity of structural elements, </w:t>
      </w:r>
      <w:r w:rsidR="00B16523" w:rsidRPr="004A68AC">
        <w:rPr>
          <w:i/>
          <w:iCs/>
          <w:szCs w:val="17"/>
          <w:lang w:val="en-US"/>
        </w:rPr>
        <w:t>i.e.</w:t>
      </w:r>
      <w:r w:rsidR="00B16523" w:rsidRPr="004A68AC">
        <w:rPr>
          <w:szCs w:val="17"/>
          <w:lang w:val="en-US"/>
        </w:rPr>
        <w:t>, CF</w:t>
      </w:r>
      <w:r w:rsidR="00B16523" w:rsidRPr="004A68AC">
        <w:rPr>
          <w:szCs w:val="17"/>
          <w:vertAlign w:val="subscript"/>
          <w:lang w:val="en-US"/>
        </w:rPr>
        <w:t>KL3</w:t>
      </w:r>
      <w:r w:rsidR="00B16523" w:rsidRPr="004A68AC">
        <w:rPr>
          <w:szCs w:val="17"/>
          <w:lang w:val="en-US"/>
        </w:rPr>
        <w:t xml:space="preserve"> = 1.0.</w:t>
      </w:r>
    </w:p>
    <w:p w14:paraId="4A3F4F1B" w14:textId="5E97FA36" w:rsidR="005C2936" w:rsidRPr="004A68AC" w:rsidRDefault="005C2936" w:rsidP="00314B9E">
      <w:pPr>
        <w:rPr>
          <w:lang w:val="en-US" w:eastAsia="it-IT"/>
        </w:rPr>
      </w:pPr>
    </w:p>
    <w:p w14:paraId="7CE895A9" w14:textId="00699C7C" w:rsidR="002A1AB6" w:rsidRPr="004A68AC" w:rsidRDefault="00314B9E" w:rsidP="00507EAD">
      <w:pPr>
        <w:rPr>
          <w:lang w:val="en-US"/>
        </w:rPr>
      </w:pPr>
      <w:r w:rsidRPr="004A68AC">
        <w:rPr>
          <w:lang w:val="en-US" w:eastAsia="it-IT"/>
        </w:rPr>
        <w:t xml:space="preserve">     In a similar way, the several versions of ASCE 41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lang w:val="en-US" w:eastAsia="it-IT"/>
        </w:rPr>
        <w:fldChar w:fldCharType="separate"/>
      </w:r>
      <w:r w:rsidRPr="004A68AC">
        <w:rPr>
          <w:noProof/>
          <w:lang w:val="en-US" w:eastAsia="it-IT"/>
        </w:rPr>
        <w:t>[15,18,19]</w:t>
      </w:r>
      <w:r w:rsidRPr="004A68AC">
        <w:rPr>
          <w:lang w:val="en-US" w:eastAsia="it-IT"/>
        </w:rPr>
        <w:fldChar w:fldCharType="end"/>
      </w:r>
      <w:r w:rsidRPr="004A68AC">
        <w:rPr>
          <w:lang w:val="en-US" w:eastAsia="it-IT"/>
        </w:rPr>
        <w:t xml:space="preserve"> establish knowledge factors (</w:t>
      </w:r>
      <w:r w:rsidRPr="004A68AC">
        <w:rPr>
          <w:szCs w:val="17"/>
          <w:lang w:val="en-US"/>
        </w:rPr>
        <w:t xml:space="preserve">κ) from 0.75 to 1.00, which multiply the material capacities, depending on the level of knowledge. Similarly to EC8-3 </w:t>
      </w:r>
      <w:r w:rsidRPr="004A68AC">
        <w:rPr>
          <w:szCs w:val="17"/>
          <w:lang w:val="en-US"/>
        </w:rPr>
        <w:fldChar w:fldCharType="begin" w:fldLock="1"/>
      </w:r>
      <w:r w:rsidR="005C47A3" w:rsidRPr="004A68AC">
        <w:rPr>
          <w:szCs w:val="17"/>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17"/>
          <w:lang w:val="en-US"/>
        </w:rPr>
        <w:fldChar w:fldCharType="separate"/>
      </w:r>
      <w:r w:rsidRPr="004A68AC">
        <w:rPr>
          <w:noProof/>
          <w:szCs w:val="17"/>
          <w:lang w:val="en-US"/>
        </w:rPr>
        <w:t>[13]</w:t>
      </w:r>
      <w:r w:rsidRPr="004A68AC">
        <w:rPr>
          <w:szCs w:val="17"/>
          <w:lang w:val="en-US"/>
        </w:rPr>
        <w:fldChar w:fldCharType="end"/>
      </w:r>
      <w:r w:rsidRPr="004A68AC">
        <w:rPr>
          <w:szCs w:val="17"/>
          <w:lang w:val="en-US"/>
        </w:rPr>
        <w:t>, the lowest levels of knowledge only allow linear analysis procedures. For the purpose of this paper, full knowledge of the structure is assumed in all cases, therefore, both the CF</w:t>
      </w:r>
      <w:r w:rsidRPr="004A68AC">
        <w:rPr>
          <w:szCs w:val="17"/>
          <w:vertAlign w:val="subscript"/>
          <w:lang w:val="en-US"/>
        </w:rPr>
        <w:t>KLn</w:t>
      </w:r>
      <w:r w:rsidRPr="004A68AC">
        <w:rPr>
          <w:szCs w:val="17"/>
          <w:lang w:val="en-US"/>
        </w:rPr>
        <w:t xml:space="preserve"> and κ are considered to be equal to 1.</w:t>
      </w:r>
    </w:p>
    <w:p w14:paraId="76F3D4FE" w14:textId="77777777" w:rsidR="00C828B6" w:rsidRPr="004A68AC" w:rsidRDefault="00C828B6" w:rsidP="002B6728">
      <w:pPr>
        <w:rPr>
          <w:szCs w:val="17"/>
          <w:lang w:val="en-US"/>
        </w:rPr>
      </w:pPr>
    </w:p>
    <w:p w14:paraId="41B018B5" w14:textId="43AD63D1" w:rsidR="00AC7688" w:rsidRPr="004A68AC" w:rsidRDefault="00BF1723" w:rsidP="00F5026E">
      <w:pPr>
        <w:pStyle w:val="Heading3"/>
        <w:spacing w:before="0" w:after="0"/>
        <w:rPr>
          <w:rFonts w:ascii="Times New Roman" w:hAnsi="Times New Roman"/>
          <w:bCs w:val="0"/>
          <w:i/>
          <w:sz w:val="20"/>
          <w:szCs w:val="20"/>
          <w:lang w:val="en-US"/>
        </w:rPr>
      </w:pPr>
      <w:bookmarkStart w:id="6" w:name="_Toc43469885"/>
      <w:r w:rsidRPr="004A68AC">
        <w:rPr>
          <w:rFonts w:ascii="Times New Roman" w:hAnsi="Times New Roman"/>
          <w:bCs w:val="0"/>
          <w:i/>
          <w:sz w:val="20"/>
          <w:szCs w:val="20"/>
          <w:lang w:val="en-US"/>
        </w:rPr>
        <w:t>2.2 Limit states</w:t>
      </w:r>
      <w:bookmarkEnd w:id="6"/>
    </w:p>
    <w:p w14:paraId="2865EA4F" w14:textId="5F49937E" w:rsidR="00681FAD" w:rsidRPr="004A68AC" w:rsidRDefault="00BE135B" w:rsidP="00BF1723">
      <w:pPr>
        <w:rPr>
          <w:szCs w:val="20"/>
          <w:lang w:val="en-US"/>
        </w:rPr>
      </w:pPr>
      <w:r w:rsidRPr="004A68AC">
        <w:rPr>
          <w:szCs w:val="20"/>
          <w:lang w:val="en-US"/>
        </w:rPr>
        <w:t xml:space="preserve">Limit states are used to define </w:t>
      </w:r>
      <w:r w:rsidR="00BF1723" w:rsidRPr="004A68AC">
        <w:rPr>
          <w:szCs w:val="20"/>
          <w:lang w:val="en-US"/>
        </w:rPr>
        <w:t>boundaries between</w:t>
      </w:r>
      <w:r w:rsidR="004E5500" w:rsidRPr="004A68AC">
        <w:rPr>
          <w:szCs w:val="20"/>
          <w:lang w:val="en-US"/>
        </w:rPr>
        <w:t xml:space="preserve"> continuous</w:t>
      </w:r>
      <w:r w:rsidR="00BF1723" w:rsidRPr="004A68AC">
        <w:rPr>
          <w:szCs w:val="20"/>
          <w:lang w:val="en-US"/>
        </w:rPr>
        <w:t xml:space="preserve"> damage </w:t>
      </w:r>
      <w:r w:rsidRPr="004A68AC">
        <w:rPr>
          <w:szCs w:val="20"/>
          <w:lang w:val="en-US"/>
        </w:rPr>
        <w:t>states</w:t>
      </w:r>
      <w:r w:rsidR="002F4911" w:rsidRPr="004A68AC">
        <w:rPr>
          <w:szCs w:val="20"/>
          <w:lang w:val="en-US"/>
        </w:rPr>
        <w:t xml:space="preserve"> (DSs)</w:t>
      </w:r>
      <w:r w:rsidR="00BF1723" w:rsidRPr="004A68AC">
        <w:rPr>
          <w:szCs w:val="20"/>
          <w:lang w:val="en-US"/>
        </w:rPr>
        <w:t>.</w:t>
      </w:r>
      <w:r w:rsidR="004E5500" w:rsidRPr="004A68AC">
        <w:rPr>
          <w:szCs w:val="20"/>
          <w:lang w:val="en-US"/>
        </w:rPr>
        <w:t xml:space="preserve"> They define qualitative</w:t>
      </w:r>
      <w:r w:rsidR="00681FAD" w:rsidRPr="004A68AC">
        <w:rPr>
          <w:szCs w:val="20"/>
          <w:lang w:val="en-US"/>
        </w:rPr>
        <w:t xml:space="preserve"> thresholds</w:t>
      </w:r>
      <w:r w:rsidR="004E5500" w:rsidRPr="004A68AC">
        <w:rPr>
          <w:szCs w:val="20"/>
          <w:lang w:val="en-US"/>
        </w:rPr>
        <w:t xml:space="preserve"> based on structural or non-structural </w:t>
      </w:r>
      <w:r w:rsidR="00681FAD" w:rsidRPr="004A68AC">
        <w:rPr>
          <w:szCs w:val="20"/>
          <w:lang w:val="en-US"/>
        </w:rPr>
        <w:t xml:space="preserve">observations which reflect the overall state of the structure and, simultaneously, can be related to </w:t>
      </w:r>
      <w:r w:rsidR="00D2073C" w:rsidRPr="004A68AC">
        <w:rPr>
          <w:szCs w:val="20"/>
          <w:lang w:val="en-US"/>
        </w:rPr>
        <w:t>measurable capacity limits (or acceptance criteria, as defined in the American codes) for each EDP</w:t>
      </w:r>
      <w:r w:rsidR="00681FAD" w:rsidRPr="004A68AC">
        <w:rPr>
          <w:szCs w:val="20"/>
          <w:lang w:val="en-US"/>
        </w:rPr>
        <w:t xml:space="preserve"> (</w:t>
      </w:r>
      <w:r w:rsidR="00681FAD" w:rsidRPr="004A68AC">
        <w:rPr>
          <w:i/>
          <w:szCs w:val="20"/>
          <w:lang w:val="en-US"/>
        </w:rPr>
        <w:t>e.g.</w:t>
      </w:r>
      <w:r w:rsidR="00681FAD" w:rsidRPr="004A68AC">
        <w:rPr>
          <w:szCs w:val="20"/>
          <w:lang w:val="en-US"/>
        </w:rPr>
        <w:t xml:space="preserve">, stress, strain, </w:t>
      </w:r>
      <w:r w:rsidR="00164147" w:rsidRPr="004A68AC">
        <w:rPr>
          <w:szCs w:val="20"/>
          <w:lang w:val="en-US"/>
        </w:rPr>
        <w:t>chord rotation, inter-story drifts</w:t>
      </w:r>
      <w:r w:rsidR="00BF2835" w:rsidRPr="004A68AC">
        <w:rPr>
          <w:szCs w:val="20"/>
          <w:lang w:val="en-US"/>
        </w:rPr>
        <w:t>, energy dissipation</w:t>
      </w:r>
      <w:r w:rsidR="00681FAD" w:rsidRPr="004A68AC">
        <w:rPr>
          <w:szCs w:val="20"/>
          <w:lang w:val="en-US"/>
        </w:rPr>
        <w:t>)</w:t>
      </w:r>
      <w:r w:rsidR="00D2073C" w:rsidRPr="004A68AC">
        <w:rPr>
          <w:szCs w:val="20"/>
          <w:lang w:val="en-US"/>
        </w:rPr>
        <w:t>.</w:t>
      </w:r>
    </w:p>
    <w:p w14:paraId="24AC2FBA" w14:textId="77777777" w:rsidR="00AC0A2B" w:rsidRPr="004A68AC" w:rsidRDefault="00AC0A2B" w:rsidP="00BF1723">
      <w:pPr>
        <w:rPr>
          <w:szCs w:val="20"/>
          <w:lang w:val="en-US"/>
        </w:rPr>
      </w:pPr>
    </w:p>
    <w:p w14:paraId="40C4625B" w14:textId="6C2FF54C" w:rsidR="00920833" w:rsidRPr="004A68AC" w:rsidRDefault="00681FAD" w:rsidP="00BF1723">
      <w:pPr>
        <w:rPr>
          <w:szCs w:val="20"/>
          <w:lang w:val="en-US"/>
        </w:rPr>
      </w:pPr>
      <w:r w:rsidRPr="004A68AC">
        <w:rPr>
          <w:szCs w:val="20"/>
          <w:lang w:val="en-US"/>
        </w:rPr>
        <w:t xml:space="preserve">     </w:t>
      </w:r>
      <w:r w:rsidR="00BF1723" w:rsidRPr="004A68AC">
        <w:rPr>
          <w:szCs w:val="20"/>
          <w:lang w:val="en-US"/>
        </w:rPr>
        <w:t xml:space="preserve">The </w:t>
      </w:r>
      <w:r w:rsidR="00BE135B" w:rsidRPr="004A68AC">
        <w:rPr>
          <w:szCs w:val="20"/>
          <w:lang w:val="en-US"/>
        </w:rPr>
        <w:t xml:space="preserve">EC8-3 </w:t>
      </w:r>
      <w:r w:rsidR="00E37E67"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E37E67" w:rsidRPr="004A68AC">
        <w:rPr>
          <w:szCs w:val="20"/>
          <w:lang w:val="en-US"/>
        </w:rPr>
        <w:fldChar w:fldCharType="separate"/>
      </w:r>
      <w:r w:rsidR="00855F83" w:rsidRPr="004A68AC">
        <w:rPr>
          <w:noProof/>
          <w:szCs w:val="20"/>
          <w:lang w:val="en-US"/>
        </w:rPr>
        <w:t>[13]</w:t>
      </w:r>
      <w:r w:rsidR="00E37E67" w:rsidRPr="004A68AC">
        <w:rPr>
          <w:szCs w:val="20"/>
          <w:lang w:val="en-US"/>
        </w:rPr>
        <w:fldChar w:fldCharType="end"/>
      </w:r>
      <w:r w:rsidR="00BF1723" w:rsidRPr="004A68AC">
        <w:rPr>
          <w:szCs w:val="20"/>
          <w:lang w:val="en-US"/>
        </w:rPr>
        <w:t xml:space="preserve"> defines three limit states, which describe the structural and the non-structural damage on the building</w:t>
      </w:r>
      <w:r w:rsidR="00E37E67" w:rsidRPr="004A68AC">
        <w:rPr>
          <w:szCs w:val="20"/>
          <w:lang w:val="en-US"/>
        </w:rPr>
        <w:t xml:space="preserve"> simultaneously</w:t>
      </w:r>
      <w:r w:rsidR="00BF1723" w:rsidRPr="004A68AC">
        <w:rPr>
          <w:szCs w:val="20"/>
          <w:lang w:val="en-US"/>
        </w:rPr>
        <w:t>. On the other hand, the American codes</w:t>
      </w:r>
      <w:r w:rsidR="00E37E67" w:rsidRPr="004A68AC">
        <w:rPr>
          <w:szCs w:val="20"/>
          <w:lang w:val="en-US"/>
        </w:rPr>
        <w:t xml:space="preserve"> </w:t>
      </w:r>
      <w:r w:rsidR="00E37E67"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E37E67" w:rsidRPr="004A68AC">
        <w:rPr>
          <w:lang w:val="en-US" w:eastAsia="it-IT"/>
        </w:rPr>
        <w:fldChar w:fldCharType="separate"/>
      </w:r>
      <w:r w:rsidR="00B339CD" w:rsidRPr="004A68AC">
        <w:rPr>
          <w:noProof/>
          <w:lang w:val="en-US" w:eastAsia="it-IT"/>
        </w:rPr>
        <w:t>[15,18,19]</w:t>
      </w:r>
      <w:r w:rsidR="00E37E67" w:rsidRPr="004A68AC">
        <w:rPr>
          <w:lang w:val="en-US" w:eastAsia="it-IT"/>
        </w:rPr>
        <w:fldChar w:fldCharType="end"/>
      </w:r>
      <w:r w:rsidR="00BF1723" w:rsidRPr="004A68AC">
        <w:rPr>
          <w:szCs w:val="20"/>
          <w:lang w:val="en-US"/>
        </w:rPr>
        <w:t xml:space="preserve"> untie the structural and non-structural damage and define three structural performance levels</w:t>
      </w:r>
      <w:r w:rsidR="00E37E67" w:rsidRPr="004A68AC">
        <w:rPr>
          <w:szCs w:val="20"/>
          <w:lang w:val="en-US"/>
        </w:rPr>
        <w:t xml:space="preserve"> (</w:t>
      </w:r>
      <w:r w:rsidR="00164147" w:rsidRPr="004A68AC">
        <w:rPr>
          <w:i/>
          <w:iCs/>
          <w:szCs w:val="20"/>
          <w:lang w:val="en-US"/>
        </w:rPr>
        <w:t>i.e.,</w:t>
      </w:r>
      <w:r w:rsidR="00164147" w:rsidRPr="004A68AC">
        <w:rPr>
          <w:szCs w:val="20"/>
          <w:lang w:val="en-US"/>
        </w:rPr>
        <w:t xml:space="preserve"> </w:t>
      </w:r>
      <w:r w:rsidR="00E37E67" w:rsidRPr="004A68AC">
        <w:rPr>
          <w:szCs w:val="20"/>
          <w:lang w:val="en-US"/>
        </w:rPr>
        <w:t>structural limit states)</w:t>
      </w:r>
      <w:r w:rsidR="00BF1723" w:rsidRPr="004A68AC">
        <w:rPr>
          <w:szCs w:val="20"/>
          <w:lang w:val="en-US"/>
        </w:rPr>
        <w:t xml:space="preserve"> and five non-structural performance levels</w:t>
      </w:r>
      <w:r w:rsidR="00E37E67" w:rsidRPr="004A68AC">
        <w:rPr>
          <w:szCs w:val="20"/>
          <w:lang w:val="en-US"/>
        </w:rPr>
        <w:t xml:space="preserve"> (</w:t>
      </w:r>
      <w:r w:rsidR="00164147" w:rsidRPr="004A68AC">
        <w:rPr>
          <w:i/>
          <w:iCs/>
          <w:szCs w:val="20"/>
          <w:lang w:val="en-US"/>
        </w:rPr>
        <w:t>i.e.,</w:t>
      </w:r>
      <w:r w:rsidR="00164147" w:rsidRPr="004A68AC">
        <w:rPr>
          <w:szCs w:val="20"/>
          <w:lang w:val="en-US"/>
        </w:rPr>
        <w:t xml:space="preserve"> </w:t>
      </w:r>
      <w:r w:rsidR="00E37E67" w:rsidRPr="004A68AC">
        <w:rPr>
          <w:szCs w:val="20"/>
          <w:lang w:val="en-US"/>
        </w:rPr>
        <w:t>non-structural limit states)</w:t>
      </w:r>
      <w:r w:rsidR="00BF1723" w:rsidRPr="004A68AC">
        <w:rPr>
          <w:szCs w:val="20"/>
          <w:lang w:val="en-US"/>
        </w:rPr>
        <w:t xml:space="preserve">. </w:t>
      </w:r>
      <w:r w:rsidR="00164147" w:rsidRPr="004A68AC">
        <w:rPr>
          <w:szCs w:val="20"/>
          <w:lang w:val="en-US"/>
        </w:rPr>
        <w:t xml:space="preserve">The present paper focuses on the structural performance only while the assessment of the performance of </w:t>
      </w:r>
      <w:r w:rsidR="00BF1723" w:rsidRPr="004A68AC">
        <w:rPr>
          <w:szCs w:val="20"/>
          <w:lang w:val="en-US"/>
        </w:rPr>
        <w:t xml:space="preserve">non-structural </w:t>
      </w:r>
      <w:r w:rsidR="00164147" w:rsidRPr="004A68AC">
        <w:rPr>
          <w:szCs w:val="20"/>
          <w:lang w:val="en-US"/>
        </w:rPr>
        <w:t>components is beyond the scope of the present study</w:t>
      </w:r>
      <w:r w:rsidR="00D2073C" w:rsidRPr="004A68AC">
        <w:rPr>
          <w:szCs w:val="20"/>
          <w:lang w:val="en-US"/>
        </w:rPr>
        <w:t>.</w:t>
      </w:r>
    </w:p>
    <w:p w14:paraId="4DE24FEC" w14:textId="77777777" w:rsidR="00AC0A2B" w:rsidRPr="004A68AC" w:rsidRDefault="00AC0A2B" w:rsidP="00BF1723">
      <w:pPr>
        <w:rPr>
          <w:lang w:val="en-US"/>
        </w:rPr>
      </w:pPr>
    </w:p>
    <w:p w14:paraId="609A159C" w14:textId="0C2CC3EA" w:rsidR="00BF1723" w:rsidRPr="004A68AC" w:rsidRDefault="00637CD2" w:rsidP="00BF1723">
      <w:pPr>
        <w:rPr>
          <w:szCs w:val="20"/>
          <w:lang w:val="en-US"/>
        </w:rPr>
      </w:pPr>
      <w:r w:rsidRPr="004A68AC">
        <w:rPr>
          <w:szCs w:val="20"/>
          <w:lang w:val="en-US"/>
        </w:rPr>
        <w:t xml:space="preserve">     </w:t>
      </w:r>
      <w:r w:rsidR="00BF1723" w:rsidRPr="004A68AC">
        <w:rPr>
          <w:szCs w:val="20"/>
          <w:lang w:val="en-US"/>
        </w:rPr>
        <w:t xml:space="preserve">Although the three limit states in the EC8-3 </w:t>
      </w:r>
      <w:r w:rsidR="00E37E67"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E37E67" w:rsidRPr="004A68AC">
        <w:rPr>
          <w:szCs w:val="20"/>
          <w:lang w:val="en-US"/>
        </w:rPr>
        <w:fldChar w:fldCharType="separate"/>
      </w:r>
      <w:r w:rsidR="00855F83" w:rsidRPr="004A68AC">
        <w:rPr>
          <w:noProof/>
          <w:szCs w:val="20"/>
          <w:lang w:val="en-US"/>
        </w:rPr>
        <w:t>[13]</w:t>
      </w:r>
      <w:r w:rsidR="00E37E67" w:rsidRPr="004A68AC">
        <w:rPr>
          <w:szCs w:val="20"/>
          <w:lang w:val="en-US"/>
        </w:rPr>
        <w:fldChar w:fldCharType="end"/>
      </w:r>
      <w:r w:rsidR="00BF1723" w:rsidRPr="004A68AC">
        <w:rPr>
          <w:szCs w:val="20"/>
          <w:lang w:val="en-US"/>
        </w:rPr>
        <w:t xml:space="preserve"> and the corresponding structural performance levels in the </w:t>
      </w:r>
      <w:r w:rsidR="009630B4" w:rsidRPr="004A68AC">
        <w:rPr>
          <w:szCs w:val="20"/>
          <w:lang w:val="en-US"/>
        </w:rPr>
        <w:t>ASCE 41</w:t>
      </w:r>
      <w:r w:rsidR="00BF1723" w:rsidRPr="004A68AC">
        <w:rPr>
          <w:szCs w:val="20"/>
          <w:lang w:val="en-US"/>
        </w:rPr>
        <w:t xml:space="preserve"> </w:t>
      </w:r>
      <w:r w:rsidR="00E37E67"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E37E67" w:rsidRPr="004A68AC">
        <w:rPr>
          <w:lang w:val="en-US" w:eastAsia="it-IT"/>
        </w:rPr>
        <w:fldChar w:fldCharType="separate"/>
      </w:r>
      <w:r w:rsidR="00B339CD" w:rsidRPr="004A68AC">
        <w:rPr>
          <w:noProof/>
          <w:lang w:val="en-US" w:eastAsia="it-IT"/>
        </w:rPr>
        <w:t>[15,18,19]</w:t>
      </w:r>
      <w:r w:rsidR="00E37E67" w:rsidRPr="004A68AC">
        <w:rPr>
          <w:lang w:val="en-US" w:eastAsia="it-IT"/>
        </w:rPr>
        <w:fldChar w:fldCharType="end"/>
      </w:r>
      <w:r w:rsidR="00E37E67" w:rsidRPr="004A68AC">
        <w:rPr>
          <w:lang w:val="en-US" w:eastAsia="it-IT"/>
        </w:rPr>
        <w:t xml:space="preserve"> </w:t>
      </w:r>
      <w:r w:rsidR="00BF1723" w:rsidRPr="004A68AC">
        <w:rPr>
          <w:szCs w:val="20"/>
          <w:lang w:val="en-US"/>
        </w:rPr>
        <w:t>are not exactly defined in the same way for all codes, in this study, they are considered equivalent</w:t>
      </w:r>
      <w:r w:rsidR="00E37E67" w:rsidRPr="004A68AC">
        <w:rPr>
          <w:szCs w:val="20"/>
          <w:lang w:val="en-US"/>
        </w:rPr>
        <w:t xml:space="preserve"> as they are all based on the definitions established by FEMA 356 </w:t>
      </w:r>
      <w:r w:rsidR="00E37E67" w:rsidRPr="004A68AC">
        <w:rPr>
          <w:szCs w:val="20"/>
          <w:lang w:val="en-US"/>
        </w:rPr>
        <w:fldChar w:fldCharType="begin" w:fldLock="1"/>
      </w:r>
      <w:r w:rsidR="00F534F9" w:rsidRPr="004A68AC">
        <w:rPr>
          <w:szCs w:val="20"/>
          <w:lang w:val="en-US"/>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00E37E67" w:rsidRPr="004A68AC">
        <w:rPr>
          <w:szCs w:val="20"/>
          <w:lang w:val="en-US"/>
        </w:rPr>
        <w:fldChar w:fldCharType="separate"/>
      </w:r>
      <w:r w:rsidR="00855F83" w:rsidRPr="004A68AC">
        <w:rPr>
          <w:noProof/>
          <w:szCs w:val="20"/>
          <w:lang w:val="en-US"/>
        </w:rPr>
        <w:t>[14]</w:t>
      </w:r>
      <w:r w:rsidR="00E37E67" w:rsidRPr="004A68AC">
        <w:rPr>
          <w:szCs w:val="20"/>
          <w:lang w:val="en-US"/>
        </w:rPr>
        <w:fldChar w:fldCharType="end"/>
      </w:r>
      <w:r w:rsidR="00D2073C" w:rsidRPr="004A68AC">
        <w:rPr>
          <w:szCs w:val="20"/>
          <w:lang w:val="en-US"/>
        </w:rPr>
        <w:t xml:space="preserve">, as </w:t>
      </w:r>
      <w:r w:rsidR="00373ABE" w:rsidRPr="004A68AC">
        <w:rPr>
          <w:szCs w:val="20"/>
          <w:lang w:val="en-US"/>
        </w:rPr>
        <w:t>pointed out</w:t>
      </w:r>
      <w:r w:rsidR="00D2073C" w:rsidRPr="004A68AC">
        <w:rPr>
          <w:szCs w:val="20"/>
          <w:lang w:val="en-US"/>
        </w:rPr>
        <w:t xml:space="preserve"> by Fardis</w:t>
      </w:r>
      <w:r w:rsidR="00BE135B" w:rsidRPr="004A68AC">
        <w:rPr>
          <w:szCs w:val="20"/>
          <w:lang w:val="en-US"/>
        </w:rPr>
        <w:t xml:space="preserve"> </w:t>
      </w:r>
      <w:r w:rsidR="00E37E67" w:rsidRPr="004A68AC">
        <w:rPr>
          <w:szCs w:val="20"/>
          <w:lang w:val="en-US"/>
        </w:rPr>
        <w:fldChar w:fldCharType="begin" w:fldLock="1"/>
      </w:r>
      <w:r w:rsidR="000E577D" w:rsidRPr="004A68AC">
        <w:rPr>
          <w:szCs w:val="20"/>
          <w:lang w:val="en-US"/>
        </w:rPr>
        <w:instrText>ADDIN CSL_CITATION {"citationItems":[{"id":"ITEM-1","itemData":{"abstract":"The technical contents of the recently approved Part 1 of Eurocode 8: General rules, seismic actions, rules for buildings [1] and of draft Part 3: Assessment and retrofitting of buildings [2] are reviewed, along with the procedure for the upcoming enforcement of the 1st generation of European structural design standards. Possible future technical developments towards the 2nd generation of these parts of EC8 are highlighted.","author":[{"dropping-particle":"","family":"Fardis","given":"Michael N.","non-dropping-particle":"","parse-names":false,"suffix":""}],"container-title":"13th World Conference on Earthquake Engineering","id":"ITEM-1","issue":"2025","issued":{"date-parts":[["2004"]]},"page":"15","title":"Current Developments and Future Prospects of the European Code for Seismic Design and Rehabilitation of Buildings: Eurocode 8","type":"article-journal","volume":"2"},"uris":["http://www.mendeley.com/documents/?uuid=6d5fc70f-4f8f-4d9c-8e7c-0a2d59d8a2d9"]}],"mendeley":{"formattedCitation":"[11]","plainTextFormattedCitation":"[11]","previouslyFormattedCitation":"[11]"},"properties":{"noteIndex":0},"schema":"https://github.com/citation-style-language/schema/raw/master/csl-citation.json"}</w:instrText>
      </w:r>
      <w:r w:rsidR="00E37E67" w:rsidRPr="004A68AC">
        <w:rPr>
          <w:szCs w:val="20"/>
          <w:lang w:val="en-US"/>
        </w:rPr>
        <w:fldChar w:fldCharType="separate"/>
      </w:r>
      <w:r w:rsidR="00855F83" w:rsidRPr="004A68AC">
        <w:rPr>
          <w:noProof/>
          <w:szCs w:val="20"/>
          <w:lang w:val="en-US"/>
        </w:rPr>
        <w:t>[11]</w:t>
      </w:r>
      <w:r w:rsidR="00E37E67" w:rsidRPr="004A68AC">
        <w:rPr>
          <w:szCs w:val="20"/>
          <w:lang w:val="en-US"/>
        </w:rPr>
        <w:fldChar w:fldCharType="end"/>
      </w:r>
      <w:r w:rsidR="00E37E67" w:rsidRPr="004A68AC">
        <w:rPr>
          <w:szCs w:val="20"/>
          <w:lang w:val="en-US"/>
        </w:rPr>
        <w:t>.</w:t>
      </w:r>
      <w:r w:rsidR="00BF1723" w:rsidRPr="004A68AC">
        <w:rPr>
          <w:szCs w:val="20"/>
          <w:lang w:val="en-US"/>
        </w:rPr>
        <w:t xml:space="preserve"> The three </w:t>
      </w:r>
      <w:r w:rsidR="00F40D2C" w:rsidRPr="004A68AC">
        <w:rPr>
          <w:szCs w:val="20"/>
          <w:lang w:val="en-US"/>
        </w:rPr>
        <w:t>l</w:t>
      </w:r>
      <w:r w:rsidR="00E37E67" w:rsidRPr="004A68AC">
        <w:rPr>
          <w:szCs w:val="20"/>
          <w:lang w:val="en-US"/>
        </w:rPr>
        <w:t>imit</w:t>
      </w:r>
      <w:r w:rsidR="00BF1723" w:rsidRPr="004A68AC">
        <w:rPr>
          <w:szCs w:val="20"/>
          <w:lang w:val="en-US"/>
        </w:rPr>
        <w:t xml:space="preserve"> </w:t>
      </w:r>
      <w:r w:rsidR="00F40D2C" w:rsidRPr="004A68AC">
        <w:rPr>
          <w:szCs w:val="20"/>
          <w:lang w:val="en-US"/>
        </w:rPr>
        <w:t>s</w:t>
      </w:r>
      <w:r w:rsidR="00BF1723" w:rsidRPr="004A68AC">
        <w:rPr>
          <w:szCs w:val="20"/>
          <w:lang w:val="en-US"/>
        </w:rPr>
        <w:t xml:space="preserve">tates can be broadly classified as: (1) </w:t>
      </w:r>
      <w:r w:rsidR="00E37E67" w:rsidRPr="004A68AC">
        <w:rPr>
          <w:szCs w:val="20"/>
          <w:lang w:val="en-US"/>
        </w:rPr>
        <w:t>Limit</w:t>
      </w:r>
      <w:r w:rsidR="00BF1723" w:rsidRPr="004A68AC">
        <w:rPr>
          <w:szCs w:val="20"/>
          <w:lang w:val="en-US"/>
        </w:rPr>
        <w:t xml:space="preserve"> State 1 (</w:t>
      </w:r>
      <w:r w:rsidR="00E37E67" w:rsidRPr="004A68AC">
        <w:rPr>
          <w:szCs w:val="20"/>
          <w:lang w:val="en-US"/>
        </w:rPr>
        <w:t>L</w:t>
      </w:r>
      <w:r w:rsidR="00BF1723" w:rsidRPr="004A68AC">
        <w:rPr>
          <w:szCs w:val="20"/>
          <w:lang w:val="en-US"/>
        </w:rPr>
        <w:t xml:space="preserve">S1), which is correlated to a structure with only slight damage, in which the structural elements retain the pre-earthquake strength and stiffness; (2) </w:t>
      </w:r>
      <w:r w:rsidR="00E37E67" w:rsidRPr="004A68AC">
        <w:rPr>
          <w:szCs w:val="20"/>
          <w:lang w:val="en-US"/>
        </w:rPr>
        <w:t>Limit</w:t>
      </w:r>
      <w:r w:rsidR="00BF1723" w:rsidRPr="004A68AC">
        <w:rPr>
          <w:szCs w:val="20"/>
          <w:lang w:val="en-US"/>
        </w:rPr>
        <w:t xml:space="preserve"> State 2 (</w:t>
      </w:r>
      <w:r w:rsidR="00E37E67" w:rsidRPr="004A68AC">
        <w:rPr>
          <w:szCs w:val="20"/>
          <w:lang w:val="en-US"/>
        </w:rPr>
        <w:t>L</w:t>
      </w:r>
      <w:r w:rsidR="00BF1723" w:rsidRPr="004A68AC">
        <w:rPr>
          <w:szCs w:val="20"/>
          <w:lang w:val="en-US"/>
        </w:rPr>
        <w:t>S2), which is associated to a damaged structure that shows some permanent drift, but retains some residual strength and stiffness and is capable of withstanding some lateral loads (</w:t>
      </w:r>
      <w:r w:rsidR="00BF1723" w:rsidRPr="004A68AC">
        <w:rPr>
          <w:i/>
          <w:iCs/>
          <w:szCs w:val="20"/>
          <w:lang w:val="en-US"/>
        </w:rPr>
        <w:t>e.g.</w:t>
      </w:r>
      <w:r w:rsidR="00BE135B" w:rsidRPr="004A68AC">
        <w:rPr>
          <w:i/>
          <w:iCs/>
          <w:szCs w:val="20"/>
          <w:lang w:val="en-US"/>
        </w:rPr>
        <w:t>,</w:t>
      </w:r>
      <w:r w:rsidR="00BF1723" w:rsidRPr="004A68AC">
        <w:rPr>
          <w:szCs w:val="20"/>
          <w:lang w:val="en-US"/>
        </w:rPr>
        <w:t xml:space="preserve"> moderate aftershocks</w:t>
      </w:r>
      <w:r w:rsidR="00B74214" w:rsidRPr="004A68AC">
        <w:rPr>
          <w:szCs w:val="20"/>
          <w:lang w:val="en-US"/>
        </w:rPr>
        <w:t xml:space="preserve">); </w:t>
      </w:r>
      <w:r w:rsidR="00BF1723" w:rsidRPr="004A68AC">
        <w:rPr>
          <w:szCs w:val="20"/>
          <w:lang w:val="en-US"/>
        </w:rPr>
        <w:t xml:space="preserve">and (3) </w:t>
      </w:r>
      <w:r w:rsidR="00E37E67" w:rsidRPr="004A68AC">
        <w:rPr>
          <w:szCs w:val="20"/>
          <w:lang w:val="en-US"/>
        </w:rPr>
        <w:t>Limit</w:t>
      </w:r>
      <w:r w:rsidR="00BF1723" w:rsidRPr="004A68AC">
        <w:rPr>
          <w:szCs w:val="20"/>
          <w:lang w:val="en-US"/>
        </w:rPr>
        <w:t xml:space="preserve"> State 3 (</w:t>
      </w:r>
      <w:r w:rsidR="00E37E67" w:rsidRPr="004A68AC">
        <w:rPr>
          <w:szCs w:val="20"/>
          <w:lang w:val="en-US"/>
        </w:rPr>
        <w:t>L</w:t>
      </w:r>
      <w:r w:rsidR="00BF1723" w:rsidRPr="004A68AC">
        <w:rPr>
          <w:szCs w:val="20"/>
          <w:lang w:val="en-US"/>
        </w:rPr>
        <w:t xml:space="preserve">S3), which is correlated to a near collapse building, damaged beyond repair, with large permanent drift and little residual strength and stiffness. </w:t>
      </w:r>
      <w:r w:rsidR="00B572C4" w:rsidRPr="004A68AC">
        <w:rPr>
          <w:szCs w:val="20"/>
          <w:lang w:val="en-US"/>
        </w:rPr>
        <w:fldChar w:fldCharType="begin" w:fldLock="1"/>
      </w:r>
      <w:r w:rsidR="00B572C4" w:rsidRPr="004A68AC">
        <w:rPr>
          <w:szCs w:val="20"/>
          <w:lang w:val="en-US"/>
        </w:rPr>
        <w:instrText xml:space="preserve"> REF _Ref38541429 \h  \* MERGEFORMAT </w:instrText>
      </w:r>
      <w:r w:rsidR="00B572C4" w:rsidRPr="004A68AC">
        <w:rPr>
          <w:szCs w:val="20"/>
          <w:lang w:val="en-US"/>
        </w:rPr>
      </w:r>
      <w:r w:rsidR="00B572C4" w:rsidRPr="004A68AC">
        <w:rPr>
          <w:szCs w:val="20"/>
          <w:lang w:val="en-US"/>
        </w:rPr>
        <w:fldChar w:fldCharType="separate"/>
      </w:r>
      <w:r w:rsidR="00B572C4" w:rsidRPr="004A68AC">
        <w:rPr>
          <w:szCs w:val="20"/>
          <w:lang w:val="en-US"/>
        </w:rPr>
        <w:t xml:space="preserve">Table </w:t>
      </w:r>
      <w:r w:rsidR="00B572C4" w:rsidRPr="004A68AC">
        <w:rPr>
          <w:noProof/>
          <w:szCs w:val="20"/>
          <w:lang w:val="en-US"/>
        </w:rPr>
        <w:t>1</w:t>
      </w:r>
      <w:r w:rsidR="00B572C4" w:rsidRPr="004A68AC">
        <w:rPr>
          <w:szCs w:val="20"/>
          <w:lang w:val="en-US"/>
        </w:rPr>
        <w:fldChar w:fldCharType="end"/>
      </w:r>
      <w:r w:rsidR="00BF1723" w:rsidRPr="004A68AC">
        <w:rPr>
          <w:szCs w:val="20"/>
          <w:lang w:val="en-US"/>
        </w:rPr>
        <w:t xml:space="preserve"> shows the described </w:t>
      </w:r>
      <w:r w:rsidR="00373ABE" w:rsidRPr="004A68AC">
        <w:rPr>
          <w:szCs w:val="20"/>
          <w:lang w:val="en-US"/>
        </w:rPr>
        <w:t>limit</w:t>
      </w:r>
      <w:r w:rsidR="00BF1723" w:rsidRPr="004A68AC">
        <w:rPr>
          <w:szCs w:val="20"/>
          <w:lang w:val="en-US"/>
        </w:rPr>
        <w:t xml:space="preserve"> states as defined in the codes</w:t>
      </w:r>
      <w:r w:rsidR="00BA2F26" w:rsidRPr="004A68AC">
        <w:rPr>
          <w:szCs w:val="20"/>
          <w:lang w:val="en-US"/>
        </w:rPr>
        <w:t xml:space="preserve"> </w:t>
      </w:r>
      <w:r w:rsidR="00BA2F26"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Buildings","type":"article"},"uris":["http://www.mendeley.com/documents/?uuid=fba0390a-42c8-4da4-8c99-cd84df5c2e39"]},{"id":"ITEM-2","itemData":{"DOI":"10.1061/9780784408841","ISBN":"9780784408841","author":[{"dropping-particle":"","family":"American Society of Civil Engineers","given":"","non-dropping-particle":"","parse-names":false,"suffix":""}],"container-title":"ASCE/SEI 41-06","id":"ITEM-2","issued":{"date-parts":[["2007"]]},"title":"Seismic Rehabilitation of Existing Buildings","type":"article"},"uris":["http://www.mendeley.com/documents/?uuid=e32cfdb6-620a-411a-a7d6-8e56de32bcc1"]},{"id":"ITEM-3","itemData":{"DOI":"10.1061/9780784412855","ISBN":"9780784412855","author":[{"dropping-particle":"","family":"American Society of Civil Engineers","given":"","non-dropping-particle":"","parse-names":false,"suffix":""}],"container-title":"ASCE/SEI 41-13","id":"ITEM-3","issued":{"date-parts":[["2014","5","29"]]},"publisher":"American Society of Civil Engineers","publisher-place":"Reston, VA","title":"Seismic Evaluation and Retrofit of Existing Buildings","type":"article"},"uris":["http://www.mendeley.com/documents/?uuid=e1e1c9a1-8439-4464-8e57-e6a99a956fd4"]},{"id":"ITEM-4","itemData":{"DOI":"10.1061/9780784414859","ISBN":"9780784412855","author":[{"dropping-particle":"","family":"American Society of Civil Engineers","given":"","non-dropping-particle":"","parse-names":false,"suffix":""}],"container-title":"ASCE/SEI 41-17","id":"ITEM-4","issued":{"date-parts":[["2017"]]},"title":"Seismic Evaluation and Retrofit of Existing Buildings","type":"article"},"uris":["http://www.mendeley.com/documents/?uuid=0dfd1fff-db69-4728-b658-30ff1c502a98"]}],"mendeley":{"formattedCitation":"[13,15,18,19]","plainTextFormattedCitation":"[13,15,18,19]","previouslyFormattedCitation":"[13,15,18,19]"},"properties":{"noteIndex":0},"schema":"https://github.com/citation-style-language/schema/raw/master/csl-citation.json"}</w:instrText>
      </w:r>
      <w:r w:rsidR="00BA2F26" w:rsidRPr="004A68AC">
        <w:rPr>
          <w:szCs w:val="20"/>
          <w:lang w:val="en-US"/>
        </w:rPr>
        <w:fldChar w:fldCharType="separate"/>
      </w:r>
      <w:r w:rsidR="00855F83" w:rsidRPr="004A68AC">
        <w:rPr>
          <w:noProof/>
          <w:szCs w:val="20"/>
          <w:lang w:val="en-US"/>
        </w:rPr>
        <w:t>[13,15,18,19]</w:t>
      </w:r>
      <w:r w:rsidR="00BA2F26" w:rsidRPr="004A68AC">
        <w:rPr>
          <w:szCs w:val="20"/>
          <w:lang w:val="en-US"/>
        </w:rPr>
        <w:fldChar w:fldCharType="end"/>
      </w:r>
      <w:r w:rsidR="00F5026E" w:rsidRPr="004A68AC">
        <w:rPr>
          <w:szCs w:val="20"/>
          <w:lang w:val="en-US"/>
        </w:rPr>
        <w:t>.</w:t>
      </w:r>
    </w:p>
    <w:p w14:paraId="0B41A6F8" w14:textId="77777777" w:rsidR="000F7E62" w:rsidRPr="004A68AC" w:rsidRDefault="000F7E62" w:rsidP="00BF1723">
      <w:pPr>
        <w:rPr>
          <w:szCs w:val="20"/>
          <w:lang w:val="en-US"/>
        </w:rPr>
      </w:pPr>
    </w:p>
    <w:p w14:paraId="123BF703" w14:textId="71B40306" w:rsidR="00BF1723" w:rsidRPr="004A68AC" w:rsidRDefault="00BF1723" w:rsidP="00BF1723">
      <w:pPr>
        <w:pStyle w:val="Tablecaption"/>
        <w:spacing w:before="0" w:after="0" w:line="240" w:lineRule="auto"/>
        <w:jc w:val="center"/>
        <w:rPr>
          <w:color w:val="auto"/>
          <w:szCs w:val="20"/>
          <w:lang w:val="en-US"/>
        </w:rPr>
      </w:pPr>
      <w:bookmarkStart w:id="7" w:name="_Ref38541429"/>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Pr="004A68AC">
        <w:rPr>
          <w:noProof/>
          <w:color w:val="auto"/>
          <w:szCs w:val="20"/>
          <w:lang w:val="en-US"/>
        </w:rPr>
        <w:t>1</w:t>
      </w:r>
      <w:r w:rsidRPr="004A68AC">
        <w:rPr>
          <w:color w:val="auto"/>
          <w:szCs w:val="20"/>
          <w:lang w:val="en-US"/>
        </w:rPr>
        <w:fldChar w:fldCharType="end"/>
      </w:r>
      <w:bookmarkEnd w:id="7"/>
      <w:r w:rsidRPr="004A68AC">
        <w:rPr>
          <w:color w:val="auto"/>
          <w:szCs w:val="20"/>
          <w:lang w:val="en-US"/>
        </w:rPr>
        <w:t xml:space="preserve">. </w:t>
      </w:r>
      <w:r w:rsidRPr="004A68AC">
        <w:rPr>
          <w:b w:val="0"/>
          <w:color w:val="auto"/>
          <w:szCs w:val="20"/>
          <w:lang w:val="en-US"/>
        </w:rPr>
        <w:t xml:space="preserve">Assumed equivalency of </w:t>
      </w:r>
      <w:r w:rsidR="00F40D2C" w:rsidRPr="004A68AC">
        <w:rPr>
          <w:b w:val="0"/>
          <w:color w:val="auto"/>
          <w:szCs w:val="20"/>
          <w:lang w:val="en-US"/>
        </w:rPr>
        <w:t>l</w:t>
      </w:r>
      <w:r w:rsidR="00282D7B" w:rsidRPr="004A68AC">
        <w:rPr>
          <w:b w:val="0"/>
          <w:color w:val="auto"/>
          <w:szCs w:val="20"/>
          <w:lang w:val="en-US"/>
        </w:rPr>
        <w:t xml:space="preserve">imit </w:t>
      </w:r>
      <w:r w:rsidR="00F40D2C" w:rsidRPr="004A68AC">
        <w:rPr>
          <w:b w:val="0"/>
          <w:color w:val="auto"/>
          <w:szCs w:val="20"/>
          <w:lang w:val="en-US"/>
        </w:rPr>
        <w:t>s</w:t>
      </w:r>
      <w:r w:rsidR="00282D7B" w:rsidRPr="004A68AC">
        <w:rPr>
          <w:b w:val="0"/>
          <w:color w:val="auto"/>
          <w:szCs w:val="20"/>
          <w:lang w:val="en-US"/>
        </w:rPr>
        <w:t xml:space="preserve">tates </w:t>
      </w:r>
      <w:r w:rsidRPr="004A68AC">
        <w:rPr>
          <w:b w:val="0"/>
          <w:color w:val="auto"/>
          <w:szCs w:val="20"/>
          <w:lang w:val="en-US"/>
        </w:rPr>
        <w:t>among different codes.</w:t>
      </w:r>
    </w:p>
    <w:tbl>
      <w:tblPr>
        <w:tblStyle w:val="HelleSchattierung1"/>
        <w:tblW w:w="5000" w:type="pct"/>
        <w:jc w:val="center"/>
        <w:tblLook w:val="04A0" w:firstRow="1" w:lastRow="0" w:firstColumn="1" w:lastColumn="0" w:noHBand="0" w:noVBand="1"/>
      </w:tblPr>
      <w:tblGrid>
        <w:gridCol w:w="1934"/>
        <w:gridCol w:w="2568"/>
        <w:gridCol w:w="2568"/>
        <w:gridCol w:w="2568"/>
      </w:tblGrid>
      <w:tr w:rsidR="00BF1723" w:rsidRPr="004A68AC" w14:paraId="749E4BF1" w14:textId="77777777" w:rsidTr="0094690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vAlign w:val="center"/>
          </w:tcPr>
          <w:p w14:paraId="217FF2CD" w14:textId="77777777" w:rsidR="00BF1723" w:rsidRPr="004A68AC" w:rsidRDefault="00BF1723" w:rsidP="00946900">
            <w:pPr>
              <w:jc w:val="center"/>
              <w:rPr>
                <w:color w:val="auto"/>
                <w:sz w:val="18"/>
                <w:szCs w:val="18"/>
              </w:rPr>
            </w:pPr>
            <w:r w:rsidRPr="004A68AC">
              <w:rPr>
                <w:color w:val="auto"/>
                <w:sz w:val="18"/>
                <w:szCs w:val="18"/>
              </w:rPr>
              <w:t>Code</w:t>
            </w:r>
          </w:p>
        </w:tc>
        <w:tc>
          <w:tcPr>
            <w:tcW w:w="1332" w:type="pct"/>
            <w:shd w:val="clear" w:color="auto" w:fill="auto"/>
            <w:vAlign w:val="center"/>
          </w:tcPr>
          <w:p w14:paraId="44926B9A" w14:textId="6BD9BB5A" w:rsidR="00BF1723" w:rsidRPr="004A68AC" w:rsidRDefault="00373ABE" w:rsidP="009469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Limit</w:t>
            </w:r>
            <w:r w:rsidR="00BF1723" w:rsidRPr="004A68AC">
              <w:rPr>
                <w:color w:val="auto"/>
                <w:sz w:val="18"/>
                <w:szCs w:val="18"/>
              </w:rPr>
              <w:t xml:space="preserve"> State 1</w:t>
            </w:r>
            <w:r w:rsidR="00B74214" w:rsidRPr="004A68AC">
              <w:rPr>
                <w:color w:val="auto"/>
                <w:sz w:val="18"/>
                <w:szCs w:val="18"/>
              </w:rPr>
              <w:t xml:space="preserve"> (LS1)</w:t>
            </w:r>
          </w:p>
        </w:tc>
        <w:tc>
          <w:tcPr>
            <w:tcW w:w="1332" w:type="pct"/>
            <w:shd w:val="clear" w:color="auto" w:fill="auto"/>
            <w:vAlign w:val="center"/>
          </w:tcPr>
          <w:p w14:paraId="4036D793" w14:textId="641B81C0" w:rsidR="00BF1723" w:rsidRPr="004A68AC" w:rsidRDefault="00373ABE" w:rsidP="009469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Limit</w:t>
            </w:r>
            <w:r w:rsidR="00BF1723" w:rsidRPr="004A68AC">
              <w:rPr>
                <w:color w:val="auto"/>
                <w:sz w:val="18"/>
                <w:szCs w:val="18"/>
              </w:rPr>
              <w:t xml:space="preserve"> State 2</w:t>
            </w:r>
            <w:r w:rsidR="00B74214" w:rsidRPr="004A68AC">
              <w:rPr>
                <w:color w:val="auto"/>
                <w:sz w:val="18"/>
                <w:szCs w:val="18"/>
              </w:rPr>
              <w:t xml:space="preserve"> (LS2)</w:t>
            </w:r>
          </w:p>
        </w:tc>
        <w:tc>
          <w:tcPr>
            <w:tcW w:w="1332" w:type="pct"/>
            <w:shd w:val="clear" w:color="auto" w:fill="auto"/>
            <w:vAlign w:val="center"/>
          </w:tcPr>
          <w:p w14:paraId="12F8FA12" w14:textId="6AEC104D" w:rsidR="00BF1723" w:rsidRPr="004A68AC" w:rsidRDefault="00373ABE" w:rsidP="00946900">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Limit</w:t>
            </w:r>
            <w:r w:rsidR="00BF1723" w:rsidRPr="004A68AC">
              <w:rPr>
                <w:color w:val="auto"/>
                <w:sz w:val="18"/>
                <w:szCs w:val="18"/>
              </w:rPr>
              <w:t xml:space="preserve"> State 3</w:t>
            </w:r>
            <w:r w:rsidR="00B74214" w:rsidRPr="004A68AC">
              <w:rPr>
                <w:color w:val="auto"/>
                <w:sz w:val="18"/>
                <w:szCs w:val="18"/>
              </w:rPr>
              <w:t xml:space="preserve"> (LS3)</w:t>
            </w:r>
          </w:p>
        </w:tc>
      </w:tr>
      <w:tr w:rsidR="00BF1723" w:rsidRPr="004A68AC" w14:paraId="4438AFB7" w14:textId="77777777" w:rsidTr="0094690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03" w:type="pct"/>
            <w:tcBorders>
              <w:bottom w:val="nil"/>
            </w:tcBorders>
            <w:shd w:val="clear" w:color="auto" w:fill="auto"/>
            <w:vAlign w:val="center"/>
          </w:tcPr>
          <w:p w14:paraId="77D460B9" w14:textId="28A75CEB" w:rsidR="00BF1723" w:rsidRPr="004A68AC" w:rsidRDefault="00BF1723" w:rsidP="00946900">
            <w:pPr>
              <w:jc w:val="center"/>
              <w:rPr>
                <w:color w:val="auto"/>
                <w:sz w:val="18"/>
                <w:szCs w:val="18"/>
              </w:rPr>
            </w:pPr>
            <w:r w:rsidRPr="004A68AC">
              <w:rPr>
                <w:color w:val="auto"/>
                <w:sz w:val="18"/>
                <w:szCs w:val="18"/>
              </w:rPr>
              <w:t>EC8-3</w:t>
            </w:r>
            <w:r w:rsidR="00676161" w:rsidRPr="004A68AC">
              <w:rPr>
                <w:color w:val="auto"/>
                <w:sz w:val="18"/>
                <w:szCs w:val="18"/>
              </w:rPr>
              <w:t xml:space="preserve"> </w:t>
            </w:r>
            <w:r w:rsidR="00676161" w:rsidRPr="004A68AC">
              <w:rPr>
                <w:sz w:val="18"/>
                <w:szCs w:val="18"/>
              </w:rPr>
              <w:fldChar w:fldCharType="begin" w:fldLock="1"/>
            </w:r>
            <w:r w:rsidR="005C47A3" w:rsidRPr="004A68AC">
              <w:rPr>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676161" w:rsidRPr="004A68AC">
              <w:rPr>
                <w:sz w:val="18"/>
                <w:szCs w:val="18"/>
              </w:rPr>
              <w:fldChar w:fldCharType="separate"/>
            </w:r>
            <w:r w:rsidR="00855F83" w:rsidRPr="004A68AC">
              <w:rPr>
                <w:b w:val="0"/>
                <w:noProof/>
                <w:color w:val="auto"/>
                <w:sz w:val="18"/>
                <w:szCs w:val="18"/>
              </w:rPr>
              <w:t>[13]</w:t>
            </w:r>
            <w:r w:rsidR="00676161" w:rsidRPr="004A68AC">
              <w:rPr>
                <w:sz w:val="18"/>
                <w:szCs w:val="18"/>
              </w:rPr>
              <w:fldChar w:fldCharType="end"/>
            </w:r>
          </w:p>
        </w:tc>
        <w:tc>
          <w:tcPr>
            <w:tcW w:w="1332" w:type="pct"/>
            <w:tcBorders>
              <w:bottom w:val="nil"/>
            </w:tcBorders>
            <w:shd w:val="clear" w:color="auto" w:fill="auto"/>
            <w:vAlign w:val="center"/>
          </w:tcPr>
          <w:p w14:paraId="298F82EF" w14:textId="77777777" w:rsidR="00BF1723" w:rsidRPr="004A68AC" w:rsidRDefault="00BF1723" w:rsidP="0094690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Damage Limitation</w:t>
            </w:r>
          </w:p>
        </w:tc>
        <w:tc>
          <w:tcPr>
            <w:tcW w:w="1332" w:type="pct"/>
            <w:tcBorders>
              <w:bottom w:val="nil"/>
            </w:tcBorders>
            <w:shd w:val="clear" w:color="auto" w:fill="auto"/>
            <w:vAlign w:val="center"/>
          </w:tcPr>
          <w:p w14:paraId="019EC9B1" w14:textId="77777777" w:rsidR="00BF1723" w:rsidRPr="004A68AC" w:rsidRDefault="00BF1723" w:rsidP="0094690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Significant Damage</w:t>
            </w:r>
          </w:p>
        </w:tc>
        <w:tc>
          <w:tcPr>
            <w:tcW w:w="1332" w:type="pct"/>
            <w:tcBorders>
              <w:bottom w:val="nil"/>
            </w:tcBorders>
            <w:shd w:val="clear" w:color="auto" w:fill="auto"/>
            <w:vAlign w:val="center"/>
          </w:tcPr>
          <w:p w14:paraId="43AC4DFD" w14:textId="77777777" w:rsidR="00BF1723" w:rsidRPr="004A68AC" w:rsidRDefault="00BF1723" w:rsidP="0094690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Near Collapse</w:t>
            </w:r>
          </w:p>
        </w:tc>
      </w:tr>
      <w:tr w:rsidR="00BF1723" w:rsidRPr="004A68AC" w14:paraId="7BA1D05C" w14:textId="77777777" w:rsidTr="00946900">
        <w:trPr>
          <w:trHeight w:val="340"/>
          <w:jc w:val="center"/>
        </w:trPr>
        <w:tc>
          <w:tcPr>
            <w:cnfStyle w:val="001000000000" w:firstRow="0" w:lastRow="0" w:firstColumn="1" w:lastColumn="0" w:oddVBand="0" w:evenVBand="0" w:oddHBand="0" w:evenHBand="0" w:firstRowFirstColumn="0" w:firstRowLastColumn="0" w:lastRowFirstColumn="0" w:lastRowLastColumn="0"/>
            <w:tcW w:w="1003" w:type="pct"/>
            <w:tcBorders>
              <w:top w:val="nil"/>
              <w:bottom w:val="single" w:sz="8" w:space="0" w:color="auto"/>
            </w:tcBorders>
            <w:shd w:val="clear" w:color="auto" w:fill="auto"/>
            <w:vAlign w:val="center"/>
          </w:tcPr>
          <w:p w14:paraId="4DB9C563" w14:textId="43823085" w:rsidR="00BF1723" w:rsidRPr="004A68AC" w:rsidRDefault="00BF1723" w:rsidP="00946900">
            <w:pPr>
              <w:jc w:val="center"/>
              <w:rPr>
                <w:color w:val="auto"/>
                <w:sz w:val="18"/>
                <w:szCs w:val="18"/>
              </w:rPr>
            </w:pPr>
            <w:r w:rsidRPr="004A68AC">
              <w:rPr>
                <w:color w:val="auto"/>
                <w:sz w:val="18"/>
                <w:szCs w:val="18"/>
              </w:rPr>
              <w:t>ASCE-41</w:t>
            </w:r>
            <w:r w:rsidR="00676161" w:rsidRPr="004A68AC">
              <w:rPr>
                <w:color w:val="auto"/>
                <w:sz w:val="18"/>
                <w:szCs w:val="18"/>
              </w:rPr>
              <w:t xml:space="preserve"> </w:t>
            </w:r>
            <w:r w:rsidR="00676161"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676161" w:rsidRPr="004A68AC">
              <w:rPr>
                <w:sz w:val="18"/>
                <w:szCs w:val="18"/>
              </w:rPr>
              <w:fldChar w:fldCharType="separate"/>
            </w:r>
            <w:r w:rsidR="00B339CD" w:rsidRPr="004A68AC">
              <w:rPr>
                <w:b w:val="0"/>
                <w:noProof/>
                <w:color w:val="auto"/>
                <w:sz w:val="18"/>
                <w:szCs w:val="18"/>
              </w:rPr>
              <w:t>[15,18,19]</w:t>
            </w:r>
            <w:r w:rsidR="00676161" w:rsidRPr="004A68AC">
              <w:rPr>
                <w:sz w:val="18"/>
                <w:szCs w:val="18"/>
              </w:rPr>
              <w:fldChar w:fldCharType="end"/>
            </w:r>
          </w:p>
        </w:tc>
        <w:tc>
          <w:tcPr>
            <w:tcW w:w="1332" w:type="pct"/>
            <w:tcBorders>
              <w:top w:val="nil"/>
              <w:bottom w:val="single" w:sz="8" w:space="0" w:color="auto"/>
            </w:tcBorders>
            <w:shd w:val="clear" w:color="auto" w:fill="auto"/>
            <w:vAlign w:val="center"/>
          </w:tcPr>
          <w:p w14:paraId="6AD652DC" w14:textId="77777777" w:rsidR="00BF1723" w:rsidRPr="004A68AC" w:rsidRDefault="00BF1723" w:rsidP="0094690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Immediate Occupancy</w:t>
            </w:r>
          </w:p>
        </w:tc>
        <w:tc>
          <w:tcPr>
            <w:tcW w:w="1332" w:type="pct"/>
            <w:tcBorders>
              <w:top w:val="nil"/>
              <w:bottom w:val="single" w:sz="8" w:space="0" w:color="auto"/>
            </w:tcBorders>
            <w:shd w:val="clear" w:color="auto" w:fill="auto"/>
            <w:vAlign w:val="center"/>
          </w:tcPr>
          <w:p w14:paraId="3B35B157" w14:textId="77777777" w:rsidR="00BF1723" w:rsidRPr="004A68AC" w:rsidRDefault="00BF1723" w:rsidP="0094690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Life Safety</w:t>
            </w:r>
          </w:p>
        </w:tc>
        <w:tc>
          <w:tcPr>
            <w:tcW w:w="1332" w:type="pct"/>
            <w:tcBorders>
              <w:top w:val="nil"/>
              <w:bottom w:val="single" w:sz="8" w:space="0" w:color="auto"/>
            </w:tcBorders>
            <w:shd w:val="clear" w:color="auto" w:fill="auto"/>
            <w:vAlign w:val="center"/>
          </w:tcPr>
          <w:p w14:paraId="15E13458" w14:textId="77777777" w:rsidR="00BF1723" w:rsidRPr="004A68AC" w:rsidRDefault="00BF1723" w:rsidP="0094690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Collapse Prevention</w:t>
            </w:r>
          </w:p>
        </w:tc>
      </w:tr>
    </w:tbl>
    <w:p w14:paraId="57A8C1CB" w14:textId="001F5F38" w:rsidR="00BF1723" w:rsidRPr="004A68AC" w:rsidRDefault="00BF1723" w:rsidP="00B86008">
      <w:pPr>
        <w:rPr>
          <w:lang w:val="en-US" w:eastAsia="it-IT"/>
        </w:rPr>
      </w:pPr>
    </w:p>
    <w:p w14:paraId="4E948BFC" w14:textId="08099165" w:rsidR="00BF1723" w:rsidRPr="004A68AC" w:rsidRDefault="007E1941" w:rsidP="00F5026E">
      <w:pPr>
        <w:pStyle w:val="Heading3"/>
        <w:spacing w:before="0" w:after="0"/>
        <w:rPr>
          <w:rFonts w:ascii="Times New Roman" w:hAnsi="Times New Roman"/>
          <w:bCs w:val="0"/>
          <w:i/>
          <w:sz w:val="20"/>
          <w:szCs w:val="20"/>
          <w:lang w:val="en-US"/>
        </w:rPr>
      </w:pPr>
      <w:bookmarkStart w:id="8" w:name="_Toc43469886"/>
      <w:r w:rsidRPr="004A68AC">
        <w:rPr>
          <w:rFonts w:ascii="Times New Roman" w:hAnsi="Times New Roman"/>
          <w:bCs w:val="0"/>
          <w:i/>
          <w:sz w:val="20"/>
          <w:szCs w:val="20"/>
          <w:lang w:val="en-US"/>
        </w:rPr>
        <w:t>2.3 Hazard levels</w:t>
      </w:r>
      <w:bookmarkEnd w:id="8"/>
    </w:p>
    <w:p w14:paraId="3D4E2E67" w14:textId="37BC28EF" w:rsidR="00952247" w:rsidRPr="004A68AC" w:rsidRDefault="00727E5E" w:rsidP="00890C27">
      <w:pPr>
        <w:rPr>
          <w:lang w:val="en-US" w:eastAsia="it-IT"/>
        </w:rPr>
      </w:pPr>
      <w:r w:rsidRPr="004A68AC">
        <w:rPr>
          <w:lang w:val="en-US" w:eastAsia="it-IT"/>
        </w:rPr>
        <w:t xml:space="preserve">In a performance-based assessment framework, different levels of </w:t>
      </w:r>
      <w:r w:rsidR="001709EC" w:rsidRPr="004A68AC">
        <w:rPr>
          <w:lang w:val="en-US" w:eastAsia="it-IT"/>
        </w:rPr>
        <w:t xml:space="preserve">seismic </w:t>
      </w:r>
      <w:r w:rsidRPr="004A68AC">
        <w:rPr>
          <w:lang w:val="en-US" w:eastAsia="it-IT"/>
        </w:rPr>
        <w:t>performance (</w:t>
      </w:r>
      <w:r w:rsidR="009F24B3" w:rsidRPr="004A68AC">
        <w:rPr>
          <w:i/>
          <w:iCs/>
          <w:lang w:val="en-US" w:eastAsia="it-IT"/>
        </w:rPr>
        <w:t>e.g</w:t>
      </w:r>
      <w:r w:rsidRPr="004A68AC">
        <w:rPr>
          <w:i/>
          <w:iCs/>
          <w:lang w:val="en-US" w:eastAsia="it-IT"/>
        </w:rPr>
        <w:t>.</w:t>
      </w:r>
      <w:r w:rsidR="00BE135B" w:rsidRPr="004A68AC">
        <w:rPr>
          <w:i/>
          <w:iCs/>
          <w:lang w:val="en-US" w:eastAsia="it-IT"/>
        </w:rPr>
        <w:t>,</w:t>
      </w:r>
      <w:r w:rsidRPr="004A68AC">
        <w:rPr>
          <w:lang w:val="en-US" w:eastAsia="it-IT"/>
        </w:rPr>
        <w:t xml:space="preserve"> limit states) are </w:t>
      </w:r>
      <w:r w:rsidR="00A77457" w:rsidRPr="004A68AC">
        <w:rPr>
          <w:lang w:val="en-US" w:eastAsia="it-IT"/>
        </w:rPr>
        <w:t>correlated to</w:t>
      </w:r>
      <w:r w:rsidRPr="004A68AC">
        <w:rPr>
          <w:lang w:val="en-US" w:eastAsia="it-IT"/>
        </w:rPr>
        <w:t xml:space="preserve"> different levels of </w:t>
      </w:r>
      <w:r w:rsidR="001709EC" w:rsidRPr="004A68AC">
        <w:rPr>
          <w:lang w:val="en-US" w:eastAsia="it-IT"/>
        </w:rPr>
        <w:t xml:space="preserve">seismic </w:t>
      </w:r>
      <w:r w:rsidRPr="004A68AC">
        <w:rPr>
          <w:lang w:val="en-US" w:eastAsia="it-IT"/>
        </w:rPr>
        <w:t>hazard</w:t>
      </w:r>
      <w:r w:rsidR="005B52EF" w:rsidRPr="004A68AC">
        <w:rPr>
          <w:lang w:val="en-US" w:eastAsia="it-IT"/>
        </w:rPr>
        <w:t xml:space="preserve">. </w:t>
      </w:r>
      <w:r w:rsidR="00472988" w:rsidRPr="004A68AC">
        <w:rPr>
          <w:lang w:val="en-US" w:eastAsia="it-IT"/>
        </w:rPr>
        <w:t xml:space="preserve">The definition of the hazard level plays a major role in the seismic assessment of a structure. However, in the present paper the comparison of the </w:t>
      </w:r>
      <w:r w:rsidR="00952247" w:rsidRPr="004A68AC">
        <w:rPr>
          <w:lang w:val="en-US" w:eastAsia="it-IT"/>
        </w:rPr>
        <w:t xml:space="preserve">assessment procedures </w:t>
      </w:r>
      <w:r w:rsidR="00472988" w:rsidRPr="004A68AC">
        <w:rPr>
          <w:lang w:val="en-US" w:eastAsia="it-IT"/>
        </w:rPr>
        <w:t xml:space="preserve">focuses on </w:t>
      </w:r>
      <w:r w:rsidR="00952247" w:rsidRPr="004A68AC">
        <w:rPr>
          <w:lang w:val="en-US" w:eastAsia="it-IT"/>
        </w:rPr>
        <w:t xml:space="preserve">the different definition of the capacity limits, for different EDPs, and for </w:t>
      </w:r>
      <w:r w:rsidR="00472988" w:rsidRPr="004A68AC">
        <w:rPr>
          <w:lang w:val="en-US" w:eastAsia="it-IT"/>
        </w:rPr>
        <w:t xml:space="preserve">the </w:t>
      </w:r>
      <w:r w:rsidR="00952247" w:rsidRPr="004A68AC">
        <w:rPr>
          <w:lang w:val="en-US" w:eastAsia="it-IT"/>
        </w:rPr>
        <w:t xml:space="preserve">different seismic codes </w:t>
      </w:r>
      <w:r w:rsidR="00472988" w:rsidRPr="004A68AC">
        <w:rPr>
          <w:lang w:val="en-US" w:eastAsia="it-IT"/>
        </w:rPr>
        <w:t xml:space="preserve">by considering an approach that makes the </w:t>
      </w:r>
      <w:r w:rsidR="00472988" w:rsidRPr="004A68AC">
        <w:rPr>
          <w:lang w:val="en-US" w:eastAsia="it-IT"/>
        </w:rPr>
        <w:lastRenderedPageBreak/>
        <w:t xml:space="preserve">evaluation </w:t>
      </w:r>
      <w:r w:rsidR="00952247" w:rsidRPr="004A68AC">
        <w:rPr>
          <w:lang w:val="en-US" w:eastAsia="it-IT"/>
        </w:rPr>
        <w:t>independent</w:t>
      </w:r>
      <w:r w:rsidR="00472988" w:rsidRPr="004A68AC">
        <w:rPr>
          <w:lang w:val="en-US" w:eastAsia="it-IT"/>
        </w:rPr>
        <w:t xml:space="preserve"> </w:t>
      </w:r>
      <w:r w:rsidR="00952247" w:rsidRPr="004A68AC">
        <w:rPr>
          <w:lang w:val="en-US" w:eastAsia="it-IT"/>
        </w:rPr>
        <w:t xml:space="preserve">from the seismic hazard. </w:t>
      </w:r>
      <w:r w:rsidR="008347D2" w:rsidRPr="004A68AC">
        <w:rPr>
          <w:lang w:val="en-US" w:eastAsia="it-IT"/>
        </w:rPr>
        <w:t>Nonetheless</w:t>
      </w:r>
      <w:r w:rsidR="00952247" w:rsidRPr="004A68AC">
        <w:rPr>
          <w:lang w:val="en-US" w:eastAsia="it-IT"/>
        </w:rPr>
        <w:t xml:space="preserve">, to provide a </w:t>
      </w:r>
      <w:r w:rsidR="00472988" w:rsidRPr="004A68AC">
        <w:rPr>
          <w:lang w:val="en-US" w:eastAsia="it-IT"/>
        </w:rPr>
        <w:t>comprehensive overview of the assessment procedures, a brief description of key aspects related to the seismic hazard definition are reported in the follow</w:t>
      </w:r>
      <w:r w:rsidR="008347D2" w:rsidRPr="004A68AC">
        <w:rPr>
          <w:lang w:val="en-US" w:eastAsia="it-IT"/>
        </w:rPr>
        <w:t>ing</w:t>
      </w:r>
      <w:r w:rsidR="00472988" w:rsidRPr="004A68AC">
        <w:rPr>
          <w:lang w:val="en-US" w:eastAsia="it-IT"/>
        </w:rPr>
        <w:t>.</w:t>
      </w:r>
    </w:p>
    <w:p w14:paraId="487B25ED" w14:textId="77777777" w:rsidR="00AC0A2B" w:rsidRPr="004A68AC" w:rsidRDefault="00AC0A2B" w:rsidP="00890C27">
      <w:pPr>
        <w:rPr>
          <w:lang w:val="en-US" w:eastAsia="it-IT"/>
        </w:rPr>
      </w:pPr>
    </w:p>
    <w:p w14:paraId="0C1501B9" w14:textId="6640DD74" w:rsidR="00920833" w:rsidRPr="004A68AC" w:rsidRDefault="00472988" w:rsidP="00890C27">
      <w:pPr>
        <w:rPr>
          <w:lang w:val="en-US" w:eastAsia="it-IT"/>
        </w:rPr>
      </w:pPr>
      <w:r w:rsidRPr="004A68AC">
        <w:rPr>
          <w:lang w:val="en-US" w:eastAsia="it-IT"/>
        </w:rPr>
        <w:t xml:space="preserve">     </w:t>
      </w:r>
      <w:r w:rsidR="00C47A2A" w:rsidRPr="004A68AC">
        <w:rPr>
          <w:lang w:val="en-US" w:eastAsia="it-IT"/>
        </w:rPr>
        <w:t xml:space="preserve">The EC8-3 </w:t>
      </w:r>
      <w:r w:rsidR="00C47A2A"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C47A2A" w:rsidRPr="004A68AC">
        <w:rPr>
          <w:lang w:val="en-US" w:eastAsia="it-IT"/>
        </w:rPr>
        <w:fldChar w:fldCharType="separate"/>
      </w:r>
      <w:r w:rsidR="00855F83" w:rsidRPr="004A68AC">
        <w:rPr>
          <w:noProof/>
          <w:lang w:val="en-US" w:eastAsia="it-IT"/>
        </w:rPr>
        <w:t>[13]</w:t>
      </w:r>
      <w:r w:rsidR="00C47A2A" w:rsidRPr="004A68AC">
        <w:rPr>
          <w:lang w:val="en-US" w:eastAsia="it-IT"/>
        </w:rPr>
        <w:fldChar w:fldCharType="end"/>
      </w:r>
      <w:r w:rsidR="00C47A2A" w:rsidRPr="004A68AC">
        <w:rPr>
          <w:lang w:val="en-US" w:eastAsia="it-IT"/>
        </w:rPr>
        <w:t xml:space="preserve">, </w:t>
      </w:r>
      <w:r w:rsidR="00044F9C" w:rsidRPr="004A68AC">
        <w:rPr>
          <w:lang w:val="en-US" w:eastAsia="it-IT"/>
        </w:rPr>
        <w:t xml:space="preserve">suggests that for </w:t>
      </w:r>
      <w:r w:rsidR="005F57D8" w:rsidRPr="004A68AC">
        <w:rPr>
          <w:lang w:val="en-US" w:eastAsia="it-IT"/>
        </w:rPr>
        <w:t>building structures</w:t>
      </w:r>
      <w:r w:rsidR="00044F9C" w:rsidRPr="004A68AC">
        <w:rPr>
          <w:lang w:val="en-US" w:eastAsia="it-IT"/>
        </w:rPr>
        <w:t xml:space="preserve"> the following hazard levels should be used</w:t>
      </w:r>
      <w:r w:rsidR="00C47A2A" w:rsidRPr="004A68AC">
        <w:rPr>
          <w:lang w:val="en-US" w:eastAsia="it-IT"/>
        </w:rPr>
        <w:t xml:space="preserve">: </w:t>
      </w:r>
      <w:r w:rsidR="00044F9C" w:rsidRPr="004A68AC">
        <w:rPr>
          <w:lang w:val="en-US" w:eastAsia="it-IT"/>
        </w:rPr>
        <w:t xml:space="preserve">a return period of 225 years (20% probability of exceedance in 50 years) for </w:t>
      </w:r>
      <w:r w:rsidR="005B52EF" w:rsidRPr="004A68AC">
        <w:rPr>
          <w:lang w:val="en-US" w:eastAsia="it-IT"/>
        </w:rPr>
        <w:t>L</w:t>
      </w:r>
      <w:r w:rsidR="00044F9C" w:rsidRPr="004A68AC">
        <w:rPr>
          <w:lang w:val="en-US" w:eastAsia="it-IT"/>
        </w:rPr>
        <w:t xml:space="preserve">S1; 475 years (10% probability </w:t>
      </w:r>
      <w:r w:rsidR="005B52EF" w:rsidRPr="004A68AC">
        <w:rPr>
          <w:lang w:val="en-US" w:eastAsia="it-IT"/>
        </w:rPr>
        <w:t>of exceedance in 50 years) for L</w:t>
      </w:r>
      <w:r w:rsidR="00044F9C" w:rsidRPr="004A68AC">
        <w:rPr>
          <w:lang w:val="en-US" w:eastAsia="it-IT"/>
        </w:rPr>
        <w:t>S2; and 2,475 years (2% probability of exceedance in 50</w:t>
      </w:r>
      <w:r w:rsidR="005B52EF" w:rsidRPr="004A68AC">
        <w:rPr>
          <w:lang w:val="en-US" w:eastAsia="it-IT"/>
        </w:rPr>
        <w:t xml:space="preserve"> years) for L</w:t>
      </w:r>
      <w:r w:rsidR="00044F9C" w:rsidRPr="004A68AC">
        <w:rPr>
          <w:lang w:val="en-US" w:eastAsia="it-IT"/>
        </w:rPr>
        <w:t>S3</w:t>
      </w:r>
      <w:r w:rsidR="00C11EAC" w:rsidRPr="004A68AC">
        <w:rPr>
          <w:lang w:val="en-US" w:eastAsia="it-IT"/>
        </w:rPr>
        <w:t xml:space="preserve">, which are further modified by </w:t>
      </w:r>
      <w:r w:rsidRPr="004A68AC">
        <w:rPr>
          <w:lang w:val="en-US" w:eastAsia="it-IT"/>
        </w:rPr>
        <w:t>importance factor</w:t>
      </w:r>
      <w:r w:rsidR="00C11EAC" w:rsidRPr="004A68AC">
        <w:rPr>
          <w:lang w:val="en-US" w:eastAsia="it-IT"/>
        </w:rPr>
        <w:t>s (</w:t>
      </w:r>
      <w:r w:rsidRPr="004A68AC">
        <w:rPr>
          <w:lang w:val="en-US" w:eastAsia="it-IT"/>
        </w:rPr>
        <w:t>from 0.9 to 1.4</w:t>
      </w:r>
      <w:r w:rsidR="00C11EAC" w:rsidRPr="004A68AC">
        <w:rPr>
          <w:lang w:val="en-US" w:eastAsia="it-IT"/>
        </w:rPr>
        <w:t>) and in some cases, by the country’s National Annex</w:t>
      </w:r>
      <w:r w:rsidR="00C1226F" w:rsidRPr="004A68AC">
        <w:rPr>
          <w:lang w:val="en-US" w:eastAsia="it-IT"/>
        </w:rPr>
        <w:t xml:space="preserve"> </w:t>
      </w:r>
      <w:r w:rsidR="00C1226F"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1998-1","id":"ITEM-1","issued":{"date-parts":[["2004"]]},"title":"Eurocode 8: Design of structures for earthquake resistance - Part 1: General rules, seismic actions and rules for buildings","type":"article"},"uris":["http://www.mendeley.com/documents/?uuid=99be25ec-7338-43a9-990c-8774c3905b39"]}],"mendeley":{"formattedCitation":"[4]","plainTextFormattedCitation":"[4]","previouslyFormattedCitation":"[4]"},"properties":{"noteIndex":0},"schema":"https://github.com/citation-style-language/schema/raw/master/csl-citation.json"}</w:instrText>
      </w:r>
      <w:r w:rsidR="00C1226F" w:rsidRPr="004A68AC">
        <w:rPr>
          <w:lang w:val="en-US" w:eastAsia="it-IT"/>
        </w:rPr>
        <w:fldChar w:fldCharType="separate"/>
      </w:r>
      <w:r w:rsidR="00057CD5" w:rsidRPr="004A68AC">
        <w:rPr>
          <w:noProof/>
          <w:lang w:val="en-US" w:eastAsia="it-IT"/>
        </w:rPr>
        <w:t>[4]</w:t>
      </w:r>
      <w:r w:rsidR="00C1226F" w:rsidRPr="004A68AC">
        <w:rPr>
          <w:lang w:val="en-US" w:eastAsia="it-IT"/>
        </w:rPr>
        <w:fldChar w:fldCharType="end"/>
      </w:r>
      <w:r w:rsidR="00C1226F" w:rsidRPr="004A68AC">
        <w:rPr>
          <w:lang w:val="en-US" w:eastAsia="it-IT"/>
        </w:rPr>
        <w:t>.</w:t>
      </w:r>
    </w:p>
    <w:p w14:paraId="5995F3A2" w14:textId="77777777" w:rsidR="00AC0A2B" w:rsidRPr="004A68AC" w:rsidRDefault="00AC0A2B" w:rsidP="00B86008">
      <w:pPr>
        <w:rPr>
          <w:lang w:val="en-US" w:eastAsia="it-IT"/>
        </w:rPr>
      </w:pPr>
    </w:p>
    <w:p w14:paraId="5B27E865" w14:textId="59CD98C3" w:rsidR="00195CA4" w:rsidRPr="004A68AC" w:rsidRDefault="00637CD2" w:rsidP="00B86008">
      <w:pPr>
        <w:rPr>
          <w:lang w:val="en-US" w:eastAsia="it-IT"/>
        </w:rPr>
      </w:pPr>
      <w:r w:rsidRPr="004A68AC">
        <w:rPr>
          <w:lang w:val="en-US" w:eastAsia="it-IT"/>
        </w:rPr>
        <w:t xml:space="preserve">     </w:t>
      </w:r>
      <w:r w:rsidR="0081245C" w:rsidRPr="004A68AC">
        <w:rPr>
          <w:lang w:val="en-US" w:eastAsia="it-IT"/>
        </w:rPr>
        <w:t xml:space="preserve">On the other hand, </w:t>
      </w:r>
      <w:r w:rsidR="00952247" w:rsidRPr="004A68AC">
        <w:rPr>
          <w:lang w:val="en-US" w:eastAsia="it-IT"/>
        </w:rPr>
        <w:t xml:space="preserve">in </w:t>
      </w:r>
      <w:r w:rsidR="0081245C" w:rsidRPr="004A68AC">
        <w:rPr>
          <w:lang w:val="en-US" w:eastAsia="it-IT"/>
        </w:rPr>
        <w:t xml:space="preserve">the American codes </w:t>
      </w:r>
      <w:r w:rsidR="0081245C"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Buildings","type":"article"},"uris":["http://www.mendeley.com/documents/?uuid=e1e1c9a1-8439-4464-8e57-e6a99a956fd4"]},{"id":"ITEM-2","itemData":{"DOI":"10.1061/9780784414859","ISBN":"9780784412855","author":[{"dropping-particle":"","family":"American Society of Civil Engineers","given":"","non-dropping-particle":"","parse-names":false,"suffix":""}],"container-title":"ASCE/SEI 41-17","id":"ITEM-2","issued":{"date-parts":[["2017"]]},"title":"Seismic Evaluation and Retrofit of Existing Buildings","type":"article"},"uris":["http://www.mendeley.com/documents/?uuid=0dfd1fff-db69-4728-b658-30ff1c502a98"]},{"id":"ITEM-3","itemData":{"DOI":"10.1061/9780784408841","ISBN":"9780784408841","author":[{"dropping-particle":"","family":"American Society of Civil Engineers","given":"","non-dropping-particle":"","parse-names":false,"suffix":""}],"container-title":"ASCE/SEI 41-06","id":"ITEM-3","issued":{"date-parts":[["2007"]]},"title":"Seismic Rehabilitation of Existing Buildings","type":"article"},"uris":["http://www.mendeley.com/documents/?uuid=e32cfdb6-620a-411a-a7d6-8e56de32bcc1"]}],"mendeley":{"formattedCitation":"[15,18,19]","plainTextFormattedCitation":"[15,18,19]","previouslyFormattedCitation":"[15,18,19]"},"properties":{"noteIndex":0},"schema":"https://github.com/citation-style-language/schema/raw/master/csl-citation.json"}</w:instrText>
      </w:r>
      <w:r w:rsidR="0081245C" w:rsidRPr="004A68AC">
        <w:rPr>
          <w:lang w:val="en-US" w:eastAsia="it-IT"/>
        </w:rPr>
        <w:fldChar w:fldCharType="separate"/>
      </w:r>
      <w:r w:rsidR="00B339CD" w:rsidRPr="004A68AC">
        <w:rPr>
          <w:noProof/>
          <w:lang w:val="en-US" w:eastAsia="it-IT"/>
        </w:rPr>
        <w:t>[15,18,19]</w:t>
      </w:r>
      <w:r w:rsidR="0081245C" w:rsidRPr="004A68AC">
        <w:rPr>
          <w:lang w:val="en-US" w:eastAsia="it-IT"/>
        </w:rPr>
        <w:fldChar w:fldCharType="end"/>
      </w:r>
      <w:r w:rsidR="0081245C" w:rsidRPr="004A68AC">
        <w:rPr>
          <w:lang w:val="en-US" w:eastAsia="it-IT"/>
        </w:rPr>
        <w:t xml:space="preserve"> </w:t>
      </w:r>
      <w:r w:rsidR="00952247" w:rsidRPr="004A68AC">
        <w:rPr>
          <w:lang w:val="en-US" w:eastAsia="it-IT"/>
        </w:rPr>
        <w:t>the different levels of seismic performance are correlated to different levels of seismic hazard</w:t>
      </w:r>
      <w:r w:rsidR="00952247" w:rsidRPr="004A68AC" w:rsidDel="001709EC">
        <w:rPr>
          <w:lang w:val="en-US" w:eastAsia="it-IT"/>
        </w:rPr>
        <w:t xml:space="preserve"> </w:t>
      </w:r>
      <w:r w:rsidR="00093CE8" w:rsidRPr="004A68AC">
        <w:rPr>
          <w:lang w:val="en-US" w:eastAsia="it-IT"/>
        </w:rPr>
        <w:t>by a matrix</w:t>
      </w:r>
      <w:r w:rsidR="00952247" w:rsidRPr="004A68AC">
        <w:rPr>
          <w:lang w:val="en-US" w:eastAsia="it-IT"/>
        </w:rPr>
        <w:t xml:space="preserve">. In this case, differently from the EC8-3, </w:t>
      </w:r>
      <w:r w:rsidR="00093CE8" w:rsidRPr="004A68AC">
        <w:rPr>
          <w:lang w:val="en-US" w:eastAsia="it-IT"/>
        </w:rPr>
        <w:t>the s</w:t>
      </w:r>
      <w:r w:rsidR="001B7E2B" w:rsidRPr="004A68AC">
        <w:rPr>
          <w:lang w:val="en-US" w:eastAsia="it-IT"/>
        </w:rPr>
        <w:t>takeholders</w:t>
      </w:r>
      <w:r w:rsidR="009F24B3" w:rsidRPr="004A68AC">
        <w:rPr>
          <w:lang w:val="en-US" w:eastAsia="it-IT"/>
        </w:rPr>
        <w:t xml:space="preserve"> (</w:t>
      </w:r>
      <w:r w:rsidR="009F24B3" w:rsidRPr="004A68AC">
        <w:rPr>
          <w:i/>
          <w:lang w:val="en-US" w:eastAsia="it-IT"/>
        </w:rPr>
        <w:t>e.g.</w:t>
      </w:r>
      <w:r w:rsidR="009F24B3" w:rsidRPr="004A68AC">
        <w:rPr>
          <w:lang w:val="en-US" w:eastAsia="it-IT"/>
        </w:rPr>
        <w:t>, owner, authorities)</w:t>
      </w:r>
      <w:r w:rsidR="001B7E2B" w:rsidRPr="004A68AC">
        <w:rPr>
          <w:lang w:val="en-US" w:eastAsia="it-IT"/>
        </w:rPr>
        <w:t xml:space="preserve"> </w:t>
      </w:r>
      <w:r w:rsidR="00952247" w:rsidRPr="004A68AC">
        <w:rPr>
          <w:lang w:val="en-US" w:eastAsia="it-IT"/>
        </w:rPr>
        <w:t xml:space="preserve">are </w:t>
      </w:r>
      <w:r w:rsidR="009F24B3" w:rsidRPr="004A68AC">
        <w:rPr>
          <w:lang w:val="en-US" w:eastAsia="it-IT"/>
        </w:rPr>
        <w:t>in charge of deciding</w:t>
      </w:r>
      <w:r w:rsidR="00093CE8" w:rsidRPr="004A68AC">
        <w:rPr>
          <w:lang w:val="en-US" w:eastAsia="it-IT"/>
        </w:rPr>
        <w:t xml:space="preserve"> what performance level should be linked to each hazard level</w:t>
      </w:r>
      <w:r w:rsidR="001B7E2B" w:rsidRPr="004A68AC">
        <w:rPr>
          <w:lang w:val="en-US" w:eastAsia="it-IT"/>
        </w:rPr>
        <w:t>.</w:t>
      </w:r>
      <w:r w:rsidR="00E435EB" w:rsidRPr="004A68AC">
        <w:rPr>
          <w:lang w:val="en-US" w:eastAsia="it-IT"/>
        </w:rPr>
        <w:t xml:space="preserve"> </w:t>
      </w:r>
      <w:r w:rsidR="00952247" w:rsidRPr="004A68AC">
        <w:rPr>
          <w:lang w:val="en-US" w:eastAsia="it-IT"/>
        </w:rPr>
        <w:t>However</w:t>
      </w:r>
      <w:r w:rsidR="00E435EB" w:rsidRPr="004A68AC">
        <w:rPr>
          <w:lang w:val="en-US" w:eastAsia="it-IT"/>
        </w:rPr>
        <w:t xml:space="preserve">, </w:t>
      </w:r>
      <w:r w:rsidR="00952247" w:rsidRPr="004A68AC">
        <w:rPr>
          <w:lang w:val="en-US" w:eastAsia="it-IT"/>
        </w:rPr>
        <w:t>the codes provide suggestions of this correlation</w:t>
      </w:r>
      <w:r w:rsidR="00E417DB" w:rsidRPr="004A68AC">
        <w:rPr>
          <w:lang w:val="en-US" w:eastAsia="it-IT"/>
        </w:rPr>
        <w:t xml:space="preserve"> </w:t>
      </w:r>
      <w:r w:rsidR="00952247" w:rsidRPr="004A68AC">
        <w:rPr>
          <w:lang w:val="en-US" w:eastAsia="it-IT"/>
        </w:rPr>
        <w:t xml:space="preserve">based </w:t>
      </w:r>
      <w:r w:rsidR="00E417DB" w:rsidRPr="004A68AC">
        <w:rPr>
          <w:lang w:val="en-US" w:eastAsia="it-IT"/>
        </w:rPr>
        <w:t>on the risk c</w:t>
      </w:r>
      <w:r w:rsidR="001B7E2B" w:rsidRPr="004A68AC">
        <w:rPr>
          <w:lang w:val="en-US" w:eastAsia="it-IT"/>
        </w:rPr>
        <w:t xml:space="preserve">ategory </w:t>
      </w:r>
      <w:r w:rsidR="00952247" w:rsidRPr="004A68AC">
        <w:rPr>
          <w:lang w:val="en-US" w:eastAsia="it-IT"/>
        </w:rPr>
        <w:t xml:space="preserve">of the structures </w:t>
      </w:r>
      <w:r w:rsidR="00754B61" w:rsidRPr="004A68AC">
        <w:rPr>
          <w:lang w:val="en-US" w:eastAsia="it-IT"/>
        </w:rPr>
        <w:t xml:space="preserve">defined </w:t>
      </w:r>
      <w:r w:rsidR="00952247" w:rsidRPr="004A68AC">
        <w:rPr>
          <w:lang w:val="en-US" w:eastAsia="it-IT"/>
        </w:rPr>
        <w:t xml:space="preserve">according to the </w:t>
      </w:r>
      <w:r w:rsidR="001B7E2B" w:rsidRPr="004A68AC">
        <w:rPr>
          <w:lang w:val="en-US" w:eastAsia="it-IT"/>
        </w:rPr>
        <w:t xml:space="preserve">ASCE 7-16 </w:t>
      </w:r>
      <w:r w:rsidR="003E1FC8" w:rsidRPr="004A68AC">
        <w:rPr>
          <w:lang w:val="en-US" w:eastAsia="it-IT"/>
        </w:rPr>
        <w:fldChar w:fldCharType="begin" w:fldLock="1"/>
      </w:r>
      <w:r w:rsidR="005C47A3" w:rsidRPr="004A68AC">
        <w:rPr>
          <w:lang w:val="en-US" w:eastAsia="it-IT"/>
        </w:rPr>
        <w:instrText>ADDIN CSL_CITATION {"citationItems":[{"id":"ITEM-1","itemData":{"DOI":"10.1061/9780784414248","ISBN":"978-0-7844-7996-4","author":[{"dropping-particle":"","family":"American Society of Civil Engineers","given":"","non-dropping-particle":"","parse-names":false,"suffix":""}],"container-title":"ASCE/SEI 7-16","id":"ITEM-1","issued":{"date-parts":[["2017"]]},"title":"Minimum Design Loads and Associated Criteria for Buildings and Other Structures","type":"article"},"uris":["http://www.mendeley.com/documents/?uuid=5943af8f-2949-42e3-b36a-747994912dbd"]}],"mendeley":{"formattedCitation":"[5]","plainTextFormattedCitation":"[5]","previouslyFormattedCitation":"[5]"},"properties":{"noteIndex":0},"schema":"https://github.com/citation-style-language/schema/raw/master/csl-citation.json"}</w:instrText>
      </w:r>
      <w:r w:rsidR="003E1FC8" w:rsidRPr="004A68AC">
        <w:rPr>
          <w:lang w:val="en-US" w:eastAsia="it-IT"/>
        </w:rPr>
        <w:fldChar w:fldCharType="separate"/>
      </w:r>
      <w:r w:rsidR="00057CD5" w:rsidRPr="004A68AC">
        <w:rPr>
          <w:noProof/>
          <w:lang w:val="en-US" w:eastAsia="it-IT"/>
        </w:rPr>
        <w:t>[5]</w:t>
      </w:r>
      <w:r w:rsidR="003E1FC8" w:rsidRPr="004A68AC">
        <w:rPr>
          <w:lang w:val="en-US" w:eastAsia="it-IT"/>
        </w:rPr>
        <w:fldChar w:fldCharType="end"/>
      </w:r>
      <w:r w:rsidR="003A3487" w:rsidRPr="004A68AC">
        <w:rPr>
          <w:lang w:val="en-US" w:eastAsia="it-IT"/>
        </w:rPr>
        <w:t xml:space="preserve">. For example, </w:t>
      </w:r>
      <w:r w:rsidR="0041005D" w:rsidRPr="004A68AC">
        <w:rPr>
          <w:lang w:val="en-US" w:eastAsia="it-IT"/>
        </w:rPr>
        <w:t xml:space="preserve">for </w:t>
      </w:r>
      <w:r w:rsidR="003A3487" w:rsidRPr="004A68AC">
        <w:rPr>
          <w:lang w:val="en-US" w:eastAsia="it-IT"/>
        </w:rPr>
        <w:t>an existing structure in the risk category II (</w:t>
      </w:r>
      <w:r w:rsidR="003A3487" w:rsidRPr="004A68AC">
        <w:rPr>
          <w:i/>
          <w:lang w:val="en-US" w:eastAsia="it-IT"/>
        </w:rPr>
        <w:t>e.g.</w:t>
      </w:r>
      <w:r w:rsidR="003A3487" w:rsidRPr="004A68AC">
        <w:rPr>
          <w:lang w:val="en-US" w:eastAsia="it-IT"/>
        </w:rPr>
        <w:t xml:space="preserve">, </w:t>
      </w:r>
      <w:r w:rsidR="0041005D" w:rsidRPr="004A68AC">
        <w:rPr>
          <w:lang w:val="en-US" w:eastAsia="it-IT"/>
        </w:rPr>
        <w:t>a small office building), the Basic Performance Objective for Existing Buildings (BPOE) suggest return period</w:t>
      </w:r>
      <w:r w:rsidR="00243E15" w:rsidRPr="004A68AC">
        <w:rPr>
          <w:lang w:val="en-US" w:eastAsia="it-IT"/>
        </w:rPr>
        <w:t>s</w:t>
      </w:r>
      <w:r w:rsidR="0041005D" w:rsidRPr="004A68AC">
        <w:rPr>
          <w:lang w:val="en-US" w:eastAsia="it-IT"/>
        </w:rPr>
        <w:t xml:space="preserve"> of </w:t>
      </w:r>
      <w:r w:rsidR="007E3420" w:rsidRPr="004A68AC">
        <w:rPr>
          <w:lang w:val="en-US" w:eastAsia="it-IT"/>
        </w:rPr>
        <w:t>225 years</w:t>
      </w:r>
      <w:r w:rsidR="0041005D" w:rsidRPr="004A68AC">
        <w:rPr>
          <w:lang w:val="en-US" w:eastAsia="it-IT"/>
        </w:rPr>
        <w:t xml:space="preserve"> for LS1,</w:t>
      </w:r>
      <w:r w:rsidR="00243E15" w:rsidRPr="004A68AC">
        <w:rPr>
          <w:lang w:val="en-US" w:eastAsia="it-IT"/>
        </w:rPr>
        <w:t xml:space="preserve"> and</w:t>
      </w:r>
      <w:r w:rsidR="0041005D" w:rsidRPr="004A68AC">
        <w:rPr>
          <w:lang w:val="en-US" w:eastAsia="it-IT"/>
        </w:rPr>
        <w:t xml:space="preserve"> </w:t>
      </w:r>
      <w:r w:rsidR="007E3420" w:rsidRPr="004A68AC">
        <w:rPr>
          <w:lang w:val="en-US" w:eastAsia="it-IT"/>
        </w:rPr>
        <w:t xml:space="preserve">975 years </w:t>
      </w:r>
      <w:r w:rsidR="00243E15" w:rsidRPr="004A68AC">
        <w:rPr>
          <w:lang w:val="en-US" w:eastAsia="it-IT"/>
        </w:rPr>
        <w:t xml:space="preserve">for </w:t>
      </w:r>
      <w:r w:rsidR="0041005D" w:rsidRPr="004A68AC">
        <w:rPr>
          <w:lang w:val="en-US" w:eastAsia="it-IT"/>
        </w:rPr>
        <w:t>LS3</w:t>
      </w:r>
      <w:r w:rsidR="003E1FC8" w:rsidRPr="004A68AC">
        <w:rPr>
          <w:lang w:val="en-US" w:eastAsia="it-IT"/>
        </w:rPr>
        <w:t>.</w:t>
      </w:r>
      <w:r w:rsidR="00243E15" w:rsidRPr="004A68AC">
        <w:rPr>
          <w:lang w:val="en-US" w:eastAsia="it-IT"/>
        </w:rPr>
        <w:t xml:space="preserve"> </w:t>
      </w:r>
    </w:p>
    <w:p w14:paraId="6DADCA29" w14:textId="77777777" w:rsidR="00AC0A2B" w:rsidRPr="004A68AC" w:rsidRDefault="00AC0A2B" w:rsidP="00B86008">
      <w:pPr>
        <w:rPr>
          <w:lang w:val="en-US" w:eastAsia="it-IT"/>
        </w:rPr>
      </w:pPr>
    </w:p>
    <w:p w14:paraId="081FA25E" w14:textId="6254BD83" w:rsidR="009C56F4" w:rsidRPr="004A68AC" w:rsidRDefault="00A42238" w:rsidP="009C56F4">
      <w:pPr>
        <w:pStyle w:val="Heading1"/>
        <w:tabs>
          <w:tab w:val="clear" w:pos="720"/>
          <w:tab w:val="num" w:pos="360"/>
        </w:tabs>
        <w:spacing w:before="0" w:after="0"/>
        <w:ind w:left="0" w:firstLine="0"/>
        <w:jc w:val="both"/>
        <w:rPr>
          <w:szCs w:val="20"/>
          <w:lang w:val="en-US"/>
        </w:rPr>
      </w:pPr>
      <w:r w:rsidRPr="004A68AC">
        <w:rPr>
          <w:szCs w:val="20"/>
          <w:lang w:val="en-US"/>
        </w:rPr>
        <w:t>CODE-BASED</w:t>
      </w:r>
      <w:r w:rsidR="00D540E1" w:rsidRPr="004A68AC">
        <w:rPr>
          <w:szCs w:val="20"/>
          <w:lang w:val="en-US"/>
        </w:rPr>
        <w:t xml:space="preserve"> CAPACITY VALUES </w:t>
      </w:r>
      <w:r w:rsidR="00B57059" w:rsidRPr="004A68AC">
        <w:rPr>
          <w:szCs w:val="20"/>
          <w:lang w:val="en-US"/>
        </w:rPr>
        <w:t>IN STEEL MOMENT RESISTING FRAMES</w:t>
      </w:r>
    </w:p>
    <w:p w14:paraId="438732E5" w14:textId="344B0C80" w:rsidR="00F5026E" w:rsidRPr="004A68AC" w:rsidRDefault="00F54D9F" w:rsidP="008A167B">
      <w:pPr>
        <w:rPr>
          <w:lang w:val="en-US" w:eastAsia="it-IT"/>
        </w:rPr>
      </w:pPr>
      <w:r w:rsidRPr="004A68AC">
        <w:rPr>
          <w:lang w:val="en-US" w:eastAsia="it-IT"/>
        </w:rPr>
        <w:t>T</w:t>
      </w:r>
      <w:r w:rsidR="00272E6E" w:rsidRPr="004A68AC">
        <w:rPr>
          <w:lang w:val="en-US" w:eastAsia="it-IT"/>
        </w:rPr>
        <w:t xml:space="preserve">hree </w:t>
      </w:r>
      <w:r w:rsidRPr="004A68AC">
        <w:rPr>
          <w:lang w:val="en-US" w:eastAsia="it-IT"/>
        </w:rPr>
        <w:t xml:space="preserve">code-based </w:t>
      </w:r>
      <w:r w:rsidR="009D2173" w:rsidRPr="004A68AC">
        <w:rPr>
          <w:lang w:val="en-US" w:eastAsia="it-IT"/>
        </w:rPr>
        <w:t xml:space="preserve">component-level </w:t>
      </w:r>
      <w:r w:rsidR="00FE5F6B" w:rsidRPr="004A68AC">
        <w:rPr>
          <w:lang w:val="en-US" w:eastAsia="it-IT"/>
        </w:rPr>
        <w:t xml:space="preserve">EDPs </w:t>
      </w:r>
      <w:r w:rsidR="00272E6E" w:rsidRPr="004A68AC">
        <w:rPr>
          <w:lang w:val="en-US" w:eastAsia="it-IT"/>
        </w:rPr>
        <w:t xml:space="preserve">are </w:t>
      </w:r>
      <w:r w:rsidRPr="004A68AC">
        <w:rPr>
          <w:lang w:val="en-US" w:eastAsia="it-IT"/>
        </w:rPr>
        <w:t>considered in this study</w:t>
      </w:r>
      <w:r w:rsidR="00272E6E" w:rsidRPr="004A68AC">
        <w:rPr>
          <w:lang w:val="en-US" w:eastAsia="it-IT"/>
        </w:rPr>
        <w:t xml:space="preserve">: </w:t>
      </w:r>
      <w:r w:rsidR="00B57059" w:rsidRPr="004A68AC">
        <w:rPr>
          <w:lang w:val="en-US" w:eastAsia="it-IT"/>
        </w:rPr>
        <w:t>(</w:t>
      </w:r>
      <w:r w:rsidR="008D2C3F" w:rsidRPr="004A68AC">
        <w:rPr>
          <w:lang w:val="en-US" w:eastAsia="it-IT"/>
        </w:rPr>
        <w:t>1) chord rotation in columns</w:t>
      </w:r>
      <w:r w:rsidR="00E43A29" w:rsidRPr="004A68AC">
        <w:rPr>
          <w:lang w:val="en-US" w:eastAsia="it-IT"/>
        </w:rPr>
        <w:t xml:space="preserve">; </w:t>
      </w:r>
      <w:r w:rsidR="00B57059" w:rsidRPr="004A68AC">
        <w:rPr>
          <w:lang w:val="en-US" w:eastAsia="it-IT"/>
        </w:rPr>
        <w:t>(</w:t>
      </w:r>
      <w:r w:rsidR="008D2C3F" w:rsidRPr="004A68AC">
        <w:rPr>
          <w:lang w:val="en-US" w:eastAsia="it-IT"/>
        </w:rPr>
        <w:t>2) chord rotation in beams</w:t>
      </w:r>
      <w:r w:rsidR="00E43A29" w:rsidRPr="004A68AC">
        <w:rPr>
          <w:lang w:val="en-US" w:eastAsia="it-IT"/>
        </w:rPr>
        <w:t>;</w:t>
      </w:r>
      <w:r w:rsidR="008D2C3F" w:rsidRPr="004A68AC">
        <w:rPr>
          <w:lang w:val="en-US" w:eastAsia="it-IT"/>
        </w:rPr>
        <w:t xml:space="preserve"> </w:t>
      </w:r>
      <w:r w:rsidR="00B57059" w:rsidRPr="004A68AC">
        <w:rPr>
          <w:lang w:val="en-US" w:eastAsia="it-IT"/>
        </w:rPr>
        <w:t>(</w:t>
      </w:r>
      <w:r w:rsidR="008D2C3F" w:rsidRPr="004A68AC">
        <w:rPr>
          <w:lang w:val="en-US" w:eastAsia="it-IT"/>
        </w:rPr>
        <w:t xml:space="preserve">3) shear </w:t>
      </w:r>
      <w:r w:rsidR="00DE4F6A" w:rsidRPr="004A68AC">
        <w:rPr>
          <w:lang w:val="en-US" w:eastAsia="it-IT"/>
        </w:rPr>
        <w:t xml:space="preserve">strain </w:t>
      </w:r>
      <w:r w:rsidR="008D2C3F" w:rsidRPr="004A68AC">
        <w:rPr>
          <w:lang w:val="en-US" w:eastAsia="it-IT"/>
        </w:rPr>
        <w:t>in panel zones</w:t>
      </w:r>
      <w:r w:rsidR="00272E6E" w:rsidRPr="004A68AC">
        <w:rPr>
          <w:lang w:val="en-US" w:eastAsia="it-IT"/>
        </w:rPr>
        <w:t>.</w:t>
      </w:r>
      <w:r w:rsidR="000219D0" w:rsidRPr="004A68AC">
        <w:rPr>
          <w:lang w:val="en-US" w:eastAsia="it-IT"/>
        </w:rPr>
        <w:t xml:space="preserve"> These EDPs relate </w:t>
      </w:r>
      <w:r w:rsidR="000219D0" w:rsidRPr="004A68AC">
        <w:rPr>
          <w:lang w:val="en-US"/>
        </w:rPr>
        <w:t xml:space="preserve">to the main damage patterns within </w:t>
      </w:r>
      <w:r w:rsidR="00B035F5" w:rsidRPr="004A68AC">
        <w:rPr>
          <w:lang w:val="en-US"/>
        </w:rPr>
        <w:t xml:space="preserve">steel </w:t>
      </w:r>
      <w:r w:rsidR="000219D0" w:rsidRPr="004A68AC">
        <w:rPr>
          <w:lang w:val="en-US"/>
        </w:rPr>
        <w:t>MRFs and are those conventionally considered by assessment codes.</w:t>
      </w:r>
      <w:r w:rsidR="0026339C" w:rsidRPr="004A68AC">
        <w:rPr>
          <w:lang w:val="en-US"/>
        </w:rPr>
        <w:t xml:space="preserve"> </w:t>
      </w:r>
      <w:r w:rsidR="00014222" w:rsidRPr="004A68AC">
        <w:rPr>
          <w:lang w:val="en-US"/>
        </w:rPr>
        <w:t xml:space="preserve">In the present study, beam-to-column connections are considered fully rigid, with no failure occurrence, therefore, the capacity parameters and values for </w:t>
      </w:r>
      <w:r w:rsidR="00BB1A52" w:rsidRPr="004A68AC">
        <w:rPr>
          <w:lang w:val="en-US"/>
        </w:rPr>
        <w:t xml:space="preserve">these components </w:t>
      </w:r>
      <w:r w:rsidR="00014222" w:rsidRPr="004A68AC">
        <w:rPr>
          <w:lang w:val="en-US"/>
        </w:rPr>
        <w:t>are not discussed.</w:t>
      </w:r>
      <w:r w:rsidR="00B653D2" w:rsidRPr="004A68AC">
        <w:rPr>
          <w:lang w:val="en-US"/>
        </w:rPr>
        <w:t xml:space="preserve"> In addition, some of the most common global EDPs used in literature are discussed.</w:t>
      </w:r>
    </w:p>
    <w:p w14:paraId="68DE8843" w14:textId="77777777" w:rsidR="00521F85" w:rsidRPr="004A68AC" w:rsidRDefault="00521F85" w:rsidP="008A167B">
      <w:pPr>
        <w:rPr>
          <w:lang w:val="en-US" w:eastAsia="it-IT"/>
        </w:rPr>
      </w:pPr>
    </w:p>
    <w:p w14:paraId="3B29295E" w14:textId="21D39216" w:rsidR="00E43A29" w:rsidRPr="004A68AC" w:rsidRDefault="00C87142" w:rsidP="00454B53">
      <w:pPr>
        <w:pStyle w:val="Heading3"/>
        <w:spacing w:before="0" w:after="0"/>
        <w:rPr>
          <w:b w:val="0"/>
          <w:i/>
          <w:szCs w:val="20"/>
          <w:lang w:val="en-US"/>
        </w:rPr>
      </w:pPr>
      <w:r w:rsidRPr="004A68AC">
        <w:rPr>
          <w:rFonts w:ascii="Times New Roman" w:hAnsi="Times New Roman"/>
          <w:bCs w:val="0"/>
          <w:i/>
          <w:sz w:val="20"/>
          <w:szCs w:val="20"/>
          <w:lang w:val="en-US"/>
        </w:rPr>
        <w:t>3</w:t>
      </w:r>
      <w:r w:rsidR="00195CA4" w:rsidRPr="004A68AC">
        <w:rPr>
          <w:rFonts w:ascii="Times New Roman" w:hAnsi="Times New Roman"/>
          <w:bCs w:val="0"/>
          <w:i/>
          <w:sz w:val="20"/>
          <w:szCs w:val="20"/>
          <w:lang w:val="en-US"/>
        </w:rPr>
        <w:t>.1</w:t>
      </w:r>
      <w:r w:rsidR="008A167B" w:rsidRPr="004A68AC">
        <w:rPr>
          <w:rFonts w:ascii="Times New Roman" w:hAnsi="Times New Roman"/>
          <w:bCs w:val="0"/>
          <w:i/>
          <w:sz w:val="20"/>
          <w:szCs w:val="20"/>
          <w:lang w:val="en-US"/>
        </w:rPr>
        <w:t xml:space="preserve"> Code-based</w:t>
      </w:r>
      <w:r w:rsidR="005D6A5A" w:rsidRPr="004A68AC">
        <w:rPr>
          <w:rFonts w:ascii="Times New Roman" w:hAnsi="Times New Roman"/>
          <w:bCs w:val="0"/>
          <w:i/>
          <w:sz w:val="20"/>
          <w:szCs w:val="20"/>
          <w:lang w:val="en-US"/>
        </w:rPr>
        <w:t xml:space="preserve"> </w:t>
      </w:r>
      <w:r w:rsidR="00E43A29" w:rsidRPr="004A68AC">
        <w:rPr>
          <w:rFonts w:ascii="Times New Roman" w:hAnsi="Times New Roman"/>
          <w:bCs w:val="0"/>
          <w:i/>
          <w:sz w:val="20"/>
          <w:szCs w:val="20"/>
          <w:lang w:val="en-US"/>
        </w:rPr>
        <w:t xml:space="preserve">yield capacity </w:t>
      </w:r>
      <w:r w:rsidR="008C7638" w:rsidRPr="004A68AC">
        <w:rPr>
          <w:rFonts w:ascii="Times New Roman" w:hAnsi="Times New Roman"/>
          <w:bCs w:val="0"/>
          <w:i/>
          <w:sz w:val="20"/>
          <w:szCs w:val="20"/>
          <w:lang w:val="en-US"/>
        </w:rPr>
        <w:t>parameters</w:t>
      </w:r>
    </w:p>
    <w:p w14:paraId="203649DE" w14:textId="79E31E86" w:rsidR="00BD3546" w:rsidRPr="004A68AC" w:rsidRDefault="003B0C1E" w:rsidP="00B65292">
      <w:pPr>
        <w:rPr>
          <w:lang w:val="en-US" w:eastAsia="it-IT"/>
        </w:rPr>
      </w:pPr>
      <w:r w:rsidRPr="004A68AC">
        <w:rPr>
          <w:lang w:val="en-US" w:eastAsia="it-IT"/>
        </w:rPr>
        <w:t>The assessment of ductile components in steel MRFs is conventionally based on the definition of</w:t>
      </w:r>
      <w:r w:rsidRPr="004A68AC">
        <w:rPr>
          <w:lang w:val="en-US"/>
        </w:rPr>
        <w:t xml:space="preserve"> </w:t>
      </w:r>
      <w:r w:rsidRPr="004A68AC">
        <w:rPr>
          <w:lang w:val="en-US" w:eastAsia="it-IT"/>
        </w:rPr>
        <w:t xml:space="preserve">deformation-based yield capacity </w:t>
      </w:r>
      <w:r w:rsidR="008C7638" w:rsidRPr="004A68AC">
        <w:rPr>
          <w:lang w:val="en-US" w:eastAsia="it-IT"/>
        </w:rPr>
        <w:t>parameters</w:t>
      </w:r>
      <w:r w:rsidRPr="004A68AC">
        <w:rPr>
          <w:lang w:val="en-US" w:eastAsia="it-IT"/>
        </w:rPr>
        <w:t xml:space="preserve"> which, for beams and columns, is</w:t>
      </w:r>
      <w:r w:rsidR="00AF07DC" w:rsidRPr="004A68AC">
        <w:rPr>
          <w:lang w:val="en-US" w:eastAsia="it-IT"/>
        </w:rPr>
        <w:t xml:space="preserve"> represented by the chord rotation at yielding (θ</w:t>
      </w:r>
      <w:r w:rsidR="00AF07DC" w:rsidRPr="004A68AC">
        <w:rPr>
          <w:vertAlign w:val="subscript"/>
          <w:lang w:val="en-US" w:eastAsia="it-IT"/>
        </w:rPr>
        <w:t>y</w:t>
      </w:r>
      <w:r w:rsidR="00AF07DC" w:rsidRPr="004A68AC">
        <w:rPr>
          <w:lang w:val="en-US" w:eastAsia="it-IT"/>
        </w:rPr>
        <w:t xml:space="preserve">), and </w:t>
      </w:r>
      <w:r w:rsidRPr="004A68AC">
        <w:rPr>
          <w:lang w:val="en-US" w:eastAsia="it-IT"/>
        </w:rPr>
        <w:t xml:space="preserve">for panel zones, is represented by </w:t>
      </w:r>
      <w:r w:rsidR="00AF07DC" w:rsidRPr="004A68AC">
        <w:rPr>
          <w:lang w:val="en-US" w:eastAsia="it-IT"/>
        </w:rPr>
        <w:t>the shear yield strain (γ</w:t>
      </w:r>
      <w:r w:rsidR="00AF07DC" w:rsidRPr="004A68AC">
        <w:rPr>
          <w:vertAlign w:val="subscript"/>
          <w:lang w:val="en-US" w:eastAsia="it-IT"/>
        </w:rPr>
        <w:t>y</w:t>
      </w:r>
      <w:r w:rsidR="00AF07DC" w:rsidRPr="004A68AC">
        <w:rPr>
          <w:lang w:val="en-US" w:eastAsia="it-IT"/>
        </w:rPr>
        <w:t>)</w:t>
      </w:r>
      <w:r w:rsidRPr="004A68AC">
        <w:rPr>
          <w:lang w:val="en-US" w:eastAsia="it-IT"/>
        </w:rPr>
        <w:t>.</w:t>
      </w:r>
    </w:p>
    <w:p w14:paraId="1917042D" w14:textId="77777777" w:rsidR="00AC0A2B" w:rsidRPr="004A68AC" w:rsidRDefault="00AC0A2B" w:rsidP="00B65292">
      <w:pPr>
        <w:rPr>
          <w:lang w:val="en-US"/>
        </w:rPr>
      </w:pPr>
    </w:p>
    <w:p w14:paraId="46C217EB" w14:textId="5D5C90ED" w:rsidR="00AE30CB" w:rsidRPr="004A68AC" w:rsidRDefault="00C4784B" w:rsidP="00B65292">
      <w:pPr>
        <w:rPr>
          <w:strike/>
          <w:lang w:val="en-US" w:eastAsia="it-IT"/>
        </w:rPr>
      </w:pPr>
      <w:r w:rsidRPr="004A68AC">
        <w:rPr>
          <w:lang w:val="en-US" w:eastAsia="it-IT"/>
        </w:rPr>
        <w:t xml:space="preserve">     </w:t>
      </w:r>
      <w:r w:rsidR="00BD3546" w:rsidRPr="004A68AC">
        <w:rPr>
          <w:lang w:val="en-US" w:eastAsia="it-IT"/>
        </w:rPr>
        <w:t xml:space="preserve">In the EC8-3 </w:t>
      </w:r>
      <w:r w:rsidR="00BD3546"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BD3546" w:rsidRPr="004A68AC">
        <w:rPr>
          <w:lang w:val="en-US" w:eastAsia="it-IT"/>
        </w:rPr>
        <w:fldChar w:fldCharType="separate"/>
      </w:r>
      <w:r w:rsidR="00855F83" w:rsidRPr="004A68AC">
        <w:rPr>
          <w:noProof/>
          <w:lang w:val="en-US" w:eastAsia="it-IT"/>
        </w:rPr>
        <w:t>[13]</w:t>
      </w:r>
      <w:r w:rsidR="00BD3546" w:rsidRPr="004A68AC">
        <w:rPr>
          <w:lang w:val="en-US" w:eastAsia="it-IT"/>
        </w:rPr>
        <w:fldChar w:fldCharType="end"/>
      </w:r>
      <w:r w:rsidR="00BD3546" w:rsidRPr="004A68AC">
        <w:rPr>
          <w:lang w:val="en-US" w:eastAsia="it-IT"/>
        </w:rPr>
        <w:t>, the capacity limits for beams and columns are given in terms of θ</w:t>
      </w:r>
      <w:r w:rsidR="00BD3546" w:rsidRPr="004A68AC">
        <w:rPr>
          <w:vertAlign w:val="subscript"/>
          <w:lang w:val="en-US" w:eastAsia="it-IT"/>
        </w:rPr>
        <w:t>y</w:t>
      </w:r>
      <w:r w:rsidR="005977AF" w:rsidRPr="004A68AC">
        <w:rPr>
          <w:lang w:val="en-US" w:eastAsia="it-IT"/>
        </w:rPr>
        <w:t xml:space="preserve">, however the </w:t>
      </w:r>
      <w:r w:rsidR="00AE30CB" w:rsidRPr="004A68AC">
        <w:rPr>
          <w:lang w:val="en-US" w:eastAsia="it-IT"/>
        </w:rPr>
        <w:t xml:space="preserve">EC8-3 </w:t>
      </w:r>
      <w:r w:rsidR="00BD3546" w:rsidRPr="004A68AC">
        <w:rPr>
          <w:lang w:val="en-US" w:eastAsia="it-IT"/>
        </w:rPr>
        <w:t xml:space="preserve">does not provide </w:t>
      </w:r>
      <w:r w:rsidR="00AE30CB" w:rsidRPr="004A68AC">
        <w:rPr>
          <w:lang w:val="en-US" w:eastAsia="it-IT"/>
        </w:rPr>
        <w:t>indication</w:t>
      </w:r>
      <w:r w:rsidR="005977AF" w:rsidRPr="004A68AC">
        <w:rPr>
          <w:lang w:val="en-US" w:eastAsia="it-IT"/>
        </w:rPr>
        <w:t>s</w:t>
      </w:r>
      <w:r w:rsidR="00AE30CB" w:rsidRPr="004A68AC">
        <w:rPr>
          <w:lang w:val="en-US" w:eastAsia="it-IT"/>
        </w:rPr>
        <w:t xml:space="preserve"> on </w:t>
      </w:r>
      <w:r w:rsidR="005977AF" w:rsidRPr="004A68AC">
        <w:rPr>
          <w:lang w:val="en-US" w:eastAsia="it-IT"/>
        </w:rPr>
        <w:t xml:space="preserve">this parameter and the </w:t>
      </w:r>
      <w:r w:rsidR="00AE30CB" w:rsidRPr="004A68AC">
        <w:rPr>
          <w:lang w:val="en-US" w:eastAsia="it-IT"/>
        </w:rPr>
        <w:t>following analytical relationship is assumed</w:t>
      </w:r>
      <w:r w:rsidR="005977AF" w:rsidRPr="004A68AC">
        <w:rPr>
          <w:lang w:val="en-US" w:eastAsia="it-IT"/>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8D2821" w:rsidRPr="004A68AC" w14:paraId="195E5AF5" w14:textId="77777777" w:rsidTr="00507EAD">
        <w:trPr>
          <w:trHeight w:val="680"/>
        </w:trPr>
        <w:tc>
          <w:tcPr>
            <w:tcW w:w="2500" w:type="pct"/>
            <w:vAlign w:val="center"/>
          </w:tcPr>
          <w:p w14:paraId="4107C785" w14:textId="50C3EC1F" w:rsidR="00BA3719" w:rsidRPr="004A68AC" w:rsidRDefault="00204274" w:rsidP="00D25CA6">
            <w:pPr>
              <w:jc w:val="left"/>
              <w:rPr>
                <w:sz w:val="18"/>
                <w:szCs w:val="18"/>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θ</m:t>
                    </m:r>
                  </m:e>
                  <m:sub>
                    <m:r>
                      <m:rPr>
                        <m:sty m:val="p"/>
                      </m:rPr>
                      <w:rPr>
                        <w:rFonts w:ascii="Cambria Math" w:hAnsi="Cambria Math"/>
                        <w:sz w:val="18"/>
                        <w:szCs w:val="18"/>
                        <w:lang w:val="en-US"/>
                      </w:rPr>
                      <m:t>y</m:t>
                    </m:r>
                  </m:sub>
                </m:sSub>
                <m:r>
                  <m:rPr>
                    <m:sty m:val="p"/>
                  </m:rPr>
                  <w:rPr>
                    <w:rFonts w:ascii="Cambria Math" w:hAnsi="Cambria Math"/>
                    <w:sz w:val="18"/>
                    <w:szCs w:val="18"/>
                    <w:lang w:val="en-US"/>
                  </w:rPr>
                  <m:t>=</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6EI</m:t>
                    </m:r>
                  </m:den>
                </m:f>
              </m:oMath>
            </m:oMathPara>
          </w:p>
        </w:tc>
        <w:tc>
          <w:tcPr>
            <w:tcW w:w="2500" w:type="pct"/>
            <w:vAlign w:val="center"/>
          </w:tcPr>
          <w:p w14:paraId="627E10FB" w14:textId="77777777" w:rsidR="00BA3719" w:rsidRPr="004A68AC" w:rsidRDefault="00BA3719" w:rsidP="00D25CA6">
            <w:pPr>
              <w:jc w:val="right"/>
              <w:rPr>
                <w:lang w:val="en-US"/>
              </w:rPr>
            </w:pPr>
            <w:r w:rsidRPr="004A68AC">
              <w:rPr>
                <w:lang w:val="en-US"/>
              </w:rPr>
              <w:t>(1)</w:t>
            </w:r>
          </w:p>
        </w:tc>
      </w:tr>
    </w:tbl>
    <w:p w14:paraId="35339BE2" w14:textId="59742DD2" w:rsidR="005B3B99" w:rsidRPr="004A68AC" w:rsidRDefault="00BA3719" w:rsidP="00B65292">
      <w:pPr>
        <w:rPr>
          <w:lang w:val="en-US" w:eastAsia="it-IT"/>
        </w:rPr>
      </w:pPr>
      <w:r w:rsidRPr="004A68AC">
        <w:rPr>
          <w:lang w:val="en-US" w:eastAsia="it-IT"/>
        </w:rPr>
        <w:t>where M</w:t>
      </w:r>
      <w:r w:rsidRPr="004A68AC">
        <w:rPr>
          <w:vertAlign w:val="subscript"/>
          <w:lang w:val="en-US" w:eastAsia="it-IT"/>
        </w:rPr>
        <w:t>pb,Rd</w:t>
      </w:r>
      <w:r w:rsidRPr="004A68AC">
        <w:rPr>
          <w:lang w:val="en-US" w:eastAsia="it-IT"/>
        </w:rPr>
        <w:t xml:space="preserve"> is the plastic moment capacity of the element at th</w:t>
      </w:r>
      <w:r w:rsidR="00472265" w:rsidRPr="004A68AC">
        <w:rPr>
          <w:lang w:val="en-US" w:eastAsia="it-IT"/>
        </w:rPr>
        <w:t>e location of the plastic hinge</w:t>
      </w:r>
      <w:r w:rsidR="005C142A" w:rsidRPr="004A68AC">
        <w:rPr>
          <w:lang w:val="en-US" w:eastAsia="it-IT"/>
        </w:rPr>
        <w:t>; L is the length of the span or height of the story</w:t>
      </w:r>
      <w:r w:rsidR="004E0BAF" w:rsidRPr="004A68AC">
        <w:rPr>
          <w:lang w:val="en-US" w:eastAsia="it-IT"/>
        </w:rPr>
        <w:t xml:space="preserve"> (</w:t>
      </w:r>
      <w:r w:rsidR="004E0BAF" w:rsidRPr="004A68AC">
        <w:rPr>
          <w:i/>
          <w:lang w:val="en-US" w:eastAsia="it-IT"/>
        </w:rPr>
        <w:t>i.e.</w:t>
      </w:r>
      <w:r w:rsidR="004E0BAF" w:rsidRPr="004A68AC">
        <w:rPr>
          <w:lang w:val="en-US" w:eastAsia="it-IT"/>
        </w:rPr>
        <w:t>, length of the beam or height of the column)</w:t>
      </w:r>
      <w:r w:rsidRPr="004A68AC">
        <w:rPr>
          <w:lang w:val="en-US" w:eastAsia="it-IT"/>
        </w:rPr>
        <w:t>; and EI are the Young’s modulus and moment of inertia of the element, respectively.</w:t>
      </w:r>
      <w:r w:rsidR="00167CB2" w:rsidRPr="004A68AC">
        <w:rPr>
          <w:lang w:val="en-US" w:eastAsia="it-IT"/>
        </w:rPr>
        <w:t xml:space="preserve"> </w:t>
      </w:r>
      <w:r w:rsidR="00AE30CB" w:rsidRPr="004A68AC">
        <w:rPr>
          <w:lang w:val="en-US" w:eastAsia="it-IT"/>
        </w:rPr>
        <w:t xml:space="preserve">It is worth mentioning that the formulation of Eq. 1 </w:t>
      </w:r>
      <w:r w:rsidR="00167CB2" w:rsidRPr="004A68AC">
        <w:rPr>
          <w:lang w:val="en-US" w:eastAsia="it-IT"/>
        </w:rPr>
        <w:t>assum</w:t>
      </w:r>
      <w:r w:rsidR="00AE30CB" w:rsidRPr="004A68AC">
        <w:rPr>
          <w:lang w:val="en-US" w:eastAsia="it-IT"/>
        </w:rPr>
        <w:t>es</w:t>
      </w:r>
      <w:r w:rsidR="00167CB2" w:rsidRPr="004A68AC">
        <w:rPr>
          <w:lang w:val="en-US" w:eastAsia="it-IT"/>
        </w:rPr>
        <w:t xml:space="preserve"> an antisymmetric deformation along the beam (</w:t>
      </w:r>
      <w:r w:rsidR="00167CB2" w:rsidRPr="004A68AC">
        <w:rPr>
          <w:i/>
          <w:lang w:val="en-US" w:eastAsia="it-IT"/>
        </w:rPr>
        <w:t>i.e.</w:t>
      </w:r>
      <w:r w:rsidR="00167CB2" w:rsidRPr="004A68AC">
        <w:rPr>
          <w:lang w:val="en-US" w:eastAsia="it-IT"/>
        </w:rPr>
        <w:t>, shear length equal to half of the beam</w:t>
      </w:r>
      <w:r w:rsidR="00AE30CB" w:rsidRPr="004A68AC">
        <w:rPr>
          <w:lang w:val="en-US" w:eastAsia="it-IT"/>
        </w:rPr>
        <w:t xml:space="preserve">) and </w:t>
      </w:r>
      <w:r w:rsidR="00167CB2" w:rsidRPr="004A68AC">
        <w:rPr>
          <w:lang w:val="en-US" w:eastAsia="it-IT"/>
        </w:rPr>
        <w:t xml:space="preserve">does not consider the influence of the axial </w:t>
      </w:r>
      <w:r w:rsidR="006E0B40" w:rsidRPr="004A68AC">
        <w:rPr>
          <w:lang w:val="en-US" w:eastAsia="it-IT"/>
        </w:rPr>
        <w:t>load</w:t>
      </w:r>
      <w:r w:rsidR="00AE30CB" w:rsidRPr="004A68AC">
        <w:rPr>
          <w:lang w:val="en-US" w:eastAsia="it-IT"/>
        </w:rPr>
        <w:t xml:space="preserve"> </w:t>
      </w:r>
      <w:r w:rsidR="00167CB2" w:rsidRPr="004A68AC">
        <w:rPr>
          <w:lang w:val="en-US" w:eastAsia="it-IT"/>
        </w:rPr>
        <w:t xml:space="preserve">on the </w:t>
      </w:r>
      <w:r w:rsidR="008C7638" w:rsidRPr="004A68AC">
        <w:rPr>
          <w:lang w:val="en-US" w:eastAsia="it-IT"/>
        </w:rPr>
        <w:t>rotation</w:t>
      </w:r>
      <w:r w:rsidR="00AE30CB" w:rsidRPr="004A68AC">
        <w:rPr>
          <w:lang w:val="en-US" w:eastAsia="it-IT"/>
        </w:rPr>
        <w:t xml:space="preserve"> </w:t>
      </w:r>
      <w:r w:rsidR="00167CB2" w:rsidRPr="004A68AC">
        <w:rPr>
          <w:lang w:val="en-US" w:eastAsia="it-IT"/>
        </w:rPr>
        <w:t>capacity of the element.</w:t>
      </w:r>
    </w:p>
    <w:p w14:paraId="590EAAC1" w14:textId="77777777" w:rsidR="00AC0A2B" w:rsidRPr="004A68AC" w:rsidRDefault="00AC0A2B" w:rsidP="00B65292">
      <w:pPr>
        <w:rPr>
          <w:lang w:val="en-US"/>
        </w:rPr>
      </w:pPr>
    </w:p>
    <w:p w14:paraId="6E699BAB" w14:textId="6BD4D093" w:rsidR="005B3B99" w:rsidRPr="004A68AC" w:rsidRDefault="005B3B99" w:rsidP="00B65292">
      <w:pPr>
        <w:rPr>
          <w:lang w:val="en-US"/>
        </w:rPr>
      </w:pPr>
      <w:r w:rsidRPr="004A68AC">
        <w:rPr>
          <w:lang w:val="en-US" w:eastAsia="it-IT"/>
        </w:rPr>
        <w:t xml:space="preserve">     The </w:t>
      </w:r>
      <w:r w:rsidR="009630B4" w:rsidRPr="004A68AC">
        <w:rPr>
          <w:lang w:val="en-US" w:eastAsia="it-IT"/>
        </w:rPr>
        <w:t>ASCE 41</w:t>
      </w:r>
      <w:r w:rsidRPr="004A68AC">
        <w:rPr>
          <w:lang w:val="en-US" w:eastAsia="it-IT"/>
        </w:rPr>
        <w:t xml:space="preserve">-06 and -13 </w:t>
      </w:r>
      <w:r w:rsidR="00472265"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Buildings","type":"article"},"uris":["http://www.mendeley.com/documents/?uuid=e1e1c9a1-8439-4464-8e57-e6a99a956fd4"]},{"id":"ITEM-2","itemData":{"DOI":"10.1061/9780784408841","ISBN":"9780784408841","author":[{"dropping-particle":"","family":"American Society of Civil Engineers","given":"","non-dropping-particle":"","parse-names":false,"suffix":""}],"container-title":"ASCE/SEI 41-06","id":"ITEM-2","issued":{"date-parts":[["2007"]]},"title":"Seismic Rehabilitation of Existing Buildings","type":"article"},"uris":["http://www.mendeley.com/documents/?uuid=e32cfdb6-620a-411a-a7d6-8e56de32bcc1"]}],"mendeley":{"formattedCitation":"[15,18]","plainTextFormattedCitation":"[15,18]","previouslyFormattedCitation":"[15,18]"},"properties":{"noteIndex":0},"schema":"https://github.com/citation-style-language/schema/raw/master/csl-citation.json"}</w:instrText>
      </w:r>
      <w:r w:rsidR="00472265" w:rsidRPr="004A68AC">
        <w:rPr>
          <w:lang w:val="en-US" w:eastAsia="it-IT"/>
        </w:rPr>
        <w:fldChar w:fldCharType="separate"/>
      </w:r>
      <w:r w:rsidR="00B339CD" w:rsidRPr="004A68AC">
        <w:rPr>
          <w:noProof/>
          <w:lang w:val="en-US" w:eastAsia="it-IT"/>
        </w:rPr>
        <w:t>[15,18]</w:t>
      </w:r>
      <w:r w:rsidR="00472265" w:rsidRPr="004A68AC">
        <w:rPr>
          <w:lang w:val="en-US" w:eastAsia="it-IT"/>
        </w:rPr>
        <w:fldChar w:fldCharType="end"/>
      </w:r>
      <w:r w:rsidRPr="004A68AC">
        <w:rPr>
          <w:lang w:val="en-US" w:eastAsia="it-IT"/>
        </w:rPr>
        <w:t xml:space="preserve"> explicitly provide the parameters to build the complete </w:t>
      </w:r>
      <w:r w:rsidR="00472265" w:rsidRPr="004A68AC">
        <w:rPr>
          <w:lang w:val="en-US" w:eastAsia="it-IT"/>
        </w:rPr>
        <w:t>moment-rotation</w:t>
      </w:r>
      <w:r w:rsidRPr="004A68AC">
        <w:rPr>
          <w:lang w:val="en-US" w:eastAsia="it-IT"/>
        </w:rPr>
        <w:t xml:space="preserve"> relationship for beams and columns, including</w:t>
      </w:r>
      <w:r w:rsidR="00CA2BE1" w:rsidRPr="004A68AC">
        <w:rPr>
          <w:lang w:val="en-US" w:eastAsia="it-IT"/>
        </w:rPr>
        <w:t xml:space="preserve"> </w:t>
      </w:r>
      <w:r w:rsidR="005C142A" w:rsidRPr="004A68AC">
        <w:rPr>
          <w:lang w:val="en-US" w:eastAsia="it-IT"/>
        </w:rPr>
        <w:t xml:space="preserve">rotation and moment values at yield. For beams, these codes use the same relationship as in Eq. 1. </w:t>
      </w:r>
      <w:r w:rsidR="00911FC4" w:rsidRPr="004A68AC">
        <w:rPr>
          <w:lang w:val="en-US" w:eastAsia="it-IT"/>
        </w:rPr>
        <w:t>Conversely</w:t>
      </w:r>
      <w:r w:rsidR="005C142A" w:rsidRPr="004A68AC">
        <w:rPr>
          <w:lang w:val="en-US" w:eastAsia="it-IT"/>
        </w:rPr>
        <w:t xml:space="preserve">, </w:t>
      </w:r>
      <w:r w:rsidR="00911FC4" w:rsidRPr="004A68AC">
        <w:rPr>
          <w:lang w:val="en-US" w:eastAsia="it-IT"/>
        </w:rPr>
        <w:t>for</w:t>
      </w:r>
      <w:r w:rsidR="005C142A" w:rsidRPr="004A68AC">
        <w:rPr>
          <w:lang w:val="en-US" w:eastAsia="it-IT"/>
        </w:rPr>
        <w:t xml:space="preserve"> columns</w:t>
      </w:r>
      <w:r w:rsidR="0088312D" w:rsidRPr="004A68AC">
        <w:rPr>
          <w:lang w:val="en-US" w:eastAsia="it-IT"/>
        </w:rPr>
        <w:t>,</w:t>
      </w:r>
      <w:r w:rsidR="00911FC4" w:rsidRPr="004A68AC">
        <w:rPr>
          <w:lang w:val="en-US" w:eastAsia="it-IT"/>
        </w:rPr>
        <w:t xml:space="preserve"> Eq. 1</w:t>
      </w:r>
      <w:r w:rsidR="0088312D" w:rsidRPr="004A68AC">
        <w:rPr>
          <w:lang w:val="en-US" w:eastAsia="it-IT"/>
        </w:rPr>
        <w:t xml:space="preserve"> is modified</w:t>
      </w:r>
      <w:r w:rsidR="00911FC4" w:rsidRPr="004A68AC">
        <w:rPr>
          <w:lang w:val="en-US" w:eastAsia="it-IT"/>
        </w:rPr>
        <w:t xml:space="preserve"> </w:t>
      </w:r>
      <w:r w:rsidR="003029D5" w:rsidRPr="004A68AC">
        <w:rPr>
          <w:lang w:val="en-US" w:eastAsia="it-IT"/>
        </w:rPr>
        <w:t xml:space="preserve">to account for the axial </w:t>
      </w:r>
      <w:r w:rsidR="006E0B40" w:rsidRPr="004A68AC">
        <w:rPr>
          <w:lang w:val="en-US" w:eastAsia="it-IT"/>
        </w:rPr>
        <w:t>load</w:t>
      </w:r>
      <w:r w:rsidR="003029D5" w:rsidRPr="004A68AC">
        <w:rPr>
          <w:lang w:val="en-US" w:eastAsia="it-IT"/>
        </w:rPr>
        <w: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029D5" w:rsidRPr="004A68AC" w14:paraId="66F84ED1" w14:textId="77777777" w:rsidTr="00507EAD">
        <w:trPr>
          <w:trHeight w:val="680"/>
        </w:trPr>
        <w:tc>
          <w:tcPr>
            <w:tcW w:w="2500" w:type="pct"/>
            <w:vAlign w:val="center"/>
          </w:tcPr>
          <w:p w14:paraId="64D4EF96" w14:textId="43C3FB56" w:rsidR="003029D5" w:rsidRPr="004A68AC" w:rsidRDefault="00204274" w:rsidP="00D25CA6">
            <w:pPr>
              <w:jc w:val="left"/>
              <w:rPr>
                <w:sz w:val="18"/>
                <w:szCs w:val="18"/>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θ</m:t>
                    </m:r>
                  </m:e>
                  <m:sub>
                    <m:r>
                      <m:rPr>
                        <m:sty m:val="p"/>
                      </m:rPr>
                      <w:rPr>
                        <w:rFonts w:ascii="Cambria Math" w:hAnsi="Cambria Math"/>
                        <w:sz w:val="18"/>
                        <w:szCs w:val="18"/>
                        <w:lang w:val="en-US"/>
                      </w:rPr>
                      <m:t>y</m:t>
                    </m:r>
                  </m:sub>
                </m:sSub>
                <m:r>
                  <m:rPr>
                    <m:sty m:val="p"/>
                  </m:rPr>
                  <w:rPr>
                    <w:rFonts w:ascii="Cambria Math" w:hAnsi="Cambria Math"/>
                    <w:sz w:val="18"/>
                    <w:szCs w:val="18"/>
                    <w:lang w:val="en-US"/>
                  </w:rPr>
                  <m:t>=</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6EI</m:t>
                    </m:r>
                  </m:den>
                </m:f>
                <m:d>
                  <m:dPr>
                    <m:ctrlPr>
                      <w:rPr>
                        <w:rFonts w:ascii="Cambria Math" w:hAnsi="Cambria Math"/>
                        <w:sz w:val="18"/>
                        <w:szCs w:val="18"/>
                        <w:lang w:val="en-US"/>
                      </w:rPr>
                    </m:ctrlPr>
                  </m:dPr>
                  <m:e>
                    <m:r>
                      <w:rPr>
                        <w:rFonts w:ascii="Cambria Math" w:hAnsi="Cambria Math"/>
                        <w:sz w:val="18"/>
                        <w:szCs w:val="18"/>
                        <w:lang w:val="en-US"/>
                      </w:rPr>
                      <m:t>1-</m:t>
                    </m:r>
                    <m:r>
                      <m:rPr>
                        <m:sty m:val="p"/>
                      </m:rPr>
                      <w:rPr>
                        <w:rFonts w:ascii="Cambria Math" w:hAnsi="Cambria Math"/>
                        <w:sz w:val="18"/>
                        <w:szCs w:val="18"/>
                        <w:lang w:val="en-US" w:eastAsia="it-IT"/>
                      </w:rPr>
                      <m:t>ν</m:t>
                    </m:r>
                  </m:e>
                </m:d>
              </m:oMath>
            </m:oMathPara>
          </w:p>
        </w:tc>
        <w:tc>
          <w:tcPr>
            <w:tcW w:w="2500" w:type="pct"/>
            <w:vAlign w:val="center"/>
          </w:tcPr>
          <w:p w14:paraId="57F82D8D" w14:textId="77777777" w:rsidR="003029D5" w:rsidRPr="004A68AC" w:rsidRDefault="003029D5" w:rsidP="00D25CA6">
            <w:pPr>
              <w:jc w:val="right"/>
              <w:rPr>
                <w:lang w:val="en-US"/>
              </w:rPr>
            </w:pPr>
            <w:r w:rsidRPr="004A68AC">
              <w:rPr>
                <w:lang w:val="en-US"/>
              </w:rPr>
              <w:t>(2)</w:t>
            </w:r>
          </w:p>
        </w:tc>
      </w:tr>
    </w:tbl>
    <w:p w14:paraId="084F5FBB" w14:textId="12FD5587" w:rsidR="0088312D" w:rsidRPr="004A68AC" w:rsidRDefault="00C11661" w:rsidP="00B65292">
      <w:pPr>
        <w:rPr>
          <w:lang w:val="en-US" w:eastAsia="it-IT"/>
        </w:rPr>
      </w:pPr>
      <w:r w:rsidRPr="004A68AC">
        <w:rPr>
          <w:lang w:val="en-US" w:eastAsia="it-IT"/>
        </w:rPr>
        <w:t xml:space="preserve">where ν </w:t>
      </w:r>
      <w:r w:rsidR="0088312D" w:rsidRPr="004A68AC">
        <w:rPr>
          <w:lang w:val="en-US" w:eastAsia="it-IT"/>
        </w:rPr>
        <w:t xml:space="preserve">is the dimensionless axial force and is defined as ν </w:t>
      </w:r>
      <w:r w:rsidRPr="004A68AC">
        <w:rPr>
          <w:lang w:val="en-US" w:eastAsia="it-IT"/>
        </w:rPr>
        <w:t>= N</w:t>
      </w:r>
      <w:r w:rsidRPr="004A68AC">
        <w:rPr>
          <w:vertAlign w:val="subscript"/>
          <w:lang w:val="en-US" w:eastAsia="it-IT"/>
        </w:rPr>
        <w:t>k</w:t>
      </w:r>
      <w:r w:rsidRPr="004A68AC">
        <w:rPr>
          <w:lang w:val="en-US" w:eastAsia="it-IT"/>
        </w:rPr>
        <w:t>/N</w:t>
      </w:r>
      <w:r w:rsidRPr="004A68AC">
        <w:rPr>
          <w:vertAlign w:val="subscript"/>
          <w:lang w:val="en-US" w:eastAsia="it-IT"/>
        </w:rPr>
        <w:t>pl,Rd</w:t>
      </w:r>
      <w:r w:rsidR="0088312D" w:rsidRPr="004A68AC">
        <w:rPr>
          <w:lang w:val="en-US" w:eastAsia="it-IT"/>
        </w:rPr>
        <w:t xml:space="preserve">. </w:t>
      </w:r>
      <w:r w:rsidRPr="004A68AC">
        <w:rPr>
          <w:lang w:val="en-US" w:eastAsia="it-IT"/>
        </w:rPr>
        <w:t>N</w:t>
      </w:r>
      <w:r w:rsidRPr="004A68AC">
        <w:rPr>
          <w:vertAlign w:val="subscript"/>
          <w:lang w:val="en-US" w:eastAsia="it-IT"/>
        </w:rPr>
        <w:t>k</w:t>
      </w:r>
      <w:r w:rsidRPr="004A68AC">
        <w:rPr>
          <w:lang w:val="en-US" w:eastAsia="it-IT"/>
        </w:rPr>
        <w:t xml:space="preserve"> is the total axial </w:t>
      </w:r>
      <w:r w:rsidR="0088312D" w:rsidRPr="004A68AC">
        <w:rPr>
          <w:lang w:val="en-US" w:eastAsia="it-IT"/>
        </w:rPr>
        <w:t xml:space="preserve">force </w:t>
      </w:r>
      <w:r w:rsidRPr="004A68AC">
        <w:rPr>
          <w:lang w:val="en-US" w:eastAsia="it-IT"/>
        </w:rPr>
        <w:t>demand</w:t>
      </w:r>
      <w:r w:rsidR="00472265" w:rsidRPr="004A68AC">
        <w:rPr>
          <w:lang w:val="en-US" w:eastAsia="it-IT"/>
        </w:rPr>
        <w:t xml:space="preserve"> (</w:t>
      </w:r>
      <w:r w:rsidR="00472265" w:rsidRPr="004A68AC">
        <w:rPr>
          <w:i/>
          <w:lang w:val="en-US" w:eastAsia="it-IT"/>
        </w:rPr>
        <w:t>i.e.</w:t>
      </w:r>
      <w:r w:rsidR="00472265" w:rsidRPr="004A68AC">
        <w:rPr>
          <w:lang w:val="en-US" w:eastAsia="it-IT"/>
        </w:rPr>
        <w:t>, gravity plus seismic overturning effects)</w:t>
      </w:r>
      <w:r w:rsidRPr="004A68AC">
        <w:rPr>
          <w:lang w:val="en-US" w:eastAsia="it-IT"/>
        </w:rPr>
        <w:t xml:space="preserve"> and N</w:t>
      </w:r>
      <w:r w:rsidRPr="004A68AC">
        <w:rPr>
          <w:vertAlign w:val="subscript"/>
          <w:lang w:val="en-US" w:eastAsia="it-IT"/>
        </w:rPr>
        <w:t>pl,Rd</w:t>
      </w:r>
      <w:r w:rsidRPr="004A68AC">
        <w:rPr>
          <w:lang w:val="en-US" w:eastAsia="it-IT"/>
        </w:rPr>
        <w:t xml:space="preserve"> is the axial capacity of the cross section</w:t>
      </w:r>
      <w:r w:rsidR="002700D4" w:rsidRPr="004A68AC">
        <w:rPr>
          <w:lang w:val="en-US" w:eastAsia="it-IT"/>
        </w:rPr>
        <w:t>.</w:t>
      </w:r>
    </w:p>
    <w:p w14:paraId="5191C23D" w14:textId="77777777" w:rsidR="00AC0A2B" w:rsidRPr="004A68AC" w:rsidRDefault="00AC0A2B" w:rsidP="00B65292">
      <w:pPr>
        <w:rPr>
          <w:lang w:val="en-US" w:eastAsia="it-IT"/>
        </w:rPr>
      </w:pPr>
    </w:p>
    <w:p w14:paraId="19ECB255" w14:textId="2FEDA1A4" w:rsidR="00C4784B" w:rsidRPr="004A68AC" w:rsidRDefault="0088312D" w:rsidP="00B65292">
      <w:pPr>
        <w:rPr>
          <w:lang w:val="en-US"/>
        </w:rPr>
      </w:pPr>
      <w:r w:rsidRPr="004A68AC">
        <w:rPr>
          <w:lang w:val="en-US" w:eastAsia="it-IT"/>
        </w:rPr>
        <w:t xml:space="preserve">     T</w:t>
      </w:r>
      <w:r w:rsidR="00DC702D" w:rsidRPr="004A68AC">
        <w:rPr>
          <w:lang w:val="en-US" w:eastAsia="it-IT"/>
        </w:rPr>
        <w:t xml:space="preserve">he </w:t>
      </w:r>
      <w:r w:rsidR="009630B4" w:rsidRPr="004A68AC">
        <w:rPr>
          <w:lang w:val="en-US" w:eastAsia="it-IT"/>
        </w:rPr>
        <w:t>ASCE 41</w:t>
      </w:r>
      <w:r w:rsidR="00DC702D" w:rsidRPr="004A68AC">
        <w:rPr>
          <w:lang w:val="en-US" w:eastAsia="it-IT"/>
        </w:rPr>
        <w:t xml:space="preserve">-17 </w:t>
      </w:r>
      <w:r w:rsidR="00DC702D"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DC702D" w:rsidRPr="004A68AC">
        <w:rPr>
          <w:lang w:val="en-US" w:eastAsia="it-IT"/>
        </w:rPr>
        <w:fldChar w:fldCharType="separate"/>
      </w:r>
      <w:r w:rsidR="00B339CD" w:rsidRPr="004A68AC">
        <w:rPr>
          <w:noProof/>
          <w:lang w:val="en-US" w:eastAsia="it-IT"/>
        </w:rPr>
        <w:t>[19]</w:t>
      </w:r>
      <w:r w:rsidR="00DC702D" w:rsidRPr="004A68AC">
        <w:rPr>
          <w:lang w:val="en-US" w:eastAsia="it-IT"/>
        </w:rPr>
        <w:fldChar w:fldCharType="end"/>
      </w:r>
      <w:r w:rsidR="00DC702D" w:rsidRPr="004A68AC">
        <w:rPr>
          <w:lang w:val="en-US" w:eastAsia="it-IT"/>
        </w:rPr>
        <w:t xml:space="preserve"> </w:t>
      </w:r>
      <w:r w:rsidRPr="004A68AC">
        <w:rPr>
          <w:lang w:val="en-US" w:eastAsia="it-IT"/>
        </w:rPr>
        <w:t>further improve the formulations for θ</w:t>
      </w:r>
      <w:r w:rsidRPr="004A68AC">
        <w:rPr>
          <w:vertAlign w:val="subscript"/>
          <w:lang w:val="en-US" w:eastAsia="it-IT"/>
        </w:rPr>
        <w:t>y</w:t>
      </w:r>
      <w:r w:rsidRPr="004A68AC">
        <w:rPr>
          <w:lang w:val="en-US" w:eastAsia="it-IT"/>
        </w:rPr>
        <w:t xml:space="preserve"> </w:t>
      </w:r>
      <w:r w:rsidR="000E38E3" w:rsidRPr="004A68AC">
        <w:rPr>
          <w:lang w:val="en-US" w:eastAsia="it-IT"/>
        </w:rPr>
        <w:t xml:space="preserve">by </w:t>
      </w:r>
      <w:r w:rsidRPr="004A68AC">
        <w:rPr>
          <w:lang w:val="en-US" w:eastAsia="it-IT"/>
        </w:rPr>
        <w:t>accounting for</w:t>
      </w:r>
      <w:r w:rsidR="000F6F5F" w:rsidRPr="004A68AC">
        <w:rPr>
          <w:lang w:val="en-US" w:eastAsia="it-IT"/>
        </w:rPr>
        <w:t xml:space="preserve"> the shear stiffness of the element</w:t>
      </w:r>
      <w:r w:rsidRPr="004A68AC">
        <w:rPr>
          <w:lang w:val="en-US" w:eastAsia="it-IT"/>
        </w:rPr>
        <w:t xml:space="preserve">. </w:t>
      </w:r>
      <w:r w:rsidR="00DC702D" w:rsidRPr="004A68AC">
        <w:rPr>
          <w:lang w:val="en-US" w:eastAsia="it-IT"/>
        </w:rPr>
        <w:t>For beams, Eq. 1</w:t>
      </w:r>
      <w:r w:rsidRPr="004A68AC">
        <w:rPr>
          <w:lang w:val="en-US" w:eastAsia="it-IT"/>
        </w:rPr>
        <w:t xml:space="preserve"> is modified</w:t>
      </w:r>
      <w:r w:rsidR="00DC702D" w:rsidRPr="004A68AC">
        <w:rPr>
          <w:lang w:val="en-US" w:eastAsia="it-IT"/>
        </w:rPr>
        <w:t xml:space="preserv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C702D" w:rsidRPr="004A68AC" w14:paraId="3939B5BC" w14:textId="77777777" w:rsidTr="00507EAD">
        <w:trPr>
          <w:trHeight w:val="680"/>
        </w:trPr>
        <w:tc>
          <w:tcPr>
            <w:tcW w:w="2500" w:type="pct"/>
            <w:vAlign w:val="center"/>
          </w:tcPr>
          <w:p w14:paraId="0D27CC85" w14:textId="2106376B" w:rsidR="00DC702D" w:rsidRPr="004A68AC" w:rsidRDefault="00204274" w:rsidP="00D25CA6">
            <w:pPr>
              <w:jc w:val="left"/>
              <w:rPr>
                <w:sz w:val="18"/>
                <w:szCs w:val="18"/>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θ</m:t>
                    </m:r>
                  </m:e>
                  <m:sub>
                    <m:r>
                      <m:rPr>
                        <m:sty m:val="p"/>
                      </m:rPr>
                      <w:rPr>
                        <w:rFonts w:ascii="Cambria Math" w:hAnsi="Cambria Math"/>
                        <w:sz w:val="18"/>
                        <w:szCs w:val="18"/>
                        <w:lang w:val="en-US"/>
                      </w:rPr>
                      <m:t>y</m:t>
                    </m:r>
                  </m:sub>
                </m:sSub>
                <m:r>
                  <m:rPr>
                    <m:sty m:val="p"/>
                  </m:rPr>
                  <w:rPr>
                    <w:rFonts w:ascii="Cambria Math" w:hAnsi="Cambria Math"/>
                    <w:sz w:val="18"/>
                    <w:szCs w:val="18"/>
                    <w:lang w:val="en-US"/>
                  </w:rPr>
                  <m:t>=</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6EI</m:t>
                    </m:r>
                  </m:den>
                </m:f>
                <m:d>
                  <m:dPr>
                    <m:ctrlPr>
                      <w:rPr>
                        <w:rFonts w:ascii="Cambria Math" w:hAnsi="Cambria Math"/>
                        <w:sz w:val="18"/>
                        <w:szCs w:val="18"/>
                        <w:lang w:val="en-US"/>
                      </w:rPr>
                    </m:ctrlPr>
                  </m:dPr>
                  <m:e>
                    <m:r>
                      <m:rPr>
                        <m:sty m:val="p"/>
                      </m:rPr>
                      <w:rPr>
                        <w:rFonts w:ascii="Cambria Math" w:hAnsi="Cambria Math"/>
                        <w:sz w:val="18"/>
                        <w:szCs w:val="18"/>
                        <w:lang w:val="en-US"/>
                      </w:rPr>
                      <m:t>1+</m:t>
                    </m:r>
                    <m:f>
                      <m:fPr>
                        <m:ctrlPr>
                          <w:rPr>
                            <w:rFonts w:ascii="Cambria Math" w:hAnsi="Cambria Math"/>
                            <w:sz w:val="18"/>
                            <w:szCs w:val="18"/>
                            <w:lang w:val="en-US"/>
                          </w:rPr>
                        </m:ctrlPr>
                      </m:fPr>
                      <m:num>
                        <m:r>
                          <m:rPr>
                            <m:sty m:val="p"/>
                          </m:rPr>
                          <w:rPr>
                            <w:rFonts w:ascii="Cambria Math" w:hAnsi="Cambria Math"/>
                            <w:sz w:val="18"/>
                            <w:szCs w:val="18"/>
                            <w:lang w:val="en-US"/>
                          </w:rPr>
                          <m:t>12EI</m:t>
                        </m:r>
                      </m:num>
                      <m:den>
                        <m:sSup>
                          <m:sSupPr>
                            <m:ctrlPr>
                              <w:rPr>
                                <w:rFonts w:ascii="Cambria Math" w:hAnsi="Cambria Math"/>
                                <w:sz w:val="18"/>
                                <w:szCs w:val="18"/>
                                <w:lang w:val="en-US"/>
                              </w:rPr>
                            </m:ctrlPr>
                          </m:sSupPr>
                          <m:e>
                            <m:r>
                              <m:rPr>
                                <m:sty m:val="p"/>
                              </m:rPr>
                              <w:rPr>
                                <w:rFonts w:ascii="Cambria Math" w:hAnsi="Cambria Math"/>
                                <w:sz w:val="18"/>
                                <w:szCs w:val="18"/>
                                <w:lang w:val="en-US"/>
                              </w:rPr>
                              <m:t>L</m:t>
                            </m:r>
                          </m:e>
                          <m:sup>
                            <m:r>
                              <m:rPr>
                                <m:sty m:val="p"/>
                              </m:rPr>
                              <w:rPr>
                                <w:rFonts w:ascii="Cambria Math" w:hAnsi="Cambria Math"/>
                                <w:sz w:val="18"/>
                                <w:szCs w:val="18"/>
                                <w:lang w:val="en-US"/>
                              </w:rPr>
                              <m:t>2</m:t>
                            </m:r>
                          </m:sup>
                        </m:sSup>
                        <m:r>
                          <m:rPr>
                            <m:sty m:val="p"/>
                          </m:rPr>
                          <w:rPr>
                            <w:rFonts w:ascii="Cambria Math" w:hAnsi="Cambria Math"/>
                            <w:sz w:val="18"/>
                            <w:szCs w:val="18"/>
                            <w:lang w:val="en-US"/>
                          </w:rPr>
                          <m:t>G</m:t>
                        </m:r>
                        <m:sSub>
                          <m:sSubPr>
                            <m:ctrlPr>
                              <w:rPr>
                                <w:rFonts w:ascii="Cambria Math" w:hAnsi="Cambria Math"/>
                                <w:sz w:val="18"/>
                                <w:szCs w:val="18"/>
                                <w:lang w:val="en-US"/>
                              </w:rPr>
                            </m:ctrlPr>
                          </m:sSubPr>
                          <m:e>
                            <m:r>
                              <m:rPr>
                                <m:sty m:val="p"/>
                              </m:rPr>
                              <w:rPr>
                                <w:rFonts w:ascii="Cambria Math" w:hAnsi="Cambria Math"/>
                                <w:sz w:val="18"/>
                                <w:szCs w:val="18"/>
                                <w:lang w:val="en-US"/>
                              </w:rPr>
                              <m:t>A</m:t>
                            </m:r>
                          </m:e>
                          <m:sub>
                            <m:r>
                              <m:rPr>
                                <m:sty m:val="p"/>
                              </m:rPr>
                              <w:rPr>
                                <w:rFonts w:ascii="Cambria Math" w:hAnsi="Cambria Math"/>
                                <w:sz w:val="18"/>
                                <w:szCs w:val="18"/>
                                <w:lang w:val="en-US"/>
                              </w:rPr>
                              <m:t>s</m:t>
                            </m:r>
                          </m:sub>
                        </m:sSub>
                      </m:den>
                    </m:f>
                  </m:e>
                </m:d>
              </m:oMath>
            </m:oMathPara>
          </w:p>
        </w:tc>
        <w:tc>
          <w:tcPr>
            <w:tcW w:w="2500" w:type="pct"/>
            <w:vAlign w:val="center"/>
          </w:tcPr>
          <w:p w14:paraId="4ADDC775" w14:textId="674AC8EC" w:rsidR="00DC702D" w:rsidRPr="004A68AC" w:rsidRDefault="00DC702D" w:rsidP="00D25CA6">
            <w:pPr>
              <w:jc w:val="right"/>
              <w:rPr>
                <w:lang w:val="en-US"/>
              </w:rPr>
            </w:pPr>
            <w:r w:rsidRPr="004A68AC">
              <w:rPr>
                <w:lang w:val="en-US"/>
              </w:rPr>
              <w:t>(3)</w:t>
            </w:r>
          </w:p>
        </w:tc>
      </w:tr>
    </w:tbl>
    <w:p w14:paraId="599750F2" w14:textId="0E040732" w:rsidR="004668D1" w:rsidRPr="004A68AC" w:rsidRDefault="00691E5B" w:rsidP="00B65292">
      <w:pPr>
        <w:rPr>
          <w:lang w:val="en-US" w:eastAsia="it-IT"/>
        </w:rPr>
      </w:pPr>
      <w:r w:rsidRPr="004A68AC">
        <w:rPr>
          <w:lang w:val="en-US" w:eastAsia="it-IT"/>
        </w:rPr>
        <w:t>where G is the shear modulus of steel and A</w:t>
      </w:r>
      <w:r w:rsidRPr="004A68AC">
        <w:rPr>
          <w:vertAlign w:val="subscript"/>
          <w:lang w:val="en-US" w:eastAsia="it-IT"/>
        </w:rPr>
        <w:t>s</w:t>
      </w:r>
      <w:r w:rsidRPr="004A68AC">
        <w:rPr>
          <w:lang w:val="en-US" w:eastAsia="it-IT"/>
        </w:rPr>
        <w:t xml:space="preserve"> is the effective shear area of the cross section</w:t>
      </w:r>
      <w:r w:rsidR="006F372B" w:rsidRPr="004A68AC">
        <w:rPr>
          <w:lang w:val="en-US" w:eastAsia="it-IT"/>
        </w:rPr>
        <w:t xml:space="preserve"> in a wide-flange beam</w:t>
      </w:r>
      <w:r w:rsidR="00546541" w:rsidRPr="004A68AC">
        <w:rPr>
          <w:lang w:val="en-US" w:eastAsia="it-IT"/>
        </w:rPr>
        <w:t>.</w:t>
      </w:r>
      <w:r w:rsidR="00A03348" w:rsidRPr="004A68AC">
        <w:rPr>
          <w:lang w:val="en-US" w:eastAsia="it-IT"/>
        </w:rPr>
        <w:t xml:space="preserve"> </w:t>
      </w:r>
      <w:r w:rsidR="0088312D" w:rsidRPr="004A68AC">
        <w:rPr>
          <w:lang w:val="en-US" w:eastAsia="it-IT"/>
        </w:rPr>
        <w:t>For columns</w:t>
      </w:r>
      <w:r w:rsidR="004668D1" w:rsidRPr="004A68AC">
        <w:rPr>
          <w:lang w:val="en-US" w:eastAsia="it-IT"/>
        </w:rPr>
        <w:t xml:space="preserve">, </w:t>
      </w:r>
      <w:r w:rsidR="0088312D" w:rsidRPr="004A68AC">
        <w:rPr>
          <w:lang w:val="en-US" w:eastAsia="it-IT"/>
        </w:rPr>
        <w:t xml:space="preserve">in addition of accounting for the shear stiffness of the </w:t>
      </w:r>
      <w:r w:rsidR="000F6F5F" w:rsidRPr="004A68AC">
        <w:rPr>
          <w:lang w:val="en-US" w:eastAsia="it-IT"/>
        </w:rPr>
        <w:t>element</w:t>
      </w:r>
      <w:r w:rsidR="0088312D" w:rsidRPr="004A68AC">
        <w:rPr>
          <w:lang w:val="en-US" w:eastAsia="it-IT"/>
        </w:rPr>
        <w:t xml:space="preserve">, </w:t>
      </w:r>
      <w:r w:rsidR="004668D1" w:rsidRPr="004A68AC">
        <w:rPr>
          <w:lang w:val="en-US" w:eastAsia="it-IT"/>
        </w:rPr>
        <w:t xml:space="preserve">the </w:t>
      </w:r>
      <w:r w:rsidR="009630B4" w:rsidRPr="004A68AC">
        <w:rPr>
          <w:lang w:val="en-US" w:eastAsia="it-IT"/>
        </w:rPr>
        <w:t>ASCE 41</w:t>
      </w:r>
      <w:r w:rsidR="004668D1" w:rsidRPr="004A68AC">
        <w:rPr>
          <w:lang w:val="en-US" w:eastAsia="it-IT"/>
        </w:rPr>
        <w:t xml:space="preserve">-17 </w:t>
      </w:r>
      <w:r w:rsidR="004668D1"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4668D1" w:rsidRPr="004A68AC">
        <w:rPr>
          <w:lang w:val="en-US" w:eastAsia="it-IT"/>
        </w:rPr>
        <w:fldChar w:fldCharType="separate"/>
      </w:r>
      <w:r w:rsidR="00B339CD" w:rsidRPr="004A68AC">
        <w:rPr>
          <w:noProof/>
          <w:lang w:val="en-US" w:eastAsia="it-IT"/>
        </w:rPr>
        <w:t>[19]</w:t>
      </w:r>
      <w:r w:rsidR="004668D1" w:rsidRPr="004A68AC">
        <w:rPr>
          <w:lang w:val="en-US" w:eastAsia="it-IT"/>
        </w:rPr>
        <w:fldChar w:fldCharType="end"/>
      </w:r>
      <w:r w:rsidR="004668D1" w:rsidRPr="004A68AC">
        <w:rPr>
          <w:lang w:val="en-US" w:eastAsia="it-IT"/>
        </w:rPr>
        <w:t xml:space="preserve"> </w:t>
      </w:r>
      <w:r w:rsidR="0088312D" w:rsidRPr="004A68AC">
        <w:rPr>
          <w:lang w:val="en-US" w:eastAsia="it-IT"/>
        </w:rPr>
        <w:t xml:space="preserve">simplifies the formulation considering only </w:t>
      </w:r>
      <w:r w:rsidR="004668D1" w:rsidRPr="004A68AC">
        <w:rPr>
          <w:lang w:val="en-US" w:eastAsia="it-IT"/>
        </w:rPr>
        <w:t xml:space="preserve">the axial </w:t>
      </w:r>
      <w:r w:rsidR="00B035F5" w:rsidRPr="004A68AC">
        <w:rPr>
          <w:lang w:val="en-US" w:eastAsia="it-IT"/>
        </w:rPr>
        <w:t xml:space="preserve">force </w:t>
      </w:r>
      <w:r w:rsidR="004668D1" w:rsidRPr="004A68AC">
        <w:rPr>
          <w:lang w:val="en-US" w:eastAsia="it-IT"/>
        </w:rPr>
        <w:t>due to</w:t>
      </w:r>
      <w:r w:rsidR="00B035F5" w:rsidRPr="004A68AC">
        <w:rPr>
          <w:lang w:val="en-US" w:eastAsia="it-IT"/>
        </w:rPr>
        <w:t xml:space="preserve"> the</w:t>
      </w:r>
      <w:r w:rsidR="004668D1" w:rsidRPr="004A68AC">
        <w:rPr>
          <w:lang w:val="en-US" w:eastAsia="it-IT"/>
        </w:rPr>
        <w:t xml:space="preserve"> gravity loads and discards the overturning effects,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gridCol w:w="848"/>
      </w:tblGrid>
      <w:tr w:rsidR="00F86F4A" w:rsidRPr="004A68AC" w14:paraId="210F502E" w14:textId="77777777" w:rsidTr="00507EAD">
        <w:trPr>
          <w:trHeight w:val="1701"/>
        </w:trPr>
        <w:tc>
          <w:tcPr>
            <w:tcW w:w="4560" w:type="pct"/>
            <w:vAlign w:val="center"/>
          </w:tcPr>
          <w:p w14:paraId="2FE9F1FC" w14:textId="3A06056B" w:rsidR="004668D1" w:rsidRPr="004A68AC" w:rsidRDefault="00204274" w:rsidP="00580277">
            <w:pPr>
              <w:jc w:val="left"/>
              <w:rPr>
                <w:sz w:val="18"/>
                <w:szCs w:val="18"/>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θ</m:t>
                    </m:r>
                  </m:e>
                  <m:sub>
                    <m:r>
                      <m:rPr>
                        <m:sty m:val="p"/>
                      </m:rPr>
                      <w:rPr>
                        <w:rFonts w:ascii="Cambria Math" w:hAnsi="Cambria Math"/>
                        <w:sz w:val="18"/>
                        <w:szCs w:val="18"/>
                        <w:lang w:val="en-US"/>
                      </w:rPr>
                      <m:t>y</m:t>
                    </m:r>
                  </m:sub>
                </m:sSub>
                <m:r>
                  <m:rPr>
                    <m:sty m:val="p"/>
                  </m:rPr>
                  <w:rPr>
                    <w:rFonts w:ascii="Cambria Math" w:hAnsi="Cambria Math"/>
                    <w:sz w:val="18"/>
                    <w:szCs w:val="18"/>
                    <w:lang w:val="en-US"/>
                  </w:rPr>
                  <m:t>=</m:t>
                </m:r>
                <m:d>
                  <m:dPr>
                    <m:begChr m:val="{"/>
                    <m:endChr m:val=""/>
                    <m:ctrlPr>
                      <w:rPr>
                        <w:rFonts w:ascii="Cambria Math" w:hAnsi="Cambria Math"/>
                        <w:sz w:val="18"/>
                        <w:szCs w:val="18"/>
                        <w:lang w:val="en-US"/>
                      </w:rPr>
                    </m:ctrlPr>
                  </m:dPr>
                  <m:e>
                    <m:m>
                      <m:mPr>
                        <m:mcs>
                          <m:mc>
                            <m:mcPr>
                              <m:count m:val="2"/>
                              <m:mcJc m:val="center"/>
                            </m:mcPr>
                          </m:mc>
                        </m:mcs>
                        <m:ctrlPr>
                          <w:rPr>
                            <w:rFonts w:ascii="Cambria Math" w:hAnsi="Cambria Math"/>
                            <w:i/>
                            <w:sz w:val="18"/>
                            <w:szCs w:val="18"/>
                            <w:lang w:val="en-US"/>
                          </w:rPr>
                        </m:ctrlPr>
                      </m:mPr>
                      <m:mr>
                        <m:e>
                          <m:r>
                            <m:rPr>
                              <m:sty m:val="p"/>
                            </m:rPr>
                            <w:rPr>
                              <w:rFonts w:ascii="Cambria Math" w:hAnsi="Cambria Math"/>
                              <w:sz w:val="18"/>
                              <w:szCs w:val="18"/>
                              <w:lang w:val="en-US"/>
                            </w:rPr>
                            <m:t xml:space="preserve">for </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r>
                            <m:rPr>
                              <m:sty m:val="p"/>
                            </m:rPr>
                            <w:rPr>
                              <w:rFonts w:ascii="Cambria Math" w:hAnsi="Cambria Math"/>
                              <w:sz w:val="18"/>
                              <w:szCs w:val="18"/>
                              <w:lang w:val="en-US"/>
                            </w:rPr>
                            <m:t>&lt;0.2</m:t>
                          </m:r>
                        </m:e>
                        <m:e>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6EI</m:t>
                              </m:r>
                            </m:den>
                          </m:f>
                          <m:d>
                            <m:dPr>
                              <m:ctrlPr>
                                <w:rPr>
                                  <w:rFonts w:ascii="Cambria Math" w:hAnsi="Cambria Math"/>
                                  <w:sz w:val="18"/>
                                  <w:szCs w:val="18"/>
                                  <w:lang w:val="en-US"/>
                                </w:rPr>
                              </m:ctrlPr>
                            </m:dPr>
                            <m:e>
                              <m:r>
                                <m:rPr>
                                  <m:sty m:val="p"/>
                                </m:rPr>
                                <w:rPr>
                                  <w:rFonts w:ascii="Cambria Math" w:hAnsi="Cambria Math"/>
                                  <w:sz w:val="18"/>
                                  <w:szCs w:val="18"/>
                                  <w:lang w:val="en-US"/>
                                </w:rPr>
                                <m:t>1+</m:t>
                              </m:r>
                              <m:f>
                                <m:fPr>
                                  <m:ctrlPr>
                                    <w:rPr>
                                      <w:rFonts w:ascii="Cambria Math" w:hAnsi="Cambria Math"/>
                                      <w:sz w:val="18"/>
                                      <w:szCs w:val="18"/>
                                      <w:lang w:val="en-US"/>
                                    </w:rPr>
                                  </m:ctrlPr>
                                </m:fPr>
                                <m:num>
                                  <m:r>
                                    <m:rPr>
                                      <m:sty m:val="p"/>
                                    </m:rPr>
                                    <w:rPr>
                                      <w:rFonts w:ascii="Cambria Math" w:hAnsi="Cambria Math"/>
                                      <w:sz w:val="18"/>
                                      <w:szCs w:val="18"/>
                                      <w:lang w:val="en-US"/>
                                    </w:rPr>
                                    <m:t>12EI</m:t>
                                  </m:r>
                                </m:num>
                                <m:den>
                                  <m:sSup>
                                    <m:sSupPr>
                                      <m:ctrlPr>
                                        <w:rPr>
                                          <w:rFonts w:ascii="Cambria Math" w:hAnsi="Cambria Math"/>
                                          <w:sz w:val="18"/>
                                          <w:szCs w:val="18"/>
                                          <w:lang w:val="en-US"/>
                                        </w:rPr>
                                      </m:ctrlPr>
                                    </m:sSupPr>
                                    <m:e>
                                      <m:r>
                                        <m:rPr>
                                          <m:sty m:val="p"/>
                                        </m:rPr>
                                        <w:rPr>
                                          <w:rFonts w:ascii="Cambria Math" w:hAnsi="Cambria Math"/>
                                          <w:sz w:val="18"/>
                                          <w:szCs w:val="18"/>
                                          <w:lang w:val="en-US"/>
                                        </w:rPr>
                                        <m:t>L</m:t>
                                      </m:r>
                                    </m:e>
                                    <m:sup>
                                      <m:r>
                                        <m:rPr>
                                          <m:sty m:val="p"/>
                                        </m:rPr>
                                        <w:rPr>
                                          <w:rFonts w:ascii="Cambria Math" w:hAnsi="Cambria Math"/>
                                          <w:sz w:val="18"/>
                                          <w:szCs w:val="18"/>
                                          <w:lang w:val="en-US"/>
                                        </w:rPr>
                                        <m:t>2</m:t>
                                      </m:r>
                                    </m:sup>
                                  </m:sSup>
                                  <m:r>
                                    <m:rPr>
                                      <m:sty m:val="p"/>
                                    </m:rPr>
                                    <w:rPr>
                                      <w:rFonts w:ascii="Cambria Math" w:hAnsi="Cambria Math"/>
                                      <w:sz w:val="18"/>
                                      <w:szCs w:val="18"/>
                                      <w:lang w:val="en-US"/>
                                    </w:rPr>
                                    <m:t>G</m:t>
                                  </m:r>
                                  <m:sSub>
                                    <m:sSubPr>
                                      <m:ctrlPr>
                                        <w:rPr>
                                          <w:rFonts w:ascii="Cambria Math" w:hAnsi="Cambria Math"/>
                                          <w:sz w:val="18"/>
                                          <w:szCs w:val="18"/>
                                          <w:lang w:val="en-US"/>
                                        </w:rPr>
                                      </m:ctrlPr>
                                    </m:sSubPr>
                                    <m:e>
                                      <m:r>
                                        <m:rPr>
                                          <m:sty m:val="p"/>
                                        </m:rPr>
                                        <w:rPr>
                                          <w:rFonts w:ascii="Cambria Math" w:hAnsi="Cambria Math"/>
                                          <w:sz w:val="18"/>
                                          <w:szCs w:val="18"/>
                                          <w:lang w:val="en-US"/>
                                        </w:rPr>
                                        <m:t>A</m:t>
                                      </m:r>
                                    </m:e>
                                    <m:sub>
                                      <m:r>
                                        <m:rPr>
                                          <m:sty m:val="p"/>
                                        </m:rPr>
                                        <w:rPr>
                                          <w:rFonts w:ascii="Cambria Math" w:hAnsi="Cambria Math"/>
                                          <w:sz w:val="18"/>
                                          <w:szCs w:val="18"/>
                                          <w:lang w:val="en-US"/>
                                        </w:rPr>
                                        <m:t>s</m:t>
                                      </m:r>
                                    </m:sub>
                                  </m:sSub>
                                </m:den>
                              </m:f>
                            </m:e>
                          </m:d>
                          <m:d>
                            <m:dPr>
                              <m:ctrlPr>
                                <w:rPr>
                                  <w:rFonts w:ascii="Cambria Math" w:hAnsi="Cambria Math"/>
                                  <w:i/>
                                  <w:sz w:val="18"/>
                                  <w:szCs w:val="18"/>
                                  <w:lang w:val="en-US"/>
                                </w:rPr>
                              </m:ctrlPr>
                            </m:dPr>
                            <m:e>
                              <m:r>
                                <w:rPr>
                                  <w:rFonts w:ascii="Cambria Math" w:hAnsi="Cambria Math"/>
                                  <w:sz w:val="18"/>
                                  <w:szCs w:val="18"/>
                                  <w:lang w:val="en-US"/>
                                </w:rPr>
                                <m:t>1-</m:t>
                              </m:r>
                              <m:f>
                                <m:fPr>
                                  <m:ctrlPr>
                                    <w:rPr>
                                      <w:rFonts w:ascii="Cambria Math" w:hAnsi="Cambria Math"/>
                                      <w:i/>
                                      <w:sz w:val="18"/>
                                      <w:szCs w:val="18"/>
                                      <w:lang w:val="en-US" w:eastAsia="it-IT"/>
                                    </w:rPr>
                                  </m:ctrlPr>
                                </m:fPr>
                                <m:num>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i/>
                                          <w:sz w:val="18"/>
                                          <w:szCs w:val="18"/>
                                          <w:lang w:val="en-US"/>
                                        </w:rPr>
                                      </m:ctrlPr>
                                    </m:e>
                                    <m:sub>
                                      <m:r>
                                        <m:rPr>
                                          <m:sty m:val="p"/>
                                        </m:rPr>
                                        <w:rPr>
                                          <w:rFonts w:ascii="Cambria Math" w:hAnsi="Cambria Math"/>
                                          <w:sz w:val="18"/>
                                          <w:szCs w:val="18"/>
                                          <w:lang w:val="en-US" w:eastAsia="it-IT"/>
                                        </w:rPr>
                                        <m:t>G</m:t>
                                      </m:r>
                                    </m:sub>
                                  </m:sSub>
                                  <m:ctrlPr>
                                    <w:rPr>
                                      <w:rFonts w:ascii="Cambria Math" w:hAnsi="Cambria Math"/>
                                      <w:i/>
                                      <w:sz w:val="18"/>
                                      <w:szCs w:val="18"/>
                                      <w:lang w:val="en-US"/>
                                    </w:rPr>
                                  </m:ctrlPr>
                                </m:num>
                                <m:den>
                                  <m:r>
                                    <w:rPr>
                                      <w:rFonts w:ascii="Cambria Math" w:hAnsi="Cambria Math"/>
                                      <w:sz w:val="18"/>
                                      <w:szCs w:val="18"/>
                                      <w:lang w:val="en-US" w:eastAsia="it-IT"/>
                                    </w:rPr>
                                    <m:t>2</m:t>
                                  </m:r>
                                </m:den>
                              </m:f>
                              <m:ctrlPr>
                                <w:rPr>
                                  <w:rFonts w:ascii="Cambria Math" w:hAnsi="Cambria Math"/>
                                  <w:i/>
                                  <w:sz w:val="18"/>
                                  <w:szCs w:val="18"/>
                                  <w:lang w:val="en-US" w:eastAsia="it-IT"/>
                                </w:rPr>
                              </m:ctrlPr>
                            </m:e>
                          </m:d>
                        </m:e>
                      </m:mr>
                      <m:mr>
                        <m:e>
                          <m:r>
                            <m:rPr>
                              <m:sty m:val="p"/>
                            </m:rPr>
                            <w:rPr>
                              <w:rFonts w:ascii="Cambria Math" w:hAnsi="Cambria Math"/>
                              <w:sz w:val="18"/>
                              <w:szCs w:val="18"/>
                              <w:lang w:val="en-US"/>
                            </w:rPr>
                            <m:t xml:space="preserve">for </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0.2≤ν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r>
                            <m:rPr>
                              <m:sty m:val="p"/>
                            </m:rPr>
                            <w:rPr>
                              <w:rFonts w:ascii="Cambria Math" w:hAnsi="Cambria Math"/>
                              <w:sz w:val="18"/>
                              <w:szCs w:val="18"/>
                              <w:lang w:val="en-US"/>
                            </w:rPr>
                            <m:t>≤0.5</m:t>
                          </m:r>
                        </m:e>
                        <m:e>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6EI</m:t>
                              </m:r>
                            </m:den>
                          </m:f>
                          <m:d>
                            <m:dPr>
                              <m:ctrlPr>
                                <w:rPr>
                                  <w:rFonts w:ascii="Cambria Math" w:hAnsi="Cambria Math"/>
                                  <w:sz w:val="18"/>
                                  <w:szCs w:val="18"/>
                                  <w:lang w:val="en-US"/>
                                </w:rPr>
                              </m:ctrlPr>
                            </m:dPr>
                            <m:e>
                              <m:r>
                                <m:rPr>
                                  <m:sty m:val="p"/>
                                </m:rPr>
                                <w:rPr>
                                  <w:rFonts w:ascii="Cambria Math" w:hAnsi="Cambria Math"/>
                                  <w:sz w:val="18"/>
                                  <w:szCs w:val="18"/>
                                  <w:lang w:val="en-US"/>
                                </w:rPr>
                                <m:t>1+</m:t>
                              </m:r>
                              <m:f>
                                <m:fPr>
                                  <m:ctrlPr>
                                    <w:rPr>
                                      <w:rFonts w:ascii="Cambria Math" w:hAnsi="Cambria Math"/>
                                      <w:sz w:val="18"/>
                                      <w:szCs w:val="18"/>
                                      <w:lang w:val="en-US"/>
                                    </w:rPr>
                                  </m:ctrlPr>
                                </m:fPr>
                                <m:num>
                                  <m:r>
                                    <m:rPr>
                                      <m:sty m:val="p"/>
                                    </m:rPr>
                                    <w:rPr>
                                      <w:rFonts w:ascii="Cambria Math" w:hAnsi="Cambria Math"/>
                                      <w:sz w:val="18"/>
                                      <w:szCs w:val="18"/>
                                      <w:lang w:val="en-US"/>
                                    </w:rPr>
                                    <m:t>12EI</m:t>
                                  </m:r>
                                </m:num>
                                <m:den>
                                  <m:sSup>
                                    <m:sSupPr>
                                      <m:ctrlPr>
                                        <w:rPr>
                                          <w:rFonts w:ascii="Cambria Math" w:hAnsi="Cambria Math"/>
                                          <w:sz w:val="18"/>
                                          <w:szCs w:val="18"/>
                                          <w:lang w:val="en-US"/>
                                        </w:rPr>
                                      </m:ctrlPr>
                                    </m:sSupPr>
                                    <m:e>
                                      <m:r>
                                        <m:rPr>
                                          <m:sty m:val="p"/>
                                        </m:rPr>
                                        <w:rPr>
                                          <w:rFonts w:ascii="Cambria Math" w:hAnsi="Cambria Math"/>
                                          <w:sz w:val="18"/>
                                          <w:szCs w:val="18"/>
                                          <w:lang w:val="en-US"/>
                                        </w:rPr>
                                        <m:t>L</m:t>
                                      </m:r>
                                    </m:e>
                                    <m:sup>
                                      <m:r>
                                        <m:rPr>
                                          <m:sty m:val="p"/>
                                        </m:rPr>
                                        <w:rPr>
                                          <w:rFonts w:ascii="Cambria Math" w:hAnsi="Cambria Math"/>
                                          <w:sz w:val="18"/>
                                          <w:szCs w:val="18"/>
                                          <w:lang w:val="en-US"/>
                                        </w:rPr>
                                        <m:t>2</m:t>
                                      </m:r>
                                    </m:sup>
                                  </m:sSup>
                                  <m:r>
                                    <m:rPr>
                                      <m:sty m:val="p"/>
                                    </m:rPr>
                                    <w:rPr>
                                      <w:rFonts w:ascii="Cambria Math" w:hAnsi="Cambria Math"/>
                                      <w:sz w:val="18"/>
                                      <w:szCs w:val="18"/>
                                      <w:lang w:val="en-US"/>
                                    </w:rPr>
                                    <m:t>G</m:t>
                                  </m:r>
                                  <m:sSub>
                                    <m:sSubPr>
                                      <m:ctrlPr>
                                        <w:rPr>
                                          <w:rFonts w:ascii="Cambria Math" w:hAnsi="Cambria Math"/>
                                          <w:sz w:val="18"/>
                                          <w:szCs w:val="18"/>
                                          <w:lang w:val="en-US"/>
                                        </w:rPr>
                                      </m:ctrlPr>
                                    </m:sSubPr>
                                    <m:e>
                                      <m:r>
                                        <m:rPr>
                                          <m:sty m:val="p"/>
                                        </m:rPr>
                                        <w:rPr>
                                          <w:rFonts w:ascii="Cambria Math" w:hAnsi="Cambria Math"/>
                                          <w:sz w:val="18"/>
                                          <w:szCs w:val="18"/>
                                          <w:lang w:val="en-US"/>
                                        </w:rPr>
                                        <m:t>A</m:t>
                                      </m:r>
                                    </m:e>
                                    <m:sub>
                                      <m:r>
                                        <m:rPr>
                                          <m:sty m:val="p"/>
                                        </m:rPr>
                                        <w:rPr>
                                          <w:rFonts w:ascii="Cambria Math" w:hAnsi="Cambria Math"/>
                                          <w:sz w:val="18"/>
                                          <w:szCs w:val="18"/>
                                          <w:lang w:val="en-US"/>
                                        </w:rPr>
                                        <m:t>s</m:t>
                                      </m:r>
                                    </m:sub>
                                  </m:sSub>
                                </m:den>
                              </m:f>
                            </m:e>
                          </m:d>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9</m:t>
                                  </m:r>
                                </m:num>
                                <m:den>
                                  <m:r>
                                    <w:rPr>
                                      <w:rFonts w:ascii="Cambria Math" w:hAnsi="Cambria Math"/>
                                      <w:sz w:val="18"/>
                                      <w:szCs w:val="18"/>
                                      <w:lang w:val="en-US"/>
                                    </w:rPr>
                                    <m:t>8</m:t>
                                  </m:r>
                                </m:den>
                              </m:f>
                              <m:r>
                                <w:rPr>
                                  <w:rFonts w:ascii="Cambria Math" w:hAnsi="Cambria Math"/>
                                  <w:sz w:val="18"/>
                                  <w:szCs w:val="18"/>
                                  <w:lang w:val="en-US"/>
                                </w:rPr>
                                <m:t>-</m:t>
                              </m:r>
                              <m:f>
                                <m:fPr>
                                  <m:ctrlPr>
                                    <w:rPr>
                                      <w:rFonts w:ascii="Cambria Math" w:hAnsi="Cambria Math"/>
                                      <w:i/>
                                      <w:sz w:val="18"/>
                                      <w:szCs w:val="18"/>
                                      <w:lang w:val="en-US" w:eastAsia="it-IT"/>
                                    </w:rPr>
                                  </m:ctrlPr>
                                </m:fPr>
                                <m:num>
                                  <m:r>
                                    <w:rPr>
                                      <w:rFonts w:ascii="Cambria Math" w:hAnsi="Cambria Math"/>
                                      <w:sz w:val="18"/>
                                      <w:szCs w:val="18"/>
                                      <w:lang w:val="en-US" w:eastAsia="it-IT"/>
                                    </w:rPr>
                                    <m:t>9</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i/>
                                          <w:sz w:val="18"/>
                                          <w:szCs w:val="18"/>
                                          <w:lang w:val="en-US"/>
                                        </w:rPr>
                                      </m:ctrlPr>
                                    </m:e>
                                    <m:sub>
                                      <m:r>
                                        <m:rPr>
                                          <m:sty m:val="p"/>
                                        </m:rPr>
                                        <w:rPr>
                                          <w:rFonts w:ascii="Cambria Math" w:hAnsi="Cambria Math"/>
                                          <w:sz w:val="18"/>
                                          <w:szCs w:val="18"/>
                                          <w:lang w:val="en-US" w:eastAsia="it-IT"/>
                                        </w:rPr>
                                        <m:t>G</m:t>
                                      </m:r>
                                    </m:sub>
                                  </m:sSub>
                                  <m:ctrlPr>
                                    <w:rPr>
                                      <w:rFonts w:ascii="Cambria Math" w:hAnsi="Cambria Math"/>
                                      <w:i/>
                                      <w:sz w:val="18"/>
                                      <w:szCs w:val="18"/>
                                      <w:lang w:val="en-US"/>
                                    </w:rPr>
                                  </m:ctrlPr>
                                </m:num>
                                <m:den>
                                  <m:r>
                                    <w:rPr>
                                      <w:rFonts w:ascii="Cambria Math" w:hAnsi="Cambria Math"/>
                                      <w:sz w:val="18"/>
                                      <w:szCs w:val="18"/>
                                      <w:lang w:val="en-US"/>
                                    </w:rPr>
                                    <m:t>8</m:t>
                                  </m:r>
                                </m:den>
                              </m:f>
                              <m:ctrlPr>
                                <w:rPr>
                                  <w:rFonts w:ascii="Cambria Math" w:hAnsi="Cambria Math"/>
                                  <w:i/>
                                  <w:sz w:val="18"/>
                                  <w:szCs w:val="18"/>
                                  <w:lang w:val="en-US" w:eastAsia="it-IT"/>
                                </w:rPr>
                              </m:ctrlPr>
                            </m:e>
                          </m:d>
                        </m:e>
                      </m:mr>
                      <m:mr>
                        <m:e>
                          <m:r>
                            <m:rPr>
                              <m:sty m:val="p"/>
                            </m:rPr>
                            <w:rPr>
                              <w:rFonts w:ascii="Cambria Math" w:hAnsi="Cambria Math"/>
                              <w:sz w:val="18"/>
                              <w:szCs w:val="18"/>
                              <w:lang w:val="en-US"/>
                            </w:rPr>
                            <m:t xml:space="preserve">for </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0.5&lt;ν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e>
                        <m:e>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M</m:t>
                                  </m:r>
                                </m:e>
                                <m:sub>
                                  <m:r>
                                    <m:rPr>
                                      <m:sty m:val="p"/>
                                    </m:rPr>
                                    <w:rPr>
                                      <w:rFonts w:ascii="Cambria Math" w:hAnsi="Cambria Math"/>
                                      <w:sz w:val="18"/>
                                      <w:szCs w:val="18"/>
                                      <w:lang w:val="en-US"/>
                                    </w:rPr>
                                    <m:t>pb,Rd</m:t>
                                  </m:r>
                                </m:sub>
                              </m:sSub>
                              <m:r>
                                <m:rPr>
                                  <m:sty m:val="p"/>
                                </m:rPr>
                                <w:rPr>
                                  <w:rFonts w:ascii="Cambria Math" w:hAnsi="Cambria Math"/>
                                  <w:sz w:val="18"/>
                                  <w:szCs w:val="18"/>
                                  <w:lang w:val="en-US"/>
                                </w:rPr>
                                <m:t>L</m:t>
                              </m:r>
                            </m:num>
                            <m:den>
                              <m:r>
                                <m:rPr>
                                  <m:sty m:val="p"/>
                                </m:rPr>
                                <w:rPr>
                                  <w:rFonts w:ascii="Cambria Math" w:hAnsi="Cambria Math"/>
                                  <w:sz w:val="18"/>
                                  <w:szCs w:val="18"/>
                                  <w:lang w:val="en-US"/>
                                </w:rPr>
                                <m:t>24E</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i/>
                                      <w:sz w:val="18"/>
                                      <w:szCs w:val="18"/>
                                      <w:lang w:val="en-US"/>
                                    </w:rPr>
                                  </m:ctrlPr>
                                </m:e>
                                <m:sub>
                                  <m:r>
                                    <m:rPr>
                                      <m:sty m:val="p"/>
                                    </m:rPr>
                                    <w:rPr>
                                      <w:rFonts w:ascii="Cambria Math" w:hAnsi="Cambria Math"/>
                                      <w:sz w:val="18"/>
                                      <w:szCs w:val="18"/>
                                      <w:lang w:val="en-US" w:eastAsia="it-IT"/>
                                    </w:rPr>
                                    <m:t>G</m:t>
                                  </m:r>
                                </m:sub>
                              </m:sSub>
                              <m:d>
                                <m:dPr>
                                  <m:ctrlPr>
                                    <w:rPr>
                                      <w:rFonts w:ascii="Cambria Math" w:hAnsi="Cambria Math"/>
                                      <w:sz w:val="18"/>
                                      <w:szCs w:val="18"/>
                                      <w:lang w:val="en-US"/>
                                    </w:rPr>
                                  </m:ctrlPr>
                                </m:dPr>
                                <m:e>
                                  <m:r>
                                    <m:rPr>
                                      <m:sty m:val="p"/>
                                    </m:rPr>
                                    <w:rPr>
                                      <w:rFonts w:ascii="Cambria Math" w:hAnsi="Cambria Math"/>
                                      <w:sz w:val="18"/>
                                      <w:szCs w:val="18"/>
                                      <w:lang w:val="en-US"/>
                                    </w:rPr>
                                    <m:t>1-</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i/>
                                          <w:sz w:val="18"/>
                                          <w:szCs w:val="18"/>
                                          <w:lang w:val="en-US"/>
                                        </w:rPr>
                                      </m:ctrlPr>
                                    </m:e>
                                    <m:sub>
                                      <m:r>
                                        <m:rPr>
                                          <m:sty m:val="p"/>
                                        </m:rPr>
                                        <w:rPr>
                                          <w:rFonts w:ascii="Cambria Math" w:hAnsi="Cambria Math"/>
                                          <w:sz w:val="18"/>
                                          <w:szCs w:val="18"/>
                                          <w:lang w:val="en-US" w:eastAsia="it-IT"/>
                                        </w:rPr>
                                        <m:t>G</m:t>
                                      </m:r>
                                    </m:sub>
                                  </m:sSub>
                                </m:e>
                              </m:d>
                              <m:r>
                                <m:rPr>
                                  <m:sty m:val="p"/>
                                </m:rPr>
                                <w:rPr>
                                  <w:rFonts w:ascii="Cambria Math" w:hAnsi="Cambria Math"/>
                                  <w:sz w:val="18"/>
                                  <w:szCs w:val="18"/>
                                  <w:lang w:val="en-US"/>
                                </w:rPr>
                                <m:t>I</m:t>
                              </m:r>
                            </m:den>
                          </m:f>
                          <m:d>
                            <m:dPr>
                              <m:ctrlPr>
                                <w:rPr>
                                  <w:rFonts w:ascii="Cambria Math" w:hAnsi="Cambria Math"/>
                                  <w:sz w:val="18"/>
                                  <w:szCs w:val="18"/>
                                  <w:lang w:val="en-US"/>
                                </w:rPr>
                              </m:ctrlPr>
                            </m:dPr>
                            <m:e>
                              <m:r>
                                <m:rPr>
                                  <m:sty m:val="p"/>
                                </m:rPr>
                                <w:rPr>
                                  <w:rFonts w:ascii="Cambria Math" w:hAnsi="Cambria Math"/>
                                  <w:sz w:val="18"/>
                                  <w:szCs w:val="18"/>
                                  <w:lang w:val="en-US"/>
                                </w:rPr>
                                <m:t>1+</m:t>
                              </m:r>
                              <m:f>
                                <m:fPr>
                                  <m:ctrlPr>
                                    <w:rPr>
                                      <w:rFonts w:ascii="Cambria Math" w:hAnsi="Cambria Math"/>
                                      <w:sz w:val="18"/>
                                      <w:szCs w:val="18"/>
                                      <w:lang w:val="en-US"/>
                                    </w:rPr>
                                  </m:ctrlPr>
                                </m:fPr>
                                <m:num>
                                  <m:r>
                                    <m:rPr>
                                      <m:sty m:val="p"/>
                                    </m:rPr>
                                    <w:rPr>
                                      <w:rFonts w:ascii="Cambria Math" w:hAnsi="Cambria Math"/>
                                      <w:sz w:val="18"/>
                                      <w:szCs w:val="18"/>
                                      <w:lang w:val="en-US"/>
                                    </w:rPr>
                                    <m:t>12EI</m:t>
                                  </m:r>
                                </m:num>
                                <m:den>
                                  <m:sSup>
                                    <m:sSupPr>
                                      <m:ctrlPr>
                                        <w:rPr>
                                          <w:rFonts w:ascii="Cambria Math" w:hAnsi="Cambria Math"/>
                                          <w:sz w:val="18"/>
                                          <w:szCs w:val="18"/>
                                          <w:lang w:val="en-US"/>
                                        </w:rPr>
                                      </m:ctrlPr>
                                    </m:sSupPr>
                                    <m:e>
                                      <m:r>
                                        <m:rPr>
                                          <m:sty m:val="p"/>
                                        </m:rPr>
                                        <w:rPr>
                                          <w:rFonts w:ascii="Cambria Math" w:hAnsi="Cambria Math"/>
                                          <w:sz w:val="18"/>
                                          <w:szCs w:val="18"/>
                                          <w:lang w:val="en-US"/>
                                        </w:rPr>
                                        <m:t>L</m:t>
                                      </m:r>
                                    </m:e>
                                    <m:sup>
                                      <m:r>
                                        <m:rPr>
                                          <m:sty m:val="p"/>
                                        </m:rPr>
                                        <w:rPr>
                                          <w:rFonts w:ascii="Cambria Math" w:hAnsi="Cambria Math"/>
                                          <w:sz w:val="18"/>
                                          <w:szCs w:val="18"/>
                                          <w:lang w:val="en-US"/>
                                        </w:rPr>
                                        <m:t>2</m:t>
                                      </m:r>
                                    </m:sup>
                                  </m:sSup>
                                  <m:r>
                                    <m:rPr>
                                      <m:sty m:val="p"/>
                                    </m:rPr>
                                    <w:rPr>
                                      <w:rFonts w:ascii="Cambria Math" w:hAnsi="Cambria Math"/>
                                      <w:sz w:val="18"/>
                                      <w:szCs w:val="18"/>
                                      <w:lang w:val="en-US"/>
                                    </w:rPr>
                                    <m:t>G</m:t>
                                  </m:r>
                                  <m:sSub>
                                    <m:sSubPr>
                                      <m:ctrlPr>
                                        <w:rPr>
                                          <w:rFonts w:ascii="Cambria Math" w:hAnsi="Cambria Math"/>
                                          <w:sz w:val="18"/>
                                          <w:szCs w:val="18"/>
                                          <w:lang w:val="en-US"/>
                                        </w:rPr>
                                      </m:ctrlPr>
                                    </m:sSubPr>
                                    <m:e>
                                      <m:r>
                                        <m:rPr>
                                          <m:sty m:val="p"/>
                                        </m:rPr>
                                        <w:rPr>
                                          <w:rFonts w:ascii="Cambria Math" w:hAnsi="Cambria Math"/>
                                          <w:sz w:val="18"/>
                                          <w:szCs w:val="18"/>
                                          <w:lang w:val="en-US"/>
                                        </w:rPr>
                                        <m:t>A</m:t>
                                      </m:r>
                                    </m:e>
                                    <m:sub>
                                      <m:r>
                                        <m:rPr>
                                          <m:sty m:val="p"/>
                                        </m:rPr>
                                        <w:rPr>
                                          <w:rFonts w:ascii="Cambria Math" w:hAnsi="Cambria Math"/>
                                          <w:sz w:val="18"/>
                                          <w:szCs w:val="18"/>
                                          <w:lang w:val="en-US"/>
                                        </w:rPr>
                                        <m:t>s</m:t>
                                      </m:r>
                                    </m:sub>
                                  </m:sSub>
                                </m:den>
                              </m:f>
                            </m:e>
                          </m:d>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9</m:t>
                                  </m:r>
                                </m:num>
                                <m:den>
                                  <m:r>
                                    <w:rPr>
                                      <w:rFonts w:ascii="Cambria Math" w:hAnsi="Cambria Math"/>
                                      <w:sz w:val="18"/>
                                      <w:szCs w:val="18"/>
                                      <w:lang w:val="en-US"/>
                                    </w:rPr>
                                    <m:t>8</m:t>
                                  </m:r>
                                </m:den>
                              </m:f>
                              <m:r>
                                <w:rPr>
                                  <w:rFonts w:ascii="Cambria Math" w:hAnsi="Cambria Math"/>
                                  <w:sz w:val="18"/>
                                  <w:szCs w:val="18"/>
                                  <w:lang w:val="en-US"/>
                                </w:rPr>
                                <m:t>-</m:t>
                              </m:r>
                              <m:f>
                                <m:fPr>
                                  <m:ctrlPr>
                                    <w:rPr>
                                      <w:rFonts w:ascii="Cambria Math" w:hAnsi="Cambria Math"/>
                                      <w:i/>
                                      <w:sz w:val="18"/>
                                      <w:szCs w:val="18"/>
                                      <w:lang w:val="en-US" w:eastAsia="it-IT"/>
                                    </w:rPr>
                                  </m:ctrlPr>
                                </m:fPr>
                                <m:num>
                                  <m:r>
                                    <w:rPr>
                                      <w:rFonts w:ascii="Cambria Math" w:hAnsi="Cambria Math"/>
                                      <w:sz w:val="18"/>
                                      <w:szCs w:val="18"/>
                                      <w:lang w:val="en-US" w:eastAsia="it-IT"/>
                                    </w:rPr>
                                    <m:t>9</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i/>
                                          <w:sz w:val="18"/>
                                          <w:szCs w:val="18"/>
                                          <w:lang w:val="en-US"/>
                                        </w:rPr>
                                      </m:ctrlPr>
                                    </m:e>
                                    <m:sub>
                                      <m:r>
                                        <m:rPr>
                                          <m:sty m:val="p"/>
                                        </m:rPr>
                                        <w:rPr>
                                          <w:rFonts w:ascii="Cambria Math" w:hAnsi="Cambria Math"/>
                                          <w:sz w:val="18"/>
                                          <w:szCs w:val="18"/>
                                          <w:lang w:val="en-US" w:eastAsia="it-IT"/>
                                        </w:rPr>
                                        <m:t>G</m:t>
                                      </m:r>
                                    </m:sub>
                                  </m:sSub>
                                  <m:ctrlPr>
                                    <w:rPr>
                                      <w:rFonts w:ascii="Cambria Math" w:hAnsi="Cambria Math"/>
                                      <w:i/>
                                      <w:sz w:val="18"/>
                                      <w:szCs w:val="18"/>
                                      <w:lang w:val="en-US"/>
                                    </w:rPr>
                                  </m:ctrlPr>
                                </m:num>
                                <m:den>
                                  <m:r>
                                    <w:rPr>
                                      <w:rFonts w:ascii="Cambria Math" w:hAnsi="Cambria Math"/>
                                      <w:sz w:val="18"/>
                                      <w:szCs w:val="18"/>
                                      <w:lang w:val="en-US"/>
                                    </w:rPr>
                                    <m:t>8</m:t>
                                  </m:r>
                                </m:den>
                              </m:f>
                              <m:ctrlPr>
                                <w:rPr>
                                  <w:rFonts w:ascii="Cambria Math" w:hAnsi="Cambria Math"/>
                                  <w:i/>
                                  <w:sz w:val="18"/>
                                  <w:szCs w:val="18"/>
                                  <w:lang w:val="en-US" w:eastAsia="it-IT"/>
                                </w:rPr>
                              </m:ctrlPr>
                            </m:e>
                          </m:d>
                        </m:e>
                      </m:mr>
                    </m:m>
                  </m:e>
                </m:d>
              </m:oMath>
            </m:oMathPara>
          </w:p>
        </w:tc>
        <w:tc>
          <w:tcPr>
            <w:tcW w:w="440" w:type="pct"/>
            <w:vAlign w:val="center"/>
          </w:tcPr>
          <w:p w14:paraId="3CF5140F" w14:textId="4CD80B1C" w:rsidR="004668D1" w:rsidRPr="004A68AC" w:rsidRDefault="004668D1" w:rsidP="004668D1">
            <w:pPr>
              <w:jc w:val="right"/>
              <w:rPr>
                <w:lang w:val="en-US"/>
              </w:rPr>
            </w:pPr>
            <w:r w:rsidRPr="004A68AC">
              <w:rPr>
                <w:lang w:val="en-US"/>
              </w:rPr>
              <w:t>(4)</w:t>
            </w:r>
          </w:p>
        </w:tc>
      </w:tr>
    </w:tbl>
    <w:p w14:paraId="735F0FB0" w14:textId="4BD40CEA" w:rsidR="00E33E69" w:rsidRPr="004A68AC" w:rsidRDefault="00DA3891" w:rsidP="000A11E8">
      <w:pPr>
        <w:rPr>
          <w:lang w:val="en-US" w:eastAsia="it-IT"/>
        </w:rPr>
      </w:pPr>
      <w:r w:rsidRPr="004A68AC">
        <w:rPr>
          <w:lang w:val="en-US" w:eastAsia="it-IT"/>
        </w:rPr>
        <w:t>where ν</w:t>
      </w:r>
      <w:r w:rsidRPr="004A68AC">
        <w:rPr>
          <w:vertAlign w:val="subscript"/>
          <w:lang w:val="en-US" w:eastAsia="it-IT"/>
        </w:rPr>
        <w:t>G</w:t>
      </w:r>
      <w:r w:rsidRPr="004A68AC">
        <w:rPr>
          <w:lang w:val="en-US" w:eastAsia="it-IT"/>
        </w:rPr>
        <w:t xml:space="preserve"> is the dimensionless gravity axial </w:t>
      </w:r>
      <w:r w:rsidR="0088312D" w:rsidRPr="004A68AC">
        <w:rPr>
          <w:lang w:val="en-US" w:eastAsia="it-IT"/>
        </w:rPr>
        <w:t xml:space="preserve">force and is defined as </w:t>
      </w:r>
      <w:r w:rsidR="00037FB8" w:rsidRPr="004A68AC">
        <w:rPr>
          <w:lang w:val="en-US" w:eastAsia="it-IT"/>
        </w:rPr>
        <w:t>ν</w:t>
      </w:r>
      <w:r w:rsidR="00037FB8" w:rsidRPr="004A68AC">
        <w:rPr>
          <w:vertAlign w:val="subscript"/>
          <w:lang w:val="en-US" w:eastAsia="it-IT"/>
        </w:rPr>
        <w:t>G</w:t>
      </w:r>
      <w:r w:rsidR="00037FB8" w:rsidRPr="004A68AC">
        <w:rPr>
          <w:lang w:val="en-US" w:eastAsia="it-IT"/>
        </w:rPr>
        <w:t xml:space="preserve"> =</w:t>
      </w:r>
      <w:r w:rsidR="00580B52" w:rsidRPr="004A68AC">
        <w:rPr>
          <w:lang w:val="en-US" w:eastAsia="it-IT"/>
        </w:rPr>
        <w:t xml:space="preserve"> </w:t>
      </w:r>
      <w:r w:rsidR="00037FB8" w:rsidRPr="004A68AC">
        <w:rPr>
          <w:lang w:val="en-US" w:eastAsia="it-IT"/>
        </w:rPr>
        <w:t>N</w:t>
      </w:r>
      <w:r w:rsidR="00037FB8" w:rsidRPr="004A68AC">
        <w:rPr>
          <w:vertAlign w:val="subscript"/>
          <w:lang w:val="en-US" w:eastAsia="it-IT"/>
        </w:rPr>
        <w:t>G</w:t>
      </w:r>
      <w:r w:rsidR="00037FB8" w:rsidRPr="004A68AC">
        <w:rPr>
          <w:lang w:val="en-US" w:eastAsia="it-IT"/>
        </w:rPr>
        <w:t>/N</w:t>
      </w:r>
      <w:r w:rsidR="00037FB8" w:rsidRPr="004A68AC">
        <w:rPr>
          <w:vertAlign w:val="subscript"/>
          <w:lang w:val="en-US" w:eastAsia="it-IT"/>
        </w:rPr>
        <w:t>pl,Rd</w:t>
      </w:r>
      <w:r w:rsidR="0088312D" w:rsidRPr="004A68AC">
        <w:rPr>
          <w:lang w:val="en-US" w:eastAsia="it-IT"/>
        </w:rPr>
        <w:t xml:space="preserve"> where </w:t>
      </w:r>
      <w:r w:rsidR="002B3972" w:rsidRPr="004A68AC">
        <w:rPr>
          <w:lang w:val="en-US" w:eastAsia="it-IT"/>
        </w:rPr>
        <w:t>N</w:t>
      </w:r>
      <w:r w:rsidR="002B3972" w:rsidRPr="004A68AC">
        <w:rPr>
          <w:vertAlign w:val="subscript"/>
          <w:lang w:val="en-US" w:eastAsia="it-IT"/>
        </w:rPr>
        <w:t>G</w:t>
      </w:r>
      <w:r w:rsidR="0088312D" w:rsidRPr="004A68AC">
        <w:rPr>
          <w:lang w:val="en-US" w:eastAsia="it-IT"/>
        </w:rPr>
        <w:t xml:space="preserve"> </w:t>
      </w:r>
      <w:r w:rsidR="002B3972" w:rsidRPr="004A68AC">
        <w:rPr>
          <w:lang w:val="en-US" w:eastAsia="it-IT"/>
        </w:rPr>
        <w:t xml:space="preserve">is the axial force demand related to the gravity loads. </w:t>
      </w:r>
      <w:r w:rsidR="00DA7009" w:rsidRPr="004A68AC">
        <w:rPr>
          <w:lang w:val="en-US" w:eastAsia="it-IT"/>
        </w:rPr>
        <w:t>This</w:t>
      </w:r>
      <w:r w:rsidR="00B572C4" w:rsidRPr="004A68AC">
        <w:rPr>
          <w:lang w:val="en-US" w:eastAsia="it-IT"/>
        </w:rPr>
        <w:t xml:space="preserve"> </w:t>
      </w:r>
      <w:r w:rsidR="00E33E69" w:rsidRPr="004A68AC">
        <w:rPr>
          <w:lang w:val="en-US" w:eastAsia="it-IT"/>
        </w:rPr>
        <w:t xml:space="preserve">approach </w:t>
      </w:r>
      <w:r w:rsidR="00B572C4" w:rsidRPr="004A68AC">
        <w:rPr>
          <w:lang w:val="en-US" w:eastAsia="it-IT"/>
        </w:rPr>
        <w:t xml:space="preserve">simplifies </w:t>
      </w:r>
      <w:r w:rsidR="00DA7009" w:rsidRPr="004A68AC">
        <w:rPr>
          <w:lang w:val="en-US" w:eastAsia="it-IT"/>
        </w:rPr>
        <w:t>the</w:t>
      </w:r>
      <w:r w:rsidR="00CA2BE1" w:rsidRPr="004A68AC">
        <w:rPr>
          <w:lang w:val="en-US" w:eastAsia="it-IT"/>
        </w:rPr>
        <w:t xml:space="preserve"> </w:t>
      </w:r>
      <w:bookmarkStart w:id="9" w:name="_Hlk45655240"/>
      <w:r w:rsidR="00DA7009" w:rsidRPr="004A68AC">
        <w:rPr>
          <w:lang w:val="en-US" w:eastAsia="it-IT"/>
        </w:rPr>
        <w:t xml:space="preserve">rotation capacity </w:t>
      </w:r>
      <w:bookmarkEnd w:id="9"/>
      <w:r w:rsidR="00B572C4" w:rsidRPr="004A68AC">
        <w:rPr>
          <w:lang w:val="en-US" w:eastAsia="it-IT"/>
        </w:rPr>
        <w:t>calculation by establishing a fixed value through</w:t>
      </w:r>
      <w:r w:rsidR="00DA7009" w:rsidRPr="004A68AC">
        <w:rPr>
          <w:lang w:val="en-US" w:eastAsia="it-IT"/>
        </w:rPr>
        <w:t xml:space="preserve"> </w:t>
      </w:r>
      <w:r w:rsidR="00690FE2" w:rsidRPr="004A68AC">
        <w:rPr>
          <w:lang w:val="en-US" w:eastAsia="it-IT"/>
        </w:rPr>
        <w:t xml:space="preserve">the analysis, </w:t>
      </w:r>
      <w:r w:rsidR="00690FE2" w:rsidRPr="004A68AC">
        <w:rPr>
          <w:i/>
          <w:iCs/>
          <w:lang w:val="en-US" w:eastAsia="it-IT"/>
        </w:rPr>
        <w:t>e.g.,</w:t>
      </w:r>
      <w:r w:rsidR="00690FE2" w:rsidRPr="004A68AC">
        <w:rPr>
          <w:lang w:val="en-US" w:eastAsia="it-IT"/>
        </w:rPr>
        <w:t xml:space="preserve"> in </w:t>
      </w:r>
      <w:r w:rsidR="00B572C4" w:rsidRPr="004A68AC">
        <w:rPr>
          <w:lang w:val="en-US" w:eastAsia="it-IT"/>
        </w:rPr>
        <w:t xml:space="preserve">time-history </w:t>
      </w:r>
      <w:r w:rsidR="00690FE2" w:rsidRPr="004A68AC">
        <w:rPr>
          <w:lang w:val="en-US" w:eastAsia="it-IT"/>
        </w:rPr>
        <w:t xml:space="preserve">analyses the rotation capacity </w:t>
      </w:r>
      <w:r w:rsidR="00DA7009" w:rsidRPr="004A68AC">
        <w:rPr>
          <w:lang w:val="en-US" w:eastAsia="it-IT"/>
        </w:rPr>
        <w:t>i</w:t>
      </w:r>
      <w:r w:rsidR="00690FE2" w:rsidRPr="004A68AC">
        <w:rPr>
          <w:lang w:val="en-US" w:eastAsia="it-IT"/>
        </w:rPr>
        <w:t xml:space="preserve">s constant </w:t>
      </w:r>
      <w:r w:rsidR="00DA7009" w:rsidRPr="004A68AC">
        <w:rPr>
          <w:lang w:val="en-US" w:eastAsia="it-IT"/>
        </w:rPr>
        <w:t>at each step of the ground motion.</w:t>
      </w:r>
      <w:r w:rsidR="000A11E8" w:rsidRPr="004A68AC">
        <w:rPr>
          <w:lang w:val="en-US" w:eastAsia="it-IT"/>
        </w:rPr>
        <w:t xml:space="preserve"> </w:t>
      </w:r>
      <w:r w:rsidR="00957FA1" w:rsidRPr="004A68AC">
        <w:rPr>
          <w:lang w:val="en-US" w:eastAsia="it-IT"/>
        </w:rPr>
        <w:t>I</w:t>
      </w:r>
      <w:r w:rsidR="00E33E69" w:rsidRPr="004A68AC">
        <w:rPr>
          <w:lang w:val="en-US" w:eastAsia="it-IT"/>
        </w:rPr>
        <w:t xml:space="preserve">f compared with the </w:t>
      </w:r>
      <w:r w:rsidR="009630B4" w:rsidRPr="004A68AC">
        <w:rPr>
          <w:lang w:val="en-US" w:eastAsia="it-IT"/>
        </w:rPr>
        <w:t>ASCE 41</w:t>
      </w:r>
      <w:r w:rsidR="00957FA1" w:rsidRPr="004A68AC">
        <w:rPr>
          <w:lang w:val="en-US" w:eastAsia="it-IT"/>
        </w:rPr>
        <w:t xml:space="preserve">-06 and -13 </w:t>
      </w:r>
      <w:r w:rsidR="00957FA1"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Buildings","type":"article"},"uris":["http://www.mendeley.com/documents/?uuid=e1e1c9a1-8439-4464-8e57-e6a99a956fd4"]},{"id":"ITEM-2","itemData":{"DOI":"10.1061/9780784408841","ISBN":"9780784408841","author":[{"dropping-particle":"","family":"American Society of Civil Engineers","given":"","non-dropping-particle":"","parse-names":false,"suffix":""}],"container-title":"ASCE/SEI 41-06","id":"ITEM-2","issued":{"date-parts":[["2007"]]},"title":"Seismic Rehabilitation of Existing Buildings","type":"article"},"uris":["http://www.mendeley.com/documents/?uuid=e32cfdb6-620a-411a-a7d6-8e56de32bcc1"]}],"mendeley":{"formattedCitation":"[15,18]","plainTextFormattedCitation":"[15,18]","previouslyFormattedCitation":"[15,18]"},"properties":{"noteIndex":0},"schema":"https://github.com/citation-style-language/schema/raw/master/csl-citation.json"}</w:instrText>
      </w:r>
      <w:r w:rsidR="00957FA1" w:rsidRPr="004A68AC">
        <w:rPr>
          <w:lang w:val="en-US" w:eastAsia="it-IT"/>
        </w:rPr>
        <w:fldChar w:fldCharType="separate"/>
      </w:r>
      <w:r w:rsidR="00B339CD" w:rsidRPr="004A68AC">
        <w:rPr>
          <w:noProof/>
          <w:lang w:val="en-US" w:eastAsia="it-IT"/>
        </w:rPr>
        <w:t>[15,18]</w:t>
      </w:r>
      <w:r w:rsidR="00957FA1" w:rsidRPr="004A68AC">
        <w:rPr>
          <w:lang w:val="en-US" w:eastAsia="it-IT"/>
        </w:rPr>
        <w:fldChar w:fldCharType="end"/>
      </w:r>
      <w:r w:rsidR="00E33E69" w:rsidRPr="004A68AC">
        <w:rPr>
          <w:lang w:val="en-US" w:eastAsia="it-IT"/>
        </w:rPr>
        <w:t>, the</w:t>
      </w:r>
      <w:r w:rsidR="00957FA1" w:rsidRPr="004A68AC">
        <w:rPr>
          <w:lang w:val="en-US" w:eastAsia="it-IT"/>
        </w:rPr>
        <w:t xml:space="preserve"> different formulation of</w:t>
      </w:r>
      <w:r w:rsidR="00E33E69" w:rsidRPr="004A68AC">
        <w:rPr>
          <w:lang w:val="en-US" w:eastAsia="it-IT"/>
        </w:rPr>
        <w:t xml:space="preserve"> </w:t>
      </w:r>
      <w:r w:rsidR="009630B4" w:rsidRPr="004A68AC">
        <w:rPr>
          <w:lang w:val="en-US" w:eastAsia="it-IT"/>
        </w:rPr>
        <w:t>ASCE 41</w:t>
      </w:r>
      <w:r w:rsidR="00E33E69" w:rsidRPr="004A68AC">
        <w:rPr>
          <w:lang w:val="en-US" w:eastAsia="it-IT"/>
        </w:rPr>
        <w:t xml:space="preserve">-17 </w:t>
      </w:r>
      <w:r w:rsidR="00E33E69"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E33E69" w:rsidRPr="004A68AC">
        <w:rPr>
          <w:lang w:val="en-US" w:eastAsia="it-IT"/>
        </w:rPr>
        <w:fldChar w:fldCharType="separate"/>
      </w:r>
      <w:r w:rsidR="00B339CD" w:rsidRPr="004A68AC">
        <w:rPr>
          <w:noProof/>
          <w:lang w:val="en-US" w:eastAsia="it-IT"/>
        </w:rPr>
        <w:t>[19]</w:t>
      </w:r>
      <w:r w:rsidR="00E33E69" w:rsidRPr="004A68AC">
        <w:rPr>
          <w:lang w:val="en-US" w:eastAsia="it-IT"/>
        </w:rPr>
        <w:fldChar w:fldCharType="end"/>
      </w:r>
      <w:r w:rsidR="00E33E69" w:rsidRPr="004A68AC">
        <w:rPr>
          <w:lang w:val="en-US" w:eastAsia="it-IT"/>
        </w:rPr>
        <w:t xml:space="preserve"> together with the consideration</w:t>
      </w:r>
      <w:r w:rsidR="00957FA1" w:rsidRPr="004A68AC">
        <w:rPr>
          <w:lang w:val="en-US" w:eastAsia="it-IT"/>
        </w:rPr>
        <w:t xml:space="preserve">s for the shear stiffness and for </w:t>
      </w:r>
      <w:r w:rsidR="00E33E69" w:rsidRPr="004A68AC">
        <w:rPr>
          <w:lang w:val="en-US" w:eastAsia="it-IT"/>
        </w:rPr>
        <w:t>ν</w:t>
      </w:r>
      <w:r w:rsidR="00E33E69" w:rsidRPr="004A68AC">
        <w:rPr>
          <w:vertAlign w:val="subscript"/>
          <w:lang w:val="en-US" w:eastAsia="it-IT"/>
        </w:rPr>
        <w:t>G</w:t>
      </w:r>
      <w:r w:rsidR="00E33E69" w:rsidRPr="004A68AC">
        <w:rPr>
          <w:lang w:val="en-US" w:eastAsia="it-IT"/>
        </w:rPr>
        <w:t xml:space="preserve"> instead of ν, results in an overall increase of the</w:t>
      </w:r>
      <w:r w:rsidR="00CA2BE1" w:rsidRPr="004A68AC">
        <w:rPr>
          <w:lang w:val="en-US" w:eastAsia="it-IT"/>
        </w:rPr>
        <w:t xml:space="preserve"> </w:t>
      </w:r>
      <w:r w:rsidR="00957FA1" w:rsidRPr="004A68AC">
        <w:rPr>
          <w:lang w:val="en-US" w:eastAsia="it-IT"/>
        </w:rPr>
        <w:t>θ</w:t>
      </w:r>
      <w:r w:rsidR="00957FA1" w:rsidRPr="004A68AC">
        <w:rPr>
          <w:vertAlign w:val="subscript"/>
          <w:lang w:val="en-US" w:eastAsia="it-IT"/>
        </w:rPr>
        <w:t>y</w:t>
      </w:r>
      <w:r w:rsidR="00957FA1" w:rsidRPr="004A68AC">
        <w:rPr>
          <w:lang w:val="en-US" w:eastAsia="it-IT"/>
        </w:rPr>
        <w:t xml:space="preserve"> </w:t>
      </w:r>
      <w:r w:rsidR="00781A5D" w:rsidRPr="004A68AC">
        <w:rPr>
          <w:lang w:val="en-US" w:eastAsia="it-IT"/>
        </w:rPr>
        <w:t>for</w:t>
      </w:r>
      <w:r w:rsidR="00957FA1" w:rsidRPr="004A68AC">
        <w:rPr>
          <w:lang w:val="en-US" w:eastAsia="it-IT"/>
        </w:rPr>
        <w:t xml:space="preserve"> both</w:t>
      </w:r>
      <w:r w:rsidR="00781A5D" w:rsidRPr="004A68AC">
        <w:rPr>
          <w:lang w:val="en-US" w:eastAsia="it-IT"/>
        </w:rPr>
        <w:t xml:space="preserve"> </w:t>
      </w:r>
      <w:r w:rsidR="00E33E69" w:rsidRPr="004A68AC">
        <w:rPr>
          <w:lang w:val="en-US" w:eastAsia="it-IT"/>
        </w:rPr>
        <w:t>beams and columns</w:t>
      </w:r>
      <w:r w:rsidR="00FC1F11" w:rsidRPr="004A68AC">
        <w:rPr>
          <w:lang w:val="en-US" w:eastAsia="it-IT"/>
        </w:rPr>
        <w:t xml:space="preserve">, which, according to Lignos </w:t>
      </w:r>
      <w:r w:rsidR="00FC1F11" w:rsidRPr="004A68AC">
        <w:rPr>
          <w:i/>
          <w:lang w:val="en-US" w:eastAsia="it-IT"/>
        </w:rPr>
        <w:t>et al.</w:t>
      </w:r>
      <w:r w:rsidR="00FC1F11" w:rsidRPr="004A68AC">
        <w:rPr>
          <w:lang w:val="en-US" w:eastAsia="it-IT"/>
        </w:rPr>
        <w:t xml:space="preserve"> </w:t>
      </w:r>
      <w:r w:rsidR="00FC1F11" w:rsidRPr="004A68AC">
        <w:rPr>
          <w:lang w:val="en-US" w:eastAsia="it-IT"/>
        </w:rPr>
        <w:fldChar w:fldCharType="begin" w:fldLock="1"/>
      </w:r>
      <w:r w:rsidR="000A27F6" w:rsidRPr="004A68AC">
        <w:rPr>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FC1F11" w:rsidRPr="004A68AC">
        <w:rPr>
          <w:lang w:val="en-US" w:eastAsia="it-IT"/>
        </w:rPr>
        <w:fldChar w:fldCharType="separate"/>
      </w:r>
      <w:r w:rsidR="005C2936" w:rsidRPr="004A68AC">
        <w:rPr>
          <w:noProof/>
          <w:lang w:val="en-US" w:eastAsia="it-IT"/>
        </w:rPr>
        <w:t>[42]</w:t>
      </w:r>
      <w:r w:rsidR="00FC1F11" w:rsidRPr="004A68AC">
        <w:rPr>
          <w:lang w:val="en-US" w:eastAsia="it-IT"/>
        </w:rPr>
        <w:fldChar w:fldCharType="end"/>
      </w:r>
      <w:r w:rsidR="00FC1F11" w:rsidRPr="004A68AC">
        <w:rPr>
          <w:lang w:val="en-US" w:eastAsia="it-IT"/>
        </w:rPr>
        <w:t xml:space="preserve"> and Pekelnicky </w:t>
      </w:r>
      <w:r w:rsidR="00FC1F11" w:rsidRPr="004A68AC">
        <w:rPr>
          <w:lang w:val="en-US" w:eastAsia="it-IT"/>
        </w:rPr>
        <w:fldChar w:fldCharType="begin" w:fldLock="1"/>
      </w:r>
      <w:r w:rsidR="00B339CD" w:rsidRPr="004A68AC">
        <w:rPr>
          <w:lang w:val="en-US" w:eastAsia="it-IT"/>
        </w:rPr>
        <w:instrText>ADDIN CSL_CITATION {"citationItems":[{"id":"ITEM-1","itemData":{"author":[{"dropping-particle":"","family":"Pekelnicky","given":"Robert","non-dropping-particle":"","parse-names":false,"suffix":""},{"dropping-particle":"","family":"Hagen","given":"Garrett","non-dropping-particle":"","parse-names":false,"suffix":""},{"dropping-particle":"","family":"Martin","given":"Dave","non-dropping-particle":"","parse-names":false,"suffix":""}],"container-title":"SEAOC 2017 Convention Proceedings","id":"ITEM-1","issued":{"date-parts":[["2017"]]},"title":"A Summary of Significant Updates in ASCE 41-17","type":"article-journal"},"uris":["http://www.mendeley.com/documents/?uuid=e8bbe942-ae14-44d7-8eae-a6b78b90d972"]}],"mendeley":{"formattedCitation":"[20]","plainTextFormattedCitation":"[20]","previouslyFormattedCitation":"[20]"},"properties":{"noteIndex":0},"schema":"https://github.com/citation-style-language/schema/raw/master/csl-citation.json"}</w:instrText>
      </w:r>
      <w:r w:rsidR="00FC1F11" w:rsidRPr="004A68AC">
        <w:rPr>
          <w:lang w:val="en-US" w:eastAsia="it-IT"/>
        </w:rPr>
        <w:fldChar w:fldCharType="separate"/>
      </w:r>
      <w:r w:rsidR="00B339CD" w:rsidRPr="004A68AC">
        <w:rPr>
          <w:noProof/>
          <w:lang w:val="en-US" w:eastAsia="it-IT"/>
        </w:rPr>
        <w:t>[20]</w:t>
      </w:r>
      <w:r w:rsidR="00FC1F11" w:rsidRPr="004A68AC">
        <w:rPr>
          <w:lang w:val="en-US" w:eastAsia="it-IT"/>
        </w:rPr>
        <w:fldChar w:fldCharType="end"/>
      </w:r>
      <w:r w:rsidR="00FC1F11" w:rsidRPr="004A68AC">
        <w:rPr>
          <w:lang w:val="en-US" w:eastAsia="it-IT"/>
        </w:rPr>
        <w:t xml:space="preserve">, </w:t>
      </w:r>
      <w:r w:rsidR="00957FA1" w:rsidRPr="004A68AC">
        <w:rPr>
          <w:lang w:val="en-US" w:eastAsia="it-IT"/>
        </w:rPr>
        <w:t>results in less conservative assessments</w:t>
      </w:r>
      <w:r w:rsidR="008C7638" w:rsidRPr="004A68AC">
        <w:rPr>
          <w:lang w:val="en-US" w:eastAsia="it-IT"/>
        </w:rPr>
        <w:t>.</w:t>
      </w:r>
    </w:p>
    <w:p w14:paraId="7D6DCFC7" w14:textId="77777777" w:rsidR="000F7E62" w:rsidRPr="004A68AC" w:rsidRDefault="000F7E62" w:rsidP="000A11E8">
      <w:pPr>
        <w:rPr>
          <w:lang w:val="en-US" w:eastAsia="it-IT"/>
        </w:rPr>
      </w:pPr>
    </w:p>
    <w:p w14:paraId="707F32B0" w14:textId="34F17536" w:rsidR="000A11E8" w:rsidRPr="004A68AC" w:rsidRDefault="00E33E69" w:rsidP="000A11E8">
      <w:pPr>
        <w:rPr>
          <w:lang w:val="en-US" w:eastAsia="it-IT"/>
        </w:rPr>
      </w:pPr>
      <w:r w:rsidRPr="004A68AC">
        <w:rPr>
          <w:lang w:val="en-US" w:eastAsia="it-IT"/>
        </w:rPr>
        <w:t xml:space="preserve">     Deformation-based capacity values</w:t>
      </w:r>
      <w:r w:rsidRPr="004A68AC" w:rsidDel="00E33E69">
        <w:rPr>
          <w:lang w:val="en-US" w:eastAsia="it-IT"/>
        </w:rPr>
        <w:t xml:space="preserve"> </w:t>
      </w:r>
      <w:r w:rsidRPr="004A68AC">
        <w:rPr>
          <w:lang w:val="en-US" w:eastAsia="it-IT"/>
        </w:rPr>
        <w:t>for p</w:t>
      </w:r>
      <w:r w:rsidR="000A11E8" w:rsidRPr="004A68AC">
        <w:rPr>
          <w:lang w:val="en-US" w:eastAsia="it-IT"/>
        </w:rPr>
        <w:t>anel zones</w:t>
      </w:r>
      <w:r w:rsidRPr="004A68AC">
        <w:rPr>
          <w:lang w:val="en-US" w:eastAsia="it-IT"/>
        </w:rPr>
        <w:t xml:space="preserve"> are provided </w:t>
      </w:r>
      <w:r w:rsidR="000A11E8" w:rsidRPr="004A68AC">
        <w:rPr>
          <w:lang w:val="en-US" w:eastAsia="it-IT"/>
        </w:rPr>
        <w:t>only</w:t>
      </w:r>
      <w:r w:rsidRPr="004A68AC">
        <w:rPr>
          <w:lang w:val="en-US" w:eastAsia="it-IT"/>
        </w:rPr>
        <w:t xml:space="preserve"> by</w:t>
      </w:r>
      <w:r w:rsidR="000A11E8" w:rsidRPr="004A68AC">
        <w:rPr>
          <w:lang w:val="en-US" w:eastAsia="it-IT"/>
        </w:rPr>
        <w:t xml:space="preserve"> the </w:t>
      </w:r>
      <w:r w:rsidR="009630B4" w:rsidRPr="004A68AC">
        <w:rPr>
          <w:lang w:val="en-US" w:eastAsia="it-IT"/>
        </w:rPr>
        <w:t>ASCE 41</w:t>
      </w:r>
      <w:r w:rsidR="000A11E8" w:rsidRPr="004A68AC">
        <w:rPr>
          <w:lang w:val="en-US" w:eastAsia="it-IT"/>
        </w:rPr>
        <w:t xml:space="preserve">-17 </w:t>
      </w:r>
      <w:r w:rsidR="000A11E8"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0A11E8" w:rsidRPr="004A68AC">
        <w:rPr>
          <w:lang w:val="en-US" w:eastAsia="it-IT"/>
        </w:rPr>
        <w:fldChar w:fldCharType="separate"/>
      </w:r>
      <w:r w:rsidR="00B339CD" w:rsidRPr="004A68AC">
        <w:rPr>
          <w:noProof/>
          <w:lang w:val="en-US" w:eastAsia="it-IT"/>
        </w:rPr>
        <w:t>[19]</w:t>
      </w:r>
      <w:r w:rsidR="000A11E8" w:rsidRPr="004A68AC">
        <w:rPr>
          <w:lang w:val="en-US" w:eastAsia="it-IT"/>
        </w:rPr>
        <w:fldChar w:fldCharType="end"/>
      </w:r>
      <w:r w:rsidR="001B4E07" w:rsidRPr="004A68AC">
        <w:rPr>
          <w:lang w:val="en-US" w:eastAsia="it-IT"/>
        </w:rPr>
        <w:t xml:space="preserve"> in terms of </w:t>
      </w:r>
      <w:r w:rsidR="00192739" w:rsidRPr="004A68AC">
        <w:rPr>
          <w:lang w:val="en-US" w:eastAsia="it-IT"/>
        </w:rPr>
        <w:t xml:space="preserve">yield </w:t>
      </w:r>
      <w:r w:rsidR="001B4E07" w:rsidRPr="004A68AC">
        <w:rPr>
          <w:lang w:val="en-US" w:eastAsia="it-IT"/>
        </w:rPr>
        <w:t xml:space="preserve">shear </w:t>
      </w:r>
      <w:r w:rsidR="00DE4F6A" w:rsidRPr="004A68AC">
        <w:rPr>
          <w:lang w:val="en-US" w:eastAsia="it-IT"/>
        </w:rPr>
        <w:t>strain</w:t>
      </w:r>
      <w:r w:rsidR="000A11E8" w:rsidRPr="004A68AC">
        <w:rPr>
          <w:lang w:val="en-US" w:eastAsia="it-IT"/>
        </w:rPr>
        <w:t>, as indicated in Eq. 5</w:t>
      </w:r>
      <w:r w:rsidR="006C2442" w:rsidRPr="004A68AC">
        <w:rPr>
          <w:lang w:val="en-US" w:eastAsia="it-IT"/>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0A11E8" w:rsidRPr="004A68AC" w14:paraId="6B211BC4" w14:textId="77777777" w:rsidTr="00507EAD">
        <w:trPr>
          <w:trHeight w:val="680"/>
        </w:trPr>
        <w:tc>
          <w:tcPr>
            <w:tcW w:w="2500" w:type="pct"/>
            <w:vAlign w:val="center"/>
          </w:tcPr>
          <w:p w14:paraId="570FBF5D" w14:textId="77777777" w:rsidR="000A11E8" w:rsidRPr="004A68AC" w:rsidRDefault="00204274" w:rsidP="006173AE">
            <w:pPr>
              <w:jc w:val="left"/>
              <w:rPr>
                <w:sz w:val="18"/>
                <w:szCs w:val="18"/>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γ</m:t>
                    </m:r>
                  </m:e>
                  <m:sub>
                    <m:r>
                      <m:rPr>
                        <m:sty m:val="p"/>
                      </m:rPr>
                      <w:rPr>
                        <w:rFonts w:ascii="Cambria Math" w:hAnsi="Cambria Math"/>
                        <w:sz w:val="18"/>
                        <w:szCs w:val="18"/>
                        <w:lang w:val="en-US"/>
                      </w:rPr>
                      <m:t>y</m:t>
                    </m:r>
                  </m:sub>
                </m:sSub>
                <m:r>
                  <m:rPr>
                    <m:sty m:val="p"/>
                  </m:rPr>
                  <w:rPr>
                    <w:rFonts w:ascii="Cambria Math" w:hAnsi="Cambria Math"/>
                    <w:sz w:val="18"/>
                    <w:szCs w:val="18"/>
                    <w:lang w:val="en-US"/>
                  </w:rPr>
                  <m:t>=</m:t>
                </m:r>
                <m:f>
                  <m:fPr>
                    <m:ctrlPr>
                      <w:rPr>
                        <w:rFonts w:ascii="Cambria Math" w:hAnsi="Cambria Math"/>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f</m:t>
                        </m:r>
                      </m:e>
                      <m:sub>
                        <m:r>
                          <m:rPr>
                            <m:sty m:val="p"/>
                          </m:rPr>
                          <w:rPr>
                            <w:rFonts w:ascii="Cambria Math" w:hAnsi="Cambria Math"/>
                            <w:sz w:val="18"/>
                            <w:szCs w:val="18"/>
                            <w:lang w:val="en-US"/>
                          </w:rPr>
                          <m:t>ye</m:t>
                        </m:r>
                      </m:sub>
                    </m:sSub>
                  </m:num>
                  <m:den>
                    <m:r>
                      <m:rPr>
                        <m:sty m:val="p"/>
                      </m:rPr>
                      <w:rPr>
                        <w:rFonts w:ascii="Cambria Math" w:hAnsi="Cambria Math"/>
                        <w:sz w:val="18"/>
                        <w:szCs w:val="18"/>
                        <w:lang w:val="en-US"/>
                      </w:rPr>
                      <m:t>G</m:t>
                    </m:r>
                    <m:rad>
                      <m:radPr>
                        <m:degHide m:val="1"/>
                        <m:ctrlPr>
                          <w:rPr>
                            <w:rFonts w:ascii="Cambria Math" w:hAnsi="Cambria Math"/>
                            <w:sz w:val="18"/>
                            <w:szCs w:val="18"/>
                            <w:lang w:val="en-US"/>
                          </w:rPr>
                        </m:ctrlPr>
                      </m:radPr>
                      <m:deg/>
                      <m:e>
                        <m:r>
                          <w:rPr>
                            <w:rFonts w:ascii="Cambria Math" w:hAnsi="Cambria Math"/>
                            <w:sz w:val="18"/>
                            <w:szCs w:val="18"/>
                            <w:lang w:val="en-US"/>
                          </w:rPr>
                          <m:t>3</m:t>
                        </m:r>
                      </m:e>
                    </m:rad>
                  </m:den>
                </m:f>
                <m:rad>
                  <m:radPr>
                    <m:degHide m:val="1"/>
                    <m:ctrlPr>
                      <w:rPr>
                        <w:rFonts w:ascii="Cambria Math" w:hAnsi="Cambria Math"/>
                        <w:sz w:val="18"/>
                        <w:szCs w:val="18"/>
                        <w:lang w:val="en-US"/>
                      </w:rPr>
                    </m:ctrlPr>
                  </m:radPr>
                  <m:deg/>
                  <m:e>
                    <m:r>
                      <m:rPr>
                        <m:sty m:val="p"/>
                      </m:rPr>
                      <w:rPr>
                        <w:rFonts w:ascii="Cambria Math" w:hAnsi="Cambria Math"/>
                        <w:sz w:val="18"/>
                        <w:szCs w:val="18"/>
                        <w:lang w:val="en-US"/>
                      </w:rPr>
                      <m:t>1-</m:t>
                    </m:r>
                    <m:sSup>
                      <m:sSupPr>
                        <m:ctrlPr>
                          <w:rPr>
                            <w:rFonts w:ascii="Cambria Math" w:hAnsi="Cambria Math"/>
                            <w:sz w:val="18"/>
                            <w:szCs w:val="18"/>
                            <w:lang w:val="en-US" w:eastAsia="it-IT"/>
                          </w:rPr>
                        </m:ctrlPr>
                      </m:sSupPr>
                      <m:e>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vertAlign w:val="subscript"/>
                                <w:lang w:val="en-US" w:eastAsia="it-IT"/>
                              </w:rPr>
                              <m:t>G</m:t>
                            </m:r>
                          </m:sub>
                        </m:sSub>
                      </m:e>
                      <m:sup>
                        <m:r>
                          <m:rPr>
                            <m:sty m:val="p"/>
                          </m:rPr>
                          <w:rPr>
                            <w:rFonts w:ascii="Cambria Math" w:hAnsi="Cambria Math"/>
                            <w:sz w:val="18"/>
                            <w:szCs w:val="18"/>
                            <w:lang w:val="en-US" w:eastAsia="it-IT"/>
                          </w:rPr>
                          <m:t>2</m:t>
                        </m:r>
                      </m:sup>
                    </m:sSup>
                  </m:e>
                </m:rad>
              </m:oMath>
            </m:oMathPara>
          </w:p>
        </w:tc>
        <w:tc>
          <w:tcPr>
            <w:tcW w:w="2500" w:type="pct"/>
            <w:vAlign w:val="center"/>
          </w:tcPr>
          <w:p w14:paraId="122D3398" w14:textId="140B9794" w:rsidR="000A11E8" w:rsidRPr="004A68AC" w:rsidRDefault="000A11E8" w:rsidP="000A11E8">
            <w:pPr>
              <w:jc w:val="right"/>
              <w:rPr>
                <w:lang w:val="en-US"/>
              </w:rPr>
            </w:pPr>
            <w:r w:rsidRPr="004A68AC">
              <w:rPr>
                <w:lang w:val="en-US"/>
              </w:rPr>
              <w:t>(5)</w:t>
            </w:r>
          </w:p>
        </w:tc>
      </w:tr>
    </w:tbl>
    <w:p w14:paraId="769C81DF" w14:textId="58BEF97C" w:rsidR="00E33E69" w:rsidRPr="004A68AC" w:rsidRDefault="00E33E69" w:rsidP="000A11E8">
      <w:pPr>
        <w:rPr>
          <w:lang w:val="en-US" w:eastAsia="it-IT"/>
        </w:rPr>
      </w:pPr>
      <w:r w:rsidRPr="004A68AC">
        <w:rPr>
          <w:lang w:val="en-US" w:eastAsia="it-IT"/>
        </w:rPr>
        <w:t xml:space="preserve">where </w:t>
      </w:r>
      <w:r w:rsidRPr="004A68AC">
        <w:rPr>
          <w:i/>
          <w:iCs/>
          <w:lang w:val="en-US" w:eastAsia="it-IT"/>
        </w:rPr>
        <w:t>f</w:t>
      </w:r>
      <w:r w:rsidRPr="004A68AC">
        <w:rPr>
          <w:vertAlign w:val="subscript"/>
          <w:lang w:val="en-US" w:eastAsia="it-IT"/>
        </w:rPr>
        <w:t>ye</w:t>
      </w:r>
      <w:r w:rsidRPr="004A68AC">
        <w:rPr>
          <w:lang w:val="en-US" w:eastAsia="it-IT"/>
        </w:rPr>
        <w:t xml:space="preserve"> is the</w:t>
      </w:r>
      <w:r w:rsidR="00FC1F11" w:rsidRPr="004A68AC">
        <w:rPr>
          <w:lang w:val="en-US" w:eastAsia="it-IT"/>
        </w:rPr>
        <w:t xml:space="preserve"> expected yield strength of the panel zone.</w:t>
      </w:r>
      <w:r w:rsidR="000F7E62" w:rsidRPr="004A68AC">
        <w:rPr>
          <w:lang w:val="en-US" w:eastAsia="it-IT"/>
        </w:rPr>
        <w:t xml:space="preserve"> </w:t>
      </w:r>
      <w:r w:rsidRPr="004A68AC">
        <w:rPr>
          <w:lang w:val="en-US" w:eastAsia="it-IT"/>
        </w:rPr>
        <w:t xml:space="preserve">A summary of the deformation-based yield capacity </w:t>
      </w:r>
      <w:r w:rsidR="008C7638" w:rsidRPr="004A68AC">
        <w:rPr>
          <w:lang w:val="en-US" w:eastAsia="it-IT"/>
        </w:rPr>
        <w:t>parameters</w:t>
      </w:r>
      <w:r w:rsidRPr="004A68AC">
        <w:rPr>
          <w:lang w:val="en-US" w:eastAsia="it-IT"/>
        </w:rPr>
        <w:t xml:space="preserve"> </w:t>
      </w:r>
      <w:r w:rsidR="00E43A29" w:rsidRPr="004A68AC">
        <w:rPr>
          <w:lang w:val="en-US" w:eastAsia="it-IT"/>
        </w:rPr>
        <w:t xml:space="preserve">for the different components </w:t>
      </w:r>
      <w:r w:rsidRPr="004A68AC">
        <w:rPr>
          <w:lang w:val="en-US" w:eastAsia="it-IT"/>
        </w:rPr>
        <w:t xml:space="preserve">is </w:t>
      </w:r>
      <w:r w:rsidR="00E43A29" w:rsidRPr="004A68AC">
        <w:rPr>
          <w:lang w:val="en-US" w:eastAsia="it-IT"/>
        </w:rPr>
        <w:t xml:space="preserve">reported </w:t>
      </w:r>
      <w:r w:rsidRPr="004A68AC">
        <w:rPr>
          <w:lang w:val="en-US" w:eastAsia="it-IT"/>
        </w:rPr>
        <w:t xml:space="preserve">in </w:t>
      </w:r>
      <w:r w:rsidRPr="004A68AC">
        <w:rPr>
          <w:lang w:val="en-US" w:eastAsia="it-IT"/>
        </w:rPr>
        <w:fldChar w:fldCharType="begin" w:fldLock="1"/>
      </w:r>
      <w:r w:rsidRPr="004A68AC">
        <w:rPr>
          <w:lang w:val="en-US" w:eastAsia="it-IT"/>
        </w:rPr>
        <w:instrText xml:space="preserve"> REF _Ref38543603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2</w:t>
      </w:r>
      <w:r w:rsidRPr="004A68AC">
        <w:rPr>
          <w:lang w:val="en-US" w:eastAsia="it-IT"/>
        </w:rPr>
        <w:fldChar w:fldCharType="end"/>
      </w:r>
      <w:r w:rsidRPr="004A68AC">
        <w:rPr>
          <w:lang w:val="en-US" w:eastAsia="it-IT"/>
        </w:rPr>
        <w:t>.</w:t>
      </w:r>
    </w:p>
    <w:p w14:paraId="1A5BD400" w14:textId="77777777" w:rsidR="000F7E62" w:rsidRPr="004A68AC" w:rsidRDefault="000F7E62" w:rsidP="000A11E8">
      <w:pPr>
        <w:rPr>
          <w:lang w:val="en-US" w:eastAsia="it-IT"/>
        </w:rPr>
      </w:pPr>
    </w:p>
    <w:p w14:paraId="725611F1" w14:textId="77777777" w:rsidR="00C828B6" w:rsidRPr="004A68AC" w:rsidRDefault="00C828B6" w:rsidP="00C828B6">
      <w:pPr>
        <w:pStyle w:val="Tablecaption"/>
        <w:spacing w:before="0" w:after="0" w:line="240" w:lineRule="auto"/>
        <w:jc w:val="center"/>
        <w:rPr>
          <w:color w:val="auto"/>
          <w:szCs w:val="20"/>
          <w:lang w:val="en-US"/>
        </w:rPr>
      </w:pPr>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Pr="004A68AC">
        <w:rPr>
          <w:noProof/>
          <w:color w:val="auto"/>
          <w:szCs w:val="20"/>
          <w:lang w:val="en-US"/>
        </w:rPr>
        <w:t>2</w:t>
      </w:r>
      <w:r w:rsidRPr="004A68AC">
        <w:rPr>
          <w:color w:val="auto"/>
          <w:szCs w:val="20"/>
          <w:lang w:val="en-US"/>
        </w:rPr>
        <w:fldChar w:fldCharType="end"/>
      </w:r>
      <w:r w:rsidRPr="004A68AC">
        <w:rPr>
          <w:color w:val="auto"/>
          <w:szCs w:val="20"/>
          <w:lang w:val="en-US"/>
        </w:rPr>
        <w:t xml:space="preserve">. </w:t>
      </w:r>
      <w:r w:rsidRPr="004A68AC">
        <w:rPr>
          <w:b w:val="0"/>
          <w:color w:val="auto"/>
          <w:szCs w:val="20"/>
          <w:lang w:val="en-US"/>
        </w:rPr>
        <w:t>Deformation-based capacity parameters for each EDP for the analyzed codes.</w:t>
      </w:r>
    </w:p>
    <w:tbl>
      <w:tblPr>
        <w:tblStyle w:val="HelleSchattierung1"/>
        <w:tblW w:w="5000" w:type="pct"/>
        <w:jc w:val="center"/>
        <w:tblLook w:val="04A0" w:firstRow="1" w:lastRow="0" w:firstColumn="1" w:lastColumn="0" w:noHBand="0" w:noVBand="1"/>
      </w:tblPr>
      <w:tblGrid>
        <w:gridCol w:w="2409"/>
        <w:gridCol w:w="2409"/>
        <w:gridCol w:w="2410"/>
        <w:gridCol w:w="2410"/>
      </w:tblGrid>
      <w:tr w:rsidR="00C828B6" w:rsidRPr="004A68AC" w14:paraId="1B85DE70" w14:textId="77777777" w:rsidTr="00842A6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14:paraId="6AFB4163" w14:textId="77777777" w:rsidR="00C828B6" w:rsidRPr="004A68AC" w:rsidRDefault="00C828B6" w:rsidP="00842A67">
            <w:pPr>
              <w:jc w:val="center"/>
              <w:rPr>
                <w:color w:val="auto"/>
                <w:sz w:val="18"/>
                <w:szCs w:val="18"/>
              </w:rPr>
            </w:pPr>
            <w:r w:rsidRPr="004A68AC">
              <w:rPr>
                <w:color w:val="auto"/>
                <w:sz w:val="18"/>
                <w:szCs w:val="18"/>
              </w:rPr>
              <w:t>Code</w:t>
            </w:r>
          </w:p>
        </w:tc>
        <w:tc>
          <w:tcPr>
            <w:tcW w:w="1250" w:type="pct"/>
            <w:shd w:val="clear" w:color="auto" w:fill="auto"/>
            <w:vAlign w:val="center"/>
          </w:tcPr>
          <w:p w14:paraId="4408501A" w14:textId="77777777" w:rsidR="00C828B6" w:rsidRPr="004A68AC" w:rsidRDefault="00C828B6" w:rsidP="00842A6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Beams </w:t>
            </w:r>
            <w:r w:rsidRPr="004A68AC">
              <w:rPr>
                <w:color w:val="auto"/>
                <w:sz w:val="18"/>
                <w:szCs w:val="18"/>
                <w:lang w:eastAsia="it-IT"/>
              </w:rPr>
              <w:t>θ</w:t>
            </w:r>
            <w:r w:rsidRPr="004A68AC">
              <w:rPr>
                <w:b w:val="0"/>
                <w:bCs w:val="0"/>
                <w:color w:val="auto"/>
                <w:sz w:val="18"/>
                <w:szCs w:val="18"/>
                <w:vertAlign w:val="subscript"/>
                <w:lang w:eastAsia="it-IT"/>
              </w:rPr>
              <w:t>y</w:t>
            </w:r>
          </w:p>
        </w:tc>
        <w:tc>
          <w:tcPr>
            <w:tcW w:w="1250" w:type="pct"/>
            <w:shd w:val="clear" w:color="auto" w:fill="auto"/>
            <w:vAlign w:val="center"/>
          </w:tcPr>
          <w:p w14:paraId="0DF5C6E5" w14:textId="77777777" w:rsidR="00C828B6" w:rsidRPr="004A68AC" w:rsidRDefault="00C828B6" w:rsidP="00842A6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Columns </w:t>
            </w:r>
            <w:r w:rsidRPr="004A68AC">
              <w:rPr>
                <w:color w:val="auto"/>
                <w:sz w:val="18"/>
                <w:szCs w:val="18"/>
                <w:lang w:eastAsia="it-IT"/>
              </w:rPr>
              <w:t>θ</w:t>
            </w:r>
            <w:r w:rsidRPr="004A68AC">
              <w:rPr>
                <w:b w:val="0"/>
                <w:bCs w:val="0"/>
                <w:color w:val="auto"/>
                <w:sz w:val="18"/>
                <w:szCs w:val="18"/>
                <w:vertAlign w:val="subscript"/>
                <w:lang w:eastAsia="it-IT"/>
              </w:rPr>
              <w:t>y</w:t>
            </w:r>
          </w:p>
        </w:tc>
        <w:tc>
          <w:tcPr>
            <w:tcW w:w="1250" w:type="pct"/>
            <w:shd w:val="clear" w:color="auto" w:fill="auto"/>
            <w:vAlign w:val="center"/>
          </w:tcPr>
          <w:p w14:paraId="28DC03AD" w14:textId="77777777" w:rsidR="00C828B6" w:rsidRPr="004A68AC" w:rsidRDefault="00C828B6" w:rsidP="00842A67">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Panel zones </w:t>
            </w:r>
            <w:r w:rsidRPr="004A68AC">
              <w:rPr>
                <w:color w:val="auto"/>
                <w:sz w:val="18"/>
                <w:szCs w:val="18"/>
                <w:lang w:eastAsia="it-IT"/>
              </w:rPr>
              <w:t>γ</w:t>
            </w:r>
            <w:r w:rsidRPr="004A68AC">
              <w:rPr>
                <w:b w:val="0"/>
                <w:bCs w:val="0"/>
                <w:color w:val="auto"/>
                <w:sz w:val="18"/>
                <w:szCs w:val="18"/>
                <w:vertAlign w:val="subscript"/>
                <w:lang w:eastAsia="it-IT"/>
              </w:rPr>
              <w:t>y</w:t>
            </w:r>
          </w:p>
        </w:tc>
      </w:tr>
      <w:tr w:rsidR="00C828B6" w:rsidRPr="004A68AC" w14:paraId="46FF57C5" w14:textId="77777777" w:rsidTr="00842A6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nil"/>
            </w:tcBorders>
            <w:shd w:val="clear" w:color="auto" w:fill="auto"/>
            <w:vAlign w:val="center"/>
          </w:tcPr>
          <w:p w14:paraId="79B33950" w14:textId="474D9083" w:rsidR="00C828B6" w:rsidRPr="004A68AC" w:rsidRDefault="00C828B6" w:rsidP="00842A67">
            <w:pPr>
              <w:jc w:val="center"/>
              <w:rPr>
                <w:color w:val="auto"/>
                <w:sz w:val="18"/>
                <w:szCs w:val="18"/>
              </w:rPr>
            </w:pPr>
            <w:r w:rsidRPr="004A68AC">
              <w:rPr>
                <w:color w:val="auto"/>
                <w:sz w:val="18"/>
                <w:szCs w:val="18"/>
              </w:rPr>
              <w:t xml:space="preserve">EC8-3 </w:t>
            </w:r>
            <w:r w:rsidRPr="004A68AC">
              <w:rPr>
                <w:sz w:val="18"/>
                <w:szCs w:val="18"/>
              </w:rPr>
              <w:fldChar w:fldCharType="begin" w:fldLock="1"/>
            </w:r>
            <w:r w:rsidR="005C47A3" w:rsidRPr="004A68AC">
              <w:rPr>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rPr>
              <w:fldChar w:fldCharType="separate"/>
            </w:r>
            <w:r w:rsidR="00855F83" w:rsidRPr="004A68AC">
              <w:rPr>
                <w:b w:val="0"/>
                <w:noProof/>
                <w:color w:val="auto"/>
                <w:sz w:val="18"/>
                <w:szCs w:val="18"/>
              </w:rPr>
              <w:t>[13]</w:t>
            </w:r>
            <w:r w:rsidRPr="004A68AC">
              <w:rPr>
                <w:sz w:val="18"/>
                <w:szCs w:val="18"/>
              </w:rPr>
              <w:fldChar w:fldCharType="end"/>
            </w:r>
          </w:p>
        </w:tc>
        <w:tc>
          <w:tcPr>
            <w:tcW w:w="1250" w:type="pct"/>
            <w:tcBorders>
              <w:bottom w:val="nil"/>
            </w:tcBorders>
            <w:shd w:val="clear" w:color="auto" w:fill="auto"/>
            <w:vAlign w:val="center"/>
          </w:tcPr>
          <w:p w14:paraId="6BAAAEF7"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Not given, assumed Eq. 1</w:t>
            </w:r>
          </w:p>
        </w:tc>
        <w:tc>
          <w:tcPr>
            <w:tcW w:w="1250" w:type="pct"/>
            <w:tcBorders>
              <w:bottom w:val="nil"/>
            </w:tcBorders>
            <w:shd w:val="clear" w:color="auto" w:fill="auto"/>
            <w:vAlign w:val="center"/>
          </w:tcPr>
          <w:p w14:paraId="0E073225"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Not given, assumed Eq. 1</w:t>
            </w:r>
          </w:p>
        </w:tc>
        <w:tc>
          <w:tcPr>
            <w:tcW w:w="1250" w:type="pct"/>
            <w:tcBorders>
              <w:bottom w:val="nil"/>
            </w:tcBorders>
            <w:shd w:val="clear" w:color="auto" w:fill="auto"/>
            <w:vAlign w:val="center"/>
          </w:tcPr>
          <w:p w14:paraId="451B6505"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Not given</w:t>
            </w:r>
          </w:p>
        </w:tc>
      </w:tr>
      <w:tr w:rsidR="00C828B6" w:rsidRPr="004A68AC" w14:paraId="76A20F08" w14:textId="77777777" w:rsidTr="00842A67">
        <w:trPr>
          <w:trHeight w:val="340"/>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tcBorders>
            <w:shd w:val="clear" w:color="auto" w:fill="auto"/>
            <w:vAlign w:val="center"/>
          </w:tcPr>
          <w:p w14:paraId="4CD6EA12" w14:textId="45DBB02E" w:rsidR="00C828B6" w:rsidRPr="004A68AC" w:rsidRDefault="00C828B6" w:rsidP="00842A67">
            <w:pPr>
              <w:jc w:val="center"/>
              <w:rPr>
                <w:color w:val="auto"/>
                <w:sz w:val="18"/>
                <w:szCs w:val="18"/>
              </w:rPr>
            </w:pPr>
            <w:r w:rsidRPr="004A68AC">
              <w:rPr>
                <w:color w:val="auto"/>
                <w:sz w:val="18"/>
                <w:szCs w:val="18"/>
              </w:rPr>
              <w:t xml:space="preserve">ASCE 41-06 </w:t>
            </w:r>
            <w:r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[15]</w:t>
            </w:r>
            <w:r w:rsidRPr="004A68AC">
              <w:rPr>
                <w:sz w:val="18"/>
                <w:szCs w:val="18"/>
              </w:rPr>
              <w:fldChar w:fldCharType="end"/>
            </w:r>
          </w:p>
        </w:tc>
        <w:tc>
          <w:tcPr>
            <w:tcW w:w="1250" w:type="pct"/>
            <w:tcBorders>
              <w:top w:val="nil"/>
              <w:bottom w:val="nil"/>
            </w:tcBorders>
            <w:shd w:val="clear" w:color="auto" w:fill="auto"/>
            <w:vAlign w:val="center"/>
          </w:tcPr>
          <w:p w14:paraId="6BDE95A5"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 1</w:t>
            </w:r>
          </w:p>
        </w:tc>
        <w:tc>
          <w:tcPr>
            <w:tcW w:w="1250" w:type="pct"/>
            <w:tcBorders>
              <w:top w:val="nil"/>
              <w:bottom w:val="nil"/>
            </w:tcBorders>
            <w:shd w:val="clear" w:color="auto" w:fill="auto"/>
            <w:vAlign w:val="center"/>
          </w:tcPr>
          <w:p w14:paraId="551FC45D"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 2</w:t>
            </w:r>
          </w:p>
        </w:tc>
        <w:tc>
          <w:tcPr>
            <w:tcW w:w="1250" w:type="pct"/>
            <w:tcBorders>
              <w:top w:val="nil"/>
              <w:bottom w:val="nil"/>
            </w:tcBorders>
            <w:shd w:val="clear" w:color="auto" w:fill="auto"/>
            <w:vAlign w:val="center"/>
          </w:tcPr>
          <w:p w14:paraId="3EBD1381"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Not given</w:t>
            </w:r>
          </w:p>
        </w:tc>
      </w:tr>
      <w:tr w:rsidR="00C828B6" w:rsidRPr="004A68AC" w14:paraId="05714A41" w14:textId="77777777" w:rsidTr="00842A6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tcBorders>
            <w:shd w:val="clear" w:color="auto" w:fill="auto"/>
            <w:vAlign w:val="center"/>
          </w:tcPr>
          <w:p w14:paraId="42279793" w14:textId="4BF30C30" w:rsidR="00C828B6" w:rsidRPr="004A68AC" w:rsidRDefault="00C828B6" w:rsidP="00842A67">
            <w:pPr>
              <w:jc w:val="center"/>
              <w:rPr>
                <w:color w:val="auto"/>
                <w:sz w:val="18"/>
                <w:szCs w:val="18"/>
              </w:rPr>
            </w:pPr>
            <w:r w:rsidRPr="004A68AC">
              <w:rPr>
                <w:color w:val="auto"/>
                <w:sz w:val="18"/>
                <w:szCs w:val="18"/>
              </w:rPr>
              <w:t xml:space="preserve">ASCE 41-13 </w:t>
            </w:r>
            <w:r w:rsidRPr="004A68AC">
              <w:rPr>
                <w:sz w:val="18"/>
                <w:szCs w:val="18"/>
              </w:rPr>
              <w:fldChar w:fldCharType="begin" w:fldLock="1"/>
            </w:r>
            <w:r w:rsidR="005C47A3" w:rsidRPr="004A68AC">
              <w:rPr>
                <w:color w:val="auto"/>
                <w:sz w:val="18"/>
                <w:szCs w:val="18"/>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[18]</w:t>
            </w:r>
            <w:r w:rsidRPr="004A68AC">
              <w:rPr>
                <w:sz w:val="18"/>
                <w:szCs w:val="18"/>
              </w:rPr>
              <w:fldChar w:fldCharType="end"/>
            </w:r>
          </w:p>
        </w:tc>
        <w:tc>
          <w:tcPr>
            <w:tcW w:w="1250" w:type="pct"/>
            <w:tcBorders>
              <w:top w:val="nil"/>
              <w:bottom w:val="nil"/>
            </w:tcBorders>
            <w:shd w:val="clear" w:color="auto" w:fill="auto"/>
            <w:vAlign w:val="center"/>
          </w:tcPr>
          <w:p w14:paraId="03EEAB03"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Eq. 1</w:t>
            </w:r>
          </w:p>
        </w:tc>
        <w:tc>
          <w:tcPr>
            <w:tcW w:w="1250" w:type="pct"/>
            <w:tcBorders>
              <w:top w:val="nil"/>
              <w:bottom w:val="nil"/>
            </w:tcBorders>
            <w:shd w:val="clear" w:color="auto" w:fill="auto"/>
            <w:vAlign w:val="center"/>
          </w:tcPr>
          <w:p w14:paraId="762345F0"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Eq. 2</w:t>
            </w:r>
          </w:p>
        </w:tc>
        <w:tc>
          <w:tcPr>
            <w:tcW w:w="1250" w:type="pct"/>
            <w:tcBorders>
              <w:top w:val="nil"/>
              <w:bottom w:val="nil"/>
            </w:tcBorders>
            <w:shd w:val="clear" w:color="auto" w:fill="auto"/>
            <w:vAlign w:val="center"/>
          </w:tcPr>
          <w:p w14:paraId="423EFCB4" w14:textId="77777777" w:rsidR="00C828B6" w:rsidRPr="004A68AC" w:rsidRDefault="00C828B6" w:rsidP="00842A6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Not given</w:t>
            </w:r>
          </w:p>
        </w:tc>
      </w:tr>
      <w:tr w:rsidR="00C828B6" w:rsidRPr="004A68AC" w14:paraId="2E8144D3" w14:textId="77777777" w:rsidTr="00842A67">
        <w:trPr>
          <w:trHeight w:val="340"/>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8" w:space="0" w:color="auto"/>
            </w:tcBorders>
            <w:shd w:val="clear" w:color="auto" w:fill="auto"/>
            <w:vAlign w:val="center"/>
          </w:tcPr>
          <w:p w14:paraId="663A5051" w14:textId="286C9AF0" w:rsidR="00C828B6" w:rsidRPr="004A68AC" w:rsidRDefault="00C828B6" w:rsidP="00842A67">
            <w:pPr>
              <w:jc w:val="center"/>
              <w:rPr>
                <w:color w:val="auto"/>
                <w:sz w:val="18"/>
                <w:szCs w:val="18"/>
              </w:rPr>
            </w:pPr>
            <w:r w:rsidRPr="004A68AC">
              <w:rPr>
                <w:color w:val="auto"/>
                <w:sz w:val="18"/>
                <w:szCs w:val="18"/>
              </w:rPr>
              <w:t xml:space="preserve">ASCE 41-17 </w:t>
            </w:r>
            <w:r w:rsidRPr="004A68AC">
              <w:rPr>
                <w:sz w:val="18"/>
                <w:szCs w:val="18"/>
              </w:rPr>
              <w:fldChar w:fldCharType="begin" w:fldLock="1"/>
            </w:r>
            <w:r w:rsidR="005C47A3" w:rsidRPr="004A68AC">
              <w:rPr>
                <w:color w:val="auto"/>
                <w:sz w:val="18"/>
                <w:szCs w:val="18"/>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[19]</w:t>
            </w:r>
            <w:r w:rsidRPr="004A68AC">
              <w:rPr>
                <w:sz w:val="18"/>
                <w:szCs w:val="18"/>
              </w:rPr>
              <w:fldChar w:fldCharType="end"/>
            </w:r>
          </w:p>
        </w:tc>
        <w:tc>
          <w:tcPr>
            <w:tcW w:w="1250" w:type="pct"/>
            <w:tcBorders>
              <w:top w:val="nil"/>
              <w:bottom w:val="single" w:sz="8" w:space="0" w:color="auto"/>
            </w:tcBorders>
            <w:shd w:val="clear" w:color="auto" w:fill="auto"/>
            <w:vAlign w:val="center"/>
          </w:tcPr>
          <w:p w14:paraId="66280FCF"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 3</w:t>
            </w:r>
          </w:p>
        </w:tc>
        <w:tc>
          <w:tcPr>
            <w:tcW w:w="1250" w:type="pct"/>
            <w:tcBorders>
              <w:top w:val="nil"/>
              <w:bottom w:val="single" w:sz="8" w:space="0" w:color="auto"/>
            </w:tcBorders>
            <w:shd w:val="clear" w:color="auto" w:fill="auto"/>
            <w:vAlign w:val="center"/>
          </w:tcPr>
          <w:p w14:paraId="29F376FB"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 4</w:t>
            </w:r>
          </w:p>
        </w:tc>
        <w:tc>
          <w:tcPr>
            <w:tcW w:w="1250" w:type="pct"/>
            <w:tcBorders>
              <w:top w:val="nil"/>
              <w:bottom w:val="single" w:sz="8" w:space="0" w:color="auto"/>
            </w:tcBorders>
            <w:shd w:val="clear" w:color="auto" w:fill="auto"/>
            <w:vAlign w:val="center"/>
          </w:tcPr>
          <w:p w14:paraId="7C283B8B" w14:textId="77777777" w:rsidR="00C828B6" w:rsidRPr="004A68AC" w:rsidRDefault="00C828B6" w:rsidP="00842A6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 5</w:t>
            </w:r>
          </w:p>
        </w:tc>
      </w:tr>
    </w:tbl>
    <w:p w14:paraId="1C9DF1E8" w14:textId="77777777" w:rsidR="00C828B6" w:rsidRPr="004A68AC" w:rsidRDefault="00C828B6" w:rsidP="0012601F">
      <w:pPr>
        <w:rPr>
          <w:lang w:val="en-US"/>
        </w:rPr>
      </w:pPr>
    </w:p>
    <w:p w14:paraId="05B3E00E" w14:textId="13136901" w:rsidR="0012601F" w:rsidRPr="004A68AC" w:rsidRDefault="0012601F" w:rsidP="00454B53">
      <w:pPr>
        <w:pStyle w:val="Heading3"/>
        <w:spacing w:before="0" w:after="0"/>
        <w:rPr>
          <w:i/>
          <w:szCs w:val="20"/>
          <w:lang w:val="en-US"/>
        </w:rPr>
      </w:pPr>
      <w:r w:rsidRPr="004A68AC">
        <w:rPr>
          <w:rFonts w:ascii="Times New Roman" w:hAnsi="Times New Roman"/>
          <w:bCs w:val="0"/>
          <w:i/>
          <w:sz w:val="20"/>
          <w:szCs w:val="20"/>
          <w:lang w:val="en-US"/>
        </w:rPr>
        <w:t xml:space="preserve">3.2 </w:t>
      </w:r>
      <w:r w:rsidR="00A42238" w:rsidRPr="004A68AC">
        <w:rPr>
          <w:rFonts w:ascii="Times New Roman" w:hAnsi="Times New Roman"/>
          <w:bCs w:val="0"/>
          <w:i/>
          <w:sz w:val="20"/>
          <w:szCs w:val="20"/>
          <w:lang w:val="en-US"/>
        </w:rPr>
        <w:t xml:space="preserve">Code-based capacity </w:t>
      </w:r>
      <w:r w:rsidRPr="004A68AC">
        <w:rPr>
          <w:rFonts w:ascii="Times New Roman" w:hAnsi="Times New Roman"/>
          <w:bCs w:val="0"/>
          <w:i/>
          <w:sz w:val="20"/>
          <w:szCs w:val="20"/>
          <w:lang w:val="en-US"/>
        </w:rPr>
        <w:t>limits</w:t>
      </w:r>
    </w:p>
    <w:p w14:paraId="2CF93E09" w14:textId="4DB048B9" w:rsidR="00E33E69" w:rsidRPr="004A68AC" w:rsidRDefault="0012601F" w:rsidP="000A11E8">
      <w:pPr>
        <w:rPr>
          <w:lang w:val="en-US"/>
        </w:rPr>
      </w:pPr>
      <w:r w:rsidRPr="004A68AC">
        <w:rPr>
          <w:lang w:val="en-US"/>
        </w:rPr>
        <w:t xml:space="preserve">Capacity limits (acceptance criteria in the American codes) are defined for each limit state and EDP. </w:t>
      </w:r>
      <w:r w:rsidR="001F1C6D" w:rsidRPr="004A68AC">
        <w:rPr>
          <w:lang w:val="en-US"/>
        </w:rPr>
        <w:t xml:space="preserve">It is worth to mention that only </w:t>
      </w:r>
      <w:r w:rsidRPr="004A68AC">
        <w:rPr>
          <w:lang w:val="en-US"/>
        </w:rPr>
        <w:t xml:space="preserve">the primary elements are </w:t>
      </w:r>
      <w:r w:rsidR="00BB14EA" w:rsidRPr="004A68AC">
        <w:rPr>
          <w:lang w:val="en-US"/>
        </w:rPr>
        <w:t>considered in the present study</w:t>
      </w:r>
      <w:r w:rsidRPr="004A68AC">
        <w:rPr>
          <w:lang w:val="en-US"/>
        </w:rPr>
        <w:t>.</w:t>
      </w:r>
    </w:p>
    <w:p w14:paraId="72F2D7D7" w14:textId="77777777" w:rsidR="00202AB1" w:rsidRPr="004A68AC" w:rsidRDefault="00202AB1" w:rsidP="000A11E8">
      <w:pPr>
        <w:rPr>
          <w:lang w:val="en-US"/>
        </w:rPr>
      </w:pPr>
    </w:p>
    <w:p w14:paraId="51E8DB73" w14:textId="25BBB319" w:rsidR="00581D9C" w:rsidRPr="004A68AC" w:rsidRDefault="00A42238" w:rsidP="00454B53">
      <w:pPr>
        <w:pStyle w:val="ListParagraph"/>
        <w:numPr>
          <w:ilvl w:val="2"/>
          <w:numId w:val="1"/>
        </w:numPr>
        <w:rPr>
          <w:b/>
          <w:bCs/>
          <w:i/>
          <w:iCs/>
          <w:lang w:val="en-US"/>
        </w:rPr>
      </w:pPr>
      <w:r w:rsidRPr="004A68AC">
        <w:rPr>
          <w:b/>
          <w:bCs/>
          <w:i/>
          <w:iCs/>
          <w:lang w:val="en-US"/>
        </w:rPr>
        <w:t>Beams</w:t>
      </w:r>
    </w:p>
    <w:p w14:paraId="13A9038E" w14:textId="08DE7E1D" w:rsidR="00BA64B1" w:rsidRPr="004A68AC" w:rsidRDefault="00F8506A" w:rsidP="00BA64B1">
      <w:pPr>
        <w:rPr>
          <w:lang w:val="en-US" w:eastAsia="it-IT"/>
        </w:rPr>
      </w:pPr>
      <w:r w:rsidRPr="004A68AC">
        <w:rPr>
          <w:lang w:val="en-US"/>
        </w:rPr>
        <w:t xml:space="preserve">For beams, all </w:t>
      </w:r>
      <w:r w:rsidR="00212D08" w:rsidRPr="004A68AC">
        <w:rPr>
          <w:lang w:val="en-US"/>
        </w:rPr>
        <w:t xml:space="preserve">considered </w:t>
      </w:r>
      <w:r w:rsidRPr="004A68AC">
        <w:rPr>
          <w:lang w:val="en-US"/>
        </w:rPr>
        <w:t xml:space="preserve">codes </w:t>
      </w:r>
      <w:r w:rsidR="00821E18" w:rsidRPr="004A68AC">
        <w:rPr>
          <w:lang w:val="en-US"/>
        </w:rPr>
        <w:t>provide</w:t>
      </w:r>
      <w:r w:rsidR="00781A5D" w:rsidRPr="004A68AC">
        <w:rPr>
          <w:lang w:val="en-US"/>
        </w:rPr>
        <w:t xml:space="preserve"> </w:t>
      </w:r>
      <w:r w:rsidRPr="004A68AC">
        <w:rPr>
          <w:lang w:val="en-US"/>
        </w:rPr>
        <w:t>capacity</w:t>
      </w:r>
      <w:r w:rsidR="003609C1" w:rsidRPr="004A68AC">
        <w:rPr>
          <w:lang w:val="en-US"/>
        </w:rPr>
        <w:t xml:space="preserve"> limits</w:t>
      </w:r>
      <w:r w:rsidR="00212D08" w:rsidRPr="004A68AC">
        <w:rPr>
          <w:lang w:val="en-US"/>
        </w:rPr>
        <w:t>, in terms of plastic rotation thresholds,</w:t>
      </w:r>
      <w:r w:rsidRPr="004A68AC">
        <w:rPr>
          <w:lang w:val="en-US"/>
        </w:rPr>
        <w:t xml:space="preserve"> based </w:t>
      </w:r>
      <w:r w:rsidR="00575451" w:rsidRPr="004A68AC">
        <w:rPr>
          <w:lang w:val="en-US"/>
        </w:rPr>
        <w:t xml:space="preserve">on the </w:t>
      </w:r>
      <w:r w:rsidR="002D4689" w:rsidRPr="004A68AC">
        <w:rPr>
          <w:lang w:val="en-US"/>
        </w:rPr>
        <w:t>slenderness</w:t>
      </w:r>
      <w:r w:rsidR="00575451" w:rsidRPr="004A68AC">
        <w:rPr>
          <w:lang w:val="en-US"/>
        </w:rPr>
        <w:t xml:space="preserve"> characteristics of </w:t>
      </w:r>
      <w:r w:rsidR="00821E18" w:rsidRPr="004A68AC">
        <w:rPr>
          <w:lang w:val="en-US"/>
        </w:rPr>
        <w:t xml:space="preserve">web and </w:t>
      </w:r>
      <w:r w:rsidR="00575451" w:rsidRPr="004A68AC">
        <w:rPr>
          <w:lang w:val="en-US"/>
        </w:rPr>
        <w:t>flanges</w:t>
      </w:r>
      <w:r w:rsidR="00212D08" w:rsidRPr="004A68AC">
        <w:rPr>
          <w:lang w:val="en-US"/>
        </w:rPr>
        <w:t xml:space="preserve"> where</w:t>
      </w:r>
      <w:r w:rsidR="008B5A16" w:rsidRPr="004A68AC">
        <w:rPr>
          <w:lang w:val="en-US"/>
        </w:rPr>
        <w:t xml:space="preserve"> the least favorable rules the classification of the whole section</w:t>
      </w:r>
      <w:r w:rsidR="00575451" w:rsidRPr="004A68AC">
        <w:rPr>
          <w:lang w:val="en-US"/>
        </w:rPr>
        <w:t xml:space="preserve">. The EC8-3 </w:t>
      </w:r>
      <w:r w:rsidR="00575451"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575451" w:rsidRPr="004A68AC">
        <w:rPr>
          <w:lang w:val="en-US" w:eastAsia="it-IT"/>
        </w:rPr>
        <w:fldChar w:fldCharType="separate"/>
      </w:r>
      <w:r w:rsidR="00855F83" w:rsidRPr="004A68AC">
        <w:rPr>
          <w:noProof/>
          <w:lang w:val="en-US" w:eastAsia="it-IT"/>
        </w:rPr>
        <w:t>[13]</w:t>
      </w:r>
      <w:r w:rsidR="00575451" w:rsidRPr="004A68AC">
        <w:rPr>
          <w:lang w:val="en-US" w:eastAsia="it-IT"/>
        </w:rPr>
        <w:fldChar w:fldCharType="end"/>
      </w:r>
      <w:r w:rsidR="00575451" w:rsidRPr="004A68AC">
        <w:rPr>
          <w:lang w:val="en-US" w:eastAsia="it-IT"/>
        </w:rPr>
        <w:t xml:space="preserve"> classifies the sections </w:t>
      </w:r>
      <w:r w:rsidR="003609C1" w:rsidRPr="004A68AC">
        <w:rPr>
          <w:lang w:val="en-US" w:eastAsia="it-IT"/>
        </w:rPr>
        <w:t>based on the recommendations of</w:t>
      </w:r>
      <w:r w:rsidR="00575451" w:rsidRPr="004A68AC">
        <w:rPr>
          <w:lang w:val="en-US" w:eastAsia="it-IT"/>
        </w:rPr>
        <w:t xml:space="preserve"> the Eurocode 3 Part 1</w:t>
      </w:r>
      <w:r w:rsidR="001C27B5" w:rsidRPr="004A68AC">
        <w:rPr>
          <w:lang w:val="en-US" w:eastAsia="it-IT"/>
        </w:rPr>
        <w:t>-1</w:t>
      </w:r>
      <w:r w:rsidR="003A1E43" w:rsidRPr="004A68AC">
        <w:rPr>
          <w:lang w:val="en-US" w:eastAsia="it-IT"/>
        </w:rPr>
        <w:t xml:space="preserve"> (EC3-1-1)</w:t>
      </w:r>
      <w:r w:rsidR="00575451" w:rsidRPr="004A68AC">
        <w:rPr>
          <w:lang w:val="en-US" w:eastAsia="it-IT"/>
        </w:rPr>
        <w:t xml:space="preserve"> </w:t>
      </w:r>
      <w:r w:rsidR="001C27B5"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1993-1-1","id":"ITEM-1","issued":{"date-parts":[["2005"]]},"title":"Eurocode 3: Design of Steel Structures - Part 1-1: General Rules and Rules for Buildings","type":"article"},"uris":["http://www.mendeley.com/documents/?uuid=0fea690d-e9c3-4680-9a5d-7186f9caeed5"]}],"mendeley":{"formattedCitation":"[43]","plainTextFormattedCitation":"[43]","previouslyFormattedCitation":"[43]"},"properties":{"noteIndex":0},"schema":"https://github.com/citation-style-language/schema/raw/master/csl-citation.json"}</w:instrText>
      </w:r>
      <w:r w:rsidR="001C27B5" w:rsidRPr="004A68AC">
        <w:rPr>
          <w:lang w:val="en-US" w:eastAsia="it-IT"/>
        </w:rPr>
        <w:fldChar w:fldCharType="separate"/>
      </w:r>
      <w:r w:rsidR="005C2936" w:rsidRPr="004A68AC">
        <w:rPr>
          <w:noProof/>
          <w:lang w:val="en-US" w:eastAsia="it-IT"/>
        </w:rPr>
        <w:t>[43]</w:t>
      </w:r>
      <w:r w:rsidR="001C27B5" w:rsidRPr="004A68AC">
        <w:rPr>
          <w:lang w:val="en-US" w:eastAsia="it-IT"/>
        </w:rPr>
        <w:fldChar w:fldCharType="end"/>
      </w:r>
      <w:r w:rsidR="003A1E43" w:rsidRPr="004A68AC">
        <w:rPr>
          <w:lang w:val="en-US" w:eastAsia="it-IT"/>
        </w:rPr>
        <w:t xml:space="preserve"> and provides different </w:t>
      </w:r>
      <w:r w:rsidR="005D6DC1" w:rsidRPr="004A68AC">
        <w:rPr>
          <w:lang w:val="en-US" w:eastAsia="it-IT"/>
        </w:rPr>
        <w:t>plastic rotation capacity limits</w:t>
      </w:r>
      <w:r w:rsidR="003A1E43" w:rsidRPr="004A68AC">
        <w:rPr>
          <w:lang w:val="en-US" w:eastAsia="it-IT"/>
        </w:rPr>
        <w:t xml:space="preserve"> for</w:t>
      </w:r>
      <w:r w:rsidR="003609C1" w:rsidRPr="004A68AC">
        <w:rPr>
          <w:lang w:val="en-US" w:eastAsia="it-IT"/>
        </w:rPr>
        <w:t xml:space="preserve"> sections ‘</w:t>
      </w:r>
      <w:r w:rsidR="003A1E43" w:rsidRPr="004A68AC">
        <w:rPr>
          <w:lang w:val="en-US" w:eastAsia="it-IT"/>
        </w:rPr>
        <w:t>Class 1</w:t>
      </w:r>
      <w:r w:rsidR="003609C1" w:rsidRPr="004A68AC">
        <w:rPr>
          <w:lang w:val="en-US" w:eastAsia="it-IT"/>
        </w:rPr>
        <w:t xml:space="preserve">’ </w:t>
      </w:r>
      <w:r w:rsidR="003A1E43" w:rsidRPr="004A68AC">
        <w:rPr>
          <w:lang w:val="en-US" w:eastAsia="it-IT"/>
        </w:rPr>
        <w:t xml:space="preserve">and </w:t>
      </w:r>
      <w:r w:rsidR="003609C1" w:rsidRPr="004A68AC">
        <w:rPr>
          <w:lang w:val="en-US" w:eastAsia="it-IT"/>
        </w:rPr>
        <w:t>‘</w:t>
      </w:r>
      <w:r w:rsidR="003A1E43" w:rsidRPr="004A68AC">
        <w:rPr>
          <w:lang w:val="en-US" w:eastAsia="it-IT"/>
        </w:rPr>
        <w:t>Class 2</w:t>
      </w:r>
      <w:r w:rsidR="003609C1" w:rsidRPr="004A68AC">
        <w:rPr>
          <w:lang w:val="en-US" w:eastAsia="it-IT"/>
        </w:rPr>
        <w:t>’.</w:t>
      </w:r>
      <w:r w:rsidR="00D07112" w:rsidRPr="004A68AC">
        <w:rPr>
          <w:lang w:val="en-US" w:eastAsia="it-IT"/>
        </w:rPr>
        <w:t xml:space="preserve"> </w:t>
      </w:r>
      <w:r w:rsidR="00212D08" w:rsidRPr="004A68AC">
        <w:rPr>
          <w:lang w:val="en-US" w:eastAsia="it-IT"/>
        </w:rPr>
        <w:t>S</w:t>
      </w:r>
      <w:r w:rsidR="003609C1" w:rsidRPr="004A68AC">
        <w:rPr>
          <w:lang w:val="en-US" w:eastAsia="it-IT"/>
        </w:rPr>
        <w:t>ections ‘</w:t>
      </w:r>
      <w:r w:rsidR="003A1E43" w:rsidRPr="004A68AC">
        <w:rPr>
          <w:lang w:val="en-US" w:eastAsia="it-IT"/>
        </w:rPr>
        <w:t>Class 3</w:t>
      </w:r>
      <w:r w:rsidR="003609C1" w:rsidRPr="004A68AC">
        <w:rPr>
          <w:lang w:val="en-US" w:eastAsia="it-IT"/>
        </w:rPr>
        <w:t xml:space="preserve">’ </w:t>
      </w:r>
      <w:r w:rsidR="003A1E43" w:rsidRPr="004A68AC">
        <w:rPr>
          <w:lang w:val="en-US" w:eastAsia="it-IT"/>
        </w:rPr>
        <w:t xml:space="preserve">and </w:t>
      </w:r>
      <w:r w:rsidR="003609C1" w:rsidRPr="004A68AC">
        <w:rPr>
          <w:lang w:val="en-US" w:eastAsia="it-IT"/>
        </w:rPr>
        <w:t>‘</w:t>
      </w:r>
      <w:r w:rsidR="003A1E43" w:rsidRPr="004A68AC">
        <w:rPr>
          <w:lang w:val="en-US" w:eastAsia="it-IT"/>
        </w:rPr>
        <w:t>Class 4</w:t>
      </w:r>
      <w:r w:rsidR="00D07112" w:rsidRPr="004A68AC">
        <w:rPr>
          <w:lang w:val="en-US" w:eastAsia="it-IT"/>
        </w:rPr>
        <w:t xml:space="preserve">’ are </w:t>
      </w:r>
      <w:r w:rsidR="003A1E43" w:rsidRPr="004A68AC">
        <w:rPr>
          <w:lang w:val="en-US" w:eastAsia="it-IT"/>
        </w:rPr>
        <w:t>treate</w:t>
      </w:r>
      <w:r w:rsidR="00D07112" w:rsidRPr="004A68AC">
        <w:rPr>
          <w:lang w:val="en-US" w:eastAsia="it-IT"/>
        </w:rPr>
        <w:t>d as force-controlled elements</w:t>
      </w:r>
      <w:r w:rsidR="002F4E17" w:rsidRPr="004A68AC">
        <w:rPr>
          <w:lang w:val="en-US" w:eastAsia="it-IT"/>
        </w:rPr>
        <w:t xml:space="preserve">, although, this may underestimate the plastic rotation capacity of sections </w:t>
      </w:r>
      <w:r w:rsidR="00D07112" w:rsidRPr="004A68AC">
        <w:rPr>
          <w:lang w:val="en-US" w:eastAsia="it-IT"/>
        </w:rPr>
        <w:t>‘</w:t>
      </w:r>
      <w:r w:rsidR="002F4E17" w:rsidRPr="004A68AC">
        <w:rPr>
          <w:lang w:val="en-US" w:eastAsia="it-IT"/>
        </w:rPr>
        <w:t>Class 3</w:t>
      </w:r>
      <w:r w:rsidR="00D07112" w:rsidRPr="004A68AC">
        <w:rPr>
          <w:lang w:val="en-US" w:eastAsia="it-IT"/>
        </w:rPr>
        <w:t>’</w:t>
      </w:r>
      <w:r w:rsidR="002F4E17" w:rsidRPr="004A68AC">
        <w:rPr>
          <w:lang w:val="en-US" w:eastAsia="it-IT"/>
        </w:rPr>
        <w:t xml:space="preserve">, as commented by Lignos and Hartloper </w:t>
      </w:r>
      <w:r w:rsidR="002F4E17" w:rsidRPr="004A68AC">
        <w:rPr>
          <w:lang w:val="en-US" w:eastAsia="it-IT"/>
        </w:rPr>
        <w:fldChar w:fldCharType="begin" w:fldLock="1"/>
      </w:r>
      <w:r w:rsidR="00B339CD" w:rsidRPr="004A68AC">
        <w:rPr>
          <w:lang w:val="en-US" w:eastAsia="it-IT"/>
        </w:rPr>
        <w:instrText>ADDIN CSL_CITATION {"citationItems":[{"id":"ITEM-1","itemData":{"DOI":"10.1002/stab.201900108","ISSN":"14371049","abstract":"Seismic performance assessment of new and existing steel structures based on nonlinear static (pushover) analysis necessitates the use of engineering-oriented models that trace the nonlinear response of structural steel elements under static and cyclic loading. Recent experiments and corroborating finite element simulations on I- and H-shaped steel columns constitute an important data source for such a development. This paper presents important insights regarding the behaviour of steel columns under cyclic and monotonic loading based on an assembled steel column database. We propose simple, yet accurate, practice-oriented models to predict the strength and deformation capacities at yield and ultimate rotation (near collapse) of steel columns within the framework of Eurocode 8 Part 3 (EC8-Part 3). The proposed models are derived from first principles of mechanics along with robust statistical approaches leveraging the assembled datasets. It is shown that modelling provisions for steel columns in the current EC8 Part 3 do not reflect column behavioural trends from the available databases. The influence of loading history on the derived modelling recommendations for columns is also quantified and discussed. The proposed recommendations may be incorporated in future versions of EC8-Part 3 for seismic performance assessment of new and existing steel structures.","author":[{"dropping-particle":"","family":"Lignos","given":"Dimitrios G.","non-dropping-particle":"","parse-names":false,"suffix":""},{"dropping-particle":"","family":"Hartloper","given":"Alexander R.","non-dropping-particle":"","parse-names":false,"suffix":""}],"container-title":"Stahlbau","id":"ITEM-1","issue":"1","issued":{"date-parts":[["2020"]]},"page":"16-27","title":"Steel column stability and implications in the seismic assessment of steel structures according to Eurocode 8 Part 3","type":"article-journal","volume":"89"},"uris":["http://www.mendeley.com/documents/?uuid=6768b7d0-12f0-44b5-9e75-ef43074b11eb"]}],"mendeley":{"formattedCitation":"[26]","plainTextFormattedCitation":"[26]","previouslyFormattedCitation":"[26]"},"properties":{"noteIndex":0},"schema":"https://github.com/citation-style-language/schema/raw/master/csl-citation.json"}</w:instrText>
      </w:r>
      <w:r w:rsidR="002F4E17" w:rsidRPr="004A68AC">
        <w:rPr>
          <w:lang w:val="en-US" w:eastAsia="it-IT"/>
        </w:rPr>
        <w:fldChar w:fldCharType="separate"/>
      </w:r>
      <w:r w:rsidR="00B339CD" w:rsidRPr="004A68AC">
        <w:rPr>
          <w:noProof/>
          <w:lang w:val="en-US" w:eastAsia="it-IT"/>
        </w:rPr>
        <w:t>[26]</w:t>
      </w:r>
      <w:r w:rsidR="002F4E17" w:rsidRPr="004A68AC">
        <w:rPr>
          <w:lang w:val="en-US" w:eastAsia="it-IT"/>
        </w:rPr>
        <w:fldChar w:fldCharType="end"/>
      </w:r>
      <w:r w:rsidR="003A1E43" w:rsidRPr="004A68AC">
        <w:rPr>
          <w:lang w:val="en-US" w:eastAsia="it-IT"/>
        </w:rPr>
        <w:t xml:space="preserve">. In a similar way, the American codes </w:t>
      </w:r>
      <w:r w:rsidR="003A1E43"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3A1E43" w:rsidRPr="004A68AC">
        <w:rPr>
          <w:lang w:val="en-US"/>
        </w:rPr>
        <w:fldChar w:fldCharType="separate"/>
      </w:r>
      <w:r w:rsidR="00B339CD" w:rsidRPr="004A68AC">
        <w:rPr>
          <w:noProof/>
          <w:lang w:val="en-US"/>
        </w:rPr>
        <w:t>[15,18,19]</w:t>
      </w:r>
      <w:r w:rsidR="003A1E43" w:rsidRPr="004A68AC">
        <w:rPr>
          <w:lang w:val="en-US"/>
        </w:rPr>
        <w:fldChar w:fldCharType="end"/>
      </w:r>
      <w:r w:rsidR="003A1E43" w:rsidRPr="004A68AC">
        <w:rPr>
          <w:lang w:val="en-US" w:eastAsia="it-IT"/>
        </w:rPr>
        <w:t xml:space="preserve"> </w:t>
      </w:r>
      <w:r w:rsidR="00130806" w:rsidRPr="004A68AC">
        <w:rPr>
          <w:lang w:val="en-US" w:eastAsia="it-IT"/>
        </w:rPr>
        <w:t>determine two</w:t>
      </w:r>
      <w:r w:rsidR="006A503C" w:rsidRPr="004A68AC">
        <w:rPr>
          <w:lang w:val="en-US" w:eastAsia="it-IT"/>
        </w:rPr>
        <w:t xml:space="preserve"> </w:t>
      </w:r>
      <w:r w:rsidR="007A2ADB" w:rsidRPr="004A68AC">
        <w:rPr>
          <w:lang w:val="en-US" w:eastAsia="it-IT"/>
        </w:rPr>
        <w:t xml:space="preserve">sets of </w:t>
      </w:r>
      <w:r w:rsidR="00781A5D" w:rsidRPr="004A68AC">
        <w:rPr>
          <w:lang w:val="en-US" w:eastAsia="it-IT"/>
        </w:rPr>
        <w:t xml:space="preserve">plastic rotation </w:t>
      </w:r>
      <w:r w:rsidR="007A2ADB" w:rsidRPr="004A68AC">
        <w:rPr>
          <w:lang w:val="en-US" w:eastAsia="it-IT"/>
        </w:rPr>
        <w:t xml:space="preserve">capacity </w:t>
      </w:r>
      <w:r w:rsidR="006A503C" w:rsidRPr="004A68AC">
        <w:rPr>
          <w:lang w:val="en-US" w:eastAsia="it-IT"/>
        </w:rPr>
        <w:t xml:space="preserve">limits based on the local </w:t>
      </w:r>
      <w:r w:rsidR="002D4689" w:rsidRPr="004A68AC">
        <w:rPr>
          <w:lang w:val="en-US" w:eastAsia="it-IT"/>
        </w:rPr>
        <w:t>slenderness</w:t>
      </w:r>
      <w:r w:rsidR="006A503C" w:rsidRPr="004A68AC">
        <w:rPr>
          <w:lang w:val="en-US" w:eastAsia="it-IT"/>
        </w:rPr>
        <w:t xml:space="preserve"> ratios, </w:t>
      </w:r>
      <w:r w:rsidR="00212D08" w:rsidRPr="004A68AC">
        <w:rPr>
          <w:lang w:val="en-US" w:eastAsia="it-IT"/>
        </w:rPr>
        <w:t>moreover,</w:t>
      </w:r>
      <w:r w:rsidR="006A503C" w:rsidRPr="004A68AC">
        <w:rPr>
          <w:lang w:val="en-US" w:eastAsia="it-IT"/>
        </w:rPr>
        <w:t xml:space="preserve"> they </w:t>
      </w:r>
      <w:r w:rsidR="00130806" w:rsidRPr="004A68AC">
        <w:rPr>
          <w:lang w:val="en-US" w:eastAsia="it-IT"/>
        </w:rPr>
        <w:t xml:space="preserve">also define a continuous interpolation region for those sections with characteristics that fall between the two </w:t>
      </w:r>
      <w:r w:rsidR="00253371" w:rsidRPr="004A68AC">
        <w:rPr>
          <w:lang w:val="en-US" w:eastAsia="it-IT"/>
        </w:rPr>
        <w:t>limits.</w:t>
      </w:r>
    </w:p>
    <w:p w14:paraId="2612D02D" w14:textId="77777777" w:rsidR="00521F85" w:rsidRPr="004A68AC" w:rsidRDefault="00521F85" w:rsidP="00BA64B1">
      <w:pPr>
        <w:rPr>
          <w:lang w:val="en-US" w:eastAsia="it-IT"/>
        </w:rPr>
      </w:pPr>
    </w:p>
    <w:p w14:paraId="24BC871D" w14:textId="744CBA24" w:rsidR="002F4E17" w:rsidRPr="004A68AC" w:rsidRDefault="003557DF" w:rsidP="00BA64B1">
      <w:pPr>
        <w:rPr>
          <w:lang w:val="en-US" w:eastAsia="it-IT"/>
        </w:rPr>
      </w:pPr>
      <w:r w:rsidRPr="004A68AC">
        <w:rPr>
          <w:lang w:val="en-US" w:eastAsia="it-IT"/>
        </w:rPr>
        <w:t xml:space="preserve">     </w:t>
      </w:r>
      <w:r w:rsidR="001C4848" w:rsidRPr="004A68AC">
        <w:rPr>
          <w:lang w:val="en-US" w:eastAsia="it-IT"/>
        </w:rPr>
        <w:t xml:space="preserve">The </w:t>
      </w:r>
      <w:r w:rsidR="00781A5D" w:rsidRPr="004A68AC">
        <w:rPr>
          <w:lang w:val="en-US" w:eastAsia="it-IT"/>
        </w:rPr>
        <w:t xml:space="preserve">plastic rotation </w:t>
      </w:r>
      <w:r w:rsidR="001C4848" w:rsidRPr="004A68AC">
        <w:rPr>
          <w:lang w:val="en-US" w:eastAsia="it-IT"/>
        </w:rPr>
        <w:t>capacity limits</w:t>
      </w:r>
      <w:r w:rsidR="00BA64B1" w:rsidRPr="004A68AC">
        <w:rPr>
          <w:lang w:val="en-US" w:eastAsia="it-IT"/>
        </w:rPr>
        <w:t xml:space="preserve"> for</w:t>
      </w:r>
      <w:r w:rsidR="001C4848" w:rsidRPr="004A68AC">
        <w:rPr>
          <w:lang w:val="en-US" w:eastAsia="it-IT"/>
        </w:rPr>
        <w:t xml:space="preserve"> beams</w:t>
      </w:r>
      <w:r w:rsidR="007A2ADB" w:rsidRPr="004A68AC">
        <w:rPr>
          <w:lang w:val="en-US" w:eastAsia="it-IT"/>
        </w:rPr>
        <w:t xml:space="preserve">, </w:t>
      </w:r>
      <w:r w:rsidR="003609C1" w:rsidRPr="004A68AC">
        <w:rPr>
          <w:lang w:val="en-US" w:eastAsia="it-IT"/>
        </w:rPr>
        <w:t>are reported</w:t>
      </w:r>
      <w:r w:rsidR="00BA64B1" w:rsidRPr="004A68AC">
        <w:rPr>
          <w:lang w:val="en-US" w:eastAsia="it-IT"/>
        </w:rPr>
        <w:t xml:space="preserve"> in</w:t>
      </w:r>
      <w:r w:rsidR="00253371" w:rsidRPr="004A68AC">
        <w:rPr>
          <w:lang w:val="en-US" w:eastAsia="it-IT"/>
        </w:rPr>
        <w:t xml:space="preserve"> </w:t>
      </w:r>
      <w:r w:rsidR="00BA64B1" w:rsidRPr="004A68AC">
        <w:rPr>
          <w:lang w:val="en-US" w:eastAsia="it-IT"/>
        </w:rPr>
        <w:fldChar w:fldCharType="begin" w:fldLock="1"/>
      </w:r>
      <w:r w:rsidR="00BA64B1" w:rsidRPr="004A68AC">
        <w:rPr>
          <w:lang w:val="en-US" w:eastAsia="it-IT"/>
        </w:rPr>
        <w:instrText xml:space="preserve"> REF _Ref38548617 \h </w:instrText>
      </w:r>
      <w:r w:rsidR="00737873" w:rsidRPr="004A68AC">
        <w:rPr>
          <w:lang w:val="en-US" w:eastAsia="it-IT"/>
        </w:rPr>
        <w:instrText xml:space="preserve"> \* MERGEFORMAT </w:instrText>
      </w:r>
      <w:r w:rsidR="00BA64B1" w:rsidRPr="004A68AC">
        <w:rPr>
          <w:lang w:val="en-US" w:eastAsia="it-IT"/>
        </w:rPr>
      </w:r>
      <w:r w:rsidR="00BA64B1" w:rsidRPr="004A68AC">
        <w:rPr>
          <w:lang w:val="en-US" w:eastAsia="it-IT"/>
        </w:rPr>
        <w:fldChar w:fldCharType="separate"/>
      </w:r>
      <w:r w:rsidR="00737873" w:rsidRPr="004A68AC">
        <w:rPr>
          <w:szCs w:val="20"/>
          <w:lang w:val="en-US"/>
        </w:rPr>
        <w:t xml:space="preserve">Table </w:t>
      </w:r>
      <w:r w:rsidR="00737873" w:rsidRPr="004A68AC">
        <w:rPr>
          <w:noProof/>
          <w:szCs w:val="20"/>
          <w:lang w:val="en-US"/>
        </w:rPr>
        <w:t>3</w:t>
      </w:r>
      <w:r w:rsidR="00BA64B1" w:rsidRPr="004A68AC">
        <w:rPr>
          <w:lang w:val="en-US" w:eastAsia="it-IT"/>
        </w:rPr>
        <w:fldChar w:fldCharType="end"/>
      </w:r>
      <w:r w:rsidR="0088763D" w:rsidRPr="004A68AC">
        <w:rPr>
          <w:lang w:val="en-US" w:eastAsia="it-IT"/>
        </w:rPr>
        <w:t xml:space="preserve"> </w:t>
      </w:r>
      <w:r w:rsidR="001A1A64" w:rsidRPr="004A68AC">
        <w:rPr>
          <w:lang w:val="en-US" w:eastAsia="it-IT"/>
        </w:rPr>
        <w:t xml:space="preserve">as a function of the </w:t>
      </w:r>
      <w:r w:rsidR="007A2ADB" w:rsidRPr="004A68AC">
        <w:rPr>
          <w:lang w:val="en-US" w:eastAsia="it-IT"/>
        </w:rPr>
        <w:t xml:space="preserve">parameters identifying the </w:t>
      </w:r>
      <w:bookmarkStart w:id="10" w:name="_Hlk48150978"/>
      <w:r w:rsidR="002D4689" w:rsidRPr="004A68AC">
        <w:rPr>
          <w:lang w:val="en-US" w:eastAsia="it-IT"/>
        </w:rPr>
        <w:t>slenderness</w:t>
      </w:r>
      <w:r w:rsidR="007A2ADB" w:rsidRPr="004A68AC">
        <w:rPr>
          <w:lang w:val="en-US" w:eastAsia="it-IT"/>
        </w:rPr>
        <w:t xml:space="preserve"> limits</w:t>
      </w:r>
      <w:r w:rsidR="00F9410A" w:rsidRPr="004A68AC">
        <w:rPr>
          <w:lang w:val="en-US" w:eastAsia="it-IT"/>
        </w:rPr>
        <w:t xml:space="preserve"> for the web</w:t>
      </w:r>
      <w:r w:rsidR="007A2ADB" w:rsidRPr="004A68AC">
        <w:rPr>
          <w:lang w:val="en-US" w:eastAsia="it-IT"/>
        </w:rPr>
        <w:t xml:space="preserve"> </w:t>
      </w:r>
      <w:bookmarkEnd w:id="10"/>
      <w:r w:rsidR="007A2ADB" w:rsidRPr="004A68AC">
        <w:rPr>
          <w:lang w:val="en-US" w:eastAsia="it-IT"/>
        </w:rPr>
        <w:t>(</w:t>
      </w:r>
      <w:r w:rsidR="007A2ADB" w:rsidRPr="004A68AC">
        <w:rPr>
          <w:i/>
          <w:iCs/>
          <w:lang w:val="en-US" w:eastAsia="it-IT"/>
        </w:rPr>
        <w:t>i.e.,</w:t>
      </w:r>
      <w:r w:rsidR="007A2ADB" w:rsidRPr="004A68AC">
        <w:rPr>
          <w:lang w:val="en-US" w:eastAsia="it-IT"/>
        </w:rPr>
        <w:t xml:space="preserve"> </w:t>
      </w:r>
      <w:r w:rsidR="00F90F17" w:rsidRPr="004A68AC">
        <w:rPr>
          <w:lang w:val="en-US" w:eastAsia="it-IT"/>
        </w:rPr>
        <w:t>α</w:t>
      </w:r>
      <w:r w:rsidR="00F9410A" w:rsidRPr="004A68AC">
        <w:rPr>
          <w:vertAlign w:val="subscript"/>
          <w:lang w:val="en-US" w:eastAsia="it-IT"/>
        </w:rPr>
        <w:t>E</w:t>
      </w:r>
      <w:r w:rsidR="007A2ADB" w:rsidRPr="004A68AC">
        <w:rPr>
          <w:lang w:val="en-US" w:eastAsia="it-IT"/>
        </w:rPr>
        <w:t xml:space="preserve"> </w:t>
      </w:r>
      <w:r w:rsidR="00F9410A" w:rsidRPr="004A68AC">
        <w:rPr>
          <w:lang w:val="en-US" w:eastAsia="it-IT"/>
        </w:rPr>
        <w:t>and α</w:t>
      </w:r>
      <w:r w:rsidR="00F9410A" w:rsidRPr="004A68AC">
        <w:rPr>
          <w:vertAlign w:val="subscript"/>
          <w:lang w:val="en-US" w:eastAsia="it-IT"/>
        </w:rPr>
        <w:t>A</w:t>
      </w:r>
      <w:r w:rsidR="00F9410A" w:rsidRPr="004A68AC">
        <w:rPr>
          <w:lang w:val="en-US" w:eastAsia="it-IT"/>
        </w:rPr>
        <w:t>) and for the flanges (</w:t>
      </w:r>
      <w:r w:rsidR="00F9410A" w:rsidRPr="004A68AC">
        <w:rPr>
          <w:i/>
          <w:iCs/>
          <w:lang w:val="en-US" w:eastAsia="it-IT"/>
        </w:rPr>
        <w:t>i.e.,</w:t>
      </w:r>
      <w:r w:rsidR="00F9410A" w:rsidRPr="004A68AC">
        <w:rPr>
          <w:lang w:val="en-US" w:eastAsia="it-IT"/>
        </w:rPr>
        <w:t xml:space="preserve"> β</w:t>
      </w:r>
      <w:r w:rsidR="00F9410A" w:rsidRPr="004A68AC">
        <w:rPr>
          <w:vertAlign w:val="subscript"/>
          <w:lang w:val="en-US" w:eastAsia="it-IT"/>
        </w:rPr>
        <w:t>E</w:t>
      </w:r>
      <w:r w:rsidR="00F9410A" w:rsidRPr="004A68AC">
        <w:rPr>
          <w:lang w:val="en-US" w:eastAsia="it-IT"/>
        </w:rPr>
        <w:t xml:space="preserve"> </w:t>
      </w:r>
      <w:r w:rsidR="007A2ADB" w:rsidRPr="004A68AC">
        <w:rPr>
          <w:lang w:val="en-US" w:eastAsia="it-IT"/>
        </w:rPr>
        <w:t xml:space="preserve">and </w:t>
      </w:r>
      <w:r w:rsidR="005D6DC1" w:rsidRPr="004A68AC">
        <w:rPr>
          <w:lang w:val="en-US" w:eastAsia="it-IT"/>
        </w:rPr>
        <w:t>β</w:t>
      </w:r>
      <w:r w:rsidR="00F9410A" w:rsidRPr="004A68AC">
        <w:rPr>
          <w:vertAlign w:val="subscript"/>
          <w:lang w:val="en-US" w:eastAsia="it-IT"/>
        </w:rPr>
        <w:t>A</w:t>
      </w:r>
      <w:r w:rsidR="007A2ADB" w:rsidRPr="004A68AC">
        <w:rPr>
          <w:lang w:val="en-US" w:eastAsia="it-IT"/>
        </w:rPr>
        <w:t>), and hence the Class, of the sections</w:t>
      </w:r>
      <w:r w:rsidR="001A1A64" w:rsidRPr="004A68AC">
        <w:rPr>
          <w:lang w:val="en-US" w:eastAsia="it-IT"/>
        </w:rPr>
        <w:t xml:space="preserve">. </w:t>
      </w:r>
      <w:r w:rsidR="00627B53" w:rsidRPr="004A68AC">
        <w:rPr>
          <w:lang w:val="en-US" w:eastAsia="it-IT"/>
        </w:rPr>
        <w:t xml:space="preserve">Eq. </w:t>
      </w:r>
      <w:r w:rsidR="001B25C8" w:rsidRPr="004A68AC">
        <w:rPr>
          <w:lang w:val="en-US" w:eastAsia="it-IT"/>
        </w:rPr>
        <w:t>6</w:t>
      </w:r>
      <w:r w:rsidR="00627B53" w:rsidRPr="004A68AC">
        <w:rPr>
          <w:lang w:val="en-US" w:eastAsia="it-IT"/>
        </w:rPr>
        <w:t xml:space="preserve"> show</w:t>
      </w:r>
      <w:r w:rsidR="00F9410A" w:rsidRPr="004A68AC">
        <w:rPr>
          <w:lang w:val="en-US" w:eastAsia="it-IT"/>
        </w:rPr>
        <w:t>s</w:t>
      </w:r>
      <w:r w:rsidR="00627B53" w:rsidRPr="004A68AC">
        <w:rPr>
          <w:lang w:val="en-US" w:eastAsia="it-IT"/>
        </w:rPr>
        <w:t xml:space="preserve"> the slenderness parameters for the EC8-3 </w:t>
      </w:r>
      <w:r w:rsidR="00627B53"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627B53" w:rsidRPr="004A68AC">
        <w:rPr>
          <w:lang w:val="en-US" w:eastAsia="it-IT"/>
        </w:rPr>
        <w:fldChar w:fldCharType="separate"/>
      </w:r>
      <w:r w:rsidR="00855F83" w:rsidRPr="004A68AC">
        <w:rPr>
          <w:noProof/>
          <w:lang w:val="en-US" w:eastAsia="it-IT"/>
        </w:rPr>
        <w:t>[13]</w:t>
      </w:r>
      <w:r w:rsidR="00627B53" w:rsidRPr="004A68AC">
        <w:rPr>
          <w:lang w:val="en-US" w:eastAsia="it-IT"/>
        </w:rPr>
        <w:fldChar w:fldCharType="end"/>
      </w:r>
      <w:r w:rsidR="00627B53" w:rsidRPr="004A68AC">
        <w:rPr>
          <w:lang w:val="en-US" w:eastAsia="it-IT"/>
        </w:rPr>
        <w:t xml:space="preserve">, while Eq. </w:t>
      </w:r>
      <w:r w:rsidR="00AD6B5F" w:rsidRPr="004A68AC">
        <w:rPr>
          <w:lang w:val="en-US" w:eastAsia="it-IT"/>
        </w:rPr>
        <w:t>7</w:t>
      </w:r>
      <w:r w:rsidR="00627B53" w:rsidRPr="004A68AC">
        <w:rPr>
          <w:lang w:val="en-US" w:eastAsia="it-IT"/>
        </w:rPr>
        <w:t xml:space="preserve"> </w:t>
      </w:r>
      <w:r w:rsidR="00C7308F" w:rsidRPr="004A68AC">
        <w:rPr>
          <w:lang w:val="en-US" w:eastAsia="it-IT"/>
        </w:rPr>
        <w:t>show</w:t>
      </w:r>
      <w:r w:rsidR="00F9410A" w:rsidRPr="004A68AC">
        <w:rPr>
          <w:lang w:val="en-US" w:eastAsia="it-IT"/>
        </w:rPr>
        <w:t>s</w:t>
      </w:r>
      <w:r w:rsidR="00C7308F" w:rsidRPr="004A68AC">
        <w:rPr>
          <w:lang w:val="en-US" w:eastAsia="it-IT"/>
        </w:rPr>
        <w:t xml:space="preserve"> them </w:t>
      </w:r>
      <w:r w:rsidR="001B25C8" w:rsidRPr="004A68AC">
        <w:rPr>
          <w:lang w:val="en-US" w:eastAsia="it-IT"/>
        </w:rPr>
        <w:t xml:space="preserve">for the </w:t>
      </w:r>
      <w:r w:rsidR="009630B4" w:rsidRPr="004A68AC">
        <w:rPr>
          <w:lang w:val="en-US" w:eastAsia="it-IT"/>
        </w:rPr>
        <w:t>ASCE 41</w:t>
      </w:r>
      <w:r w:rsidR="001B25C8" w:rsidRPr="004A68AC">
        <w:rPr>
          <w:lang w:val="en-US" w:eastAsia="it-IT"/>
        </w:rPr>
        <w:t xml:space="preserve"> codes </w:t>
      </w:r>
      <w:r w:rsidR="001B25C8"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1B25C8" w:rsidRPr="004A68AC">
        <w:rPr>
          <w:lang w:val="en-US" w:eastAsia="it-IT"/>
        </w:rPr>
        <w:fldChar w:fldCharType="separate"/>
      </w:r>
      <w:r w:rsidR="00B339CD" w:rsidRPr="004A68AC">
        <w:rPr>
          <w:noProof/>
          <w:lang w:val="en-US" w:eastAsia="it-IT"/>
        </w:rPr>
        <w:t>[15,18,19]</w:t>
      </w:r>
      <w:r w:rsidR="001B25C8" w:rsidRPr="004A68AC">
        <w:rPr>
          <w:lang w:val="en-US" w:eastAsia="it-IT"/>
        </w:rPr>
        <w:fldChar w:fldCharType="end"/>
      </w:r>
      <w:r w:rsidR="001B25C8" w:rsidRPr="004A68AC">
        <w:rPr>
          <w:lang w:val="en-US" w:eastAsia="it-IT"/>
        </w:rPr>
        <w:t>.</w:t>
      </w:r>
      <w:r w:rsidR="00212D08" w:rsidRPr="004A68AC">
        <w:rPr>
          <w:lang w:val="en-US" w:eastAsia="it-IT"/>
        </w:rPr>
        <w:t xml:space="preserve"> It is worth mentioning that Eqs</w:t>
      </w:r>
      <w:r w:rsidR="00ED625F" w:rsidRPr="004A68AC">
        <w:rPr>
          <w:lang w:val="en-US" w:eastAsia="it-IT"/>
        </w:rPr>
        <w:t>.</w:t>
      </w:r>
      <w:r w:rsidR="00212D08" w:rsidRPr="004A68AC">
        <w:rPr>
          <w:lang w:val="en-US" w:eastAsia="it-IT"/>
        </w:rPr>
        <w:t xml:space="preserve"> 6 and 7 have been </w:t>
      </w:r>
      <w:r w:rsidR="00F9410A" w:rsidRPr="004A68AC">
        <w:rPr>
          <w:lang w:val="en-US" w:eastAsia="it-IT"/>
        </w:rPr>
        <w:t xml:space="preserve">derived by </w:t>
      </w:r>
      <w:r w:rsidR="00212D08" w:rsidRPr="004A68AC">
        <w:rPr>
          <w:lang w:val="en-US" w:eastAsia="it-IT"/>
        </w:rPr>
        <w:t>rearrang</w:t>
      </w:r>
      <w:r w:rsidR="00F9410A" w:rsidRPr="004A68AC">
        <w:rPr>
          <w:lang w:val="en-US" w:eastAsia="it-IT"/>
        </w:rPr>
        <w:t xml:space="preserve">ing the equations from both codes </w:t>
      </w:r>
      <w:r w:rsidR="00A63875" w:rsidRPr="004A68AC">
        <w:rPr>
          <w:lang w:val="en-US" w:eastAsia="it-IT"/>
        </w:rPr>
        <w:t xml:space="preserve">for uniformity purposes through this paper and </w:t>
      </w:r>
      <w:r w:rsidR="00212D08" w:rsidRPr="004A68AC">
        <w:rPr>
          <w:lang w:val="en-US" w:eastAsia="it-IT"/>
        </w:rPr>
        <w:t>in order to simplify the comparison</w:t>
      </w:r>
      <w:r w:rsidR="00454B53" w:rsidRPr="004A68AC">
        <w:rPr>
          <w:lang w:val="en-US" w:eastAsia="it-IT"/>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702"/>
        <w:gridCol w:w="6236"/>
      </w:tblGrid>
      <w:tr w:rsidR="00AD6B5F" w:rsidRPr="004A68AC" w14:paraId="05AA67A0" w14:textId="77777777" w:rsidTr="00507EAD">
        <w:trPr>
          <w:trHeight w:val="680"/>
        </w:trPr>
        <w:tc>
          <w:tcPr>
            <w:tcW w:w="882" w:type="pct"/>
            <w:vAlign w:val="center"/>
          </w:tcPr>
          <w:p w14:paraId="18F6F4E9" w14:textId="448FC1D1" w:rsidR="00AD6B5F" w:rsidRPr="004A68AC" w:rsidRDefault="00204274" w:rsidP="00507EAD">
            <w:pPr>
              <w:jc w:val="center"/>
              <w:rPr>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α</m:t>
                    </m:r>
                  </m:e>
                  <m:sub>
                    <m:r>
                      <m:rPr>
                        <m:sty m:val="p"/>
                      </m:rPr>
                      <w:rPr>
                        <w:rFonts w:ascii="Cambria Math" w:hAnsi="Cambria Math"/>
                        <w:sz w:val="18"/>
                        <w:szCs w:val="18"/>
                        <w:lang w:val="en-US"/>
                      </w:rPr>
                      <m:t>E</m:t>
                    </m:r>
                  </m:sub>
                </m:sSub>
                <m:r>
                  <m:rPr>
                    <m:sty m:val="p"/>
                  </m:rPr>
                  <w:rPr>
                    <w:rFonts w:ascii="Cambria Math" w:hAnsi="Cambria Math"/>
                    <w:sz w:val="18"/>
                    <w:szCs w:val="18"/>
                    <w:lang w:val="en-US"/>
                  </w:rPr>
                  <m:t xml:space="preserve"> = </m:t>
                </m:r>
                <m:f>
                  <m:fPr>
                    <m:ctrlPr>
                      <w:rPr>
                        <w:rFonts w:ascii="Cambria Math" w:hAnsi="Cambria Math"/>
                        <w:sz w:val="18"/>
                        <w:szCs w:val="18"/>
                        <w:lang w:val="en-US"/>
                      </w:rPr>
                    </m:ctrlPr>
                  </m:fPr>
                  <m:num>
                    <m:r>
                      <m:rPr>
                        <m:sty m:val="p"/>
                      </m:rPr>
                      <w:rPr>
                        <w:rFonts w:ascii="Cambria Math" w:hAnsi="Cambria Math"/>
                        <w:sz w:val="18"/>
                        <w:szCs w:val="18"/>
                        <w:lang w:val="en-US"/>
                      </w:rPr>
                      <m:t>d</m:t>
                    </m:r>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rad>
                  <m:radPr>
                    <m:degHide m:val="1"/>
                    <m:ctrlPr>
                      <w:rPr>
                        <w:rFonts w:ascii="Cambria Math" w:hAnsi="Cambria Math"/>
                        <w:sz w:val="18"/>
                        <w:szCs w:val="18"/>
                        <w:lang w:val="en-US"/>
                      </w:rPr>
                    </m:ctrlPr>
                  </m:radPr>
                  <m:deg/>
                  <m:e>
                    <m:sSub>
                      <m:sSubPr>
                        <m:ctrlPr>
                          <w:rPr>
                            <w:rFonts w:ascii="Cambria Math" w:hAnsi="Cambria Math"/>
                            <w:sz w:val="18"/>
                            <w:szCs w:val="18"/>
                            <w:lang w:val="en-US"/>
                          </w:rPr>
                        </m:ctrlPr>
                      </m:sSubPr>
                      <m:e>
                        <m:r>
                          <w:rPr>
                            <w:rFonts w:ascii="Cambria Math" w:hAnsi="Cambria Math"/>
                            <w:sz w:val="18"/>
                            <w:szCs w:val="18"/>
                            <w:lang w:val="en-US"/>
                          </w:rPr>
                          <m:t>f</m:t>
                        </m:r>
                      </m:e>
                      <m:sub>
                        <m:r>
                          <m:rPr>
                            <m:sty m:val="p"/>
                          </m:rPr>
                          <w:rPr>
                            <w:rFonts w:ascii="Cambria Math" w:hAnsi="Cambria Math"/>
                            <w:sz w:val="18"/>
                            <w:szCs w:val="18"/>
                            <w:lang w:val="en-US"/>
                          </w:rPr>
                          <m:t>ye</m:t>
                        </m:r>
                      </m:sub>
                    </m:sSub>
                  </m:e>
                </m:rad>
              </m:oMath>
            </m:oMathPara>
          </w:p>
        </w:tc>
        <w:tc>
          <w:tcPr>
            <w:tcW w:w="883" w:type="pct"/>
            <w:vAlign w:val="center"/>
          </w:tcPr>
          <w:p w14:paraId="491ECABE" w14:textId="26E8B95B" w:rsidR="00AD6B5F" w:rsidRPr="004A68AC" w:rsidRDefault="00204274" w:rsidP="00507EAD">
            <w:pPr>
              <w:jc w:val="center"/>
              <w:rPr>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β</m:t>
                    </m:r>
                  </m:e>
                  <m:sub>
                    <m:r>
                      <m:rPr>
                        <m:sty m:val="p"/>
                      </m:rPr>
                      <w:rPr>
                        <w:rFonts w:ascii="Cambria Math" w:hAnsi="Cambria Math"/>
                        <w:sz w:val="18"/>
                        <w:szCs w:val="18"/>
                        <w:lang w:val="en-US"/>
                      </w:rPr>
                      <m:t>E</m:t>
                    </m:r>
                  </m:sub>
                </m:sSub>
                <m:r>
                  <m:rPr>
                    <m:sty m:val="p"/>
                  </m:rPr>
                  <w:rPr>
                    <w:rFonts w:ascii="Cambria Math" w:hAnsi="Cambria Math"/>
                    <w:sz w:val="18"/>
                    <w:szCs w:val="18"/>
                    <w:lang w:val="en-US"/>
                  </w:rPr>
                  <m:t xml:space="preserve">= </m:t>
                </m:r>
                <m:f>
                  <m:fPr>
                    <m:ctrlPr>
                      <w:rPr>
                        <w:rFonts w:ascii="Cambria Math" w:hAnsi="Cambria Math"/>
                        <w:sz w:val="18"/>
                        <w:szCs w:val="18"/>
                        <w:lang w:val="en-US"/>
                      </w:rPr>
                    </m:ctrlPr>
                  </m:fPr>
                  <m:num>
                    <m:r>
                      <m:rPr>
                        <m:sty m:val="p"/>
                      </m:rPr>
                      <w:rPr>
                        <w:rFonts w:ascii="Cambria Math" w:hAnsi="Cambria Math"/>
                        <w:sz w:val="18"/>
                        <w:szCs w:val="18"/>
                        <w:lang w:val="en-US"/>
                      </w:rPr>
                      <m:t>c</m:t>
                    </m:r>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f</m:t>
                        </m:r>
                      </m:sub>
                    </m:sSub>
                  </m:den>
                </m:f>
                <m:rad>
                  <m:radPr>
                    <m:degHide m:val="1"/>
                    <m:ctrlPr>
                      <w:rPr>
                        <w:rFonts w:ascii="Cambria Math" w:hAnsi="Cambria Math"/>
                        <w:sz w:val="18"/>
                        <w:szCs w:val="18"/>
                        <w:lang w:val="en-US"/>
                      </w:rPr>
                    </m:ctrlPr>
                  </m:radPr>
                  <m:deg/>
                  <m:e>
                    <m:sSub>
                      <m:sSubPr>
                        <m:ctrlPr>
                          <w:rPr>
                            <w:rFonts w:ascii="Cambria Math" w:hAnsi="Cambria Math"/>
                            <w:sz w:val="18"/>
                            <w:szCs w:val="18"/>
                            <w:lang w:val="en-US"/>
                          </w:rPr>
                        </m:ctrlPr>
                      </m:sSubPr>
                      <m:e>
                        <m:r>
                          <w:rPr>
                            <w:rFonts w:ascii="Cambria Math" w:hAnsi="Cambria Math"/>
                            <w:sz w:val="18"/>
                            <w:szCs w:val="18"/>
                            <w:lang w:val="en-US"/>
                          </w:rPr>
                          <m:t>f</m:t>
                        </m:r>
                      </m:e>
                      <m:sub>
                        <m:r>
                          <m:rPr>
                            <m:sty m:val="p"/>
                          </m:rPr>
                          <w:rPr>
                            <w:rFonts w:ascii="Cambria Math" w:hAnsi="Cambria Math"/>
                            <w:sz w:val="18"/>
                            <w:szCs w:val="18"/>
                            <w:lang w:val="en-US"/>
                          </w:rPr>
                          <m:t>ye</m:t>
                        </m:r>
                      </m:sub>
                    </m:sSub>
                  </m:e>
                </m:rad>
              </m:oMath>
            </m:oMathPara>
          </w:p>
        </w:tc>
        <w:tc>
          <w:tcPr>
            <w:tcW w:w="3235" w:type="pct"/>
            <w:vAlign w:val="center"/>
          </w:tcPr>
          <w:p w14:paraId="551E4784" w14:textId="52FCD907" w:rsidR="00AD6B5F" w:rsidRPr="004A68AC" w:rsidRDefault="00AD6B5F" w:rsidP="00644E5F">
            <w:pPr>
              <w:jc w:val="right"/>
              <w:rPr>
                <w:lang w:val="en-US"/>
              </w:rPr>
            </w:pPr>
            <w:r w:rsidRPr="004A68AC">
              <w:rPr>
                <w:lang w:val="en-US"/>
              </w:rPr>
              <w:t>(6)</w:t>
            </w:r>
          </w:p>
        </w:tc>
      </w:tr>
      <w:tr w:rsidR="00AD6B5F" w:rsidRPr="004A68AC" w14:paraId="633F5593" w14:textId="77777777" w:rsidTr="00AD6B5F">
        <w:trPr>
          <w:trHeight w:val="199"/>
        </w:trPr>
        <w:tc>
          <w:tcPr>
            <w:tcW w:w="882" w:type="pct"/>
            <w:vAlign w:val="center"/>
          </w:tcPr>
          <w:p w14:paraId="75562257" w14:textId="77777777" w:rsidR="00AD6B5F" w:rsidRPr="004A68AC" w:rsidRDefault="00AD6B5F" w:rsidP="00AD6B5F">
            <w:pPr>
              <w:jc w:val="left"/>
              <w:rPr>
                <w:sz w:val="18"/>
                <w:szCs w:val="18"/>
                <w:lang w:val="en-US"/>
              </w:rPr>
            </w:pPr>
          </w:p>
        </w:tc>
        <w:tc>
          <w:tcPr>
            <w:tcW w:w="883" w:type="pct"/>
          </w:tcPr>
          <w:p w14:paraId="75CDD267" w14:textId="77777777" w:rsidR="00AD6B5F" w:rsidRPr="004A68AC" w:rsidRDefault="00AD6B5F" w:rsidP="00AD6B5F">
            <w:pPr>
              <w:jc w:val="left"/>
              <w:rPr>
                <w:lang w:val="en-US"/>
              </w:rPr>
            </w:pPr>
          </w:p>
        </w:tc>
        <w:tc>
          <w:tcPr>
            <w:tcW w:w="3235" w:type="pct"/>
            <w:vAlign w:val="center"/>
          </w:tcPr>
          <w:p w14:paraId="04704CCF" w14:textId="3D54B5C3" w:rsidR="00AD6B5F" w:rsidRPr="004A68AC" w:rsidRDefault="00AD6B5F" w:rsidP="00EF48F2">
            <w:pPr>
              <w:jc w:val="right"/>
              <w:rPr>
                <w:lang w:val="en-US"/>
              </w:rPr>
            </w:pPr>
          </w:p>
        </w:tc>
      </w:tr>
      <w:tr w:rsidR="00AD6B5F" w:rsidRPr="004A68AC" w14:paraId="4EBBCD69" w14:textId="77777777" w:rsidTr="00507EAD">
        <w:trPr>
          <w:trHeight w:val="680"/>
        </w:trPr>
        <w:tc>
          <w:tcPr>
            <w:tcW w:w="882" w:type="pct"/>
            <w:vAlign w:val="center"/>
          </w:tcPr>
          <w:p w14:paraId="0FC2C0F9" w14:textId="0F9714AA" w:rsidR="00AD6B5F" w:rsidRPr="004A68AC" w:rsidRDefault="00204274" w:rsidP="00507EAD">
            <w:pPr>
              <w:jc w:val="center"/>
              <w:rPr>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α</m:t>
                    </m:r>
                  </m:e>
                  <m:sub>
                    <m:r>
                      <m:rPr>
                        <m:sty m:val="p"/>
                      </m:rPr>
                      <w:rPr>
                        <w:rFonts w:ascii="Cambria Math" w:hAnsi="Cambria Math"/>
                        <w:sz w:val="18"/>
                        <w:szCs w:val="18"/>
                        <w:lang w:val="en-US"/>
                      </w:rPr>
                      <m:t>A</m:t>
                    </m:r>
                  </m:sub>
                </m:sSub>
                <m:r>
                  <m:rPr>
                    <m:sty m:val="p"/>
                  </m:rPr>
                  <w:rPr>
                    <w:rFonts w:ascii="Cambria Math" w:hAnsi="Cambria Math"/>
                    <w:sz w:val="18"/>
                    <w:szCs w:val="18"/>
                    <w:lang w:val="en-US"/>
                  </w:rPr>
                  <m:t xml:space="preserve"> = </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h</m:t>
                        </m:r>
                      </m:e>
                      <m:sub>
                        <m:r>
                          <m:rPr>
                            <m:sty m:val="p"/>
                          </m:rPr>
                          <w:rPr>
                            <w:rFonts w:ascii="Cambria Math" w:hAnsi="Cambria Math"/>
                            <w:sz w:val="18"/>
                            <w:szCs w:val="18"/>
                            <w:lang w:val="en-US"/>
                          </w:rPr>
                          <m:t>i</m:t>
                        </m:r>
                      </m:sub>
                    </m:sSub>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rad>
                  <m:radPr>
                    <m:degHide m:val="1"/>
                    <m:ctrlPr>
                      <w:rPr>
                        <w:rFonts w:ascii="Cambria Math" w:hAnsi="Cambria Math"/>
                        <w:sz w:val="18"/>
                        <w:szCs w:val="18"/>
                        <w:lang w:val="en-US"/>
                      </w:rPr>
                    </m:ctrlPr>
                  </m:radPr>
                  <m:deg/>
                  <m:e>
                    <m:sSub>
                      <m:sSubPr>
                        <m:ctrlPr>
                          <w:rPr>
                            <w:rFonts w:ascii="Cambria Math" w:hAnsi="Cambria Math"/>
                            <w:sz w:val="18"/>
                            <w:szCs w:val="18"/>
                            <w:lang w:val="en-US"/>
                          </w:rPr>
                        </m:ctrlPr>
                      </m:sSubPr>
                      <m:e>
                        <m:r>
                          <w:rPr>
                            <w:rFonts w:ascii="Cambria Math" w:hAnsi="Cambria Math"/>
                            <w:sz w:val="18"/>
                            <w:szCs w:val="18"/>
                            <w:lang w:val="en-US"/>
                          </w:rPr>
                          <m:t>f</m:t>
                        </m:r>
                      </m:e>
                      <m:sub>
                        <m:r>
                          <m:rPr>
                            <m:sty m:val="p"/>
                          </m:rPr>
                          <w:rPr>
                            <w:rFonts w:ascii="Cambria Math" w:hAnsi="Cambria Math"/>
                            <w:sz w:val="18"/>
                            <w:szCs w:val="18"/>
                            <w:lang w:val="en-US"/>
                          </w:rPr>
                          <m:t>ye</m:t>
                        </m:r>
                      </m:sub>
                    </m:sSub>
                  </m:e>
                </m:rad>
              </m:oMath>
            </m:oMathPara>
          </w:p>
        </w:tc>
        <w:tc>
          <w:tcPr>
            <w:tcW w:w="883" w:type="pct"/>
            <w:vAlign w:val="center"/>
          </w:tcPr>
          <w:p w14:paraId="4BDC2E6D" w14:textId="4770A8EA" w:rsidR="00AD6B5F" w:rsidRPr="004A68AC" w:rsidRDefault="00204274" w:rsidP="00507EAD">
            <w:pPr>
              <w:jc w:val="center"/>
              <w:rPr>
                <w:lang w:val="en-US"/>
              </w:rPr>
            </w:pPr>
            <m:oMathPara>
              <m:oMathParaPr>
                <m:jc m:val="left"/>
              </m:oMathParaPr>
              <m:oMath>
                <m:sSub>
                  <m:sSubPr>
                    <m:ctrlPr>
                      <w:rPr>
                        <w:rFonts w:ascii="Cambria Math" w:hAnsi="Cambria Math"/>
                        <w:sz w:val="18"/>
                        <w:szCs w:val="18"/>
                        <w:lang w:val="en-US"/>
                      </w:rPr>
                    </m:ctrlPr>
                  </m:sSubPr>
                  <m:e>
                    <m:r>
                      <m:rPr>
                        <m:sty m:val="p"/>
                      </m:rPr>
                      <w:rPr>
                        <w:rFonts w:ascii="Cambria Math" w:hAnsi="Cambria Math"/>
                        <w:sz w:val="18"/>
                        <w:szCs w:val="18"/>
                        <w:lang w:val="en-US"/>
                      </w:rPr>
                      <m:t>β</m:t>
                    </m:r>
                  </m:e>
                  <m:sub>
                    <m:r>
                      <m:rPr>
                        <m:sty m:val="p"/>
                      </m:rPr>
                      <w:rPr>
                        <w:rFonts w:ascii="Cambria Math" w:hAnsi="Cambria Math"/>
                        <w:sz w:val="18"/>
                        <w:szCs w:val="18"/>
                        <w:lang w:val="en-US"/>
                      </w:rPr>
                      <m:t>A</m:t>
                    </m:r>
                  </m:sub>
                </m:sSub>
                <m:r>
                  <m:rPr>
                    <m:sty m:val="p"/>
                  </m:rPr>
                  <w:rPr>
                    <w:rFonts w:ascii="Cambria Math" w:hAnsi="Cambria Math"/>
                    <w:sz w:val="18"/>
                    <w:szCs w:val="18"/>
                    <w:lang w:val="en-US"/>
                  </w:rPr>
                  <m:t xml:space="preserve">= </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b</m:t>
                        </m:r>
                      </m:e>
                      <m:sub>
                        <m:r>
                          <m:rPr>
                            <m:sty m:val="p"/>
                          </m:rPr>
                          <w:rPr>
                            <w:rFonts w:ascii="Cambria Math" w:hAnsi="Cambria Math"/>
                            <w:sz w:val="18"/>
                            <w:szCs w:val="18"/>
                            <w:lang w:val="en-US"/>
                          </w:rPr>
                          <m:t>f</m:t>
                        </m:r>
                      </m:sub>
                    </m:sSub>
                  </m:num>
                  <m:den>
                    <m:r>
                      <w:rPr>
                        <w:rFonts w:ascii="Cambria Math" w:hAnsi="Cambria Math"/>
                        <w:sz w:val="18"/>
                        <w:szCs w:val="18"/>
                        <w:lang w:val="en-US"/>
                      </w:rPr>
                      <m:t>2</m:t>
                    </m:r>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f</m:t>
                        </m:r>
                      </m:sub>
                    </m:sSub>
                  </m:den>
                </m:f>
                <m:rad>
                  <m:radPr>
                    <m:degHide m:val="1"/>
                    <m:ctrlPr>
                      <w:rPr>
                        <w:rFonts w:ascii="Cambria Math" w:hAnsi="Cambria Math"/>
                        <w:sz w:val="18"/>
                        <w:szCs w:val="18"/>
                        <w:lang w:val="en-US"/>
                      </w:rPr>
                    </m:ctrlPr>
                  </m:radPr>
                  <m:deg/>
                  <m:e>
                    <m:sSub>
                      <m:sSubPr>
                        <m:ctrlPr>
                          <w:rPr>
                            <w:rFonts w:ascii="Cambria Math" w:hAnsi="Cambria Math"/>
                            <w:sz w:val="18"/>
                            <w:szCs w:val="18"/>
                            <w:lang w:val="en-US"/>
                          </w:rPr>
                        </m:ctrlPr>
                      </m:sSubPr>
                      <m:e>
                        <m:r>
                          <w:rPr>
                            <w:rFonts w:ascii="Cambria Math" w:hAnsi="Cambria Math"/>
                            <w:sz w:val="18"/>
                            <w:szCs w:val="18"/>
                            <w:lang w:val="en-US"/>
                          </w:rPr>
                          <m:t>f</m:t>
                        </m:r>
                      </m:e>
                      <m:sub>
                        <m:r>
                          <m:rPr>
                            <m:sty m:val="p"/>
                          </m:rPr>
                          <w:rPr>
                            <w:rFonts w:ascii="Cambria Math" w:hAnsi="Cambria Math"/>
                            <w:sz w:val="18"/>
                            <w:szCs w:val="18"/>
                            <w:lang w:val="en-US"/>
                          </w:rPr>
                          <m:t>ye</m:t>
                        </m:r>
                      </m:sub>
                    </m:sSub>
                  </m:e>
                </m:rad>
              </m:oMath>
            </m:oMathPara>
          </w:p>
        </w:tc>
        <w:tc>
          <w:tcPr>
            <w:tcW w:w="3235" w:type="pct"/>
            <w:vAlign w:val="center"/>
          </w:tcPr>
          <w:p w14:paraId="3D71B865" w14:textId="740DAE14" w:rsidR="00AD6B5F" w:rsidRPr="004A68AC" w:rsidRDefault="00AD6B5F" w:rsidP="00644E5F">
            <w:pPr>
              <w:jc w:val="right"/>
              <w:rPr>
                <w:lang w:val="en-US"/>
              </w:rPr>
            </w:pPr>
            <w:r w:rsidRPr="004A68AC">
              <w:rPr>
                <w:lang w:val="en-US"/>
              </w:rPr>
              <w:t>(7)</w:t>
            </w:r>
          </w:p>
        </w:tc>
      </w:tr>
    </w:tbl>
    <w:p w14:paraId="208D880B" w14:textId="38E366D1" w:rsidR="00AB35BB" w:rsidRPr="004A68AC" w:rsidRDefault="001B25C8" w:rsidP="00AB35BB">
      <w:pPr>
        <w:rPr>
          <w:szCs w:val="20"/>
          <w:lang w:val="en-US"/>
        </w:rPr>
      </w:pPr>
      <w:r w:rsidRPr="004A68AC">
        <w:rPr>
          <w:szCs w:val="20"/>
          <w:lang w:val="en-US"/>
        </w:rPr>
        <w:t xml:space="preserve">where d, </w:t>
      </w:r>
      <w:r w:rsidR="00572123" w:rsidRPr="004A68AC">
        <w:rPr>
          <w:szCs w:val="20"/>
          <w:lang w:val="en-US"/>
        </w:rPr>
        <w:t>c</w:t>
      </w:r>
      <w:r w:rsidRPr="004A68AC">
        <w:rPr>
          <w:szCs w:val="20"/>
          <w:lang w:val="en-US"/>
        </w:rPr>
        <w:t>, h</w:t>
      </w:r>
      <w:r w:rsidR="00572123" w:rsidRPr="004A68AC">
        <w:rPr>
          <w:szCs w:val="20"/>
          <w:vertAlign w:val="subscript"/>
          <w:lang w:val="en-US"/>
        </w:rPr>
        <w:t>i</w:t>
      </w:r>
      <w:r w:rsidRPr="004A68AC">
        <w:rPr>
          <w:szCs w:val="20"/>
          <w:lang w:val="en-US"/>
        </w:rPr>
        <w:t>, b</w:t>
      </w:r>
      <w:r w:rsidR="00D02EC2" w:rsidRPr="004A68AC">
        <w:rPr>
          <w:szCs w:val="20"/>
          <w:vertAlign w:val="subscript"/>
          <w:lang w:val="en-US"/>
        </w:rPr>
        <w:t>f</w:t>
      </w:r>
      <w:r w:rsidRPr="004A68AC">
        <w:rPr>
          <w:szCs w:val="20"/>
          <w:lang w:val="en-US"/>
        </w:rPr>
        <w:t>, t</w:t>
      </w:r>
      <w:r w:rsidRPr="004A68AC">
        <w:rPr>
          <w:szCs w:val="20"/>
          <w:vertAlign w:val="subscript"/>
          <w:lang w:val="en-US"/>
        </w:rPr>
        <w:t>w</w:t>
      </w:r>
      <w:r w:rsidRPr="004A68AC">
        <w:rPr>
          <w:szCs w:val="20"/>
          <w:lang w:val="en-US"/>
        </w:rPr>
        <w:t xml:space="preserve"> and t</w:t>
      </w:r>
      <w:r w:rsidRPr="004A68AC">
        <w:rPr>
          <w:szCs w:val="20"/>
          <w:vertAlign w:val="subscript"/>
          <w:lang w:val="en-US"/>
        </w:rPr>
        <w:t>f</w:t>
      </w:r>
      <w:r w:rsidRPr="004A68AC">
        <w:rPr>
          <w:szCs w:val="20"/>
          <w:lang w:val="en-US"/>
        </w:rPr>
        <w:t xml:space="preserve"> are parameters related to the dimensions of the steel shape</w:t>
      </w:r>
      <w:r w:rsidR="00F9410A" w:rsidRPr="004A68AC">
        <w:rPr>
          <w:szCs w:val="20"/>
          <w:lang w:val="en-US"/>
        </w:rPr>
        <w:t xml:space="preserve"> as shown</w:t>
      </w:r>
      <w:r w:rsidRPr="004A68AC">
        <w:rPr>
          <w:szCs w:val="20"/>
          <w:lang w:val="en-US"/>
        </w:rPr>
        <w:t xml:space="preserve"> in </w:t>
      </w:r>
      <w:r w:rsidR="00092676" w:rsidRPr="004A68AC">
        <w:rPr>
          <w:szCs w:val="20"/>
          <w:lang w:val="en-US"/>
        </w:rPr>
        <w:fldChar w:fldCharType="begin" w:fldLock="1"/>
      </w:r>
      <w:r w:rsidR="00092676" w:rsidRPr="004A68AC">
        <w:rPr>
          <w:szCs w:val="20"/>
          <w:lang w:val="en-US"/>
        </w:rPr>
        <w:instrText xml:space="preserve"> REF _Ref44282867 \h  \* MERGEFORMAT </w:instrText>
      </w:r>
      <w:r w:rsidR="00092676" w:rsidRPr="004A68AC">
        <w:rPr>
          <w:szCs w:val="20"/>
          <w:lang w:val="en-US"/>
        </w:rPr>
      </w:r>
      <w:r w:rsidR="00092676" w:rsidRPr="004A68AC">
        <w:rPr>
          <w:szCs w:val="20"/>
          <w:lang w:val="en-US"/>
        </w:rPr>
        <w:fldChar w:fldCharType="separate"/>
      </w:r>
      <w:r w:rsidR="00292616" w:rsidRPr="004A68AC">
        <w:rPr>
          <w:lang w:val="en-US"/>
        </w:rPr>
        <w:t xml:space="preserve">Figure </w:t>
      </w:r>
      <w:r w:rsidR="00292616" w:rsidRPr="004A68AC">
        <w:rPr>
          <w:noProof/>
          <w:lang w:val="en-US"/>
        </w:rPr>
        <w:t>2</w:t>
      </w:r>
      <w:r w:rsidR="00092676" w:rsidRPr="004A68AC">
        <w:rPr>
          <w:szCs w:val="20"/>
          <w:lang w:val="en-US"/>
        </w:rPr>
        <w:fldChar w:fldCharType="end"/>
      </w:r>
      <w:r w:rsidRPr="004A68AC">
        <w:rPr>
          <w:szCs w:val="20"/>
          <w:lang w:val="en-US"/>
        </w:rPr>
        <w:t xml:space="preserve">. </w:t>
      </w:r>
      <w:r w:rsidR="001D3AA2" w:rsidRPr="004A68AC">
        <w:rPr>
          <w:szCs w:val="20"/>
          <w:lang w:val="en-US"/>
        </w:rPr>
        <w:t>For the above formulas</w:t>
      </w:r>
      <w:r w:rsidRPr="004A68AC">
        <w:rPr>
          <w:szCs w:val="20"/>
          <w:lang w:val="en-US"/>
        </w:rPr>
        <w:t xml:space="preserve">, </w:t>
      </w:r>
      <w:r w:rsidR="00AB35BB" w:rsidRPr="004A68AC">
        <w:rPr>
          <w:i/>
          <w:szCs w:val="20"/>
          <w:lang w:val="en-US"/>
        </w:rPr>
        <w:t>f</w:t>
      </w:r>
      <w:r w:rsidR="00AB35BB" w:rsidRPr="004A68AC">
        <w:rPr>
          <w:szCs w:val="20"/>
          <w:vertAlign w:val="subscript"/>
          <w:lang w:val="en-US"/>
        </w:rPr>
        <w:t>ye</w:t>
      </w:r>
      <w:r w:rsidR="00AB35BB" w:rsidRPr="004A68AC">
        <w:rPr>
          <w:szCs w:val="20"/>
          <w:lang w:val="en-US"/>
        </w:rPr>
        <w:t xml:space="preserve"> </w:t>
      </w:r>
      <w:r w:rsidR="009372B7" w:rsidRPr="004A68AC">
        <w:rPr>
          <w:szCs w:val="20"/>
          <w:lang w:val="en-US"/>
        </w:rPr>
        <w:t xml:space="preserve">should be </w:t>
      </w:r>
      <w:r w:rsidR="001D3AA2" w:rsidRPr="004A68AC">
        <w:rPr>
          <w:szCs w:val="20"/>
          <w:lang w:val="en-US"/>
        </w:rPr>
        <w:t xml:space="preserve">expressed </w:t>
      </w:r>
      <w:r w:rsidR="009372B7" w:rsidRPr="004A68AC">
        <w:rPr>
          <w:szCs w:val="20"/>
          <w:lang w:val="en-US"/>
        </w:rPr>
        <w:t>in</w:t>
      </w:r>
      <w:r w:rsidR="00AB35BB" w:rsidRPr="004A68AC">
        <w:rPr>
          <w:szCs w:val="20"/>
          <w:lang w:val="en-US"/>
        </w:rPr>
        <w:t xml:space="preserve"> MPa</w:t>
      </w:r>
      <w:r w:rsidR="009372B7" w:rsidRPr="004A68AC">
        <w:rPr>
          <w:szCs w:val="20"/>
          <w:lang w:val="en-US"/>
        </w:rPr>
        <w:t>, to ensure compatibility with the</w:t>
      </w:r>
      <w:r w:rsidR="003F2481" w:rsidRPr="004A68AC">
        <w:rPr>
          <w:szCs w:val="20"/>
          <w:lang w:val="en-US"/>
        </w:rPr>
        <w:t xml:space="preserve"> slenderness</w:t>
      </w:r>
      <w:r w:rsidR="009372B7" w:rsidRPr="004A68AC">
        <w:rPr>
          <w:szCs w:val="20"/>
          <w:lang w:val="en-US"/>
        </w:rPr>
        <w:t xml:space="preserve"> limits shown</w:t>
      </w:r>
      <w:r w:rsidR="003F2481" w:rsidRPr="004A68AC">
        <w:rPr>
          <w:szCs w:val="20"/>
          <w:lang w:val="en-US"/>
        </w:rPr>
        <w:t xml:space="preserve"> later</w:t>
      </w:r>
      <w:r w:rsidR="009372B7" w:rsidRPr="004A68AC">
        <w:rPr>
          <w:szCs w:val="20"/>
          <w:lang w:val="en-US"/>
        </w:rPr>
        <w:t xml:space="preserve"> in this paper</w:t>
      </w:r>
      <w:r w:rsidR="00AB35BB" w:rsidRPr="004A68AC">
        <w:rPr>
          <w:szCs w:val="20"/>
          <w:lang w:val="en-US"/>
        </w:rPr>
        <w:t>.</w:t>
      </w:r>
    </w:p>
    <w:p w14:paraId="06EC3499" w14:textId="77777777" w:rsidR="001841D9" w:rsidRPr="004A68AC" w:rsidRDefault="001841D9" w:rsidP="00AB35BB">
      <w:pPr>
        <w:rPr>
          <w:szCs w:val="20"/>
          <w:lang w:val="en-US"/>
        </w:rPr>
      </w:pPr>
    </w:p>
    <w:p w14:paraId="15EAF860" w14:textId="59E31C80" w:rsidR="00730C57" w:rsidRPr="004A68AC" w:rsidRDefault="00730C57" w:rsidP="00730C57">
      <w:pPr>
        <w:rPr>
          <w:lang w:val="en-US" w:eastAsia="it-IT"/>
        </w:rPr>
      </w:pPr>
      <w:r w:rsidRPr="004A68AC">
        <w:rPr>
          <w:lang w:val="en-US" w:eastAsia="it-IT"/>
        </w:rPr>
        <w:t xml:space="preserve">     The most conservative slenderness limits (</w:t>
      </w:r>
      <w:r w:rsidRPr="004A68AC">
        <w:rPr>
          <w:i/>
          <w:iCs/>
          <w:lang w:val="en-US" w:eastAsia="it-IT"/>
        </w:rPr>
        <w:t>e.g.,</w:t>
      </w:r>
      <w:r w:rsidRPr="004A68AC">
        <w:rPr>
          <w:lang w:val="en-US" w:eastAsia="it-IT"/>
        </w:rPr>
        <w:t xml:space="preserve"> those that define the ‘Class 1’ sections for the EC8-3) are similar for all codes as they have all evolved from the FEMA 356 </w:t>
      </w:r>
      <w:r w:rsidRPr="004A68AC">
        <w:rPr>
          <w:lang w:val="en-US" w:eastAsia="it-IT"/>
        </w:rPr>
        <w:fldChar w:fldCharType="begin" w:fldLock="1"/>
      </w:r>
      <w:r w:rsidR="00F534F9" w:rsidRPr="004A68AC">
        <w:rPr>
          <w:lang w:val="en-US" w:eastAsia="it-IT"/>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Pr="004A68AC">
        <w:rPr>
          <w:lang w:val="en-US" w:eastAsia="it-IT"/>
        </w:rPr>
        <w:fldChar w:fldCharType="separate"/>
      </w:r>
      <w:r w:rsidR="00855F83" w:rsidRPr="004A68AC">
        <w:rPr>
          <w:noProof/>
          <w:lang w:val="en-US" w:eastAsia="it-IT"/>
        </w:rPr>
        <w:t>[14]</w:t>
      </w:r>
      <w:r w:rsidRPr="004A68AC">
        <w:rPr>
          <w:lang w:val="en-US" w:eastAsia="it-IT"/>
        </w:rPr>
        <w:fldChar w:fldCharType="end"/>
      </w:r>
      <w:r w:rsidRPr="004A68AC">
        <w:rPr>
          <w:lang w:val="en-US" w:eastAsia="it-IT"/>
        </w:rPr>
        <w:t>. However, the different definition of the flange and web slenderness parameters (</w:t>
      </w:r>
      <w:r w:rsidRPr="004A68AC">
        <w:rPr>
          <w:i/>
          <w:iCs/>
          <w:lang w:val="en-US" w:eastAsia="it-IT"/>
        </w:rPr>
        <w:t>i.e.,</w:t>
      </w:r>
      <w:r w:rsidRPr="004A68AC">
        <w:rPr>
          <w:lang w:val="en-US" w:eastAsia="it-IT"/>
        </w:rPr>
        <w:t xml:space="preserve"> α and β), </w:t>
      </w:r>
      <w:r w:rsidR="00FE7ABE" w:rsidRPr="004A68AC">
        <w:rPr>
          <w:lang w:val="en-US" w:eastAsia="it-IT"/>
        </w:rPr>
        <w:t xml:space="preserve">affects </w:t>
      </w:r>
      <w:r w:rsidRPr="004A68AC">
        <w:rPr>
          <w:lang w:val="en-US" w:eastAsia="it-IT"/>
        </w:rPr>
        <w:t>the direct comparison between codes. For the most compact sections (</w:t>
      </w:r>
      <w:r w:rsidRPr="004A68AC">
        <w:rPr>
          <w:i/>
          <w:lang w:val="en-US" w:eastAsia="it-IT"/>
        </w:rPr>
        <w:t>e.g.</w:t>
      </w:r>
      <w:r w:rsidRPr="004A68AC">
        <w:rPr>
          <w:lang w:val="en-US" w:eastAsia="it-IT"/>
        </w:rPr>
        <w:t xml:space="preserve">, ‘Class 1’), the plastic rotation capacity limits in the EC8-3 are the same as in the ASCE 41-06, which is a result of both codes being based on FEMA 356 </w:t>
      </w:r>
      <w:r w:rsidRPr="004A68AC">
        <w:rPr>
          <w:lang w:val="en-US" w:eastAsia="it-IT"/>
        </w:rPr>
        <w:fldChar w:fldCharType="begin" w:fldLock="1"/>
      </w:r>
      <w:r w:rsidR="00F534F9" w:rsidRPr="004A68AC">
        <w:rPr>
          <w:lang w:val="en-US" w:eastAsia="it-IT"/>
        </w:rPr>
        <w:instrText>ADDIN CSL_CITATION {"citationItems":[{"id":"ITEM-1","itemData":{"author":[{"dropping-particle":"","family":"Federal Emergency Management Agency","given":"","non-dropping-particle":"","parse-names":false,"suffix":""}],"container-title":"FEMA 356","id":"ITEM-1","issued":{"date-parts":[["2000"]]},"title":"Prestandard and Commentary for the Seismic Rehabilitation of Buildings","type":"article"},"uris":["http://www.mendeley.com/documents/?uuid=57ec954b-54c8-44b7-a5dc-2e7a89287325"]}],"mendeley":{"formattedCitation":"[14]","plainTextFormattedCitation":"[14]","previouslyFormattedCitation":"[14]"},"properties":{"noteIndex":0},"schema":"https://github.com/citation-style-language/schema/raw/master/csl-citation.json"}</w:instrText>
      </w:r>
      <w:r w:rsidRPr="004A68AC">
        <w:rPr>
          <w:lang w:val="en-US" w:eastAsia="it-IT"/>
        </w:rPr>
        <w:fldChar w:fldCharType="separate"/>
      </w:r>
      <w:r w:rsidR="00855F83" w:rsidRPr="004A68AC">
        <w:rPr>
          <w:noProof/>
          <w:lang w:val="en-US" w:eastAsia="it-IT"/>
        </w:rPr>
        <w:t>[14]</w:t>
      </w:r>
      <w:r w:rsidRPr="004A68AC">
        <w:rPr>
          <w:lang w:val="en-US" w:eastAsia="it-IT"/>
        </w:rPr>
        <w:fldChar w:fldCharType="end"/>
      </w:r>
      <w:r w:rsidRPr="004A68AC">
        <w:rPr>
          <w:lang w:val="en-US" w:eastAsia="it-IT"/>
        </w:rPr>
        <w:t xml:space="preserve">. In the newer versions of ASCE 41 </w:t>
      </w:r>
      <w:r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Buildings","type":"article"},"uris":["http://www.mendeley.com/documents/?uuid=e1e1c9a1-8439-4464-8e57-e6a99a956fd4"]},{"id":"ITEM-2","itemData":{"DOI":"10.1061/9780784414859","ISBN":"9780784412855","author":[{"dropping-particle":"","family":"American Society of Civil Engineers","given":"","non-dropping-particle":"","parse-names":false,"suffix":""}],"container-title":"ASCE/SEI 41-17","id":"ITEM-2","issued":{"date-parts":[["2017"]]},"title":"Seismic Evaluation and Retrofit of Existing Buildings","type":"article"},"uris":["http://www.mendeley.com/documents/?uuid=0dfd1fff-db69-4728-b658-30ff1c502a98"]}],"mendeley":{"formattedCitation":"[18,19]","plainTextFormattedCitation":"[18,19]","previouslyFormattedCitation":"[18,19]"},"properties":{"noteIndex":0},"schema":"https://github.com/citation-style-language/schema/raw/master/csl-citation.json"}</w:instrText>
      </w:r>
      <w:r w:rsidRPr="004A68AC">
        <w:rPr>
          <w:lang w:val="en-US" w:eastAsia="it-IT"/>
        </w:rPr>
        <w:fldChar w:fldCharType="separate"/>
      </w:r>
      <w:r w:rsidRPr="004A68AC">
        <w:rPr>
          <w:noProof/>
          <w:lang w:val="en-US" w:eastAsia="it-IT"/>
        </w:rPr>
        <w:t>[18,19]</w:t>
      </w:r>
      <w:r w:rsidRPr="004A68AC">
        <w:rPr>
          <w:lang w:val="en-US" w:eastAsia="it-IT"/>
        </w:rPr>
        <w:fldChar w:fldCharType="end"/>
      </w:r>
      <w:r w:rsidRPr="004A68AC">
        <w:rPr>
          <w:lang w:val="en-US" w:eastAsia="it-IT"/>
        </w:rPr>
        <w:t xml:space="preserve"> these values </w:t>
      </w:r>
      <w:r w:rsidR="00FE7ABE" w:rsidRPr="004A68AC">
        <w:rPr>
          <w:lang w:val="en-US" w:eastAsia="it-IT"/>
        </w:rPr>
        <w:t>tend to be less conservative</w:t>
      </w:r>
      <w:r w:rsidRPr="004A68AC">
        <w:rPr>
          <w:lang w:val="en-US" w:eastAsia="it-IT"/>
        </w:rPr>
        <w:t xml:space="preserve">. For sections ‘Class 2’,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00855F83" w:rsidRPr="004A68AC">
        <w:rPr>
          <w:noProof/>
          <w:lang w:val="en-US" w:eastAsia="it-IT"/>
        </w:rPr>
        <w:t>[13]</w:t>
      </w:r>
      <w:r w:rsidRPr="004A68AC">
        <w:rPr>
          <w:lang w:val="en-US" w:eastAsia="it-IT"/>
        </w:rPr>
        <w:fldChar w:fldCharType="end"/>
      </w:r>
      <w:r w:rsidRPr="004A68AC">
        <w:rPr>
          <w:lang w:val="en-US" w:eastAsia="it-IT"/>
        </w:rPr>
        <w:t xml:space="preserve"> establishes plastic rotation capacity limits which are equal to those given for the least ductile sections defined by the American codes.</w:t>
      </w:r>
    </w:p>
    <w:p w14:paraId="5E3FD03F" w14:textId="77777777" w:rsidR="00521F85" w:rsidRPr="004A68AC" w:rsidRDefault="00521F85" w:rsidP="00730C57">
      <w:pPr>
        <w:rPr>
          <w:lang w:val="en-US" w:eastAsia="it-IT"/>
        </w:rPr>
      </w:pPr>
    </w:p>
    <w:p w14:paraId="70A8DEFE" w14:textId="4F12AD4D" w:rsidR="00AB35BB" w:rsidRPr="004A68AC" w:rsidRDefault="00730C57" w:rsidP="00AB35BB">
      <w:pPr>
        <w:rPr>
          <w:lang w:val="en-US" w:eastAsia="it-IT"/>
        </w:rPr>
      </w:pPr>
      <w:r w:rsidRPr="004A68AC">
        <w:rPr>
          <w:lang w:val="en-US" w:eastAsia="it-IT"/>
        </w:rPr>
        <w:t xml:space="preserve">     The plastic rotation capacity limit can be compared in terms of θ</w:t>
      </w:r>
      <w:r w:rsidRPr="004A68AC">
        <w:rPr>
          <w:vertAlign w:val="subscript"/>
          <w:lang w:val="en-US" w:eastAsia="it-IT"/>
        </w:rPr>
        <w:t>y</w:t>
      </w:r>
      <w:r w:rsidRPr="004A68AC">
        <w:rPr>
          <w:lang w:val="en-US" w:eastAsia="it-IT"/>
        </w:rPr>
        <w:t xml:space="preserve"> for all codes, however, it should be noted that θ</w:t>
      </w:r>
      <w:r w:rsidRPr="004A68AC">
        <w:rPr>
          <w:vertAlign w:val="subscript"/>
          <w:lang w:val="en-US" w:eastAsia="it-IT"/>
        </w:rPr>
        <w:t>y</w:t>
      </w:r>
      <w:r w:rsidRPr="004A68AC">
        <w:rPr>
          <w:lang w:val="en-US" w:eastAsia="it-IT"/>
        </w:rPr>
        <w:t xml:space="preserve"> is calculated differently for the ASCE 41-17 </w:t>
      </w:r>
      <w:r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lang w:val="en-US" w:eastAsia="it-IT"/>
        </w:rPr>
        <w:fldChar w:fldCharType="separate"/>
      </w:r>
      <w:r w:rsidRPr="004A68AC">
        <w:rPr>
          <w:noProof/>
          <w:lang w:val="en-US" w:eastAsia="it-IT"/>
        </w:rPr>
        <w:t>[19]</w:t>
      </w:r>
      <w:r w:rsidRPr="004A68AC">
        <w:rPr>
          <w:lang w:val="en-US" w:eastAsia="it-IT"/>
        </w:rPr>
        <w:fldChar w:fldCharType="end"/>
      </w:r>
      <w:r w:rsidRPr="004A68AC">
        <w:rPr>
          <w:lang w:val="en-US" w:eastAsia="it-IT"/>
        </w:rPr>
        <w:t xml:space="preserve"> (see Eq. 3), therefore, the actual plastic rotation capacity limits will vary even when the limits on </w:t>
      </w:r>
      <w:r w:rsidRPr="004A68AC">
        <w:rPr>
          <w:lang w:val="en-US" w:eastAsia="it-IT"/>
        </w:rPr>
        <w:fldChar w:fldCharType="begin" w:fldLock="1"/>
      </w:r>
      <w:r w:rsidRPr="004A68AC">
        <w:rPr>
          <w:lang w:val="en-US" w:eastAsia="it-IT"/>
        </w:rPr>
        <w:instrText xml:space="preserve"> REF _Ref38548617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3</w:t>
      </w:r>
      <w:r w:rsidRPr="004A68AC">
        <w:rPr>
          <w:lang w:val="en-US" w:eastAsia="it-IT"/>
        </w:rPr>
        <w:fldChar w:fldCharType="end"/>
      </w:r>
      <w:r w:rsidRPr="004A68AC">
        <w:rPr>
          <w:lang w:val="en-US" w:eastAsia="it-IT"/>
        </w:rPr>
        <w:t xml:space="preserve"> are shown to be the same.</w:t>
      </w:r>
    </w:p>
    <w:p w14:paraId="5991CD92" w14:textId="77777777" w:rsidR="001841D9" w:rsidRPr="004A68AC" w:rsidRDefault="001841D9" w:rsidP="00AB35BB">
      <w:pPr>
        <w:rPr>
          <w:lang w:val="en-US" w:eastAsia="it-IT"/>
        </w:rPr>
      </w:pPr>
    </w:p>
    <w:p w14:paraId="49CF30C2" w14:textId="77777777" w:rsidR="003E38CA" w:rsidRPr="004A68AC" w:rsidRDefault="003E38CA" w:rsidP="003E38CA">
      <w:pPr>
        <w:jc w:val="center"/>
        <w:rPr>
          <w:szCs w:val="20"/>
          <w:lang w:val="en-US"/>
        </w:rPr>
      </w:pPr>
      <w:r w:rsidRPr="004A68AC">
        <w:rPr>
          <w:noProof/>
          <w:lang w:val="en-US" w:eastAsia="en-GB"/>
        </w:rPr>
        <w:lastRenderedPageBreak/>
        <w:drawing>
          <wp:inline distT="0" distB="0" distL="0" distR="0" wp14:anchorId="6EC88674" wp14:editId="1DDB0AF3">
            <wp:extent cx="1449252" cy="15917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79283" cy="1624705"/>
                    </a:xfrm>
                    <a:prstGeom prst="rect">
                      <a:avLst/>
                    </a:prstGeom>
                  </pic:spPr>
                </pic:pic>
              </a:graphicData>
            </a:graphic>
          </wp:inline>
        </w:drawing>
      </w:r>
    </w:p>
    <w:p w14:paraId="2C8E6BC1" w14:textId="2DB4F82B" w:rsidR="003E38CA" w:rsidRPr="004A68AC" w:rsidRDefault="003E38CA" w:rsidP="003E38CA">
      <w:pPr>
        <w:pStyle w:val="Caption"/>
        <w:spacing w:after="0"/>
        <w:rPr>
          <w:lang w:val="en-US"/>
        </w:rPr>
      </w:pPr>
      <w:bookmarkStart w:id="11" w:name="_Ref44282867"/>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Pr="004A68AC">
        <w:rPr>
          <w:b/>
          <w:noProof/>
          <w:lang w:val="en-US"/>
        </w:rPr>
        <w:t>2</w:t>
      </w:r>
      <w:r w:rsidRPr="004A68AC">
        <w:rPr>
          <w:b/>
          <w:lang w:val="en-US"/>
        </w:rPr>
        <w:fldChar w:fldCharType="end"/>
      </w:r>
      <w:bookmarkEnd w:id="11"/>
      <w:r w:rsidRPr="004A68AC">
        <w:rPr>
          <w:b/>
          <w:lang w:val="en-US"/>
        </w:rPr>
        <w:t>.</w:t>
      </w:r>
      <w:r w:rsidRPr="004A68AC">
        <w:rPr>
          <w:lang w:val="en-US"/>
        </w:rPr>
        <w:t xml:space="preserve"> Steel </w:t>
      </w:r>
      <w:r w:rsidR="00454B53" w:rsidRPr="004A68AC">
        <w:rPr>
          <w:lang w:val="en-US"/>
        </w:rPr>
        <w:t xml:space="preserve">cross </w:t>
      </w:r>
      <w:r w:rsidRPr="004A68AC">
        <w:rPr>
          <w:lang w:val="en-US"/>
        </w:rPr>
        <w:t>section parameters.</w:t>
      </w:r>
    </w:p>
    <w:p w14:paraId="2DDF56C9" w14:textId="77777777" w:rsidR="001841D9" w:rsidRPr="004A68AC" w:rsidRDefault="001841D9" w:rsidP="004A5724">
      <w:pPr>
        <w:rPr>
          <w:lang w:val="en-US"/>
        </w:rPr>
      </w:pPr>
    </w:p>
    <w:p w14:paraId="1096D1CA" w14:textId="1F4A6040" w:rsidR="00253371" w:rsidRPr="004A68AC" w:rsidRDefault="00253371" w:rsidP="00253371">
      <w:pPr>
        <w:pStyle w:val="Tablecaption"/>
        <w:spacing w:before="0" w:after="0" w:line="240" w:lineRule="auto"/>
        <w:jc w:val="center"/>
        <w:rPr>
          <w:color w:val="auto"/>
          <w:szCs w:val="20"/>
          <w:lang w:val="en-US"/>
        </w:rPr>
      </w:pPr>
      <w:bookmarkStart w:id="12" w:name="_Ref38548617"/>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00AB35BB" w:rsidRPr="004A68AC">
        <w:rPr>
          <w:noProof/>
          <w:color w:val="auto"/>
          <w:szCs w:val="20"/>
          <w:lang w:val="en-US"/>
        </w:rPr>
        <w:t>3</w:t>
      </w:r>
      <w:r w:rsidRPr="004A68AC">
        <w:rPr>
          <w:color w:val="auto"/>
          <w:szCs w:val="20"/>
          <w:lang w:val="en-US"/>
        </w:rPr>
        <w:fldChar w:fldCharType="end"/>
      </w:r>
      <w:bookmarkEnd w:id="12"/>
      <w:r w:rsidRPr="004A68AC">
        <w:rPr>
          <w:color w:val="auto"/>
          <w:szCs w:val="20"/>
          <w:lang w:val="en-US"/>
        </w:rPr>
        <w:t xml:space="preserve">. </w:t>
      </w:r>
      <w:r w:rsidR="00BA64B1" w:rsidRPr="004A68AC">
        <w:rPr>
          <w:b w:val="0"/>
          <w:color w:val="auto"/>
          <w:szCs w:val="20"/>
          <w:lang w:val="en-US"/>
        </w:rPr>
        <w:t>Slenderness limits for the classification of beams</w:t>
      </w:r>
      <w:r w:rsidR="00FD39D1" w:rsidRPr="004A68AC">
        <w:rPr>
          <w:b w:val="0"/>
          <w:color w:val="auto"/>
          <w:szCs w:val="20"/>
          <w:lang w:val="en-US"/>
        </w:rPr>
        <w:t xml:space="preserve"> and </w:t>
      </w:r>
      <w:r w:rsidR="009B56E1" w:rsidRPr="004A68AC">
        <w:rPr>
          <w:b w:val="0"/>
          <w:color w:val="auto"/>
          <w:szCs w:val="20"/>
          <w:lang w:val="en-US"/>
        </w:rPr>
        <w:t xml:space="preserve">plastic rotation </w:t>
      </w:r>
      <w:r w:rsidR="00FD39D1" w:rsidRPr="004A68AC">
        <w:rPr>
          <w:b w:val="0"/>
          <w:color w:val="auto"/>
          <w:szCs w:val="20"/>
          <w:lang w:val="en-US"/>
        </w:rPr>
        <w:t>capacity limits</w:t>
      </w:r>
      <w:r w:rsidRPr="004A68AC">
        <w:rPr>
          <w:b w:val="0"/>
          <w:color w:val="auto"/>
          <w:szCs w:val="20"/>
          <w:lang w:val="en-US"/>
        </w:rPr>
        <w:t>.</w:t>
      </w:r>
    </w:p>
    <w:tbl>
      <w:tblPr>
        <w:tblStyle w:val="HelleSchattierung1"/>
        <w:tblW w:w="9643" w:type="dxa"/>
        <w:jc w:val="center"/>
        <w:tblLayout w:type="fixed"/>
        <w:tblLook w:val="04A0" w:firstRow="1" w:lastRow="0" w:firstColumn="1" w:lastColumn="0" w:noHBand="0" w:noVBand="1"/>
      </w:tblPr>
      <w:tblGrid>
        <w:gridCol w:w="1701"/>
        <w:gridCol w:w="5101"/>
        <w:gridCol w:w="947"/>
        <w:gridCol w:w="947"/>
        <w:gridCol w:w="941"/>
        <w:gridCol w:w="6"/>
      </w:tblGrid>
      <w:tr w:rsidR="005E5BB4" w:rsidRPr="004A68AC" w14:paraId="2880373F" w14:textId="77777777" w:rsidTr="0029001C">
        <w:trPr>
          <w:gridAfter w:val="1"/>
          <w:cnfStyle w:val="100000000000" w:firstRow="1" w:lastRow="0" w:firstColumn="0" w:lastColumn="0" w:oddVBand="0" w:evenVBand="0" w:oddHBand="0" w:evenHBand="0" w:firstRowFirstColumn="0" w:firstRowLastColumn="0" w:lastRowFirstColumn="0" w:lastRowLastColumn="0"/>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auto"/>
              <w:bottom w:val="nil"/>
            </w:tcBorders>
            <w:shd w:val="clear" w:color="auto" w:fill="auto"/>
            <w:vAlign w:val="center"/>
          </w:tcPr>
          <w:p w14:paraId="04FAF958" w14:textId="77777777" w:rsidR="002E03FE" w:rsidRPr="004A68AC" w:rsidRDefault="002E03FE" w:rsidP="00AF4C3E">
            <w:pPr>
              <w:jc w:val="center"/>
              <w:rPr>
                <w:color w:val="auto"/>
                <w:sz w:val="18"/>
                <w:szCs w:val="18"/>
              </w:rPr>
            </w:pPr>
            <w:r w:rsidRPr="004A68AC">
              <w:rPr>
                <w:color w:val="auto"/>
                <w:sz w:val="18"/>
                <w:szCs w:val="18"/>
              </w:rPr>
              <w:t>Code</w:t>
            </w:r>
          </w:p>
        </w:tc>
        <w:tc>
          <w:tcPr>
            <w:tcW w:w="5101" w:type="dxa"/>
            <w:vMerge w:val="restart"/>
            <w:tcBorders>
              <w:top w:val="single" w:sz="8" w:space="0" w:color="auto"/>
              <w:bottom w:val="nil"/>
            </w:tcBorders>
            <w:vAlign w:val="center"/>
          </w:tcPr>
          <w:p w14:paraId="1A70A4BC" w14:textId="25B374A2" w:rsidR="002E03FE" w:rsidRPr="004A68AC" w:rsidDel="00BA64B1" w:rsidRDefault="008B5A16" w:rsidP="00D4313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Slenderness limits</w:t>
            </w:r>
          </w:p>
        </w:tc>
        <w:tc>
          <w:tcPr>
            <w:tcW w:w="2835" w:type="dxa"/>
            <w:gridSpan w:val="3"/>
            <w:tcBorders>
              <w:top w:val="single" w:sz="8" w:space="0" w:color="auto"/>
              <w:bottom w:val="nil"/>
            </w:tcBorders>
            <w:shd w:val="clear" w:color="auto" w:fill="auto"/>
            <w:vAlign w:val="center"/>
          </w:tcPr>
          <w:p w14:paraId="107D0D9F" w14:textId="5F5A0703" w:rsidR="002E03FE" w:rsidRPr="004A68AC" w:rsidRDefault="009B56E1" w:rsidP="009B56E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Plastic rotation c</w:t>
            </w:r>
            <w:r w:rsidR="00821E18" w:rsidRPr="004A68AC">
              <w:rPr>
                <w:color w:val="auto"/>
                <w:sz w:val="18"/>
                <w:szCs w:val="18"/>
              </w:rPr>
              <w:t>apacity</w:t>
            </w:r>
            <w:r w:rsidR="002E03FE" w:rsidRPr="004A68AC">
              <w:rPr>
                <w:color w:val="auto"/>
                <w:sz w:val="18"/>
                <w:szCs w:val="18"/>
              </w:rPr>
              <w:t xml:space="preserve"> limits</w:t>
            </w:r>
          </w:p>
        </w:tc>
      </w:tr>
      <w:tr w:rsidR="005E5BB4" w:rsidRPr="004A68AC" w14:paraId="54A9DE24" w14:textId="77777777" w:rsidTr="0029001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8" w:space="0" w:color="auto"/>
            </w:tcBorders>
            <w:shd w:val="clear" w:color="auto" w:fill="auto"/>
            <w:vAlign w:val="center"/>
          </w:tcPr>
          <w:p w14:paraId="62EE5FAD" w14:textId="77777777" w:rsidR="000309C9" w:rsidRPr="004A68AC" w:rsidRDefault="000309C9" w:rsidP="00FB6DCB">
            <w:pPr>
              <w:jc w:val="center"/>
              <w:rPr>
                <w:color w:val="auto"/>
                <w:sz w:val="18"/>
                <w:szCs w:val="18"/>
              </w:rPr>
            </w:pPr>
          </w:p>
        </w:tc>
        <w:tc>
          <w:tcPr>
            <w:tcW w:w="5101" w:type="dxa"/>
            <w:vMerge/>
            <w:tcBorders>
              <w:top w:val="nil"/>
              <w:bottom w:val="single" w:sz="8" w:space="0" w:color="auto"/>
            </w:tcBorders>
            <w:shd w:val="clear" w:color="auto" w:fill="auto"/>
            <w:vAlign w:val="center"/>
          </w:tcPr>
          <w:p w14:paraId="6DD94CE8" w14:textId="77777777" w:rsidR="000309C9" w:rsidRPr="004A68AC" w:rsidRDefault="000309C9" w:rsidP="00FB6DCB">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p>
        </w:tc>
        <w:tc>
          <w:tcPr>
            <w:tcW w:w="947" w:type="dxa"/>
            <w:tcBorders>
              <w:top w:val="nil"/>
              <w:bottom w:val="single" w:sz="8" w:space="0" w:color="auto"/>
            </w:tcBorders>
            <w:shd w:val="clear" w:color="auto" w:fill="auto"/>
            <w:vAlign w:val="center"/>
          </w:tcPr>
          <w:p w14:paraId="4468510C" w14:textId="087D0CC3" w:rsidR="000309C9" w:rsidRPr="004A68AC" w:rsidDel="00BA64B1" w:rsidRDefault="000309C9" w:rsidP="00FB6DCB">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LS1</w:t>
            </w:r>
          </w:p>
        </w:tc>
        <w:tc>
          <w:tcPr>
            <w:tcW w:w="947" w:type="dxa"/>
            <w:tcBorders>
              <w:top w:val="nil"/>
              <w:bottom w:val="single" w:sz="8" w:space="0" w:color="auto"/>
            </w:tcBorders>
            <w:shd w:val="clear" w:color="auto" w:fill="auto"/>
            <w:vAlign w:val="center"/>
          </w:tcPr>
          <w:p w14:paraId="70FA216F" w14:textId="2CB18906" w:rsidR="000309C9" w:rsidRPr="004A68AC" w:rsidDel="00BA64B1" w:rsidRDefault="000309C9" w:rsidP="00FB6DCB">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LS2</w:t>
            </w:r>
          </w:p>
        </w:tc>
        <w:tc>
          <w:tcPr>
            <w:tcW w:w="947" w:type="dxa"/>
            <w:gridSpan w:val="2"/>
            <w:tcBorders>
              <w:top w:val="nil"/>
              <w:bottom w:val="single" w:sz="8" w:space="0" w:color="auto"/>
            </w:tcBorders>
            <w:shd w:val="clear" w:color="auto" w:fill="auto"/>
            <w:vAlign w:val="center"/>
          </w:tcPr>
          <w:p w14:paraId="46E184A1" w14:textId="16B23A91" w:rsidR="000309C9" w:rsidRPr="004A68AC" w:rsidDel="00BA64B1" w:rsidRDefault="000309C9" w:rsidP="00FB6DCB">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LS3</w:t>
            </w:r>
          </w:p>
        </w:tc>
      </w:tr>
      <w:tr w:rsidR="005E5BB4" w:rsidRPr="004A68AC" w14:paraId="41CADCB4" w14:textId="77777777" w:rsidTr="00B81718">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8" w:space="0" w:color="auto"/>
              <w:bottom w:val="nil"/>
            </w:tcBorders>
            <w:shd w:val="clear" w:color="auto" w:fill="auto"/>
            <w:vAlign w:val="center"/>
          </w:tcPr>
          <w:p w14:paraId="59D4455A" w14:textId="2718E397" w:rsidR="000309C9" w:rsidRPr="004A68AC" w:rsidRDefault="000309C9" w:rsidP="00AF4C3E">
            <w:pPr>
              <w:jc w:val="center"/>
              <w:rPr>
                <w:color w:val="auto"/>
                <w:sz w:val="18"/>
                <w:szCs w:val="18"/>
              </w:rPr>
            </w:pPr>
            <w:r w:rsidRPr="004A68AC">
              <w:rPr>
                <w:color w:val="auto"/>
                <w:sz w:val="18"/>
                <w:szCs w:val="18"/>
              </w:rPr>
              <w:t xml:space="preserve">EC8-3 </w:t>
            </w:r>
            <w:r w:rsidRPr="004A68AC">
              <w:rPr>
                <w:sz w:val="18"/>
                <w:szCs w:val="18"/>
              </w:rPr>
              <w:fldChar w:fldCharType="begin" w:fldLock="1"/>
            </w:r>
            <w:r w:rsidR="005C47A3" w:rsidRPr="004A68AC">
              <w:rPr>
                <w:b w:val="0"/>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rPr>
              <w:fldChar w:fldCharType="separate"/>
            </w:r>
            <w:r w:rsidR="00855F83" w:rsidRPr="004A68AC">
              <w:rPr>
                <w:b w:val="0"/>
                <w:noProof/>
                <w:color w:val="auto"/>
                <w:sz w:val="18"/>
                <w:szCs w:val="18"/>
              </w:rPr>
              <w:t>[13]</w:t>
            </w:r>
            <w:r w:rsidRPr="004A68AC">
              <w:rPr>
                <w:sz w:val="18"/>
                <w:szCs w:val="18"/>
              </w:rPr>
              <w:fldChar w:fldCharType="end"/>
            </w:r>
            <w:r w:rsidR="008B5A16" w:rsidRPr="004A68AC">
              <w:rPr>
                <w:b w:val="0"/>
                <w:color w:val="auto"/>
                <w:sz w:val="18"/>
                <w:szCs w:val="18"/>
                <w:vertAlign w:val="superscript"/>
              </w:rPr>
              <w:t xml:space="preserve"> 1</w:t>
            </w:r>
          </w:p>
        </w:tc>
        <w:tc>
          <w:tcPr>
            <w:tcW w:w="5101" w:type="dxa"/>
            <w:tcBorders>
              <w:top w:val="single" w:sz="8" w:space="0" w:color="auto"/>
              <w:bottom w:val="nil"/>
            </w:tcBorders>
            <w:shd w:val="clear" w:color="auto" w:fill="auto"/>
            <w:vAlign w:val="center"/>
          </w:tcPr>
          <w:p w14:paraId="53FDE971" w14:textId="3F4FD6CE" w:rsidR="000309C9"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w:t>
            </w:r>
            <w:r w:rsidRPr="004A68AC">
              <w:rPr>
                <w:color w:val="auto"/>
                <w:sz w:val="18"/>
                <w:szCs w:val="18"/>
              </w:rPr>
              <w:t xml:space="preserve"> 1104</w:t>
            </w:r>
            <w:r w:rsidR="00FB2F73" w:rsidRPr="004A68AC">
              <w:rPr>
                <w:color w:val="auto"/>
                <w:sz w:val="18"/>
                <w:szCs w:val="18"/>
              </w:rPr>
              <w:t xml:space="preserve"> and</w:t>
            </w:r>
            <w:r w:rsidRPr="004A68AC">
              <w:rPr>
                <w:color w:val="auto"/>
                <w:sz w:val="18"/>
                <w:szCs w:val="18"/>
              </w:rPr>
              <w:t xml:space="preserve"> </w:t>
            </w:r>
            <w:r w:rsidRPr="004A68AC">
              <w:rPr>
                <w:color w:val="auto"/>
                <w:sz w:val="18"/>
                <w:szCs w:val="18"/>
                <w:lang w:eastAsia="it-IT"/>
              </w:rPr>
              <w:t>β</w:t>
            </w:r>
            <w:r w:rsidRPr="004A68AC">
              <w:rPr>
                <w:color w:val="auto"/>
                <w:sz w:val="18"/>
                <w:szCs w:val="18"/>
                <w:vertAlign w:val="subscript"/>
                <w:lang w:eastAsia="it-IT"/>
              </w:rPr>
              <w:t>E</w:t>
            </w:r>
            <w:r w:rsidR="00FB2F73" w:rsidRPr="004A68AC">
              <w:rPr>
                <w:color w:val="auto"/>
                <w:sz w:val="18"/>
                <w:szCs w:val="18"/>
              </w:rPr>
              <w:t xml:space="preserve"> </w:t>
            </w:r>
            <w:r w:rsidRPr="004A68AC">
              <w:rPr>
                <w:color w:val="auto"/>
                <w:sz w:val="18"/>
                <w:szCs w:val="18"/>
                <w:lang w:eastAsia="it-IT"/>
              </w:rPr>
              <w:t>≤ 138</w:t>
            </w:r>
            <w:r w:rsidR="00FB2F73" w:rsidRPr="004A68AC">
              <w:rPr>
                <w:color w:val="auto"/>
                <w:sz w:val="18"/>
                <w:szCs w:val="18"/>
              </w:rPr>
              <w:t xml:space="preserve"> (Class 1)</w:t>
            </w:r>
          </w:p>
        </w:tc>
        <w:tc>
          <w:tcPr>
            <w:tcW w:w="947" w:type="dxa"/>
            <w:tcBorders>
              <w:top w:val="single" w:sz="8" w:space="0" w:color="auto"/>
              <w:bottom w:val="nil"/>
            </w:tcBorders>
            <w:shd w:val="clear" w:color="auto" w:fill="auto"/>
            <w:vAlign w:val="center"/>
          </w:tcPr>
          <w:p w14:paraId="3F7562E4" w14:textId="18DDD2F1" w:rsidR="000309C9" w:rsidRPr="004A68AC" w:rsidRDefault="00D86357" w:rsidP="00AF4C3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single" w:sz="8" w:space="0" w:color="auto"/>
              <w:bottom w:val="nil"/>
            </w:tcBorders>
            <w:shd w:val="clear" w:color="auto" w:fill="auto"/>
            <w:vAlign w:val="center"/>
          </w:tcPr>
          <w:p w14:paraId="155F8C76" w14:textId="1EF02C7D" w:rsidR="000309C9" w:rsidRPr="004A68AC" w:rsidRDefault="00D86357" w:rsidP="00AF4C3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6.0 θ</w:t>
            </w:r>
            <w:r w:rsidRPr="004A68AC">
              <w:rPr>
                <w:color w:val="auto"/>
                <w:sz w:val="18"/>
                <w:szCs w:val="18"/>
                <w:vertAlign w:val="subscript"/>
                <w:lang w:eastAsia="it-IT"/>
              </w:rPr>
              <w:t>y</w:t>
            </w:r>
          </w:p>
        </w:tc>
        <w:tc>
          <w:tcPr>
            <w:tcW w:w="947" w:type="dxa"/>
            <w:gridSpan w:val="2"/>
            <w:tcBorders>
              <w:top w:val="single" w:sz="8" w:space="0" w:color="auto"/>
              <w:bottom w:val="nil"/>
            </w:tcBorders>
            <w:shd w:val="clear" w:color="auto" w:fill="auto"/>
            <w:vAlign w:val="center"/>
          </w:tcPr>
          <w:p w14:paraId="0D9C5739" w14:textId="43F877B1" w:rsidR="000309C9" w:rsidRPr="004A68AC" w:rsidRDefault="00D86357" w:rsidP="00AF4C3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8.0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76FD4AA5" w14:textId="77777777" w:rsidTr="00B817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shd w:val="clear" w:color="auto" w:fill="auto"/>
            <w:vAlign w:val="center"/>
          </w:tcPr>
          <w:p w14:paraId="204DC5EE" w14:textId="77777777" w:rsidR="000309C9" w:rsidRPr="004A68AC" w:rsidRDefault="000309C9" w:rsidP="00FB6DCB">
            <w:pPr>
              <w:jc w:val="center"/>
              <w:rPr>
                <w:color w:val="auto"/>
                <w:sz w:val="18"/>
                <w:szCs w:val="18"/>
              </w:rPr>
            </w:pPr>
          </w:p>
        </w:tc>
        <w:tc>
          <w:tcPr>
            <w:tcW w:w="5101" w:type="dxa"/>
            <w:tcBorders>
              <w:top w:val="nil"/>
              <w:bottom w:val="nil"/>
            </w:tcBorders>
            <w:shd w:val="clear" w:color="auto" w:fill="auto"/>
            <w:vAlign w:val="center"/>
          </w:tcPr>
          <w:p w14:paraId="62AEF36E" w14:textId="1F20AFC2" w:rsidR="000309C9" w:rsidRPr="004A68AC" w:rsidRDefault="00D86357" w:rsidP="00D8635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w:t>
            </w:r>
            <w:r w:rsidRPr="004A68AC">
              <w:rPr>
                <w:color w:val="auto"/>
                <w:sz w:val="18"/>
                <w:szCs w:val="18"/>
              </w:rPr>
              <w:t xml:space="preserve"> 1272 and </w:t>
            </w: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rPr>
              <w:t xml:space="preserve"> </w:t>
            </w:r>
            <w:r w:rsidRPr="004A68AC">
              <w:rPr>
                <w:color w:val="auto"/>
                <w:sz w:val="18"/>
                <w:szCs w:val="18"/>
                <w:lang w:eastAsia="it-IT"/>
              </w:rPr>
              <w:t>≤ 153</w:t>
            </w:r>
            <w:r w:rsidRPr="004A68AC">
              <w:rPr>
                <w:color w:val="auto"/>
                <w:sz w:val="18"/>
                <w:szCs w:val="18"/>
              </w:rPr>
              <w:t xml:space="preserve"> (Class 2)</w:t>
            </w:r>
          </w:p>
        </w:tc>
        <w:tc>
          <w:tcPr>
            <w:tcW w:w="947" w:type="dxa"/>
            <w:tcBorders>
              <w:top w:val="nil"/>
              <w:bottom w:val="nil"/>
            </w:tcBorders>
            <w:shd w:val="clear" w:color="auto" w:fill="auto"/>
            <w:vAlign w:val="center"/>
          </w:tcPr>
          <w:p w14:paraId="6CBDB719" w14:textId="67941ED0" w:rsidR="000309C9" w:rsidRPr="004A68AC" w:rsidRDefault="00D86357" w:rsidP="00FB6DCB">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nil"/>
              <w:bottom w:val="nil"/>
            </w:tcBorders>
            <w:shd w:val="clear" w:color="auto" w:fill="auto"/>
            <w:vAlign w:val="center"/>
          </w:tcPr>
          <w:p w14:paraId="452628C0" w14:textId="3280394E" w:rsidR="000309C9" w:rsidRPr="004A68AC" w:rsidRDefault="00D86357" w:rsidP="00FB6DCB">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2.0 </w:t>
            </w:r>
            <w:r w:rsidRPr="004A68AC">
              <w:rPr>
                <w:color w:val="auto"/>
                <w:sz w:val="18"/>
                <w:szCs w:val="18"/>
                <w:lang w:eastAsia="it-IT"/>
              </w:rPr>
              <w:t>θ</w:t>
            </w:r>
            <w:r w:rsidRPr="004A68AC">
              <w:rPr>
                <w:color w:val="auto"/>
                <w:sz w:val="18"/>
                <w:szCs w:val="18"/>
                <w:vertAlign w:val="subscript"/>
                <w:lang w:eastAsia="it-IT"/>
              </w:rPr>
              <w:t>y</w:t>
            </w:r>
          </w:p>
        </w:tc>
        <w:tc>
          <w:tcPr>
            <w:tcW w:w="947" w:type="dxa"/>
            <w:gridSpan w:val="2"/>
            <w:tcBorders>
              <w:top w:val="nil"/>
              <w:bottom w:val="nil"/>
            </w:tcBorders>
            <w:shd w:val="clear" w:color="auto" w:fill="auto"/>
            <w:vAlign w:val="center"/>
          </w:tcPr>
          <w:p w14:paraId="63F63287" w14:textId="45E82B3A" w:rsidR="000309C9" w:rsidRPr="004A68AC" w:rsidRDefault="00D86357" w:rsidP="00FB6DCB">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1502F010" w14:textId="77777777" w:rsidTr="00B81718">
        <w:trPr>
          <w:gridAfter w:val="1"/>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auto"/>
            </w:tcBorders>
            <w:shd w:val="clear" w:color="auto" w:fill="auto"/>
            <w:vAlign w:val="center"/>
          </w:tcPr>
          <w:p w14:paraId="1207C1C4" w14:textId="77777777" w:rsidR="00D86357" w:rsidRPr="004A68AC" w:rsidRDefault="00D86357" w:rsidP="00D86357">
            <w:pPr>
              <w:jc w:val="center"/>
              <w:rPr>
                <w:color w:val="auto"/>
                <w:sz w:val="18"/>
                <w:szCs w:val="18"/>
              </w:rPr>
            </w:pPr>
          </w:p>
        </w:tc>
        <w:tc>
          <w:tcPr>
            <w:tcW w:w="5101" w:type="dxa"/>
            <w:tcBorders>
              <w:top w:val="nil"/>
              <w:bottom w:val="single" w:sz="4" w:space="0" w:color="auto"/>
            </w:tcBorders>
            <w:shd w:val="clear" w:color="auto" w:fill="auto"/>
            <w:vAlign w:val="center"/>
          </w:tcPr>
          <w:p w14:paraId="4EA124F7" w14:textId="3B94532D"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&gt;</w:t>
            </w:r>
            <w:r w:rsidR="00C4324F" w:rsidRPr="004A68AC">
              <w:rPr>
                <w:color w:val="auto"/>
                <w:sz w:val="18"/>
                <w:szCs w:val="18"/>
                <w:lang w:eastAsia="it-IT"/>
              </w:rPr>
              <w:t xml:space="preserve"> </w:t>
            </w:r>
            <w:r w:rsidRPr="004A68AC">
              <w:rPr>
                <w:color w:val="auto"/>
                <w:sz w:val="18"/>
                <w:szCs w:val="18"/>
              </w:rPr>
              <w:t xml:space="preserve">1272 or </w:t>
            </w: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rPr>
              <w:t xml:space="preserve"> </w:t>
            </w:r>
            <w:r w:rsidRPr="004A68AC">
              <w:rPr>
                <w:color w:val="auto"/>
                <w:sz w:val="18"/>
                <w:szCs w:val="18"/>
                <w:lang w:eastAsia="it-IT"/>
              </w:rPr>
              <w:t>&gt; 153</w:t>
            </w:r>
            <w:r w:rsidRPr="004A68AC">
              <w:rPr>
                <w:color w:val="auto"/>
                <w:sz w:val="18"/>
                <w:szCs w:val="18"/>
              </w:rPr>
              <w:t xml:space="preserve"> (Class 3 or 4)</w:t>
            </w:r>
          </w:p>
        </w:tc>
        <w:tc>
          <w:tcPr>
            <w:tcW w:w="2835" w:type="dxa"/>
            <w:gridSpan w:val="3"/>
            <w:tcBorders>
              <w:top w:val="nil"/>
              <w:bottom w:val="single" w:sz="4" w:space="0" w:color="auto"/>
            </w:tcBorders>
            <w:shd w:val="clear" w:color="auto" w:fill="auto"/>
            <w:vAlign w:val="center"/>
          </w:tcPr>
          <w:p w14:paraId="695C4D00" w14:textId="6F393DE9"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Force-controlled</w:t>
            </w:r>
          </w:p>
        </w:tc>
      </w:tr>
      <w:tr w:rsidR="005E5BB4" w:rsidRPr="004A68AC" w14:paraId="1560B1FE" w14:textId="77777777" w:rsidTr="00B817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bottom w:val="nil"/>
            </w:tcBorders>
            <w:shd w:val="clear" w:color="auto" w:fill="auto"/>
            <w:vAlign w:val="center"/>
          </w:tcPr>
          <w:p w14:paraId="1E81CBAC" w14:textId="0CAE1AE6" w:rsidR="003D7CF7" w:rsidRPr="004A68AC" w:rsidRDefault="009630B4" w:rsidP="003D7CF7">
            <w:pPr>
              <w:jc w:val="center"/>
              <w:rPr>
                <w:color w:val="auto"/>
                <w:sz w:val="18"/>
                <w:szCs w:val="18"/>
              </w:rPr>
            </w:pPr>
            <w:r w:rsidRPr="004A68AC">
              <w:rPr>
                <w:color w:val="auto"/>
                <w:sz w:val="18"/>
                <w:szCs w:val="18"/>
              </w:rPr>
              <w:t>ASCE 41</w:t>
            </w:r>
            <w:r w:rsidR="003D7CF7" w:rsidRPr="004A68AC">
              <w:rPr>
                <w:color w:val="auto"/>
                <w:sz w:val="18"/>
                <w:szCs w:val="18"/>
              </w:rPr>
              <w:t xml:space="preserve">-06 </w:t>
            </w:r>
            <w:r w:rsidR="003D7CF7"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3D7CF7" w:rsidRPr="004A68AC">
              <w:rPr>
                <w:sz w:val="18"/>
                <w:szCs w:val="18"/>
              </w:rPr>
              <w:fldChar w:fldCharType="separate"/>
            </w:r>
            <w:r w:rsidR="00B339CD" w:rsidRPr="004A68AC">
              <w:rPr>
                <w:b w:val="0"/>
                <w:noProof/>
                <w:color w:val="auto"/>
                <w:sz w:val="18"/>
                <w:szCs w:val="18"/>
              </w:rPr>
              <w:t>[15]</w:t>
            </w:r>
            <w:r w:rsidR="003D7CF7" w:rsidRPr="004A68AC">
              <w:rPr>
                <w:sz w:val="18"/>
                <w:szCs w:val="18"/>
              </w:rPr>
              <w:fldChar w:fldCharType="end"/>
            </w:r>
            <w:r w:rsidR="003D7CF7" w:rsidRPr="004A68AC">
              <w:rPr>
                <w:b w:val="0"/>
                <w:color w:val="auto"/>
                <w:sz w:val="18"/>
                <w:szCs w:val="18"/>
                <w:vertAlign w:val="superscript"/>
              </w:rPr>
              <w:t xml:space="preserve"> 2</w:t>
            </w:r>
          </w:p>
        </w:tc>
        <w:tc>
          <w:tcPr>
            <w:tcW w:w="5101" w:type="dxa"/>
            <w:tcBorders>
              <w:top w:val="single" w:sz="4" w:space="0" w:color="auto"/>
              <w:bottom w:val="nil"/>
            </w:tcBorders>
            <w:shd w:val="clear" w:color="auto" w:fill="auto"/>
            <w:vAlign w:val="center"/>
          </w:tcPr>
          <w:p w14:paraId="2189F90D" w14:textId="27159F81" w:rsidR="003D7CF7" w:rsidRPr="004A68AC" w:rsidRDefault="003D7CF7" w:rsidP="00FB20C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1098</w:t>
            </w:r>
            <w:r w:rsidRPr="004A68AC">
              <w:rPr>
                <w:color w:val="auto"/>
                <w:sz w:val="18"/>
                <w:szCs w:val="18"/>
              </w:rPr>
              <w:t xml:space="preserve"> and</w:t>
            </w:r>
            <w:r w:rsidR="00FB20C8" w:rsidRPr="004A68AC">
              <w:rPr>
                <w:color w:val="auto"/>
                <w:sz w:val="18"/>
                <w:szCs w:val="18"/>
              </w:rPr>
              <w:t xml:space="preserve"> </w:t>
            </w:r>
            <w:r w:rsidR="00FB20C8" w:rsidRPr="004A68AC">
              <w:rPr>
                <w:color w:val="auto"/>
                <w:sz w:val="18"/>
                <w:szCs w:val="18"/>
                <w:lang w:eastAsia="it-IT"/>
              </w:rPr>
              <w:t>β</w:t>
            </w:r>
            <w:r w:rsidR="00FB20C8" w:rsidRPr="004A68AC">
              <w:rPr>
                <w:color w:val="auto"/>
                <w:sz w:val="18"/>
                <w:szCs w:val="18"/>
                <w:vertAlign w:val="subscript"/>
                <w:lang w:eastAsia="it-IT"/>
              </w:rPr>
              <w:t>A</w:t>
            </w:r>
            <w:r w:rsidR="00FB20C8" w:rsidRPr="004A68AC">
              <w:rPr>
                <w:color w:val="auto"/>
                <w:sz w:val="18"/>
                <w:szCs w:val="18"/>
                <w:lang w:eastAsia="it-IT"/>
              </w:rPr>
              <w:t xml:space="preserve"> ≤ 137</w:t>
            </w:r>
          </w:p>
        </w:tc>
        <w:tc>
          <w:tcPr>
            <w:tcW w:w="947" w:type="dxa"/>
            <w:tcBorders>
              <w:top w:val="single" w:sz="4" w:space="0" w:color="auto"/>
              <w:bottom w:val="nil"/>
            </w:tcBorders>
            <w:shd w:val="clear" w:color="auto" w:fill="auto"/>
            <w:vAlign w:val="center"/>
          </w:tcPr>
          <w:p w14:paraId="746F36A2" w14:textId="35AD6220"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single" w:sz="4" w:space="0" w:color="auto"/>
              <w:bottom w:val="nil"/>
            </w:tcBorders>
            <w:shd w:val="clear" w:color="auto" w:fill="auto"/>
            <w:vAlign w:val="center"/>
          </w:tcPr>
          <w:p w14:paraId="698FEB0C" w14:textId="51C3FDF2"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6.0 θ</w:t>
            </w:r>
            <w:r w:rsidRPr="004A68AC">
              <w:rPr>
                <w:color w:val="auto"/>
                <w:sz w:val="18"/>
                <w:szCs w:val="18"/>
                <w:vertAlign w:val="subscript"/>
                <w:lang w:eastAsia="it-IT"/>
              </w:rPr>
              <w:t>y</w:t>
            </w:r>
          </w:p>
        </w:tc>
        <w:tc>
          <w:tcPr>
            <w:tcW w:w="947" w:type="dxa"/>
            <w:gridSpan w:val="2"/>
            <w:tcBorders>
              <w:top w:val="single" w:sz="4" w:space="0" w:color="auto"/>
              <w:bottom w:val="nil"/>
            </w:tcBorders>
            <w:shd w:val="clear" w:color="auto" w:fill="auto"/>
            <w:vAlign w:val="center"/>
          </w:tcPr>
          <w:p w14:paraId="5139117C" w14:textId="71A5E17E"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8.0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6E7A04AA" w14:textId="77777777" w:rsidTr="00B81718">
        <w:trPr>
          <w:gridAfter w:val="1"/>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shd w:val="clear" w:color="auto" w:fill="auto"/>
            <w:vAlign w:val="center"/>
          </w:tcPr>
          <w:p w14:paraId="03CAF362" w14:textId="77777777" w:rsidR="00D86357" w:rsidRPr="004A68AC" w:rsidRDefault="00D86357" w:rsidP="00D86357">
            <w:pPr>
              <w:jc w:val="center"/>
              <w:rPr>
                <w:color w:val="auto"/>
                <w:sz w:val="18"/>
                <w:szCs w:val="18"/>
              </w:rPr>
            </w:pPr>
          </w:p>
        </w:tc>
        <w:tc>
          <w:tcPr>
            <w:tcW w:w="5101" w:type="dxa"/>
            <w:tcBorders>
              <w:top w:val="nil"/>
              <w:bottom w:val="nil"/>
            </w:tcBorders>
            <w:shd w:val="clear" w:color="auto" w:fill="auto"/>
            <w:vAlign w:val="center"/>
          </w:tcPr>
          <w:p w14:paraId="1BE7B1B9" w14:textId="06B0B2F5"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Other intermediate values</w:t>
            </w:r>
          </w:p>
        </w:tc>
        <w:tc>
          <w:tcPr>
            <w:tcW w:w="2835" w:type="dxa"/>
            <w:gridSpan w:val="3"/>
            <w:tcBorders>
              <w:top w:val="nil"/>
              <w:bottom w:val="nil"/>
            </w:tcBorders>
            <w:shd w:val="clear" w:color="auto" w:fill="auto"/>
            <w:vAlign w:val="center"/>
          </w:tcPr>
          <w:p w14:paraId="4D7722AC" w14:textId="057761DC"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Interpolate</w:t>
            </w:r>
          </w:p>
        </w:tc>
      </w:tr>
      <w:tr w:rsidR="005E5BB4" w:rsidRPr="004A68AC" w14:paraId="1929DA0D" w14:textId="77777777" w:rsidTr="00B817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auto"/>
            </w:tcBorders>
            <w:shd w:val="clear" w:color="auto" w:fill="auto"/>
            <w:vAlign w:val="center"/>
          </w:tcPr>
          <w:p w14:paraId="44B0615B" w14:textId="77777777" w:rsidR="003D7CF7" w:rsidRPr="004A68AC" w:rsidRDefault="003D7CF7" w:rsidP="003D7CF7">
            <w:pPr>
              <w:jc w:val="center"/>
              <w:rPr>
                <w:color w:val="auto"/>
                <w:sz w:val="18"/>
                <w:szCs w:val="18"/>
              </w:rPr>
            </w:pPr>
          </w:p>
        </w:tc>
        <w:tc>
          <w:tcPr>
            <w:tcW w:w="5101" w:type="dxa"/>
            <w:tcBorders>
              <w:top w:val="nil"/>
              <w:bottom w:val="single" w:sz="4" w:space="0" w:color="auto"/>
            </w:tcBorders>
            <w:shd w:val="clear" w:color="auto" w:fill="auto"/>
            <w:vAlign w:val="center"/>
          </w:tcPr>
          <w:p w14:paraId="3D93B2B4" w14:textId="096E17B5" w:rsidR="003D7CF7" w:rsidRPr="004A68AC" w:rsidRDefault="00FB20C8" w:rsidP="00FB20C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1682</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47" w:type="dxa"/>
            <w:tcBorders>
              <w:top w:val="nil"/>
              <w:bottom w:val="single" w:sz="4" w:space="0" w:color="auto"/>
            </w:tcBorders>
            <w:shd w:val="clear" w:color="auto" w:fill="auto"/>
            <w:vAlign w:val="center"/>
          </w:tcPr>
          <w:p w14:paraId="663B8AA4" w14:textId="14061DF1"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nil"/>
              <w:bottom w:val="single" w:sz="4" w:space="0" w:color="auto"/>
            </w:tcBorders>
            <w:shd w:val="clear" w:color="auto" w:fill="auto"/>
            <w:vAlign w:val="center"/>
          </w:tcPr>
          <w:p w14:paraId="15429AF6" w14:textId="1D07ED8F"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2.0 </w:t>
            </w:r>
            <w:r w:rsidRPr="004A68AC">
              <w:rPr>
                <w:color w:val="auto"/>
                <w:sz w:val="18"/>
                <w:szCs w:val="18"/>
                <w:lang w:eastAsia="it-IT"/>
              </w:rPr>
              <w:t>θ</w:t>
            </w:r>
            <w:r w:rsidRPr="004A68AC">
              <w:rPr>
                <w:color w:val="auto"/>
                <w:sz w:val="18"/>
                <w:szCs w:val="18"/>
                <w:vertAlign w:val="subscript"/>
                <w:lang w:eastAsia="it-IT"/>
              </w:rPr>
              <w:t>y</w:t>
            </w:r>
          </w:p>
        </w:tc>
        <w:tc>
          <w:tcPr>
            <w:tcW w:w="947" w:type="dxa"/>
            <w:gridSpan w:val="2"/>
            <w:tcBorders>
              <w:top w:val="nil"/>
              <w:bottom w:val="single" w:sz="4" w:space="0" w:color="auto"/>
            </w:tcBorders>
            <w:shd w:val="clear" w:color="auto" w:fill="auto"/>
            <w:vAlign w:val="center"/>
          </w:tcPr>
          <w:p w14:paraId="373F79A1" w14:textId="00C06C15"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1F68138F" w14:textId="77777777" w:rsidTr="00B81718">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bottom w:val="nil"/>
            </w:tcBorders>
            <w:shd w:val="clear" w:color="auto" w:fill="auto"/>
            <w:vAlign w:val="center"/>
          </w:tcPr>
          <w:p w14:paraId="39991EFC" w14:textId="34AF1872" w:rsidR="004A5E0D" w:rsidRPr="004A68AC" w:rsidRDefault="009630B4" w:rsidP="004A5E0D">
            <w:pPr>
              <w:jc w:val="center"/>
              <w:rPr>
                <w:color w:val="auto"/>
                <w:sz w:val="18"/>
                <w:szCs w:val="18"/>
              </w:rPr>
            </w:pPr>
            <w:r w:rsidRPr="004A68AC">
              <w:rPr>
                <w:color w:val="auto"/>
                <w:sz w:val="18"/>
                <w:szCs w:val="18"/>
              </w:rPr>
              <w:t>ASCE 41</w:t>
            </w:r>
            <w:r w:rsidR="004A5E0D" w:rsidRPr="004A68AC">
              <w:rPr>
                <w:color w:val="auto"/>
                <w:sz w:val="18"/>
                <w:szCs w:val="18"/>
              </w:rPr>
              <w:t xml:space="preserve">-13 </w:t>
            </w:r>
            <w:r w:rsidR="004A5E0D" w:rsidRPr="004A68AC">
              <w:rPr>
                <w:sz w:val="18"/>
                <w:szCs w:val="18"/>
              </w:rPr>
              <w:fldChar w:fldCharType="begin" w:fldLock="1"/>
            </w:r>
            <w:r w:rsidR="005C47A3" w:rsidRPr="004A68AC">
              <w:rPr>
                <w:color w:val="auto"/>
                <w:sz w:val="18"/>
                <w:szCs w:val="18"/>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4A5E0D" w:rsidRPr="004A68AC">
              <w:rPr>
                <w:sz w:val="18"/>
                <w:szCs w:val="18"/>
              </w:rPr>
              <w:fldChar w:fldCharType="separate"/>
            </w:r>
            <w:r w:rsidR="00B339CD" w:rsidRPr="004A68AC">
              <w:rPr>
                <w:b w:val="0"/>
                <w:noProof/>
                <w:color w:val="auto"/>
                <w:sz w:val="18"/>
                <w:szCs w:val="18"/>
              </w:rPr>
              <w:t>[18]</w:t>
            </w:r>
            <w:r w:rsidR="004A5E0D" w:rsidRPr="004A68AC">
              <w:rPr>
                <w:sz w:val="18"/>
                <w:szCs w:val="18"/>
              </w:rPr>
              <w:fldChar w:fldCharType="end"/>
            </w:r>
            <w:r w:rsidR="004A5E0D" w:rsidRPr="004A68AC">
              <w:rPr>
                <w:b w:val="0"/>
                <w:color w:val="auto"/>
                <w:sz w:val="18"/>
                <w:szCs w:val="18"/>
                <w:vertAlign w:val="superscript"/>
              </w:rPr>
              <w:t xml:space="preserve"> 2</w:t>
            </w:r>
          </w:p>
        </w:tc>
        <w:tc>
          <w:tcPr>
            <w:tcW w:w="5101" w:type="dxa"/>
            <w:tcBorders>
              <w:top w:val="single" w:sz="4" w:space="0" w:color="auto"/>
              <w:bottom w:val="nil"/>
            </w:tcBorders>
            <w:shd w:val="clear" w:color="auto" w:fill="auto"/>
            <w:vAlign w:val="center"/>
          </w:tcPr>
          <w:p w14:paraId="173F6DAA" w14:textId="3B85D77B"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1098</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47" w:type="dxa"/>
            <w:tcBorders>
              <w:top w:val="single" w:sz="4" w:space="0" w:color="auto"/>
              <w:bottom w:val="nil"/>
            </w:tcBorders>
            <w:shd w:val="clear" w:color="auto" w:fill="auto"/>
            <w:vAlign w:val="center"/>
          </w:tcPr>
          <w:p w14:paraId="42468EDA" w14:textId="01B23B6F"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single" w:sz="4" w:space="0" w:color="auto"/>
              <w:bottom w:val="nil"/>
            </w:tcBorders>
            <w:shd w:val="clear" w:color="auto" w:fill="auto"/>
            <w:vAlign w:val="center"/>
          </w:tcPr>
          <w:p w14:paraId="27E30ADA" w14:textId="68AAD46F"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9.0 θ</w:t>
            </w:r>
            <w:r w:rsidRPr="004A68AC">
              <w:rPr>
                <w:color w:val="auto"/>
                <w:sz w:val="18"/>
                <w:szCs w:val="18"/>
                <w:vertAlign w:val="subscript"/>
                <w:lang w:eastAsia="it-IT"/>
              </w:rPr>
              <w:t>y</w:t>
            </w:r>
          </w:p>
        </w:tc>
        <w:tc>
          <w:tcPr>
            <w:tcW w:w="947" w:type="dxa"/>
            <w:gridSpan w:val="2"/>
            <w:tcBorders>
              <w:top w:val="single" w:sz="4" w:space="0" w:color="auto"/>
              <w:bottom w:val="nil"/>
            </w:tcBorders>
            <w:shd w:val="clear" w:color="auto" w:fill="auto"/>
            <w:vAlign w:val="center"/>
          </w:tcPr>
          <w:p w14:paraId="4C2415E0" w14:textId="1E148798"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11.0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6035EE47" w14:textId="77777777" w:rsidTr="00B81718">
        <w:trPr>
          <w:gridAfter w:val="1"/>
          <w:cnfStyle w:val="000000100000" w:firstRow="0" w:lastRow="0" w:firstColumn="0" w:lastColumn="0" w:oddVBand="0" w:evenVBand="0" w:oddHBand="1" w:evenHBand="0" w:firstRowFirstColumn="0" w:firstRowLastColumn="0" w:lastRowFirstColumn="0" w:lastRowLastColumn="0"/>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shd w:val="clear" w:color="auto" w:fill="auto"/>
            <w:vAlign w:val="center"/>
          </w:tcPr>
          <w:p w14:paraId="0E4F3BD8" w14:textId="77777777" w:rsidR="004A5E0D" w:rsidRPr="004A68AC" w:rsidRDefault="004A5E0D" w:rsidP="004A5E0D">
            <w:pPr>
              <w:jc w:val="center"/>
              <w:rPr>
                <w:color w:val="auto"/>
                <w:sz w:val="18"/>
                <w:szCs w:val="18"/>
              </w:rPr>
            </w:pPr>
          </w:p>
        </w:tc>
        <w:tc>
          <w:tcPr>
            <w:tcW w:w="5101" w:type="dxa"/>
            <w:tcBorders>
              <w:top w:val="nil"/>
              <w:bottom w:val="nil"/>
            </w:tcBorders>
            <w:shd w:val="clear" w:color="auto" w:fill="auto"/>
            <w:vAlign w:val="center"/>
          </w:tcPr>
          <w:p w14:paraId="10B7825F" w14:textId="0EED9E21" w:rsidR="004A5E0D"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Other intermediate values</w:t>
            </w:r>
          </w:p>
        </w:tc>
        <w:tc>
          <w:tcPr>
            <w:tcW w:w="2835" w:type="dxa"/>
            <w:gridSpan w:val="3"/>
            <w:tcBorders>
              <w:top w:val="nil"/>
              <w:bottom w:val="nil"/>
            </w:tcBorders>
            <w:shd w:val="clear" w:color="auto" w:fill="auto"/>
            <w:vAlign w:val="center"/>
          </w:tcPr>
          <w:p w14:paraId="649FC42D" w14:textId="6E1DED03" w:rsidR="004A5E0D"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Interpolate</w:t>
            </w:r>
          </w:p>
        </w:tc>
      </w:tr>
      <w:tr w:rsidR="005E5BB4" w:rsidRPr="004A68AC" w14:paraId="0FC00FFC" w14:textId="77777777" w:rsidTr="009A15E4">
        <w:trPr>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4" w:space="0" w:color="auto"/>
            </w:tcBorders>
            <w:shd w:val="clear" w:color="auto" w:fill="auto"/>
            <w:vAlign w:val="center"/>
          </w:tcPr>
          <w:p w14:paraId="2BD07981" w14:textId="77777777" w:rsidR="004A5E0D" w:rsidRPr="004A68AC" w:rsidRDefault="004A5E0D" w:rsidP="004A5E0D">
            <w:pPr>
              <w:jc w:val="center"/>
              <w:rPr>
                <w:color w:val="auto"/>
                <w:sz w:val="18"/>
                <w:szCs w:val="18"/>
              </w:rPr>
            </w:pPr>
          </w:p>
        </w:tc>
        <w:tc>
          <w:tcPr>
            <w:tcW w:w="5101" w:type="dxa"/>
            <w:tcBorders>
              <w:top w:val="nil"/>
              <w:bottom w:val="single" w:sz="4" w:space="0" w:color="auto"/>
            </w:tcBorders>
            <w:shd w:val="clear" w:color="auto" w:fill="auto"/>
            <w:vAlign w:val="center"/>
          </w:tcPr>
          <w:p w14:paraId="77D203B4" w14:textId="1ADFFC01"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1682</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47" w:type="dxa"/>
            <w:tcBorders>
              <w:top w:val="nil"/>
              <w:bottom w:val="single" w:sz="4" w:space="0" w:color="auto"/>
            </w:tcBorders>
            <w:shd w:val="clear" w:color="auto" w:fill="auto"/>
            <w:vAlign w:val="center"/>
          </w:tcPr>
          <w:p w14:paraId="4EE51949" w14:textId="02A8C0BC"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nil"/>
              <w:bottom w:val="single" w:sz="4" w:space="0" w:color="auto"/>
            </w:tcBorders>
            <w:shd w:val="clear" w:color="auto" w:fill="auto"/>
            <w:vAlign w:val="center"/>
          </w:tcPr>
          <w:p w14:paraId="4607D9F7" w14:textId="015D7B04"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c>
          <w:tcPr>
            <w:tcW w:w="947" w:type="dxa"/>
            <w:gridSpan w:val="2"/>
            <w:tcBorders>
              <w:top w:val="nil"/>
              <w:bottom w:val="single" w:sz="4" w:space="0" w:color="auto"/>
            </w:tcBorders>
            <w:shd w:val="clear" w:color="auto" w:fill="auto"/>
            <w:vAlign w:val="center"/>
          </w:tcPr>
          <w:p w14:paraId="3641A768" w14:textId="40E9B830" w:rsidR="004A5E0D" w:rsidRPr="004A68AC" w:rsidRDefault="004A5E0D" w:rsidP="004A5E0D">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4.0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4375AEA5" w14:textId="77777777" w:rsidTr="00B8171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bottom w:val="nil"/>
            </w:tcBorders>
            <w:shd w:val="clear" w:color="auto" w:fill="auto"/>
            <w:vAlign w:val="center"/>
          </w:tcPr>
          <w:p w14:paraId="76C31EFA" w14:textId="4D478583" w:rsidR="004A5E0D" w:rsidRPr="004A68AC" w:rsidRDefault="009630B4" w:rsidP="004A5E0D">
            <w:pPr>
              <w:jc w:val="center"/>
              <w:rPr>
                <w:color w:val="auto"/>
                <w:sz w:val="18"/>
                <w:szCs w:val="18"/>
              </w:rPr>
            </w:pPr>
            <w:r w:rsidRPr="004A68AC">
              <w:rPr>
                <w:color w:val="auto"/>
                <w:sz w:val="18"/>
                <w:szCs w:val="18"/>
              </w:rPr>
              <w:t>ASCE 41</w:t>
            </w:r>
            <w:r w:rsidR="004A5E0D" w:rsidRPr="004A68AC">
              <w:rPr>
                <w:color w:val="auto"/>
                <w:sz w:val="18"/>
                <w:szCs w:val="18"/>
              </w:rPr>
              <w:t xml:space="preserve">-17 </w:t>
            </w:r>
            <w:r w:rsidR="004A5E0D" w:rsidRPr="004A68AC">
              <w:rPr>
                <w:sz w:val="18"/>
                <w:szCs w:val="18"/>
              </w:rPr>
              <w:fldChar w:fldCharType="begin" w:fldLock="1"/>
            </w:r>
            <w:r w:rsidR="005C47A3" w:rsidRPr="004A68AC">
              <w:rPr>
                <w:b w:val="0"/>
                <w:color w:val="auto"/>
                <w:sz w:val="18"/>
                <w:szCs w:val="18"/>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4A5E0D" w:rsidRPr="004A68AC">
              <w:rPr>
                <w:sz w:val="18"/>
                <w:szCs w:val="18"/>
              </w:rPr>
              <w:fldChar w:fldCharType="separate"/>
            </w:r>
            <w:r w:rsidR="00B339CD" w:rsidRPr="004A68AC">
              <w:rPr>
                <w:b w:val="0"/>
                <w:noProof/>
                <w:color w:val="auto"/>
                <w:sz w:val="18"/>
                <w:szCs w:val="18"/>
              </w:rPr>
              <w:t>[19]</w:t>
            </w:r>
            <w:r w:rsidR="004A5E0D" w:rsidRPr="004A68AC">
              <w:rPr>
                <w:sz w:val="18"/>
                <w:szCs w:val="18"/>
              </w:rPr>
              <w:fldChar w:fldCharType="end"/>
            </w:r>
            <w:r w:rsidR="004A5E0D" w:rsidRPr="004A68AC">
              <w:rPr>
                <w:b w:val="0"/>
                <w:color w:val="auto"/>
                <w:sz w:val="18"/>
                <w:szCs w:val="18"/>
                <w:vertAlign w:val="superscript"/>
              </w:rPr>
              <w:t xml:space="preserve"> 2,3</w:t>
            </w:r>
          </w:p>
        </w:tc>
        <w:tc>
          <w:tcPr>
            <w:tcW w:w="5101" w:type="dxa"/>
            <w:tcBorders>
              <w:top w:val="single" w:sz="4" w:space="0" w:color="auto"/>
              <w:bottom w:val="nil"/>
            </w:tcBorders>
            <w:shd w:val="clear" w:color="auto" w:fill="auto"/>
            <w:vAlign w:val="center"/>
          </w:tcPr>
          <w:p w14:paraId="0C6BA081" w14:textId="4668B0FC" w:rsidR="004A5E0D" w:rsidRPr="004A68AC" w:rsidRDefault="004A5E0D" w:rsidP="007A7BC2">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112</w:t>
            </w:r>
            <w:r w:rsidR="007A7BC2" w:rsidRPr="004A68AC">
              <w:rPr>
                <w:color w:val="auto"/>
                <w:sz w:val="18"/>
                <w:szCs w:val="18"/>
                <w:lang w:eastAsia="it-IT"/>
              </w:rPr>
              <w:t>3</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47" w:type="dxa"/>
            <w:tcBorders>
              <w:top w:val="single" w:sz="4" w:space="0" w:color="auto"/>
              <w:bottom w:val="nil"/>
            </w:tcBorders>
            <w:shd w:val="clear" w:color="auto" w:fill="auto"/>
            <w:vAlign w:val="center"/>
          </w:tcPr>
          <w:p w14:paraId="36884858" w14:textId="6012760F" w:rsidR="004A5E0D"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2.25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single" w:sz="4" w:space="0" w:color="auto"/>
              <w:bottom w:val="nil"/>
            </w:tcBorders>
            <w:shd w:val="clear" w:color="auto" w:fill="auto"/>
            <w:vAlign w:val="center"/>
          </w:tcPr>
          <w:p w14:paraId="254C249F" w14:textId="43645BB0" w:rsidR="004A5E0D"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9.0 θ</w:t>
            </w:r>
            <w:r w:rsidRPr="004A68AC">
              <w:rPr>
                <w:color w:val="auto"/>
                <w:sz w:val="18"/>
                <w:szCs w:val="18"/>
                <w:vertAlign w:val="subscript"/>
                <w:lang w:eastAsia="it-IT"/>
              </w:rPr>
              <w:t>y</w:t>
            </w:r>
          </w:p>
        </w:tc>
        <w:tc>
          <w:tcPr>
            <w:tcW w:w="947" w:type="dxa"/>
            <w:gridSpan w:val="2"/>
            <w:tcBorders>
              <w:top w:val="single" w:sz="4" w:space="0" w:color="auto"/>
              <w:bottom w:val="nil"/>
            </w:tcBorders>
            <w:shd w:val="clear" w:color="auto" w:fill="auto"/>
            <w:vAlign w:val="center"/>
          </w:tcPr>
          <w:p w14:paraId="7525BAA1" w14:textId="2FF4D650" w:rsidR="004A5E0D"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11.0 </w:t>
            </w:r>
            <w:r w:rsidRPr="004A68AC">
              <w:rPr>
                <w:color w:val="auto"/>
                <w:sz w:val="18"/>
                <w:szCs w:val="18"/>
                <w:lang w:eastAsia="it-IT"/>
              </w:rPr>
              <w:t>θ</w:t>
            </w:r>
            <w:r w:rsidRPr="004A68AC">
              <w:rPr>
                <w:color w:val="auto"/>
                <w:sz w:val="18"/>
                <w:szCs w:val="18"/>
                <w:vertAlign w:val="subscript"/>
                <w:lang w:eastAsia="it-IT"/>
              </w:rPr>
              <w:t>y</w:t>
            </w:r>
          </w:p>
        </w:tc>
      </w:tr>
      <w:tr w:rsidR="005E5BB4" w:rsidRPr="004A68AC" w14:paraId="6527238E" w14:textId="77777777" w:rsidTr="00B81718">
        <w:trPr>
          <w:gridAfter w:val="1"/>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nil"/>
            </w:tcBorders>
            <w:shd w:val="clear" w:color="auto" w:fill="auto"/>
            <w:vAlign w:val="center"/>
          </w:tcPr>
          <w:p w14:paraId="0195051C" w14:textId="77777777" w:rsidR="00D86357" w:rsidRPr="004A68AC" w:rsidRDefault="00D86357" w:rsidP="00D86357">
            <w:pPr>
              <w:jc w:val="center"/>
              <w:rPr>
                <w:color w:val="auto"/>
                <w:sz w:val="18"/>
                <w:szCs w:val="18"/>
              </w:rPr>
            </w:pPr>
          </w:p>
        </w:tc>
        <w:tc>
          <w:tcPr>
            <w:tcW w:w="5101" w:type="dxa"/>
            <w:tcBorders>
              <w:top w:val="nil"/>
              <w:bottom w:val="nil"/>
            </w:tcBorders>
            <w:shd w:val="clear" w:color="auto" w:fill="auto"/>
            <w:vAlign w:val="center"/>
          </w:tcPr>
          <w:p w14:paraId="4CF1C555" w14:textId="2DFD4B67"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Other intermediate values</w:t>
            </w:r>
          </w:p>
        </w:tc>
        <w:tc>
          <w:tcPr>
            <w:tcW w:w="2835" w:type="dxa"/>
            <w:gridSpan w:val="3"/>
            <w:tcBorders>
              <w:top w:val="nil"/>
              <w:bottom w:val="nil"/>
            </w:tcBorders>
            <w:shd w:val="clear" w:color="auto" w:fill="auto"/>
            <w:vAlign w:val="center"/>
          </w:tcPr>
          <w:p w14:paraId="088EB0F4" w14:textId="6E014BAC" w:rsidR="00D86357" w:rsidRPr="004A68AC" w:rsidRDefault="00D86357" w:rsidP="00D8635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Interpolate</w:t>
            </w:r>
          </w:p>
        </w:tc>
      </w:tr>
      <w:tr w:rsidR="005E5BB4" w:rsidRPr="004A68AC" w14:paraId="58E530DD" w14:textId="77777777" w:rsidTr="009A15E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nil"/>
              <w:bottom w:val="single" w:sz="8" w:space="0" w:color="000000" w:themeColor="text1"/>
            </w:tcBorders>
            <w:shd w:val="clear" w:color="auto" w:fill="auto"/>
            <w:vAlign w:val="center"/>
          </w:tcPr>
          <w:p w14:paraId="1BCB939D" w14:textId="77777777" w:rsidR="003D7CF7" w:rsidRPr="004A68AC" w:rsidRDefault="003D7CF7" w:rsidP="003D7CF7">
            <w:pPr>
              <w:jc w:val="center"/>
              <w:rPr>
                <w:color w:val="auto"/>
                <w:sz w:val="18"/>
                <w:szCs w:val="18"/>
              </w:rPr>
            </w:pPr>
          </w:p>
        </w:tc>
        <w:tc>
          <w:tcPr>
            <w:tcW w:w="5101" w:type="dxa"/>
            <w:tcBorders>
              <w:top w:val="nil"/>
              <w:bottom w:val="single" w:sz="8" w:space="0" w:color="000000" w:themeColor="text1"/>
            </w:tcBorders>
            <w:shd w:val="clear" w:color="auto" w:fill="auto"/>
            <w:vAlign w:val="center"/>
          </w:tcPr>
          <w:p w14:paraId="6BEA9BE4" w14:textId="19273815" w:rsidR="003D7CF7" w:rsidRPr="004A68AC" w:rsidRDefault="004A5E0D" w:rsidP="004A5E0D">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1723</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174</w:t>
            </w:r>
          </w:p>
        </w:tc>
        <w:tc>
          <w:tcPr>
            <w:tcW w:w="947" w:type="dxa"/>
            <w:tcBorders>
              <w:top w:val="nil"/>
              <w:bottom w:val="single" w:sz="8" w:space="0" w:color="000000" w:themeColor="text1"/>
            </w:tcBorders>
            <w:shd w:val="clear" w:color="auto" w:fill="auto"/>
            <w:vAlign w:val="center"/>
          </w:tcPr>
          <w:p w14:paraId="226B59F7" w14:textId="01CD2462"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947" w:type="dxa"/>
            <w:tcBorders>
              <w:top w:val="nil"/>
              <w:bottom w:val="single" w:sz="8" w:space="0" w:color="000000" w:themeColor="text1"/>
            </w:tcBorders>
            <w:shd w:val="clear" w:color="auto" w:fill="auto"/>
            <w:vAlign w:val="center"/>
          </w:tcPr>
          <w:p w14:paraId="0B670E02" w14:textId="065C79B7"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c>
          <w:tcPr>
            <w:tcW w:w="947" w:type="dxa"/>
            <w:gridSpan w:val="2"/>
            <w:tcBorders>
              <w:top w:val="nil"/>
              <w:bottom w:val="single" w:sz="8" w:space="0" w:color="000000" w:themeColor="text1"/>
            </w:tcBorders>
            <w:shd w:val="clear" w:color="auto" w:fill="auto"/>
            <w:vAlign w:val="center"/>
          </w:tcPr>
          <w:p w14:paraId="0B911BD3" w14:textId="78182F21" w:rsidR="003D7CF7" w:rsidRPr="004A68AC" w:rsidRDefault="003D7CF7" w:rsidP="003D7CF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4.0 </w:t>
            </w:r>
            <w:r w:rsidRPr="004A68AC">
              <w:rPr>
                <w:color w:val="auto"/>
                <w:sz w:val="18"/>
                <w:szCs w:val="18"/>
                <w:lang w:eastAsia="it-IT"/>
              </w:rPr>
              <w:t>θ</w:t>
            </w:r>
            <w:r w:rsidRPr="004A68AC">
              <w:rPr>
                <w:color w:val="auto"/>
                <w:sz w:val="18"/>
                <w:szCs w:val="18"/>
                <w:vertAlign w:val="subscript"/>
                <w:lang w:eastAsia="it-IT"/>
              </w:rPr>
              <w:t>y</w:t>
            </w:r>
          </w:p>
        </w:tc>
      </w:tr>
    </w:tbl>
    <w:p w14:paraId="42E2D3B0" w14:textId="2D2809BD" w:rsidR="00B74134" w:rsidRPr="004A68AC" w:rsidRDefault="008B5A16" w:rsidP="00BA64B1">
      <w:pPr>
        <w:rPr>
          <w:sz w:val="18"/>
          <w:szCs w:val="18"/>
          <w:lang w:val="en-US"/>
        </w:rPr>
      </w:pPr>
      <w:r w:rsidRPr="004A68AC">
        <w:rPr>
          <w:sz w:val="18"/>
          <w:szCs w:val="18"/>
          <w:vertAlign w:val="superscript"/>
          <w:lang w:val="en-US"/>
        </w:rPr>
        <w:t>1</w:t>
      </w:r>
      <w:r w:rsidR="00B74134" w:rsidRPr="004A68AC">
        <w:rPr>
          <w:sz w:val="18"/>
          <w:szCs w:val="18"/>
          <w:lang w:val="en-US"/>
        </w:rPr>
        <w:t xml:space="preserve"> </w:t>
      </w:r>
      <w:r w:rsidR="00FB6DCB" w:rsidRPr="004A68AC">
        <w:rPr>
          <w:sz w:val="18"/>
          <w:szCs w:val="18"/>
          <w:lang w:val="en-US"/>
        </w:rPr>
        <w:t xml:space="preserve">Sections that comply with </w:t>
      </w:r>
      <w:r w:rsidR="0040554B" w:rsidRPr="004A68AC">
        <w:rPr>
          <w:sz w:val="18"/>
          <w:szCs w:val="18"/>
          <w:lang w:val="en-US"/>
        </w:rPr>
        <w:t xml:space="preserve">both </w:t>
      </w:r>
      <w:r w:rsidR="00C168A8" w:rsidRPr="004A68AC">
        <w:rPr>
          <w:sz w:val="18"/>
          <w:szCs w:val="18"/>
          <w:lang w:val="en-US"/>
        </w:rPr>
        <w:t>‘</w:t>
      </w:r>
      <w:r w:rsidR="00FB6DCB" w:rsidRPr="004A68AC">
        <w:rPr>
          <w:sz w:val="18"/>
          <w:szCs w:val="18"/>
          <w:lang w:val="en-US"/>
        </w:rPr>
        <w:t>Class 1</w:t>
      </w:r>
      <w:r w:rsidR="00C168A8" w:rsidRPr="004A68AC">
        <w:rPr>
          <w:sz w:val="18"/>
          <w:szCs w:val="18"/>
          <w:lang w:val="en-US"/>
        </w:rPr>
        <w:t>’</w:t>
      </w:r>
      <w:r w:rsidR="00FB6DCB" w:rsidRPr="004A68AC">
        <w:rPr>
          <w:sz w:val="18"/>
          <w:szCs w:val="18"/>
          <w:lang w:val="en-US"/>
        </w:rPr>
        <w:t xml:space="preserve"> and </w:t>
      </w:r>
      <w:r w:rsidR="00C168A8" w:rsidRPr="004A68AC">
        <w:rPr>
          <w:sz w:val="18"/>
          <w:szCs w:val="18"/>
          <w:lang w:val="en-US"/>
        </w:rPr>
        <w:t>‘</w:t>
      </w:r>
      <w:r w:rsidR="00FB6DCB" w:rsidRPr="004A68AC">
        <w:rPr>
          <w:sz w:val="18"/>
          <w:szCs w:val="18"/>
          <w:lang w:val="en-US"/>
        </w:rPr>
        <w:t>Class 2</w:t>
      </w:r>
      <w:r w:rsidR="00C168A8" w:rsidRPr="004A68AC">
        <w:rPr>
          <w:sz w:val="18"/>
          <w:szCs w:val="18"/>
          <w:lang w:val="en-US"/>
        </w:rPr>
        <w:t>’</w:t>
      </w:r>
      <w:r w:rsidR="00FB6DCB" w:rsidRPr="004A68AC">
        <w:rPr>
          <w:sz w:val="18"/>
          <w:szCs w:val="18"/>
          <w:lang w:val="en-US"/>
        </w:rPr>
        <w:t xml:space="preserve"> criteria must be classified as </w:t>
      </w:r>
      <w:r w:rsidR="00C168A8" w:rsidRPr="004A68AC">
        <w:rPr>
          <w:sz w:val="18"/>
          <w:szCs w:val="18"/>
          <w:lang w:val="en-US"/>
        </w:rPr>
        <w:t>‘</w:t>
      </w:r>
      <w:r w:rsidR="00FB6DCB" w:rsidRPr="004A68AC">
        <w:rPr>
          <w:sz w:val="18"/>
          <w:szCs w:val="18"/>
          <w:lang w:val="en-US"/>
        </w:rPr>
        <w:t>Class 1</w:t>
      </w:r>
      <w:r w:rsidR="00C168A8" w:rsidRPr="004A68AC">
        <w:rPr>
          <w:sz w:val="18"/>
          <w:szCs w:val="18"/>
          <w:lang w:val="en-US"/>
        </w:rPr>
        <w:t>’</w:t>
      </w:r>
      <w:r w:rsidR="00FB6DCB" w:rsidRPr="004A68AC">
        <w:rPr>
          <w:sz w:val="18"/>
          <w:szCs w:val="18"/>
          <w:lang w:val="en-US"/>
        </w:rPr>
        <w:t>.</w:t>
      </w:r>
    </w:p>
    <w:p w14:paraId="0439596F" w14:textId="74674701" w:rsidR="001740B0" w:rsidRPr="004A68AC" w:rsidRDefault="000731C2" w:rsidP="00BA64B1">
      <w:pPr>
        <w:rPr>
          <w:sz w:val="18"/>
          <w:szCs w:val="18"/>
          <w:lang w:val="en-US"/>
        </w:rPr>
      </w:pPr>
      <w:r w:rsidRPr="004A68AC">
        <w:rPr>
          <w:sz w:val="18"/>
          <w:szCs w:val="18"/>
          <w:vertAlign w:val="superscript"/>
          <w:lang w:val="en-US"/>
        </w:rPr>
        <w:t>2</w:t>
      </w:r>
      <w:r w:rsidR="00243C5B" w:rsidRPr="004A68AC">
        <w:rPr>
          <w:sz w:val="18"/>
          <w:szCs w:val="18"/>
          <w:lang w:val="en-US"/>
        </w:rPr>
        <w:t xml:space="preserve"> </w:t>
      </w:r>
      <w:r w:rsidR="0040554B" w:rsidRPr="004A68AC">
        <w:rPr>
          <w:sz w:val="18"/>
          <w:szCs w:val="18"/>
          <w:lang w:val="en-US"/>
        </w:rPr>
        <w:t>I</w:t>
      </w:r>
      <w:r w:rsidR="001740B0" w:rsidRPr="004A68AC">
        <w:rPr>
          <w:sz w:val="18"/>
          <w:szCs w:val="18"/>
          <w:lang w:val="en-US"/>
        </w:rPr>
        <w:t xml:space="preserve">nterpolation </w:t>
      </w:r>
      <w:r w:rsidR="0040554B" w:rsidRPr="004A68AC">
        <w:rPr>
          <w:sz w:val="18"/>
          <w:szCs w:val="18"/>
          <w:lang w:val="en-US"/>
        </w:rPr>
        <w:t>must</w:t>
      </w:r>
      <w:r w:rsidR="001740B0" w:rsidRPr="004A68AC">
        <w:rPr>
          <w:sz w:val="18"/>
          <w:szCs w:val="18"/>
          <w:lang w:val="en-US"/>
        </w:rPr>
        <w:t xml:space="preserve"> be made for web and flange slenderness limits. The lower plastic rotation limit should be taken for each limit state.</w:t>
      </w:r>
    </w:p>
    <w:p w14:paraId="570E4BDD" w14:textId="1549014F" w:rsidR="000309C9" w:rsidRPr="004A68AC" w:rsidRDefault="000731C2" w:rsidP="00BA64B1">
      <w:pPr>
        <w:rPr>
          <w:sz w:val="18"/>
          <w:szCs w:val="18"/>
          <w:lang w:val="en-US"/>
        </w:rPr>
      </w:pPr>
      <w:r w:rsidRPr="004A68AC">
        <w:rPr>
          <w:sz w:val="18"/>
          <w:szCs w:val="18"/>
          <w:vertAlign w:val="superscript"/>
          <w:lang w:val="en-US"/>
        </w:rPr>
        <w:t>3</w:t>
      </w:r>
      <w:r w:rsidR="001740B0" w:rsidRPr="004A68AC">
        <w:rPr>
          <w:sz w:val="18"/>
          <w:szCs w:val="18"/>
          <w:lang w:val="en-US"/>
        </w:rPr>
        <w:t xml:space="preserve"> </w:t>
      </w:r>
      <w:r w:rsidR="0040554B" w:rsidRPr="004A68AC">
        <w:rPr>
          <w:sz w:val="18"/>
          <w:szCs w:val="18"/>
          <w:lang w:val="en-US"/>
        </w:rPr>
        <w:t>S</w:t>
      </w:r>
      <w:r w:rsidR="00243C5B" w:rsidRPr="004A68AC">
        <w:rPr>
          <w:sz w:val="18"/>
          <w:szCs w:val="18"/>
          <w:lang w:val="en-US"/>
        </w:rPr>
        <w:t xml:space="preserve">lenderness limits in </w:t>
      </w:r>
      <w:r w:rsidR="009630B4" w:rsidRPr="004A68AC">
        <w:rPr>
          <w:sz w:val="18"/>
          <w:szCs w:val="18"/>
          <w:lang w:val="en-US"/>
        </w:rPr>
        <w:t>ASCE 41</w:t>
      </w:r>
      <w:r w:rsidR="00243C5B" w:rsidRPr="004A68AC">
        <w:rPr>
          <w:sz w:val="18"/>
          <w:szCs w:val="18"/>
          <w:lang w:val="en-US"/>
        </w:rPr>
        <w:t xml:space="preserve">-17 </w:t>
      </w:r>
      <w:r w:rsidR="00243C5B" w:rsidRPr="004A68AC">
        <w:rPr>
          <w:sz w:val="18"/>
          <w:szCs w:val="18"/>
          <w:lang w:val="en-US"/>
        </w:rPr>
        <w:fldChar w:fldCharType="begin" w:fldLock="1"/>
      </w:r>
      <w:r w:rsidR="005C47A3" w:rsidRPr="004A68AC">
        <w:rPr>
          <w:sz w:val="18"/>
          <w:szCs w:val="18"/>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243C5B" w:rsidRPr="004A68AC">
        <w:rPr>
          <w:sz w:val="18"/>
          <w:szCs w:val="18"/>
          <w:lang w:val="en-US"/>
        </w:rPr>
        <w:fldChar w:fldCharType="separate"/>
      </w:r>
      <w:r w:rsidR="00B339CD" w:rsidRPr="004A68AC">
        <w:rPr>
          <w:noProof/>
          <w:sz w:val="18"/>
          <w:szCs w:val="18"/>
          <w:lang w:val="en-US"/>
        </w:rPr>
        <w:t>[19]</w:t>
      </w:r>
      <w:r w:rsidR="00243C5B" w:rsidRPr="004A68AC">
        <w:rPr>
          <w:sz w:val="18"/>
          <w:szCs w:val="18"/>
          <w:lang w:val="en-US"/>
        </w:rPr>
        <w:fldChar w:fldCharType="end"/>
      </w:r>
      <w:r w:rsidR="00AA1C80" w:rsidRPr="004A68AC">
        <w:rPr>
          <w:sz w:val="18"/>
          <w:szCs w:val="18"/>
          <w:lang w:val="en-US"/>
        </w:rPr>
        <w:t xml:space="preserve"> are </w:t>
      </w:r>
      <w:r w:rsidR="0040554B" w:rsidRPr="004A68AC">
        <w:rPr>
          <w:sz w:val="18"/>
          <w:szCs w:val="18"/>
          <w:lang w:val="en-US"/>
        </w:rPr>
        <w:t xml:space="preserve">function </w:t>
      </w:r>
      <w:r w:rsidR="00AA1C80" w:rsidRPr="004A68AC">
        <w:rPr>
          <w:sz w:val="18"/>
          <w:szCs w:val="18"/>
          <w:lang w:val="en-US"/>
        </w:rPr>
        <w:t>of E</w:t>
      </w:r>
      <w:r w:rsidR="0040554B" w:rsidRPr="004A68AC">
        <w:rPr>
          <w:sz w:val="18"/>
          <w:szCs w:val="18"/>
          <w:lang w:val="en-US"/>
        </w:rPr>
        <w:t xml:space="preserve"> which </w:t>
      </w:r>
      <w:r w:rsidR="001409E7" w:rsidRPr="004A68AC">
        <w:rPr>
          <w:sz w:val="18"/>
          <w:szCs w:val="18"/>
          <w:lang w:val="en-US"/>
        </w:rPr>
        <w:t xml:space="preserve">is assumed </w:t>
      </w:r>
      <w:r w:rsidR="0040554B" w:rsidRPr="004A68AC">
        <w:rPr>
          <w:sz w:val="18"/>
          <w:szCs w:val="18"/>
          <w:lang w:val="en-US"/>
        </w:rPr>
        <w:t>as 210 GPa t</w:t>
      </w:r>
      <w:r w:rsidR="001409E7" w:rsidRPr="004A68AC">
        <w:rPr>
          <w:sz w:val="18"/>
          <w:szCs w:val="18"/>
          <w:lang w:val="en-US"/>
        </w:rPr>
        <w:t xml:space="preserve">o allow </w:t>
      </w:r>
      <w:r w:rsidR="0040554B" w:rsidRPr="004A68AC">
        <w:rPr>
          <w:sz w:val="18"/>
          <w:szCs w:val="18"/>
          <w:lang w:val="en-US"/>
        </w:rPr>
        <w:t xml:space="preserve">the </w:t>
      </w:r>
      <w:r w:rsidR="001409E7" w:rsidRPr="004A68AC">
        <w:rPr>
          <w:sz w:val="18"/>
          <w:szCs w:val="18"/>
          <w:lang w:val="en-US"/>
        </w:rPr>
        <w:t>direct comparison on the codes.</w:t>
      </w:r>
    </w:p>
    <w:p w14:paraId="0968E138" w14:textId="77777777" w:rsidR="00521F85" w:rsidRPr="004A68AC" w:rsidRDefault="00521F85" w:rsidP="00521F85">
      <w:pPr>
        <w:rPr>
          <w:lang w:val="en-US" w:eastAsia="it-IT"/>
        </w:rPr>
      </w:pPr>
    </w:p>
    <w:p w14:paraId="6A49974A" w14:textId="10F7867C" w:rsidR="00B30B50" w:rsidRPr="004A68AC" w:rsidRDefault="00521F85" w:rsidP="00B30B50">
      <w:pPr>
        <w:rPr>
          <w:lang w:val="en-US" w:eastAsia="it-IT"/>
        </w:rPr>
      </w:pPr>
      <w:r w:rsidRPr="004A68AC">
        <w:rPr>
          <w:lang w:val="en-US" w:eastAsia="it-IT"/>
        </w:rPr>
        <w:t xml:space="preserve">     As the definition of the slenderness parameters is different for the European and the American codes in </w:t>
      </w:r>
      <w:r w:rsidRPr="004A68AC">
        <w:rPr>
          <w:lang w:val="en-US" w:eastAsia="it-IT"/>
        </w:rPr>
        <w:fldChar w:fldCharType="begin" w:fldLock="1"/>
      </w:r>
      <w:r w:rsidRPr="004A68AC">
        <w:rPr>
          <w:lang w:val="en-US" w:eastAsia="it-IT"/>
        </w:rPr>
        <w:instrText xml:space="preserve"> REF _Ref38548617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3</w:t>
      </w:r>
      <w:r w:rsidRPr="004A68AC">
        <w:rPr>
          <w:lang w:val="en-US" w:eastAsia="it-IT"/>
        </w:rPr>
        <w:fldChar w:fldCharType="end"/>
      </w:r>
      <w:r w:rsidRPr="004A68AC">
        <w:rPr>
          <w:lang w:val="en-US" w:eastAsia="it-IT"/>
        </w:rPr>
        <w:t xml:space="preserve">, the comparison between slenderness limits in the codes has to be done on a case by case basis. </w:t>
      </w:r>
      <w:r w:rsidRPr="004A68AC">
        <w:rPr>
          <w:lang w:val="en-US" w:eastAsia="it-IT"/>
        </w:rPr>
        <w:fldChar w:fldCharType="begin" w:fldLock="1"/>
      </w:r>
      <w:r w:rsidRPr="004A68AC">
        <w:rPr>
          <w:lang w:val="en-US" w:eastAsia="it-IT"/>
        </w:rPr>
        <w:instrText xml:space="preserve"> REF _Ref47719082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3</w:t>
      </w:r>
      <w:r w:rsidRPr="004A68AC">
        <w:rPr>
          <w:lang w:val="en-US" w:eastAsia="it-IT"/>
        </w:rPr>
        <w:fldChar w:fldCharType="end"/>
      </w:r>
      <w:r w:rsidRPr="004A68AC">
        <w:rPr>
          <w:lang w:val="en-US" w:eastAsia="it-IT"/>
        </w:rPr>
        <w:t>, shows the relationship</w:t>
      </w:r>
      <w:r w:rsidR="00CC691C" w:rsidRPr="004A68AC">
        <w:rPr>
          <w:lang w:val="en-US" w:eastAsia="it-IT"/>
        </w:rPr>
        <w:t xml:space="preserve"> </w:t>
      </w:r>
      <w:r w:rsidR="00B30B50" w:rsidRPr="004A68AC">
        <w:rPr>
          <w:lang w:val="en-US" w:eastAsia="it-IT"/>
        </w:rPr>
        <w:t xml:space="preserve">between the slenderness parameters as defined in Eqs. 6 and 7, considering both European (IPE and HE) and American steel sections (W sections). </w:t>
      </w:r>
      <w:r w:rsidR="003274E9" w:rsidRPr="004A68AC">
        <w:rPr>
          <w:lang w:val="en-US" w:eastAsia="it-IT"/>
        </w:rPr>
        <w:t>E</w:t>
      </w:r>
      <w:r w:rsidR="00B30B50" w:rsidRPr="004A68AC">
        <w:rPr>
          <w:lang w:val="en-US" w:eastAsia="it-IT"/>
        </w:rPr>
        <w:t>uropean profiles tend to have slightly higher α</w:t>
      </w:r>
      <w:r w:rsidR="00B30B50" w:rsidRPr="004A68AC">
        <w:rPr>
          <w:vertAlign w:val="subscript"/>
          <w:lang w:val="en-US" w:eastAsia="it-IT"/>
        </w:rPr>
        <w:t>A</w:t>
      </w:r>
      <w:r w:rsidR="00B30B50" w:rsidRPr="004A68AC">
        <w:rPr>
          <w:lang w:val="en-US" w:eastAsia="it-IT"/>
        </w:rPr>
        <w:t xml:space="preserve"> to α</w:t>
      </w:r>
      <w:r w:rsidR="00B30B50" w:rsidRPr="004A68AC">
        <w:rPr>
          <w:vertAlign w:val="subscript"/>
          <w:lang w:val="en-US" w:eastAsia="it-IT"/>
        </w:rPr>
        <w:t>E</w:t>
      </w:r>
      <w:r w:rsidR="00B30B50" w:rsidRPr="004A68AC">
        <w:rPr>
          <w:lang w:val="en-US" w:eastAsia="it-IT"/>
        </w:rPr>
        <w:t xml:space="preserve"> and β</w:t>
      </w:r>
      <w:r w:rsidR="00B30B50" w:rsidRPr="004A68AC">
        <w:rPr>
          <w:vertAlign w:val="subscript"/>
          <w:lang w:val="en-US" w:eastAsia="it-IT"/>
        </w:rPr>
        <w:t>A</w:t>
      </w:r>
      <w:r w:rsidR="00B30B50" w:rsidRPr="004A68AC">
        <w:rPr>
          <w:lang w:val="en-US" w:eastAsia="it-IT"/>
        </w:rPr>
        <w:t xml:space="preserve"> to β</w:t>
      </w:r>
      <w:r w:rsidR="00B30B50" w:rsidRPr="004A68AC">
        <w:rPr>
          <w:vertAlign w:val="subscript"/>
          <w:lang w:val="en-US" w:eastAsia="it-IT"/>
        </w:rPr>
        <w:t>E</w:t>
      </w:r>
      <w:r w:rsidR="00B30B50" w:rsidRPr="004A68AC">
        <w:rPr>
          <w:lang w:val="en-US" w:eastAsia="it-IT"/>
        </w:rPr>
        <w:t xml:space="preserve"> ratios when compared to American ones, which reflects a generally larger relative size of the web-to-flange fillet in the European shapes. However, the full IPE, HE and W steel shape catalogues were used for the fitting of a linear relationship between the slenderness parameters to allow a general comparison between codes.</w:t>
      </w:r>
    </w:p>
    <w:p w14:paraId="4143C415" w14:textId="77777777" w:rsidR="001841D9" w:rsidRPr="004A68AC" w:rsidRDefault="001841D9" w:rsidP="00B30B50">
      <w:pPr>
        <w:rPr>
          <w:lang w:val="en-US" w:eastAsia="it-IT"/>
        </w:rPr>
      </w:pPr>
    </w:p>
    <w:p w14:paraId="3DF1C886" w14:textId="77777777" w:rsidR="00A87774" w:rsidRPr="004A68AC" w:rsidRDefault="00A87774" w:rsidP="00A87774">
      <w:pPr>
        <w:pStyle w:val="Caption"/>
        <w:spacing w:after="0"/>
        <w:rPr>
          <w:b/>
          <w:lang w:val="en-US"/>
        </w:rPr>
      </w:pPr>
      <w:bookmarkStart w:id="13" w:name="_Ref44368314"/>
      <w:r w:rsidRPr="004A68AC">
        <w:rPr>
          <w:noProof/>
          <w:lang w:val="en-US" w:eastAsia="en-GB"/>
        </w:rPr>
        <w:lastRenderedPageBreak/>
        <mc:AlternateContent>
          <mc:Choice Requires="wps">
            <w:drawing>
              <wp:anchor distT="0" distB="0" distL="114300" distR="114300" simplePos="0" relativeHeight="251820032" behindDoc="0" locked="0" layoutInCell="1" allowOverlap="1" wp14:anchorId="356A982B" wp14:editId="555C8974">
                <wp:simplePos x="0" y="0"/>
                <wp:positionH relativeFrom="column">
                  <wp:posOffset>3517435</wp:posOffset>
                </wp:positionH>
                <wp:positionV relativeFrom="paragraph">
                  <wp:posOffset>190348</wp:posOffset>
                </wp:positionV>
                <wp:extent cx="743803" cy="682388"/>
                <wp:effectExtent l="0" t="0" r="18415" b="22860"/>
                <wp:wrapNone/>
                <wp:docPr id="73" name="Rectangle 73"/>
                <wp:cNvGraphicFramePr/>
                <a:graphic xmlns:a="http://schemas.openxmlformats.org/drawingml/2006/main">
                  <a:graphicData uri="http://schemas.microsoft.com/office/word/2010/wordprocessingShape">
                    <wps:wsp>
                      <wps:cNvSpPr/>
                      <wps:spPr>
                        <a:xfrm>
                          <a:off x="0" y="0"/>
                          <a:ext cx="743803" cy="68238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A9D91DC" w14:textId="77777777" w:rsidR="00F534F9" w:rsidRPr="00467AE7" w:rsidRDefault="00204274" w:rsidP="00A87774">
                            <w:pPr>
                              <w:jc w:val="center"/>
                              <w:rPr>
                                <w:rFonts w:asciiTheme="minorHAnsi" w:eastAsiaTheme="minorEastAsia" w:hAnsiTheme="minorHAnsi" w:cstheme="minorBidi"/>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r>
                                      <m:rPr>
                                        <m:sty m:val="p"/>
                                      </m:rPr>
                                      <w:rPr>
                                        <w:rFonts w:ascii="Cambria Math" w:hAnsi="Cambria Math"/>
                                        <w:sz w:val="14"/>
                                        <w:szCs w:val="14"/>
                                        <w:lang w:val="en-US"/>
                                      </w:rPr>
                                      <m:t>c</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49F1770B" w14:textId="77777777" w:rsidR="00F534F9" w:rsidRPr="00467AE7" w:rsidRDefault="00204274" w:rsidP="00A87774">
                            <w:pPr>
                              <w:jc w:val="center"/>
                              <w:rPr>
                                <w:rFonts w:asciiTheme="minorHAnsi" w:eastAsiaTheme="minorEastAsia" w:hAnsiTheme="minorHAnsi" w:cstheme="minorBidi"/>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A</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sSub>
                                      <m:sSubPr>
                                        <m:ctrlPr>
                                          <w:rPr>
                                            <w:rFonts w:ascii="Cambria Math" w:hAnsi="Cambria Math"/>
                                            <w:sz w:val="14"/>
                                            <w:szCs w:val="14"/>
                                            <w:lang w:val="en-US"/>
                                          </w:rPr>
                                        </m:ctrlPr>
                                      </m:sSubPr>
                                      <m:e>
                                        <m:r>
                                          <m:rPr>
                                            <m:sty m:val="p"/>
                                          </m:rPr>
                                          <w:rPr>
                                            <w:rFonts w:ascii="Cambria Math" w:hAnsi="Cambria Math"/>
                                            <w:sz w:val="14"/>
                                            <w:szCs w:val="14"/>
                                            <w:lang w:val="en-US"/>
                                          </w:rPr>
                                          <m:t>b</m:t>
                                        </m:r>
                                      </m:e>
                                      <m:sub>
                                        <m:r>
                                          <m:rPr>
                                            <m:sty m:val="p"/>
                                          </m:rPr>
                                          <w:rPr>
                                            <w:rFonts w:ascii="Cambria Math" w:hAnsi="Cambria Math"/>
                                            <w:sz w:val="14"/>
                                            <w:szCs w:val="14"/>
                                            <w:lang w:val="en-US"/>
                                          </w:rPr>
                                          <m:t>f</m:t>
                                        </m:r>
                                      </m:sub>
                                    </m:sSub>
                                  </m:num>
                                  <m:den>
                                    <m:r>
                                      <w:rPr>
                                        <w:rFonts w:ascii="Cambria Math" w:hAnsi="Cambria Math"/>
                                        <w:sz w:val="14"/>
                                        <w:szCs w:val="14"/>
                                        <w:lang w:val="en-US"/>
                                      </w:rPr>
                                      <m:t>2</m:t>
                                    </m:r>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982B" id="Rectangle 73" o:spid="_x0000_s1030" style="position:absolute;left:0;text-align:left;margin-left:276.95pt;margin-top:15pt;width:58.55pt;height:5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" fillcolor="white [3201]" strokecolor="black [3200]">
                <v:textbox>
                  <w:txbxContent>
                    <w:p w14:paraId="3A9D91DC" w14:textId="77777777" w:rsidR="00F534F9" w:rsidRPr="00467AE7" w:rsidRDefault="00204274" w:rsidP="00A87774">
                      <w:pPr>
                        <w:jc w:val="center"/>
                        <w:rPr>
                          <w:rFonts w:asciiTheme="minorHAnsi" w:eastAsiaTheme="minorEastAsia" w:hAnsiTheme="minorHAnsi" w:cstheme="minorBidi"/>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r>
                                <m:rPr>
                                  <m:sty m:val="p"/>
                                </m:rPr>
                                <w:rPr>
                                  <w:rFonts w:ascii="Cambria Math" w:hAnsi="Cambria Math"/>
                                  <w:sz w:val="14"/>
                                  <w:szCs w:val="14"/>
                                  <w:lang w:val="en-US"/>
                                </w:rPr>
                                <m:t>c</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49F1770B" w14:textId="77777777" w:rsidR="00F534F9" w:rsidRPr="00467AE7" w:rsidRDefault="00204274" w:rsidP="00A87774">
                      <w:pPr>
                        <w:jc w:val="center"/>
                        <w:rPr>
                          <w:rFonts w:asciiTheme="minorHAnsi" w:eastAsiaTheme="minorEastAsia" w:hAnsiTheme="minorHAnsi" w:cstheme="minorBidi"/>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A</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sSub>
                                <m:sSubPr>
                                  <m:ctrlPr>
                                    <w:rPr>
                                      <w:rFonts w:ascii="Cambria Math" w:hAnsi="Cambria Math"/>
                                      <w:sz w:val="14"/>
                                      <w:szCs w:val="14"/>
                                      <w:lang w:val="en-US"/>
                                    </w:rPr>
                                  </m:ctrlPr>
                                </m:sSubPr>
                                <m:e>
                                  <m:r>
                                    <m:rPr>
                                      <m:sty m:val="p"/>
                                    </m:rPr>
                                    <w:rPr>
                                      <w:rFonts w:ascii="Cambria Math" w:hAnsi="Cambria Math"/>
                                      <w:sz w:val="14"/>
                                      <w:szCs w:val="14"/>
                                      <w:lang w:val="en-US"/>
                                    </w:rPr>
                                    <m:t>b</m:t>
                                  </m:r>
                                </m:e>
                                <m:sub>
                                  <m:r>
                                    <m:rPr>
                                      <m:sty m:val="p"/>
                                    </m:rPr>
                                    <w:rPr>
                                      <w:rFonts w:ascii="Cambria Math" w:hAnsi="Cambria Math"/>
                                      <w:sz w:val="14"/>
                                      <w:szCs w:val="14"/>
                                      <w:lang w:val="en-US"/>
                                    </w:rPr>
                                    <m:t>f</m:t>
                                  </m:r>
                                </m:sub>
                              </m:sSub>
                            </m:num>
                            <m:den>
                              <m:r>
                                <w:rPr>
                                  <w:rFonts w:ascii="Cambria Math" w:hAnsi="Cambria Math"/>
                                  <w:sz w:val="14"/>
                                  <w:szCs w:val="14"/>
                                  <w:lang w:val="en-US"/>
                                </w:rPr>
                                <m:t>2</m:t>
                              </m:r>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v:textbox>
              </v:rect>
            </w:pict>
          </mc:Fallback>
        </mc:AlternateContent>
      </w:r>
      <w:r w:rsidRPr="004A68AC">
        <w:rPr>
          <w:noProof/>
          <w:lang w:val="en-US" w:eastAsia="en-GB"/>
        </w:rPr>
        <mc:AlternateContent>
          <mc:Choice Requires="wps">
            <w:drawing>
              <wp:anchor distT="0" distB="0" distL="114300" distR="114300" simplePos="0" relativeHeight="251819008" behindDoc="0" locked="0" layoutInCell="1" allowOverlap="1" wp14:anchorId="5A120D31" wp14:editId="0190F9C8">
                <wp:simplePos x="0" y="0"/>
                <wp:positionH relativeFrom="column">
                  <wp:posOffset>951761</wp:posOffset>
                </wp:positionH>
                <wp:positionV relativeFrom="paragraph">
                  <wp:posOffset>204555</wp:posOffset>
                </wp:positionV>
                <wp:extent cx="743803" cy="681990"/>
                <wp:effectExtent l="0" t="0" r="18415" b="22860"/>
                <wp:wrapNone/>
                <wp:docPr id="72" name="Rectangle 72"/>
                <wp:cNvGraphicFramePr/>
                <a:graphic xmlns:a="http://schemas.openxmlformats.org/drawingml/2006/main">
                  <a:graphicData uri="http://schemas.microsoft.com/office/word/2010/wordprocessingShape">
                    <wps:wsp>
                      <wps:cNvSpPr/>
                      <wps:spPr>
                        <a:xfrm>
                          <a:off x="0" y="0"/>
                          <a:ext cx="743803"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70BDD5" w14:textId="77777777" w:rsidR="00F534F9" w:rsidRPr="00467AE7" w:rsidRDefault="00204274" w:rsidP="00A87774">
                            <w:pPr>
                              <w:jc w:val="center"/>
                              <w:rPr>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r>
                                      <m:rPr>
                                        <m:sty m:val="p"/>
                                      </m:rPr>
                                      <w:rPr>
                                        <w:rFonts w:ascii="Cambria Math" w:hAnsi="Cambria Math"/>
                                        <w:sz w:val="14"/>
                                        <w:szCs w:val="14"/>
                                        <w:lang w:val="en-US"/>
                                      </w:rPr>
                                      <m:t>d</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332F703E" w14:textId="77777777" w:rsidR="00F534F9" w:rsidRPr="00467AE7" w:rsidRDefault="00204274" w:rsidP="00A87774">
                            <w:pPr>
                              <w:jc w:val="center"/>
                              <w:rPr>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A</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sSub>
                                      <m:sSubPr>
                                        <m:ctrlPr>
                                          <w:rPr>
                                            <w:rFonts w:ascii="Cambria Math" w:hAnsi="Cambria Math"/>
                                            <w:sz w:val="14"/>
                                            <w:szCs w:val="14"/>
                                            <w:lang w:val="en-US"/>
                                          </w:rPr>
                                        </m:ctrlPr>
                                      </m:sSubPr>
                                      <m:e>
                                        <m:r>
                                          <m:rPr>
                                            <m:sty m:val="p"/>
                                          </m:rPr>
                                          <w:rPr>
                                            <w:rFonts w:ascii="Cambria Math" w:hAnsi="Cambria Math"/>
                                            <w:sz w:val="14"/>
                                            <w:szCs w:val="14"/>
                                            <w:lang w:val="en-US"/>
                                          </w:rPr>
                                          <m:t>h</m:t>
                                        </m:r>
                                      </m:e>
                                      <m:sub>
                                        <m:r>
                                          <m:rPr>
                                            <m:sty m:val="p"/>
                                          </m:rPr>
                                          <w:rPr>
                                            <w:rFonts w:ascii="Cambria Math" w:hAnsi="Cambria Math"/>
                                            <w:sz w:val="14"/>
                                            <w:szCs w:val="14"/>
                                            <w:lang w:val="en-US"/>
                                          </w:rPr>
                                          <m:t>i</m:t>
                                        </m:r>
                                      </m:sub>
                                    </m:sSub>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0D31" id="Rectangle 72" o:spid="_x0000_s1031" style="position:absolute;left:0;text-align:left;margin-left:74.95pt;margin-top:16.1pt;width:58.55pt;height:53.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" fillcolor="white [3201]" strokecolor="black [3200]">
                <v:textbox>
                  <w:txbxContent>
                    <w:p w14:paraId="4F70BDD5" w14:textId="77777777" w:rsidR="00F534F9" w:rsidRPr="00467AE7" w:rsidRDefault="00204274" w:rsidP="00A87774">
                      <w:pPr>
                        <w:jc w:val="center"/>
                        <w:rPr>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r>
                                <m:rPr>
                                  <m:sty m:val="p"/>
                                </m:rPr>
                                <w:rPr>
                                  <w:rFonts w:ascii="Cambria Math" w:hAnsi="Cambria Math"/>
                                  <w:sz w:val="14"/>
                                  <w:szCs w:val="14"/>
                                  <w:lang w:val="en-US"/>
                                </w:rPr>
                                <m:t>d</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332F703E" w14:textId="77777777" w:rsidR="00F534F9" w:rsidRPr="00467AE7" w:rsidRDefault="00204274" w:rsidP="00A87774">
                      <w:pPr>
                        <w:jc w:val="center"/>
                        <w:rPr>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A</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sSub>
                                <m:sSubPr>
                                  <m:ctrlPr>
                                    <w:rPr>
                                      <w:rFonts w:ascii="Cambria Math" w:hAnsi="Cambria Math"/>
                                      <w:sz w:val="14"/>
                                      <w:szCs w:val="14"/>
                                      <w:lang w:val="en-US"/>
                                    </w:rPr>
                                  </m:ctrlPr>
                                </m:sSubPr>
                                <m:e>
                                  <m:r>
                                    <m:rPr>
                                      <m:sty m:val="p"/>
                                    </m:rPr>
                                    <w:rPr>
                                      <w:rFonts w:ascii="Cambria Math" w:hAnsi="Cambria Math"/>
                                      <w:sz w:val="14"/>
                                      <w:szCs w:val="14"/>
                                      <w:lang w:val="en-US"/>
                                    </w:rPr>
                                    <m:t>h</m:t>
                                  </m:r>
                                </m:e>
                                <m:sub>
                                  <m:r>
                                    <m:rPr>
                                      <m:sty m:val="p"/>
                                    </m:rPr>
                                    <w:rPr>
                                      <w:rFonts w:ascii="Cambria Math" w:hAnsi="Cambria Math"/>
                                      <w:sz w:val="14"/>
                                      <w:szCs w:val="14"/>
                                      <w:lang w:val="en-US"/>
                                    </w:rPr>
                                    <m:t>i</m:t>
                                  </m:r>
                                </m:sub>
                              </m:sSub>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v:textbox>
              </v:rect>
            </w:pict>
          </mc:Fallback>
        </mc:AlternateContent>
      </w:r>
      <w:r w:rsidRPr="004A68AC">
        <w:rPr>
          <w:noProof/>
          <w:lang w:val="en-US" w:eastAsia="en-GB"/>
        </w:rPr>
        <w:drawing>
          <wp:inline distT="0" distB="0" distL="0" distR="0" wp14:anchorId="31CB0D21" wp14:editId="55C3698E">
            <wp:extent cx="5386705" cy="2514600"/>
            <wp:effectExtent l="0" t="0" r="4445" b="0"/>
            <wp:docPr id="27" name="Picture 27" descr="C:\Users\Administrator\AppData\Local\Microsoft\Windows\INetCache\Content.Word\Slenderness_comparis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AppData\Local\Microsoft\Windows\INetCache\Content.Word\Slenderness_compariso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705" cy="2514600"/>
                    </a:xfrm>
                    <a:prstGeom prst="rect">
                      <a:avLst/>
                    </a:prstGeom>
                    <a:noFill/>
                    <a:ln>
                      <a:noFill/>
                    </a:ln>
                  </pic:spPr>
                </pic:pic>
              </a:graphicData>
            </a:graphic>
          </wp:inline>
        </w:drawing>
      </w:r>
    </w:p>
    <w:p w14:paraId="7FA699E3" w14:textId="690413E4" w:rsidR="00A87774" w:rsidRPr="004A68AC" w:rsidRDefault="00A87774" w:rsidP="00A87774">
      <w:pPr>
        <w:pStyle w:val="Caption"/>
        <w:spacing w:after="0"/>
        <w:rPr>
          <w:lang w:val="en-US"/>
        </w:rPr>
      </w:pPr>
      <w:bookmarkStart w:id="14" w:name="_Ref47719082"/>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Pr="004A68AC">
        <w:rPr>
          <w:b/>
          <w:noProof/>
          <w:lang w:val="en-US"/>
        </w:rPr>
        <w:t>3</w:t>
      </w:r>
      <w:r w:rsidRPr="004A68AC">
        <w:rPr>
          <w:b/>
          <w:lang w:val="en-US"/>
        </w:rPr>
        <w:fldChar w:fldCharType="end"/>
      </w:r>
      <w:bookmarkEnd w:id="13"/>
      <w:bookmarkEnd w:id="14"/>
      <w:r w:rsidRPr="004A68AC">
        <w:rPr>
          <w:b/>
          <w:lang w:val="en-US"/>
        </w:rPr>
        <w:t>.</w:t>
      </w:r>
      <w:r w:rsidRPr="004A68AC">
        <w:rPr>
          <w:lang w:val="en-US"/>
        </w:rPr>
        <w:t xml:space="preserve"> Relationship of slenderness parameters between the EC3-1-1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1993-1-1","id":"ITEM-1","issued":{"date-parts":[["2005"]]},"title":"Eurocode 3: Design of Steel Structures - Part 1-1: General Rules and Rules for Buildings","type":"article"},"uris":["http://www.mendeley.com/documents/?uuid=0fea690d-e9c3-4680-9a5d-7186f9caeed5"]}],"mendeley":{"formattedCitation":"[43]","plainTextFormattedCitation":"[43]","previouslyFormattedCitation":"[43]"},"properties":{"noteIndex":0},"schema":"https://github.com/citation-style-language/schema/raw/master/csl-citation.json"}</w:instrText>
      </w:r>
      <w:r w:rsidRPr="004A68AC">
        <w:rPr>
          <w:lang w:val="en-US"/>
        </w:rPr>
        <w:fldChar w:fldCharType="separate"/>
      </w:r>
      <w:r w:rsidR="005C2936" w:rsidRPr="004A68AC">
        <w:rPr>
          <w:noProof/>
          <w:lang w:val="en-US"/>
        </w:rPr>
        <w:t>[43]</w:t>
      </w:r>
      <w:r w:rsidRPr="004A68AC">
        <w:rPr>
          <w:lang w:val="en-US"/>
        </w:rPr>
        <w:fldChar w:fldCharType="end"/>
      </w:r>
      <w:r w:rsidRPr="004A68AC">
        <w:rPr>
          <w:lang w:val="en-US"/>
        </w:rPr>
        <w:t xml:space="preserve"> and the ASCE 41 </w:t>
      </w:r>
      <w:r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lang w:val="en-US"/>
        </w:rPr>
        <w:fldChar w:fldCharType="separate"/>
      </w:r>
      <w:r w:rsidRPr="004A68AC">
        <w:rPr>
          <w:noProof/>
          <w:lang w:val="en-US"/>
        </w:rPr>
        <w:t>[15,18,19]</w:t>
      </w:r>
      <w:r w:rsidRPr="004A68AC">
        <w:rPr>
          <w:lang w:val="en-US"/>
        </w:rPr>
        <w:fldChar w:fldCharType="end"/>
      </w:r>
      <w:r w:rsidRPr="004A68AC">
        <w:rPr>
          <w:lang w:val="en-US"/>
        </w:rPr>
        <w:t>, for European IPE and HE, and American W steel sections: (a) relationship between α</w:t>
      </w:r>
      <w:r w:rsidRPr="004A68AC">
        <w:rPr>
          <w:vertAlign w:val="subscript"/>
          <w:lang w:val="en-US"/>
        </w:rPr>
        <w:t>E</w:t>
      </w:r>
      <w:r w:rsidRPr="004A68AC">
        <w:rPr>
          <w:lang w:val="en-US"/>
        </w:rPr>
        <w:t xml:space="preserve"> and α</w:t>
      </w:r>
      <w:r w:rsidRPr="004A68AC">
        <w:rPr>
          <w:vertAlign w:val="subscript"/>
          <w:lang w:val="en-US"/>
        </w:rPr>
        <w:t>A</w:t>
      </w:r>
      <w:r w:rsidRPr="004A68AC">
        <w:rPr>
          <w:lang w:val="en-US"/>
        </w:rPr>
        <w:t>; (b) relationship between β</w:t>
      </w:r>
      <w:r w:rsidRPr="004A68AC">
        <w:rPr>
          <w:vertAlign w:val="subscript"/>
          <w:lang w:val="en-US"/>
        </w:rPr>
        <w:t>E</w:t>
      </w:r>
      <w:r w:rsidRPr="004A68AC">
        <w:rPr>
          <w:lang w:val="en-US"/>
        </w:rPr>
        <w:t xml:space="preserve"> and β</w:t>
      </w:r>
      <w:r w:rsidRPr="004A68AC">
        <w:rPr>
          <w:vertAlign w:val="subscript"/>
          <w:lang w:val="en-US"/>
        </w:rPr>
        <w:t>A</w:t>
      </w:r>
      <w:r w:rsidRPr="004A68AC">
        <w:rPr>
          <w:lang w:val="en-US"/>
        </w:rPr>
        <w:t>.</w:t>
      </w:r>
    </w:p>
    <w:p w14:paraId="27AE325F" w14:textId="77777777" w:rsidR="00A87774" w:rsidRPr="004A68AC" w:rsidRDefault="00A87774" w:rsidP="00B30B50">
      <w:pPr>
        <w:rPr>
          <w:lang w:val="en-US" w:eastAsia="it-IT"/>
        </w:rPr>
      </w:pPr>
    </w:p>
    <w:p w14:paraId="243DE38D" w14:textId="76AA5582" w:rsidR="00B30B50" w:rsidRPr="004A68AC" w:rsidRDefault="00B30B50" w:rsidP="00B30B50">
      <w:pPr>
        <w:rPr>
          <w:lang w:val="en-US"/>
        </w:rPr>
      </w:pPr>
      <w:r w:rsidRPr="004A68AC">
        <w:rPr>
          <w:lang w:val="en-US" w:eastAsia="it-IT"/>
        </w:rPr>
        <w:t xml:space="preserve">     </w:t>
      </w:r>
      <w:r w:rsidRPr="004A68AC">
        <w:rPr>
          <w:lang w:val="en-US" w:eastAsia="it-IT"/>
        </w:rPr>
        <w:fldChar w:fldCharType="begin" w:fldLock="1"/>
      </w:r>
      <w:r w:rsidRPr="004A68AC">
        <w:rPr>
          <w:lang w:val="en-US" w:eastAsia="it-IT"/>
        </w:rPr>
        <w:instrText xml:space="preserve"> REF _Ref47723210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4</w:t>
      </w:r>
      <w:r w:rsidRPr="004A68AC">
        <w:rPr>
          <w:lang w:val="en-US" w:eastAsia="it-IT"/>
        </w:rPr>
        <w:fldChar w:fldCharType="end"/>
      </w:r>
      <w:r w:rsidRPr="004A68AC">
        <w:rPr>
          <w:lang w:val="en-US" w:eastAsia="it-IT"/>
        </w:rPr>
        <w:t xml:space="preserve"> illustrates the comparison of the plastic rotation capacity limits between the codes. In order to allow the comparison of entire steel section catalogues, rather than individual shapes, the slenderness parameters for the ASCE 41 codes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lang w:val="en-US" w:eastAsia="it-IT"/>
        </w:rPr>
        <w:fldChar w:fldCharType="separate"/>
      </w:r>
      <w:r w:rsidRPr="004A68AC">
        <w:rPr>
          <w:noProof/>
          <w:lang w:val="en-US" w:eastAsia="it-IT"/>
        </w:rPr>
        <w:t>[15,18,19]</w:t>
      </w:r>
      <w:r w:rsidRPr="004A68AC">
        <w:rPr>
          <w:lang w:val="en-US" w:eastAsia="it-IT"/>
        </w:rPr>
        <w:fldChar w:fldCharType="end"/>
      </w:r>
      <w:r w:rsidRPr="004A68AC">
        <w:rPr>
          <w:lang w:val="en-US" w:eastAsia="it-IT"/>
        </w:rPr>
        <w:t xml:space="preserve"> (α</w:t>
      </w:r>
      <w:r w:rsidRPr="004A68AC">
        <w:rPr>
          <w:vertAlign w:val="subscript"/>
          <w:lang w:val="en-US" w:eastAsia="it-IT"/>
        </w:rPr>
        <w:t>A</w:t>
      </w:r>
      <w:r w:rsidRPr="004A68AC">
        <w:rPr>
          <w:lang w:val="en-US" w:eastAsia="it-IT"/>
        </w:rPr>
        <w:t xml:space="preserve"> and β</w:t>
      </w:r>
      <w:r w:rsidRPr="004A68AC">
        <w:rPr>
          <w:vertAlign w:val="subscript"/>
          <w:lang w:val="en-US" w:eastAsia="it-IT"/>
        </w:rPr>
        <w:t>A</w:t>
      </w:r>
      <w:r w:rsidRPr="004A68AC">
        <w:rPr>
          <w:lang w:val="en-US" w:eastAsia="it-IT"/>
        </w:rPr>
        <w:t>) were transformed into α</w:t>
      </w:r>
      <w:r w:rsidRPr="004A68AC">
        <w:rPr>
          <w:vertAlign w:val="subscript"/>
          <w:lang w:val="en-US" w:eastAsia="it-IT"/>
        </w:rPr>
        <w:t>E</w:t>
      </w:r>
      <w:r w:rsidRPr="004A68AC">
        <w:rPr>
          <w:lang w:val="en-US" w:eastAsia="it-IT"/>
        </w:rPr>
        <w:t xml:space="preserve"> and β</w:t>
      </w:r>
      <w:r w:rsidRPr="004A68AC">
        <w:rPr>
          <w:vertAlign w:val="subscript"/>
          <w:lang w:val="en-US" w:eastAsia="it-IT"/>
        </w:rPr>
        <w:t>E</w:t>
      </w:r>
      <w:r w:rsidRPr="004A68AC">
        <w:rPr>
          <w:lang w:val="en-US" w:eastAsia="it-IT"/>
        </w:rPr>
        <w:t xml:space="preserve"> terms, by using the regression from </w:t>
      </w:r>
      <w:r w:rsidRPr="004A68AC">
        <w:rPr>
          <w:lang w:val="en-US" w:eastAsia="it-IT"/>
        </w:rPr>
        <w:fldChar w:fldCharType="begin" w:fldLock="1"/>
      </w:r>
      <w:r w:rsidRPr="004A68AC">
        <w:rPr>
          <w:lang w:val="en-US" w:eastAsia="it-IT"/>
        </w:rPr>
        <w:instrText xml:space="preserve"> REF _Ref47719082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3</w:t>
      </w:r>
      <w:r w:rsidRPr="004A68AC">
        <w:rPr>
          <w:lang w:val="en-US" w:eastAsia="it-IT"/>
        </w:rPr>
        <w:fldChar w:fldCharType="end"/>
      </w:r>
      <w:r w:rsidRPr="004A68AC">
        <w:rPr>
          <w:lang w:val="en-US" w:eastAsia="it-IT"/>
        </w:rPr>
        <w:t xml:space="preserve">. As it can be observed,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Pr="004A68AC">
        <w:rPr>
          <w:noProof/>
          <w:lang w:val="en-US" w:eastAsia="it-IT"/>
        </w:rPr>
        <w:t>[13]</w:t>
      </w:r>
      <w:r w:rsidRPr="004A68AC">
        <w:rPr>
          <w:lang w:val="en-US" w:eastAsia="it-IT"/>
        </w:rPr>
        <w:fldChar w:fldCharType="end"/>
      </w:r>
      <w:r w:rsidRPr="004A68AC">
        <w:rPr>
          <w:lang w:val="en-US" w:eastAsia="it-IT"/>
        </w:rPr>
        <w:t xml:space="preserve"> provides less conservative capacity limits for all limit states, at most values of α</w:t>
      </w:r>
      <w:r w:rsidRPr="004A68AC">
        <w:rPr>
          <w:vertAlign w:val="subscript"/>
          <w:lang w:val="en-US" w:eastAsia="it-IT"/>
        </w:rPr>
        <w:t>E</w:t>
      </w:r>
      <w:r w:rsidRPr="004A68AC">
        <w:rPr>
          <w:lang w:val="en-US" w:eastAsia="it-IT"/>
        </w:rPr>
        <w:t xml:space="preserve">. </w:t>
      </w:r>
      <w:r w:rsidR="003274E9" w:rsidRPr="004A68AC">
        <w:rPr>
          <w:lang w:val="en-US" w:eastAsia="it-IT"/>
        </w:rPr>
        <w:t>M</w:t>
      </w:r>
      <w:r w:rsidRPr="004A68AC">
        <w:rPr>
          <w:lang w:val="en-US" w:eastAsia="it-IT"/>
        </w:rPr>
        <w:t xml:space="preserve">ost of the catalogue sections shown in </w:t>
      </w:r>
      <w:r w:rsidRPr="004A68AC">
        <w:rPr>
          <w:lang w:val="en-US" w:eastAsia="it-IT"/>
        </w:rPr>
        <w:fldChar w:fldCharType="begin" w:fldLock="1"/>
      </w:r>
      <w:r w:rsidRPr="004A68AC">
        <w:rPr>
          <w:lang w:val="en-US" w:eastAsia="it-IT"/>
        </w:rPr>
        <w:instrText xml:space="preserve"> REF _Ref47719082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3</w:t>
      </w:r>
      <w:r w:rsidRPr="004A68AC">
        <w:rPr>
          <w:lang w:val="en-US" w:eastAsia="it-IT"/>
        </w:rPr>
        <w:fldChar w:fldCharType="end"/>
      </w:r>
      <w:r w:rsidRPr="004A68AC">
        <w:rPr>
          <w:lang w:val="en-US" w:eastAsia="it-IT"/>
        </w:rPr>
        <w:t xml:space="preserve"> exhibit values of α</w:t>
      </w:r>
      <w:r w:rsidRPr="004A68AC">
        <w:rPr>
          <w:vertAlign w:val="subscript"/>
          <w:lang w:val="en-US" w:eastAsia="it-IT"/>
        </w:rPr>
        <w:t>E</w:t>
      </w:r>
      <w:r w:rsidRPr="004A68AC">
        <w:rPr>
          <w:lang w:val="en-US" w:eastAsia="it-IT"/>
        </w:rPr>
        <w:t xml:space="preserve"> &lt; 1100, for steel A572, therefore, would be catalogued as web ‘Class 1’. On the other hand, depending on the value of the slenderness parameter β</w:t>
      </w:r>
      <w:r w:rsidRPr="004A68AC">
        <w:rPr>
          <w:vertAlign w:val="subscript"/>
          <w:lang w:val="en-US" w:eastAsia="it-IT"/>
        </w:rPr>
        <w:t>E</w:t>
      </w:r>
      <w:r w:rsidRPr="004A68AC">
        <w:rPr>
          <w:lang w:val="en-US" w:eastAsia="it-IT"/>
        </w:rPr>
        <w:t>, the capacity values may be more or</w:t>
      </w:r>
      <w:r w:rsidR="001841D9" w:rsidRPr="004A68AC">
        <w:rPr>
          <w:lang w:val="en-US" w:eastAsia="it-IT"/>
        </w:rPr>
        <w:t xml:space="preserve"> less conservative in the EC8-3 </w:t>
      </w:r>
      <w:r w:rsidR="001841D9"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1841D9" w:rsidRPr="004A68AC">
        <w:rPr>
          <w:lang w:val="en-US" w:eastAsia="it-IT"/>
        </w:rPr>
        <w:fldChar w:fldCharType="separate"/>
      </w:r>
      <w:r w:rsidR="001841D9" w:rsidRPr="004A68AC">
        <w:rPr>
          <w:noProof/>
          <w:lang w:val="en-US" w:eastAsia="it-IT"/>
        </w:rPr>
        <w:t>[13]</w:t>
      </w:r>
      <w:r w:rsidR="001841D9" w:rsidRPr="004A68AC">
        <w:rPr>
          <w:lang w:val="en-US" w:eastAsia="it-IT"/>
        </w:rPr>
        <w:fldChar w:fldCharType="end"/>
      </w:r>
      <w:r w:rsidR="001841D9" w:rsidRPr="004A68AC">
        <w:rPr>
          <w:lang w:val="en-US" w:eastAsia="it-IT"/>
        </w:rPr>
        <w:t xml:space="preserve"> than in the ASCE 41 </w:t>
      </w:r>
      <w:r w:rsidR="001841D9"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1841D9" w:rsidRPr="004A68AC">
        <w:rPr>
          <w:lang w:val="en-US" w:eastAsia="it-IT"/>
        </w:rPr>
        <w:fldChar w:fldCharType="separate"/>
      </w:r>
      <w:r w:rsidR="001841D9" w:rsidRPr="004A68AC">
        <w:rPr>
          <w:noProof/>
          <w:lang w:val="en-US" w:eastAsia="it-IT"/>
        </w:rPr>
        <w:t>[15,18,19]</w:t>
      </w:r>
      <w:r w:rsidR="001841D9" w:rsidRPr="004A68AC">
        <w:rPr>
          <w:lang w:val="en-US" w:eastAsia="it-IT"/>
        </w:rPr>
        <w:fldChar w:fldCharType="end"/>
      </w:r>
      <w:r w:rsidR="001841D9" w:rsidRPr="004A68AC">
        <w:rPr>
          <w:lang w:val="en-US" w:eastAsia="it-IT"/>
        </w:rPr>
        <w:t xml:space="preserve">. As </w:t>
      </w:r>
      <w:r w:rsidR="001841D9" w:rsidRPr="004A68AC">
        <w:rPr>
          <w:lang w:val="en-US" w:eastAsia="it-IT"/>
        </w:rPr>
        <w:fldChar w:fldCharType="begin" w:fldLock="1"/>
      </w:r>
      <w:r w:rsidR="001841D9" w:rsidRPr="004A68AC">
        <w:rPr>
          <w:lang w:val="en-US" w:eastAsia="it-IT"/>
        </w:rPr>
        <w:instrText xml:space="preserve"> REF _Ref47723210 \h  \* MERGEFORMAT </w:instrText>
      </w:r>
      <w:r w:rsidR="001841D9" w:rsidRPr="004A68AC">
        <w:rPr>
          <w:lang w:val="en-US" w:eastAsia="it-IT"/>
        </w:rPr>
      </w:r>
      <w:r w:rsidR="001841D9" w:rsidRPr="004A68AC">
        <w:rPr>
          <w:lang w:val="en-US" w:eastAsia="it-IT"/>
        </w:rPr>
        <w:fldChar w:fldCharType="separate"/>
      </w:r>
      <w:r w:rsidR="001841D9" w:rsidRPr="004A68AC">
        <w:rPr>
          <w:lang w:val="en-US"/>
        </w:rPr>
        <w:t xml:space="preserve">Figure </w:t>
      </w:r>
      <w:r w:rsidR="001841D9" w:rsidRPr="004A68AC">
        <w:rPr>
          <w:noProof/>
          <w:lang w:val="en-US"/>
        </w:rPr>
        <w:t>4</w:t>
      </w:r>
      <w:r w:rsidR="001841D9" w:rsidRPr="004A68AC">
        <w:rPr>
          <w:lang w:val="en-US" w:eastAsia="it-IT"/>
        </w:rPr>
        <w:fldChar w:fldCharType="end"/>
      </w:r>
      <w:r w:rsidR="001841D9" w:rsidRPr="004A68AC">
        <w:rPr>
          <w:lang w:val="en-US" w:eastAsia="it-IT"/>
        </w:rPr>
        <w:t xml:space="preserve"> is given in terms of θ</w:t>
      </w:r>
      <w:r w:rsidR="001841D9" w:rsidRPr="004A68AC">
        <w:rPr>
          <w:vertAlign w:val="subscript"/>
          <w:lang w:val="en-US" w:eastAsia="it-IT"/>
        </w:rPr>
        <w:t>y</w:t>
      </w:r>
      <w:r w:rsidR="001841D9" w:rsidRPr="004A68AC">
        <w:rPr>
          <w:lang w:val="en-US" w:eastAsia="it-IT"/>
        </w:rPr>
        <w:t>, the actual capacity values for the ASCE 41-17 may not be directly comparable with the rest of the codes, as the definition of θ</w:t>
      </w:r>
      <w:r w:rsidR="001841D9" w:rsidRPr="004A68AC">
        <w:rPr>
          <w:vertAlign w:val="subscript"/>
          <w:lang w:val="en-US" w:eastAsia="it-IT"/>
        </w:rPr>
        <w:t>y</w:t>
      </w:r>
      <w:r w:rsidR="001841D9" w:rsidRPr="004A68AC">
        <w:rPr>
          <w:lang w:val="en-US"/>
        </w:rPr>
        <w:t xml:space="preserve"> differs.</w:t>
      </w:r>
      <w:r w:rsidR="00A87774" w:rsidRPr="004A68AC">
        <w:rPr>
          <w:lang w:val="en-US" w:eastAsia="it-IT"/>
        </w:rPr>
        <w:br/>
      </w:r>
    </w:p>
    <w:p w14:paraId="190E8AD0" w14:textId="0788AB68" w:rsidR="005F5426" w:rsidRPr="004A68AC" w:rsidRDefault="00467AE7" w:rsidP="00730C57">
      <w:pPr>
        <w:jc w:val="center"/>
        <w:rPr>
          <w:lang w:val="en-US"/>
        </w:rPr>
      </w:pPr>
      <w:bookmarkStart w:id="15" w:name="_Ref38633997"/>
      <w:r w:rsidRPr="004A68AC">
        <w:rPr>
          <w:noProof/>
          <w:lang w:val="en-US" w:eastAsia="en-GB"/>
        </w:rPr>
        <mc:AlternateContent>
          <mc:Choice Requires="wps">
            <w:drawing>
              <wp:anchor distT="0" distB="0" distL="114300" distR="114300" simplePos="0" relativeHeight="251812864" behindDoc="0" locked="0" layoutInCell="1" allowOverlap="1" wp14:anchorId="44FA003C" wp14:editId="2E0AFCD2">
                <wp:simplePos x="0" y="0"/>
                <wp:positionH relativeFrom="column">
                  <wp:posOffset>2134036</wp:posOffset>
                </wp:positionH>
                <wp:positionV relativeFrom="paragraph">
                  <wp:posOffset>160968</wp:posOffset>
                </wp:positionV>
                <wp:extent cx="743803" cy="681990"/>
                <wp:effectExtent l="0" t="0" r="18415" b="22860"/>
                <wp:wrapNone/>
                <wp:docPr id="74" name="Rectangle 74"/>
                <wp:cNvGraphicFramePr/>
                <a:graphic xmlns:a="http://schemas.openxmlformats.org/drawingml/2006/main">
                  <a:graphicData uri="http://schemas.microsoft.com/office/word/2010/wordprocessingShape">
                    <wps:wsp>
                      <wps:cNvSpPr/>
                      <wps:spPr>
                        <a:xfrm>
                          <a:off x="0" y="0"/>
                          <a:ext cx="743803"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F71E062" w14:textId="77777777" w:rsidR="00F534F9" w:rsidRPr="00467AE7" w:rsidRDefault="00204274" w:rsidP="00467AE7">
                            <w:pPr>
                              <w:jc w:val="center"/>
                              <w:rPr>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r>
                                      <m:rPr>
                                        <m:sty m:val="p"/>
                                      </m:rPr>
                                      <w:rPr>
                                        <w:rFonts w:ascii="Cambria Math" w:hAnsi="Cambria Math"/>
                                        <w:sz w:val="14"/>
                                        <w:szCs w:val="14"/>
                                        <w:lang w:val="en-US"/>
                                      </w:rPr>
                                      <m:t>d</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6EB9C2A0" w14:textId="1AB05F6B" w:rsidR="00F534F9" w:rsidRPr="00467AE7" w:rsidRDefault="00204274" w:rsidP="00467AE7">
                            <w:pPr>
                              <w:jc w:val="center"/>
                              <w:rPr>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r>
                                      <m:rPr>
                                        <m:sty m:val="p"/>
                                      </m:rPr>
                                      <w:rPr>
                                        <w:rFonts w:ascii="Cambria Math" w:hAnsi="Cambria Math"/>
                                        <w:sz w:val="14"/>
                                        <w:szCs w:val="14"/>
                                        <w:lang w:val="en-US"/>
                                      </w:rPr>
                                      <m:t>c</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A003C" id="Rectangle 74" o:spid="_x0000_s1032" style="position:absolute;left:0;text-align:left;margin-left:168.05pt;margin-top:12.65pt;width:58.55pt;height:5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" fillcolor="white [3201]" strokecolor="black [3200]">
                <v:textbox>
                  <w:txbxContent>
                    <w:p w14:paraId="1F71E062" w14:textId="77777777" w:rsidR="00F534F9" w:rsidRPr="00467AE7" w:rsidRDefault="00204274" w:rsidP="00467AE7">
                      <w:pPr>
                        <w:jc w:val="center"/>
                        <w:rPr>
                          <w:sz w:val="14"/>
                          <w:szCs w:val="14"/>
                          <w:lang w:val="en-US"/>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α</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 </m:t>
                          </m:r>
                          <m:f>
                            <m:fPr>
                              <m:ctrlPr>
                                <w:rPr>
                                  <w:rFonts w:ascii="Cambria Math" w:hAnsi="Cambria Math"/>
                                  <w:sz w:val="14"/>
                                  <w:szCs w:val="14"/>
                                  <w:lang w:val="en-US"/>
                                </w:rPr>
                              </m:ctrlPr>
                            </m:fPr>
                            <m:num>
                              <m:r>
                                <m:rPr>
                                  <m:sty m:val="p"/>
                                </m:rPr>
                                <w:rPr>
                                  <w:rFonts w:ascii="Cambria Math" w:hAnsi="Cambria Math"/>
                                  <w:sz w:val="14"/>
                                  <w:szCs w:val="14"/>
                                  <w:lang w:val="en-US"/>
                                </w:rPr>
                                <m:t>d</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w</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p w14:paraId="6EB9C2A0" w14:textId="1AB05F6B" w:rsidR="00F534F9" w:rsidRPr="00467AE7" w:rsidRDefault="00204274" w:rsidP="00467AE7">
                      <w:pPr>
                        <w:jc w:val="center"/>
                        <w:rPr>
                          <w:sz w:val="14"/>
                          <w:szCs w:val="14"/>
                        </w:rPr>
                      </w:pPr>
                      <m:oMathPara>
                        <m:oMathParaPr>
                          <m:jc m:val="left"/>
                        </m:oMathParaPr>
                        <m:oMath>
                          <m:sSub>
                            <m:sSubPr>
                              <m:ctrlPr>
                                <w:rPr>
                                  <w:rFonts w:ascii="Cambria Math" w:hAnsi="Cambria Math"/>
                                  <w:sz w:val="14"/>
                                  <w:szCs w:val="14"/>
                                  <w:lang w:val="en-US"/>
                                </w:rPr>
                              </m:ctrlPr>
                            </m:sSubPr>
                            <m:e>
                              <m:r>
                                <m:rPr>
                                  <m:sty m:val="p"/>
                                </m:rPr>
                                <w:rPr>
                                  <w:rFonts w:ascii="Cambria Math" w:hAnsi="Cambria Math"/>
                                  <w:sz w:val="14"/>
                                  <w:szCs w:val="14"/>
                                  <w:lang w:val="en-US"/>
                                </w:rPr>
                                <m:t>β</m:t>
                              </m:r>
                            </m:e>
                            <m:sub>
                              <m:r>
                                <m:rPr>
                                  <m:sty m:val="p"/>
                                </m:rPr>
                                <w:rPr>
                                  <w:rFonts w:ascii="Cambria Math" w:hAnsi="Cambria Math"/>
                                  <w:sz w:val="14"/>
                                  <w:szCs w:val="14"/>
                                  <w:lang w:val="en-US"/>
                                </w:rPr>
                                <m:t>E</m:t>
                              </m:r>
                            </m:sub>
                          </m:sSub>
                          <m:r>
                            <m:rPr>
                              <m:sty m:val="p"/>
                            </m:rPr>
                            <w:rPr>
                              <w:rFonts w:ascii="Cambria Math" w:hAnsi="Cambria Math"/>
                              <w:sz w:val="14"/>
                              <w:szCs w:val="14"/>
                              <w:lang w:val="en-US"/>
                            </w:rPr>
                            <m:t xml:space="preserve">= </m:t>
                          </m:r>
                          <m:f>
                            <m:fPr>
                              <m:ctrlPr>
                                <w:rPr>
                                  <w:rFonts w:ascii="Cambria Math" w:hAnsi="Cambria Math"/>
                                  <w:sz w:val="14"/>
                                  <w:szCs w:val="14"/>
                                  <w:lang w:val="en-US"/>
                                </w:rPr>
                              </m:ctrlPr>
                            </m:fPr>
                            <m:num>
                              <m:r>
                                <m:rPr>
                                  <m:sty m:val="p"/>
                                </m:rPr>
                                <w:rPr>
                                  <w:rFonts w:ascii="Cambria Math" w:hAnsi="Cambria Math"/>
                                  <w:sz w:val="14"/>
                                  <w:szCs w:val="14"/>
                                  <w:lang w:val="en-US"/>
                                </w:rPr>
                                <m:t>c</m:t>
                              </m:r>
                            </m:num>
                            <m:den>
                              <m:sSub>
                                <m:sSubPr>
                                  <m:ctrlPr>
                                    <w:rPr>
                                      <w:rFonts w:ascii="Cambria Math" w:hAnsi="Cambria Math"/>
                                      <w:sz w:val="14"/>
                                      <w:szCs w:val="14"/>
                                      <w:lang w:val="en-US"/>
                                    </w:rPr>
                                  </m:ctrlPr>
                                </m:sSubPr>
                                <m:e>
                                  <m:r>
                                    <m:rPr>
                                      <m:sty m:val="p"/>
                                    </m:rPr>
                                    <w:rPr>
                                      <w:rFonts w:ascii="Cambria Math" w:hAnsi="Cambria Math"/>
                                      <w:sz w:val="14"/>
                                      <w:szCs w:val="14"/>
                                      <w:lang w:val="en-US"/>
                                    </w:rPr>
                                    <m:t>t</m:t>
                                  </m:r>
                                </m:e>
                                <m:sub>
                                  <m:r>
                                    <m:rPr>
                                      <m:sty m:val="p"/>
                                    </m:rPr>
                                    <w:rPr>
                                      <w:rFonts w:ascii="Cambria Math" w:hAnsi="Cambria Math"/>
                                      <w:sz w:val="14"/>
                                      <w:szCs w:val="14"/>
                                      <w:lang w:val="en-US"/>
                                    </w:rPr>
                                    <m:t>f</m:t>
                                  </m:r>
                                </m:sub>
                              </m:sSub>
                            </m:den>
                          </m:f>
                          <m:rad>
                            <m:radPr>
                              <m:degHide m:val="1"/>
                              <m:ctrlPr>
                                <w:rPr>
                                  <w:rFonts w:ascii="Cambria Math" w:hAnsi="Cambria Math"/>
                                  <w:sz w:val="14"/>
                                  <w:szCs w:val="14"/>
                                  <w:lang w:val="en-US"/>
                                </w:rPr>
                              </m:ctrlPr>
                            </m:radPr>
                            <m:deg/>
                            <m:e>
                              <m:sSub>
                                <m:sSubPr>
                                  <m:ctrlPr>
                                    <w:rPr>
                                      <w:rFonts w:ascii="Cambria Math" w:hAnsi="Cambria Math"/>
                                      <w:sz w:val="14"/>
                                      <w:szCs w:val="14"/>
                                      <w:lang w:val="en-US"/>
                                    </w:rPr>
                                  </m:ctrlPr>
                                </m:sSubPr>
                                <m:e>
                                  <m:r>
                                    <w:rPr>
                                      <w:rFonts w:ascii="Cambria Math" w:hAnsi="Cambria Math"/>
                                      <w:sz w:val="14"/>
                                      <w:szCs w:val="14"/>
                                      <w:lang w:val="en-US"/>
                                    </w:rPr>
                                    <m:t>f</m:t>
                                  </m:r>
                                </m:e>
                                <m:sub>
                                  <m:r>
                                    <m:rPr>
                                      <m:sty m:val="p"/>
                                    </m:rPr>
                                    <w:rPr>
                                      <w:rFonts w:ascii="Cambria Math" w:hAnsi="Cambria Math"/>
                                      <w:sz w:val="14"/>
                                      <w:szCs w:val="14"/>
                                      <w:lang w:val="en-US"/>
                                    </w:rPr>
                                    <m:t>ye</m:t>
                                  </m:r>
                                </m:sub>
                              </m:sSub>
                            </m:e>
                          </m:rad>
                        </m:oMath>
                      </m:oMathPara>
                    </w:p>
                  </w:txbxContent>
                </v:textbox>
              </v:rect>
            </w:pict>
          </mc:Fallback>
        </mc:AlternateContent>
      </w:r>
      <w:r w:rsidR="004F66CE" w:rsidRPr="004A68AC">
        <w:rPr>
          <w:noProof/>
          <w:lang w:val="en-US" w:eastAsia="en-GB"/>
        </w:rPr>
        <w:drawing>
          <wp:inline distT="0" distB="0" distL="0" distR="0" wp14:anchorId="578928A9" wp14:editId="400561DE">
            <wp:extent cx="5384800" cy="25146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2514600"/>
                    </a:xfrm>
                    <a:prstGeom prst="rect">
                      <a:avLst/>
                    </a:prstGeom>
                    <a:noFill/>
                    <a:ln>
                      <a:noFill/>
                    </a:ln>
                  </pic:spPr>
                </pic:pic>
              </a:graphicData>
            </a:graphic>
          </wp:inline>
        </w:drawing>
      </w:r>
    </w:p>
    <w:p w14:paraId="7E235A8F" w14:textId="3C0F5958" w:rsidR="00A24161" w:rsidRPr="004A68AC" w:rsidRDefault="00A24161" w:rsidP="00A24161">
      <w:pPr>
        <w:pStyle w:val="Caption"/>
        <w:spacing w:after="0"/>
        <w:rPr>
          <w:lang w:val="en-US"/>
        </w:rPr>
      </w:pPr>
      <w:bookmarkStart w:id="16" w:name="_Ref47723210"/>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00292616" w:rsidRPr="004A68AC">
        <w:rPr>
          <w:b/>
          <w:noProof/>
          <w:lang w:val="en-US"/>
        </w:rPr>
        <w:t>4</w:t>
      </w:r>
      <w:r w:rsidRPr="004A68AC">
        <w:rPr>
          <w:b/>
          <w:lang w:val="en-US"/>
        </w:rPr>
        <w:fldChar w:fldCharType="end"/>
      </w:r>
      <w:bookmarkEnd w:id="15"/>
      <w:bookmarkEnd w:id="16"/>
      <w:r w:rsidRPr="004A68AC">
        <w:rPr>
          <w:b/>
          <w:lang w:val="en-US"/>
        </w:rPr>
        <w:t>.</w:t>
      </w:r>
      <w:r w:rsidRPr="004A68AC">
        <w:rPr>
          <w:lang w:val="en-US"/>
        </w:rPr>
        <w:t xml:space="preserve"> </w:t>
      </w:r>
      <w:r w:rsidR="00FC09C5" w:rsidRPr="004A68AC">
        <w:rPr>
          <w:lang w:val="en-US"/>
        </w:rPr>
        <w:t>N</w:t>
      </w:r>
      <w:r w:rsidR="0040554B" w:rsidRPr="004A68AC">
        <w:rPr>
          <w:lang w:val="en-US"/>
        </w:rPr>
        <w:t>ormalized</w:t>
      </w:r>
      <w:r w:rsidR="00110B77" w:rsidRPr="004A68AC">
        <w:rPr>
          <w:lang w:val="en-US"/>
        </w:rPr>
        <w:t xml:space="preserve"> rotation </w:t>
      </w:r>
      <w:r w:rsidR="007A2ADB" w:rsidRPr="004A68AC">
        <w:rPr>
          <w:lang w:val="en-US"/>
        </w:rPr>
        <w:t>capacity</w:t>
      </w:r>
      <w:r w:rsidR="00F16476" w:rsidRPr="004A68AC">
        <w:rPr>
          <w:lang w:val="en-US"/>
        </w:rPr>
        <w:t xml:space="preserve"> limits </w:t>
      </w:r>
      <w:r w:rsidR="0040554B" w:rsidRPr="004A68AC">
        <w:rPr>
          <w:lang w:val="en-US"/>
        </w:rPr>
        <w:t>(θ/θ</w:t>
      </w:r>
      <w:r w:rsidR="0040554B" w:rsidRPr="004A68AC">
        <w:rPr>
          <w:vertAlign w:val="subscript"/>
          <w:lang w:val="en-US"/>
        </w:rPr>
        <w:t>y</w:t>
      </w:r>
      <w:r w:rsidR="0040554B" w:rsidRPr="004A68AC">
        <w:rPr>
          <w:lang w:val="en-US"/>
        </w:rPr>
        <w:t xml:space="preserve">) </w:t>
      </w:r>
      <w:r w:rsidR="00F16476" w:rsidRPr="004A68AC">
        <w:rPr>
          <w:lang w:val="en-US"/>
        </w:rPr>
        <w:t>for beams</w:t>
      </w:r>
      <w:r w:rsidR="00EC7CF9" w:rsidRPr="004A68AC">
        <w:rPr>
          <w:lang w:val="en-US"/>
        </w:rPr>
        <w:t xml:space="preserve"> </w:t>
      </w:r>
      <w:r w:rsidR="00282D7B" w:rsidRPr="004A68AC">
        <w:rPr>
          <w:lang w:val="en-US"/>
        </w:rPr>
        <w:t xml:space="preserve">vs. </w:t>
      </w:r>
      <w:r w:rsidR="00EC7CF9" w:rsidRPr="004A68AC">
        <w:rPr>
          <w:lang w:val="en-US"/>
        </w:rPr>
        <w:t>slenderness parameters</w:t>
      </w:r>
      <w:r w:rsidR="00545009" w:rsidRPr="004A68AC">
        <w:rPr>
          <w:lang w:val="en-US"/>
        </w:rPr>
        <w:t>.</w:t>
      </w:r>
      <w:r w:rsidR="00006063" w:rsidRPr="004A68AC">
        <w:rPr>
          <w:lang w:val="en-US"/>
        </w:rPr>
        <w:t xml:space="preserve"> </w:t>
      </w:r>
      <w:r w:rsidR="004C1B44" w:rsidRPr="004A68AC">
        <w:rPr>
          <w:lang w:val="en-US"/>
        </w:rPr>
        <w:t xml:space="preserve">For </w:t>
      </w:r>
      <w:r w:rsidR="00006063" w:rsidRPr="004A68AC">
        <w:rPr>
          <w:lang w:val="en-US"/>
        </w:rPr>
        <w:t xml:space="preserve">(a) </w:t>
      </w:r>
      <w:r w:rsidR="004C1B44" w:rsidRPr="004A68AC">
        <w:rPr>
          <w:lang w:val="en-US"/>
        </w:rPr>
        <w:t>w</w:t>
      </w:r>
      <w:r w:rsidR="00006063" w:rsidRPr="004A68AC">
        <w:rPr>
          <w:lang w:val="en-US"/>
        </w:rPr>
        <w:t>eb slenderness,</w:t>
      </w:r>
      <w:r w:rsidR="00110B77" w:rsidRPr="004A68AC">
        <w:rPr>
          <w:lang w:val="en-US"/>
        </w:rPr>
        <w:t xml:space="preserve"> </w:t>
      </w:r>
      <w:r w:rsidR="005E5BB4" w:rsidRPr="004A68AC">
        <w:rPr>
          <w:lang w:val="en-US"/>
        </w:rPr>
        <w:t>α</w:t>
      </w:r>
      <w:r w:rsidR="005E5BB4" w:rsidRPr="004A68AC">
        <w:rPr>
          <w:vertAlign w:val="subscript"/>
          <w:lang w:val="en-US"/>
        </w:rPr>
        <w:t>E</w:t>
      </w:r>
      <w:r w:rsidR="005E5BB4" w:rsidRPr="004A68AC">
        <w:rPr>
          <w:lang w:val="en-US"/>
        </w:rPr>
        <w:t xml:space="preserve"> and </w:t>
      </w:r>
      <w:r w:rsidR="00006063" w:rsidRPr="004A68AC">
        <w:rPr>
          <w:lang w:val="en-US"/>
        </w:rPr>
        <w:t xml:space="preserve">(b) flange slenderness, </w:t>
      </w:r>
      <w:r w:rsidR="005E5BB4" w:rsidRPr="004A68AC">
        <w:rPr>
          <w:lang w:val="en-US"/>
        </w:rPr>
        <w:t>β</w:t>
      </w:r>
      <w:r w:rsidR="005E5BB4" w:rsidRPr="004A68AC">
        <w:rPr>
          <w:vertAlign w:val="subscript"/>
          <w:lang w:val="en-US"/>
        </w:rPr>
        <w:t>E</w:t>
      </w:r>
      <w:r w:rsidR="00F16476" w:rsidRPr="004A68AC">
        <w:rPr>
          <w:lang w:val="en-US"/>
        </w:rPr>
        <w:t>.</w:t>
      </w:r>
      <w:r w:rsidR="00FC0099" w:rsidRPr="004A68AC">
        <w:rPr>
          <w:lang w:val="en-US"/>
        </w:rPr>
        <w:t xml:space="preserve"> </w:t>
      </w:r>
      <w:r w:rsidR="00FC0099" w:rsidRPr="004A68AC">
        <w:rPr>
          <w:i/>
          <w:lang w:val="en-US"/>
        </w:rPr>
        <w:t>f</w:t>
      </w:r>
      <w:r w:rsidR="00FC0099" w:rsidRPr="004A68AC">
        <w:rPr>
          <w:vertAlign w:val="subscript"/>
          <w:lang w:val="en-US"/>
        </w:rPr>
        <w:t>ye</w:t>
      </w:r>
      <w:r w:rsidR="00FC0099" w:rsidRPr="004A68AC">
        <w:rPr>
          <w:lang w:val="en-US"/>
        </w:rPr>
        <w:t xml:space="preserve"> </w:t>
      </w:r>
      <w:r w:rsidR="00D93EB8" w:rsidRPr="004A68AC">
        <w:rPr>
          <w:lang w:val="en-US"/>
        </w:rPr>
        <w:t xml:space="preserve">assumed as </w:t>
      </w:r>
      <w:r w:rsidR="00FC0099" w:rsidRPr="004A68AC">
        <w:rPr>
          <w:lang w:val="en-US"/>
        </w:rPr>
        <w:t>1.1</w:t>
      </w:r>
      <w:r w:rsidR="00FC0099" w:rsidRPr="004A68AC">
        <w:rPr>
          <w:b/>
          <w:sz w:val="18"/>
          <w:szCs w:val="18"/>
          <w:lang w:val="en-US"/>
        </w:rPr>
        <w:t>×</w:t>
      </w:r>
      <w:r w:rsidR="000E2965" w:rsidRPr="004A68AC">
        <w:rPr>
          <w:lang w:val="en-US"/>
        </w:rPr>
        <w:t>345 MPa</w:t>
      </w:r>
      <w:r w:rsidR="00FC0099" w:rsidRPr="004A68AC">
        <w:rPr>
          <w:lang w:val="en-US"/>
        </w:rPr>
        <w:t xml:space="preserve"> (steel A572).</w:t>
      </w:r>
    </w:p>
    <w:p w14:paraId="2B582A85" w14:textId="1748B8C0" w:rsidR="00A87774" w:rsidRPr="004A68AC" w:rsidRDefault="00A87774" w:rsidP="00A87774">
      <w:pPr>
        <w:rPr>
          <w:lang w:val="en-US"/>
        </w:rPr>
      </w:pPr>
    </w:p>
    <w:p w14:paraId="5BE4659B" w14:textId="0CDDB661" w:rsidR="004D1F89" w:rsidRPr="004A68AC" w:rsidRDefault="004D1F89" w:rsidP="00A87774">
      <w:pPr>
        <w:rPr>
          <w:lang w:val="en-US"/>
        </w:rPr>
      </w:pPr>
    </w:p>
    <w:p w14:paraId="30AA6548" w14:textId="77777777" w:rsidR="004D1F89" w:rsidRPr="004A68AC" w:rsidRDefault="004D1F89" w:rsidP="00A87774">
      <w:pPr>
        <w:rPr>
          <w:lang w:val="en-US"/>
        </w:rPr>
      </w:pPr>
    </w:p>
    <w:p w14:paraId="27005DAE" w14:textId="5C4707F6" w:rsidR="00581D9C" w:rsidRPr="004A68AC" w:rsidRDefault="00581D9C" w:rsidP="004D1F89">
      <w:pPr>
        <w:pStyle w:val="ListParagraph"/>
        <w:numPr>
          <w:ilvl w:val="2"/>
          <w:numId w:val="1"/>
        </w:numPr>
        <w:rPr>
          <w:b/>
          <w:bCs/>
          <w:i/>
          <w:iCs/>
          <w:lang w:val="en-US"/>
        </w:rPr>
      </w:pPr>
      <w:r w:rsidRPr="004A68AC">
        <w:rPr>
          <w:b/>
          <w:bCs/>
          <w:i/>
          <w:iCs/>
          <w:lang w:val="en-US"/>
        </w:rPr>
        <w:lastRenderedPageBreak/>
        <w:t>Columns</w:t>
      </w:r>
    </w:p>
    <w:p w14:paraId="0E46651A" w14:textId="7FAB796C" w:rsidR="00B54778" w:rsidRPr="004A68AC" w:rsidRDefault="00B54778" w:rsidP="00B54778">
      <w:pPr>
        <w:rPr>
          <w:szCs w:val="20"/>
          <w:lang w:val="en-US"/>
        </w:rPr>
      </w:pPr>
      <w:r w:rsidRPr="004A68AC">
        <w:rPr>
          <w:lang w:val="en-US"/>
        </w:rPr>
        <w:t>The capacity limits for the plastic rotation of the columns are defined similarly to the beams, with the inclusion of the additional parameter accounting for the influence of the axial load</w:t>
      </w:r>
      <w:r w:rsidRPr="004A68AC">
        <w:rPr>
          <w:lang w:val="en-US" w:eastAsia="it-IT"/>
        </w:rPr>
        <w:t>.</w:t>
      </w:r>
      <w:r w:rsidRPr="004A68AC">
        <w:rPr>
          <w:lang w:val="en-US"/>
        </w:rPr>
        <w:t xml:space="preserve"> </w:t>
      </w:r>
      <w:r w:rsidRPr="004A68AC">
        <w:rPr>
          <w:lang w:val="en-US" w:eastAsia="it-IT"/>
        </w:rPr>
        <w:t xml:space="preserve">A summary of the plastic rotation capacity limits for columns is given in </w:t>
      </w:r>
      <w:r w:rsidRPr="004A68AC">
        <w:rPr>
          <w:lang w:val="en-US" w:eastAsia="it-IT"/>
        </w:rPr>
        <w:fldChar w:fldCharType="begin" w:fldLock="1"/>
      </w:r>
      <w:r w:rsidRPr="004A68AC">
        <w:rPr>
          <w:lang w:val="en-US" w:eastAsia="it-IT"/>
        </w:rPr>
        <w:instrText xml:space="preserve"> REF _Ref45959772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4</w:t>
      </w:r>
      <w:r w:rsidRPr="004A68AC">
        <w:rPr>
          <w:lang w:val="en-US" w:eastAsia="it-IT"/>
        </w:rPr>
        <w:fldChar w:fldCharType="end"/>
      </w:r>
      <w:r w:rsidRPr="004A68AC">
        <w:rPr>
          <w:lang w:val="en-US" w:eastAsia="it-IT"/>
        </w:rPr>
        <w:fldChar w:fldCharType="begin" w:fldLock="1"/>
      </w:r>
      <w:r w:rsidRPr="004A68AC">
        <w:rPr>
          <w:lang w:val="en-US" w:eastAsia="it-IT"/>
        </w:rPr>
        <w:instrText xml:space="preserve"> REF _Ref38645287 \h  \* MERGEFORMAT </w:instrText>
      </w:r>
      <w:r w:rsidRPr="004A68AC">
        <w:rPr>
          <w:lang w:val="en-US" w:eastAsia="it-IT"/>
        </w:rPr>
      </w:r>
      <w:r w:rsidRPr="004A68AC">
        <w:rPr>
          <w:lang w:val="en-US" w:eastAsia="it-IT"/>
        </w:rPr>
        <w:fldChar w:fldCharType="end"/>
      </w:r>
      <w:r w:rsidRPr="004A68AC">
        <w:rPr>
          <w:lang w:val="en-US" w:eastAsia="it-IT"/>
        </w:rPr>
        <w:t>.</w:t>
      </w:r>
      <w:r w:rsidRPr="004A68AC">
        <w:rPr>
          <w:szCs w:val="20"/>
          <w:lang w:val="en-US"/>
        </w:rPr>
        <w:t xml:space="preserve"> Similar to the beams, the slenderness limits formulation has been rearranged for uniformity purposes and E is assumed as 210 GPa.</w:t>
      </w:r>
    </w:p>
    <w:p w14:paraId="705E100E" w14:textId="77777777" w:rsidR="00A87774" w:rsidRPr="004A68AC" w:rsidRDefault="00A87774" w:rsidP="00B54778">
      <w:pPr>
        <w:rPr>
          <w:szCs w:val="20"/>
          <w:lang w:val="en-US"/>
        </w:rPr>
      </w:pPr>
    </w:p>
    <w:p w14:paraId="3DA15DA1" w14:textId="1DBAA7AB" w:rsidR="00B54778" w:rsidRPr="004A68AC" w:rsidRDefault="00B54778" w:rsidP="00B54778">
      <w:pPr>
        <w:rPr>
          <w:lang w:val="en-US" w:eastAsia="it-IT"/>
        </w:rPr>
      </w:pPr>
      <w:r w:rsidRPr="004A68AC">
        <w:rPr>
          <w:lang w:val="en-US"/>
        </w:rPr>
        <w:t xml:space="preserve">     In the EC8-3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rPr>
        <w:fldChar w:fldCharType="separate"/>
      </w:r>
      <w:r w:rsidRPr="004A68AC">
        <w:rPr>
          <w:noProof/>
          <w:lang w:val="en-US"/>
        </w:rPr>
        <w:t>[13]</w:t>
      </w:r>
      <w:r w:rsidRPr="004A68AC">
        <w:rPr>
          <w:lang w:val="en-US"/>
        </w:rPr>
        <w:fldChar w:fldCharType="end"/>
      </w:r>
      <w:r w:rsidRPr="004A68AC">
        <w:rPr>
          <w:lang w:val="en-US"/>
        </w:rPr>
        <w:t xml:space="preserve">, columns with a </w:t>
      </w:r>
      <w:r w:rsidRPr="004A68AC">
        <w:rPr>
          <w:lang w:val="en-US" w:eastAsia="it-IT"/>
        </w:rPr>
        <w:t>dimensionless axial force ν &lt; 0.3, are treated in a similar way to beams. The only exception is related to the slenderness limits established for the column web, as it now is expected to work mostly in compression. All columns with ν ≥ 0.3 must be treated as force-controlled elements.</w:t>
      </w:r>
    </w:p>
    <w:p w14:paraId="229723B0" w14:textId="77777777" w:rsidR="00A87774" w:rsidRPr="004A68AC" w:rsidRDefault="00A87774" w:rsidP="00B54778">
      <w:pPr>
        <w:rPr>
          <w:lang w:val="en-US" w:eastAsia="it-IT"/>
        </w:rPr>
      </w:pPr>
    </w:p>
    <w:p w14:paraId="7291B264" w14:textId="50974289" w:rsidR="00B54778" w:rsidRPr="004A68AC" w:rsidRDefault="00B54778" w:rsidP="00B54778">
      <w:pPr>
        <w:rPr>
          <w:lang w:val="en-US" w:eastAsia="it-IT"/>
        </w:rPr>
      </w:pPr>
      <w:r w:rsidRPr="004A68AC">
        <w:rPr>
          <w:lang w:val="en-US" w:eastAsia="it-IT"/>
        </w:rPr>
        <w:t xml:space="preserve">     According to the ASCE 41-06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lang w:val="en-US" w:eastAsia="it-IT"/>
        </w:rPr>
        <w:fldChar w:fldCharType="separate"/>
      </w:r>
      <w:r w:rsidRPr="004A68AC">
        <w:rPr>
          <w:noProof/>
          <w:lang w:val="en-US" w:eastAsia="it-IT"/>
        </w:rPr>
        <w:t>[15]</w:t>
      </w:r>
      <w:r w:rsidRPr="004A68AC">
        <w:rPr>
          <w:lang w:val="en-US" w:eastAsia="it-IT"/>
        </w:rPr>
        <w:fldChar w:fldCharType="end"/>
      </w:r>
      <w:r w:rsidRPr="004A68AC">
        <w:rPr>
          <w:lang w:val="en-US" w:eastAsia="it-IT"/>
        </w:rPr>
        <w:t xml:space="preserve"> and -13 </w:t>
      </w:r>
      <w:r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lang w:val="en-US" w:eastAsia="it-IT"/>
        </w:rPr>
        <w:fldChar w:fldCharType="separate"/>
      </w:r>
      <w:r w:rsidRPr="004A68AC">
        <w:rPr>
          <w:noProof/>
          <w:lang w:val="en-US" w:eastAsia="it-IT"/>
        </w:rPr>
        <w:t>[18]</w:t>
      </w:r>
      <w:r w:rsidRPr="004A68AC">
        <w:rPr>
          <w:lang w:val="en-US" w:eastAsia="it-IT"/>
        </w:rPr>
        <w:fldChar w:fldCharType="end"/>
      </w:r>
      <w:r w:rsidRPr="004A68AC">
        <w:rPr>
          <w:lang w:val="en-US" w:eastAsia="it-IT"/>
        </w:rPr>
        <w:t>, columns are considered as deformation-based components for</w:t>
      </w:r>
      <w:r w:rsidR="00F24BBC" w:rsidRPr="004A68AC">
        <w:rPr>
          <w:lang w:val="en-US" w:eastAsia="it-IT"/>
        </w:rPr>
        <w:br/>
      </w:r>
      <w:r w:rsidRPr="004A68AC">
        <w:rPr>
          <w:lang w:val="en-US" w:eastAsia="it-IT"/>
        </w:rPr>
        <w:t>ν &lt; 0.5. In these codes, the section classification and some of the plastic rotation capacity limits are function of the dimensionless axial force ν as well. In addition, it is important to stress out that, for these codes, the definition of the chord yielding rotation θ</w:t>
      </w:r>
      <w:r w:rsidRPr="004A68AC">
        <w:rPr>
          <w:vertAlign w:val="subscript"/>
          <w:lang w:val="en-US" w:eastAsia="it-IT"/>
        </w:rPr>
        <w:t>y</w:t>
      </w:r>
      <w:r w:rsidRPr="004A68AC">
        <w:rPr>
          <w:lang w:val="en-US" w:eastAsia="it-IT"/>
        </w:rPr>
        <w:t xml:space="preserve"> for columns is also function of the dimensionless axial force ν, as observed in Eq. 2.</w:t>
      </w:r>
    </w:p>
    <w:p w14:paraId="114CB4FA" w14:textId="77777777" w:rsidR="00A87774" w:rsidRPr="004A68AC" w:rsidRDefault="00A87774" w:rsidP="00B54778">
      <w:pPr>
        <w:rPr>
          <w:lang w:val="en-US" w:eastAsia="it-IT"/>
        </w:rPr>
      </w:pPr>
    </w:p>
    <w:p w14:paraId="5A759C6A" w14:textId="54C63918" w:rsidR="00B54778" w:rsidRPr="004A68AC" w:rsidRDefault="00B54778" w:rsidP="00B54778">
      <w:pPr>
        <w:rPr>
          <w:lang w:val="en-US" w:eastAsia="it-IT"/>
        </w:rPr>
      </w:pPr>
      <w:r w:rsidRPr="004A68AC">
        <w:rPr>
          <w:lang w:val="en-US" w:eastAsia="it-IT"/>
        </w:rPr>
        <w:t xml:space="preserve">     In the ASCE 41-17 </w:t>
      </w:r>
      <w:r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lang w:val="en-US" w:eastAsia="it-IT"/>
        </w:rPr>
        <w:fldChar w:fldCharType="separate"/>
      </w:r>
      <w:r w:rsidRPr="004A68AC">
        <w:rPr>
          <w:noProof/>
          <w:lang w:val="en-US" w:eastAsia="it-IT"/>
        </w:rPr>
        <w:t>[19]</w:t>
      </w:r>
      <w:r w:rsidRPr="004A68AC">
        <w:rPr>
          <w:lang w:val="en-US" w:eastAsia="it-IT"/>
        </w:rPr>
        <w:fldChar w:fldCharType="end"/>
      </w:r>
      <w:r w:rsidRPr="004A68AC">
        <w:rPr>
          <w:lang w:val="en-US" w:eastAsia="it-IT"/>
        </w:rPr>
        <w:t>, the plastic rotation capacity limits are decoupled from θ</w:t>
      </w:r>
      <w:r w:rsidRPr="004A68AC">
        <w:rPr>
          <w:vertAlign w:val="subscript"/>
          <w:lang w:val="en-US" w:eastAsia="it-IT"/>
        </w:rPr>
        <w:t>y</w:t>
      </w:r>
      <w:r w:rsidRPr="004A68AC">
        <w:rPr>
          <w:lang w:val="en-US" w:eastAsia="it-IT"/>
        </w:rPr>
        <w:t xml:space="preserve"> and they are defined in terms of the ductility parameters a and b, both defined in Eqs. 8 and 9</w:t>
      </w:r>
      <w:r w:rsidR="006C2442" w:rsidRPr="004A68AC">
        <w:rPr>
          <w:lang w:val="en-US" w:eastAsia="it-IT"/>
        </w:rPr>
        <w:t>:</w:t>
      </w:r>
    </w:p>
    <w:tbl>
      <w:tblPr>
        <w:tblStyle w:val="TableGrid"/>
        <w:tblW w:w="5000" w:type="pct"/>
        <w:tblLook w:val="04A0" w:firstRow="1" w:lastRow="0" w:firstColumn="1" w:lastColumn="0" w:noHBand="0" w:noVBand="1"/>
      </w:tblPr>
      <w:tblGrid>
        <w:gridCol w:w="8221"/>
        <w:gridCol w:w="1417"/>
      </w:tblGrid>
      <w:tr w:rsidR="00730C57" w:rsidRPr="004A68AC" w14:paraId="69BAD995" w14:textId="77777777" w:rsidTr="00507EAD">
        <w:trPr>
          <w:trHeight w:val="199"/>
        </w:trPr>
        <w:tc>
          <w:tcPr>
            <w:tcW w:w="4265" w:type="pct"/>
            <w:tcBorders>
              <w:top w:val="nil"/>
              <w:left w:val="nil"/>
              <w:bottom w:val="nil"/>
              <w:right w:val="nil"/>
            </w:tcBorders>
            <w:vAlign w:val="center"/>
          </w:tcPr>
          <w:p w14:paraId="34196688" w14:textId="77777777" w:rsidR="00730C57" w:rsidRPr="004A68AC" w:rsidRDefault="00730C57" w:rsidP="00657961">
            <w:pPr>
              <w:jc w:val="left"/>
              <w:rPr>
                <w:sz w:val="18"/>
                <w:szCs w:val="18"/>
                <w:lang w:val="en-US"/>
              </w:rPr>
            </w:pPr>
            <m:oMathPara>
              <m:oMathParaPr>
                <m:jc m:val="left"/>
              </m:oMathParaPr>
              <m:oMath>
                <m:r>
                  <m:rPr>
                    <m:sty m:val="p"/>
                  </m:rPr>
                  <w:rPr>
                    <w:rFonts w:ascii="Cambria Math" w:hAnsi="Cambria Math"/>
                    <w:sz w:val="18"/>
                    <w:szCs w:val="18"/>
                    <w:lang w:val="en-US"/>
                  </w:rPr>
                  <m:t>a=</m:t>
                </m:r>
                <m:d>
                  <m:dPr>
                    <m:begChr m:val="{"/>
                    <m:endChr m:val=""/>
                    <m:ctrlPr>
                      <w:rPr>
                        <w:rFonts w:ascii="Cambria Math" w:hAnsi="Cambria Math"/>
                        <w:sz w:val="18"/>
                        <w:szCs w:val="18"/>
                        <w:lang w:val="en-US"/>
                      </w:rPr>
                    </m:ctrlPr>
                  </m:dPr>
                  <m:e>
                    <m:m>
                      <m:mPr>
                        <m:mcs>
                          <m:mc>
                            <m:mcPr>
                              <m:count m:val="1"/>
                              <m:mcJc m:val="center"/>
                            </m:mcPr>
                          </m:mc>
                        </m:mcs>
                        <m:ctrlPr>
                          <w:rPr>
                            <w:rFonts w:ascii="Cambria Math" w:hAnsi="Cambria Math"/>
                            <w:sz w:val="18"/>
                            <w:szCs w:val="18"/>
                            <w:lang w:val="en-US"/>
                          </w:rPr>
                        </m:ctrlPr>
                      </m:mPr>
                      <m:mr>
                        <m:e>
                          <m:r>
                            <m:rPr>
                              <m:sty m:val="p"/>
                            </m:rPr>
                            <w:rPr>
                              <w:rFonts w:ascii="Cambria Math" w:hAnsi="Cambria Math"/>
                              <w:sz w:val="18"/>
                              <w:szCs w:val="18"/>
                              <w:lang w:val="en-US"/>
                            </w:rPr>
                            <m:t>0.8</m:t>
                          </m:r>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1-</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ctrlPr>
                                    <w:rPr>
                                      <w:rFonts w:ascii="Cambria Math" w:hAnsi="Cambria Math"/>
                                      <w:sz w:val="18"/>
                                      <w:szCs w:val="18"/>
                                      <w:vertAlign w:val="subscript"/>
                                      <w:lang w:val="en-US" w:eastAsia="it-IT"/>
                                    </w:rPr>
                                  </m:ctrlPr>
                                </m:e>
                              </m:d>
                            </m:e>
                            <m:sup>
                              <m:r>
                                <m:rPr>
                                  <m:sty m:val="p"/>
                                </m:rPr>
                                <w:rPr>
                                  <w:rFonts w:ascii="Cambria Math" w:hAnsi="Cambria Math"/>
                                  <w:sz w:val="18"/>
                                  <w:szCs w:val="18"/>
                                  <w:lang w:val="en-US"/>
                                </w:rPr>
                                <m:t>2.2</m:t>
                              </m:r>
                            </m:sup>
                          </m:sSup>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0.1</m:t>
                                  </m:r>
                                  <m:f>
                                    <m:fPr>
                                      <m:ctrlPr>
                                        <w:rPr>
                                          <w:rFonts w:ascii="Cambria Math" w:hAnsi="Cambria Math"/>
                                          <w:sz w:val="18"/>
                                          <w:szCs w:val="18"/>
                                          <w:lang w:val="en-US"/>
                                        </w:rPr>
                                      </m:ctrlPr>
                                    </m:fPr>
                                    <m:num>
                                      <m:r>
                                        <m:rPr>
                                          <m:sty m:val="p"/>
                                        </m:rPr>
                                        <w:rPr>
                                          <w:rFonts w:ascii="Cambria Math" w:hAnsi="Cambria Math"/>
                                          <w:sz w:val="18"/>
                                          <w:szCs w:val="18"/>
                                          <w:lang w:val="en-US"/>
                                        </w:rPr>
                                        <m:t>L</m:t>
                                      </m:r>
                                    </m:num>
                                    <m:den>
                                      <m:sSub>
                                        <m:sSubPr>
                                          <m:ctrlPr>
                                            <w:rPr>
                                              <w:rFonts w:ascii="Cambria Math" w:hAnsi="Cambria Math"/>
                                              <w:sz w:val="18"/>
                                              <w:szCs w:val="18"/>
                                              <w:lang w:val="en-US"/>
                                            </w:rPr>
                                          </m:ctrlPr>
                                        </m:sSubPr>
                                        <m:e>
                                          <m:r>
                                            <m:rPr>
                                              <m:sty m:val="p"/>
                                            </m:rPr>
                                            <w:rPr>
                                              <w:rFonts w:ascii="Cambria Math" w:hAnsi="Cambria Math"/>
                                              <w:sz w:val="18"/>
                                              <w:szCs w:val="18"/>
                                              <w:lang w:val="en-US"/>
                                            </w:rPr>
                                            <m:t>i</m:t>
                                          </m:r>
                                        </m:e>
                                        <m:sub>
                                          <m:r>
                                            <m:rPr>
                                              <m:sty m:val="p"/>
                                            </m:rPr>
                                            <w:rPr>
                                              <w:rFonts w:ascii="Cambria Math" w:hAnsi="Cambria Math"/>
                                              <w:sz w:val="18"/>
                                              <w:szCs w:val="18"/>
                                              <w:lang w:val="en-US"/>
                                            </w:rPr>
                                            <m:t>z</m:t>
                                          </m:r>
                                        </m:sub>
                                      </m:sSub>
                                    </m:den>
                                  </m:f>
                                  <m:r>
                                    <m:rPr>
                                      <m:sty m:val="p"/>
                                    </m:rPr>
                                    <w:rPr>
                                      <w:rFonts w:ascii="Cambria Math" w:hAnsi="Cambria Math"/>
                                      <w:sz w:val="18"/>
                                      <w:szCs w:val="18"/>
                                      <w:lang w:val="en-US"/>
                                    </w:rPr>
                                    <m:t>+0.8</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h</m:t>
                                          </m:r>
                                        </m:e>
                                        <m:sub>
                                          <m:r>
                                            <m:rPr>
                                              <m:sty m:val="p"/>
                                            </m:rPr>
                                            <w:rPr>
                                              <w:rFonts w:ascii="Cambria Math" w:hAnsi="Cambria Math"/>
                                              <w:sz w:val="18"/>
                                              <w:szCs w:val="18"/>
                                              <w:lang w:val="en-US"/>
                                            </w:rPr>
                                            <m:t>i</m:t>
                                          </m:r>
                                        </m:sub>
                                      </m:sSub>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e>
                              </m:d>
                            </m:e>
                            <m:sup>
                              <m:r>
                                <m:rPr>
                                  <m:sty m:val="p"/>
                                </m:rPr>
                                <w:rPr>
                                  <w:rFonts w:ascii="Cambria Math" w:hAnsi="Cambria Math"/>
                                  <w:sz w:val="18"/>
                                  <w:szCs w:val="18"/>
                                  <w:lang w:val="en-US"/>
                                </w:rPr>
                                <m:t>-1</m:t>
                              </m:r>
                            </m:sup>
                          </m:sSup>
                          <m:r>
                            <m:rPr>
                              <m:sty m:val="p"/>
                            </m:rPr>
                            <w:rPr>
                              <w:rFonts w:ascii="Cambria Math" w:hAnsi="Cambria Math"/>
                              <w:sz w:val="18"/>
                              <w:szCs w:val="18"/>
                              <w:lang w:val="en-US"/>
                            </w:rPr>
                            <m:t>-0.0035≥0</m:t>
                          </m:r>
                        </m:e>
                      </m:mr>
                      <m:mr>
                        <m:e>
                          <m:r>
                            <m:rPr>
                              <m:sty m:val="p"/>
                            </m:rPr>
                            <w:rPr>
                              <w:rFonts w:ascii="Cambria Math" w:hAnsi="Cambria Math"/>
                              <w:sz w:val="18"/>
                              <w:szCs w:val="18"/>
                              <w:lang w:val="en-US"/>
                            </w:rPr>
                            <m:t>1.2</m:t>
                          </m:r>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1-</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ctrlPr>
                                    <w:rPr>
                                      <w:rFonts w:ascii="Cambria Math" w:hAnsi="Cambria Math"/>
                                      <w:sz w:val="18"/>
                                      <w:szCs w:val="18"/>
                                      <w:vertAlign w:val="subscript"/>
                                      <w:lang w:val="en-US" w:eastAsia="it-IT"/>
                                    </w:rPr>
                                  </m:ctrlPr>
                                </m:e>
                              </m:d>
                            </m:e>
                            <m:sup>
                              <m:r>
                                <m:rPr>
                                  <m:sty m:val="p"/>
                                </m:rPr>
                                <w:rPr>
                                  <w:rFonts w:ascii="Cambria Math" w:hAnsi="Cambria Math"/>
                                  <w:sz w:val="18"/>
                                  <w:szCs w:val="18"/>
                                  <w:lang w:val="en-US"/>
                                </w:rPr>
                                <m:t>1.2</m:t>
                              </m:r>
                            </m:sup>
                          </m:sSup>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1.4</m:t>
                                  </m:r>
                                  <m:f>
                                    <m:fPr>
                                      <m:ctrlPr>
                                        <w:rPr>
                                          <w:rFonts w:ascii="Cambria Math" w:hAnsi="Cambria Math"/>
                                          <w:sz w:val="18"/>
                                          <w:szCs w:val="18"/>
                                          <w:lang w:val="en-US"/>
                                        </w:rPr>
                                      </m:ctrlPr>
                                    </m:fPr>
                                    <m:num>
                                      <m:r>
                                        <m:rPr>
                                          <m:sty m:val="p"/>
                                        </m:rPr>
                                        <w:rPr>
                                          <w:rFonts w:ascii="Cambria Math" w:hAnsi="Cambria Math"/>
                                          <w:sz w:val="18"/>
                                          <w:szCs w:val="18"/>
                                          <w:lang w:val="en-US"/>
                                        </w:rPr>
                                        <m:t>L</m:t>
                                      </m:r>
                                    </m:num>
                                    <m:den>
                                      <m:sSub>
                                        <m:sSubPr>
                                          <m:ctrlPr>
                                            <w:rPr>
                                              <w:rFonts w:ascii="Cambria Math" w:hAnsi="Cambria Math"/>
                                              <w:sz w:val="18"/>
                                              <w:szCs w:val="18"/>
                                              <w:lang w:val="en-US"/>
                                            </w:rPr>
                                          </m:ctrlPr>
                                        </m:sSubPr>
                                        <m:e>
                                          <m:r>
                                            <m:rPr>
                                              <m:sty m:val="p"/>
                                            </m:rPr>
                                            <w:rPr>
                                              <w:rFonts w:ascii="Cambria Math" w:hAnsi="Cambria Math"/>
                                              <w:sz w:val="18"/>
                                              <w:szCs w:val="18"/>
                                              <w:lang w:val="en-US"/>
                                            </w:rPr>
                                            <m:t>i</m:t>
                                          </m:r>
                                        </m:e>
                                        <m:sub>
                                          <m:r>
                                            <m:rPr>
                                              <m:sty m:val="p"/>
                                            </m:rPr>
                                            <w:rPr>
                                              <w:rFonts w:ascii="Cambria Math" w:hAnsi="Cambria Math"/>
                                              <w:sz w:val="18"/>
                                              <w:szCs w:val="18"/>
                                              <w:lang w:val="en-US"/>
                                            </w:rPr>
                                            <m:t>z</m:t>
                                          </m:r>
                                        </m:sub>
                                      </m:sSub>
                                    </m:den>
                                  </m:f>
                                  <m:r>
                                    <m:rPr>
                                      <m:sty m:val="p"/>
                                    </m:rPr>
                                    <w:rPr>
                                      <w:rFonts w:ascii="Cambria Math" w:hAnsi="Cambria Math"/>
                                      <w:sz w:val="18"/>
                                      <w:szCs w:val="18"/>
                                      <w:lang w:val="en-US"/>
                                    </w:rPr>
                                    <m:t>+0.1</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h</m:t>
                                          </m:r>
                                        </m:e>
                                        <m:sub>
                                          <m:r>
                                            <m:rPr>
                                              <m:sty m:val="p"/>
                                            </m:rPr>
                                            <w:rPr>
                                              <w:rFonts w:ascii="Cambria Math" w:hAnsi="Cambria Math"/>
                                              <w:sz w:val="18"/>
                                              <w:szCs w:val="18"/>
                                              <w:lang w:val="en-US"/>
                                            </w:rPr>
                                            <m:t>i</m:t>
                                          </m:r>
                                        </m:sub>
                                      </m:sSub>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r>
                                    <m:rPr>
                                      <m:sty m:val="p"/>
                                    </m:rPr>
                                    <w:rPr>
                                      <w:rFonts w:ascii="Cambria Math" w:hAnsi="Cambria Math"/>
                                      <w:sz w:val="18"/>
                                      <w:szCs w:val="18"/>
                                      <w:lang w:val="en-US"/>
                                    </w:rPr>
                                    <m:t>+0.9</m:t>
                                  </m:r>
                                  <m:f>
                                    <m:fPr>
                                      <m:ctrlPr>
                                        <w:rPr>
                                          <w:rFonts w:ascii="Cambria Math" w:hAnsi="Cambria Math"/>
                                          <w:sz w:val="18"/>
                                          <w:szCs w:val="18"/>
                                          <w:lang w:val="en-US"/>
                                        </w:rPr>
                                      </m:ctrlPr>
                                    </m:fPr>
                                    <m:num>
                                      <m:r>
                                        <m:rPr>
                                          <m:sty m:val="p"/>
                                        </m:rPr>
                                        <w:rPr>
                                          <w:rFonts w:ascii="Cambria Math" w:hAnsi="Cambria Math"/>
                                          <w:sz w:val="18"/>
                                          <w:szCs w:val="18"/>
                                          <w:lang w:val="en-US"/>
                                        </w:rPr>
                                        <m:t>b</m:t>
                                      </m:r>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f</m:t>
                                          </m:r>
                                        </m:sub>
                                      </m:sSub>
                                    </m:den>
                                  </m:f>
                                </m:e>
                              </m:d>
                            </m:e>
                            <m:sup>
                              <m:r>
                                <m:rPr>
                                  <m:sty m:val="p"/>
                                </m:rPr>
                                <w:rPr>
                                  <w:rFonts w:ascii="Cambria Math" w:hAnsi="Cambria Math"/>
                                  <w:sz w:val="18"/>
                                  <w:szCs w:val="18"/>
                                  <w:lang w:val="en-US"/>
                                </w:rPr>
                                <m:t>-1</m:t>
                              </m:r>
                            </m:sup>
                          </m:sSup>
                          <m:r>
                            <m:rPr>
                              <m:sty m:val="p"/>
                            </m:rPr>
                            <w:rPr>
                              <w:rFonts w:ascii="Cambria Math" w:hAnsi="Cambria Math"/>
                              <w:sz w:val="18"/>
                              <w:szCs w:val="18"/>
                              <w:lang w:val="en-US"/>
                            </w:rPr>
                            <m:t>-0.0023≥0</m:t>
                          </m:r>
                        </m:e>
                      </m:mr>
                    </m:m>
                  </m:e>
                </m:d>
              </m:oMath>
            </m:oMathPara>
          </w:p>
        </w:tc>
        <w:tc>
          <w:tcPr>
            <w:tcW w:w="735" w:type="pct"/>
            <w:tcBorders>
              <w:top w:val="nil"/>
              <w:left w:val="nil"/>
              <w:bottom w:val="nil"/>
              <w:right w:val="nil"/>
            </w:tcBorders>
            <w:vAlign w:val="center"/>
          </w:tcPr>
          <w:p w14:paraId="26C80BF5" w14:textId="77777777" w:rsidR="00730C57" w:rsidRPr="004A68AC" w:rsidRDefault="00730C57" w:rsidP="00657961">
            <w:pPr>
              <w:jc w:val="right"/>
              <w:rPr>
                <w:lang w:val="en-US"/>
              </w:rPr>
            </w:pPr>
            <w:r w:rsidRPr="004A68AC">
              <w:rPr>
                <w:lang w:val="en-US"/>
              </w:rPr>
              <w:t>(8a)</w:t>
            </w:r>
          </w:p>
          <w:p w14:paraId="62CBE57A" w14:textId="77777777" w:rsidR="00657961" w:rsidRPr="004A68AC" w:rsidRDefault="00657961" w:rsidP="00657961">
            <w:pPr>
              <w:jc w:val="right"/>
              <w:rPr>
                <w:lang w:val="en-US"/>
              </w:rPr>
            </w:pPr>
          </w:p>
          <w:p w14:paraId="2DAD3AF0" w14:textId="06B4D7EA" w:rsidR="00730C57" w:rsidRPr="004A68AC" w:rsidRDefault="00730C57" w:rsidP="00657961">
            <w:pPr>
              <w:jc w:val="right"/>
              <w:rPr>
                <w:lang w:val="en-US"/>
              </w:rPr>
            </w:pPr>
            <w:r w:rsidRPr="004A68AC">
              <w:rPr>
                <w:lang w:val="en-US"/>
              </w:rPr>
              <w:t>(8b)</w:t>
            </w:r>
          </w:p>
        </w:tc>
      </w:tr>
      <w:tr w:rsidR="00730C57" w:rsidRPr="004A68AC" w14:paraId="631CD9BE" w14:textId="77777777" w:rsidTr="00507EAD">
        <w:trPr>
          <w:trHeight w:val="199"/>
        </w:trPr>
        <w:tc>
          <w:tcPr>
            <w:tcW w:w="4265" w:type="pct"/>
            <w:tcBorders>
              <w:top w:val="nil"/>
              <w:left w:val="nil"/>
              <w:bottom w:val="nil"/>
              <w:right w:val="nil"/>
            </w:tcBorders>
            <w:vAlign w:val="center"/>
          </w:tcPr>
          <w:p w14:paraId="11BDDA26" w14:textId="77777777" w:rsidR="00730C57" w:rsidRPr="004A68AC" w:rsidRDefault="00730C57" w:rsidP="00657961">
            <w:pPr>
              <w:jc w:val="left"/>
              <w:rPr>
                <w:sz w:val="18"/>
                <w:szCs w:val="18"/>
                <w:lang w:val="en-US"/>
              </w:rPr>
            </w:pPr>
            <m:oMathPara>
              <m:oMathParaPr>
                <m:jc m:val="left"/>
              </m:oMathParaPr>
              <m:oMath>
                <m:r>
                  <m:rPr>
                    <m:sty m:val="p"/>
                  </m:rPr>
                  <w:rPr>
                    <w:rFonts w:ascii="Cambria Math" w:hAnsi="Cambria Math"/>
                    <w:sz w:val="18"/>
                    <w:szCs w:val="18"/>
                    <w:lang w:val="en-US"/>
                  </w:rPr>
                  <m:t>b=</m:t>
                </m:r>
                <m:d>
                  <m:dPr>
                    <m:begChr m:val="{"/>
                    <m:endChr m:val=""/>
                    <m:ctrlPr>
                      <w:rPr>
                        <w:rFonts w:ascii="Cambria Math" w:hAnsi="Cambria Math"/>
                        <w:sz w:val="18"/>
                        <w:szCs w:val="18"/>
                        <w:lang w:val="en-US"/>
                      </w:rPr>
                    </m:ctrlPr>
                  </m:dPr>
                  <m:e>
                    <m:m>
                      <m:mPr>
                        <m:mcs>
                          <m:mc>
                            <m:mcPr>
                              <m:count m:val="1"/>
                              <m:mcJc m:val="center"/>
                            </m:mcPr>
                          </m:mc>
                        </m:mcs>
                        <m:ctrlPr>
                          <w:rPr>
                            <w:rFonts w:ascii="Cambria Math" w:hAnsi="Cambria Math"/>
                            <w:sz w:val="18"/>
                            <w:szCs w:val="18"/>
                            <w:lang w:val="en-US"/>
                          </w:rPr>
                        </m:ctrlPr>
                      </m:mPr>
                      <m:mr>
                        <m:e>
                          <m:r>
                            <m:rPr>
                              <m:sty m:val="p"/>
                            </m:rPr>
                            <w:rPr>
                              <w:rFonts w:ascii="Cambria Math" w:hAnsi="Cambria Math"/>
                              <w:sz w:val="18"/>
                              <w:szCs w:val="18"/>
                              <w:lang w:val="en-US"/>
                            </w:rPr>
                            <m:t>7.4</m:t>
                          </m:r>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1-</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ctrlPr>
                                    <w:rPr>
                                      <w:rFonts w:ascii="Cambria Math" w:hAnsi="Cambria Math"/>
                                      <w:sz w:val="18"/>
                                      <w:szCs w:val="18"/>
                                      <w:vertAlign w:val="subscript"/>
                                      <w:lang w:val="en-US" w:eastAsia="it-IT"/>
                                    </w:rPr>
                                  </m:ctrlPr>
                                </m:e>
                              </m:d>
                            </m:e>
                            <m:sup>
                              <m:r>
                                <m:rPr>
                                  <m:sty m:val="p"/>
                                </m:rPr>
                                <w:rPr>
                                  <w:rFonts w:ascii="Cambria Math" w:hAnsi="Cambria Math"/>
                                  <w:sz w:val="18"/>
                                  <w:szCs w:val="18"/>
                                  <w:lang w:val="en-US"/>
                                </w:rPr>
                                <m:t>2.3</m:t>
                              </m:r>
                            </m:sup>
                          </m:sSup>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0.5</m:t>
                                  </m:r>
                                  <m:f>
                                    <m:fPr>
                                      <m:ctrlPr>
                                        <w:rPr>
                                          <w:rFonts w:ascii="Cambria Math" w:hAnsi="Cambria Math"/>
                                          <w:sz w:val="18"/>
                                          <w:szCs w:val="18"/>
                                          <w:lang w:val="en-US"/>
                                        </w:rPr>
                                      </m:ctrlPr>
                                    </m:fPr>
                                    <m:num>
                                      <m:r>
                                        <m:rPr>
                                          <m:sty m:val="p"/>
                                        </m:rPr>
                                        <w:rPr>
                                          <w:rFonts w:ascii="Cambria Math" w:hAnsi="Cambria Math"/>
                                          <w:sz w:val="18"/>
                                          <w:szCs w:val="18"/>
                                          <w:lang w:val="en-US"/>
                                        </w:rPr>
                                        <m:t>L</m:t>
                                      </m:r>
                                    </m:num>
                                    <m:den>
                                      <m:sSub>
                                        <m:sSubPr>
                                          <m:ctrlPr>
                                            <w:rPr>
                                              <w:rFonts w:ascii="Cambria Math" w:hAnsi="Cambria Math"/>
                                              <w:sz w:val="18"/>
                                              <w:szCs w:val="18"/>
                                              <w:lang w:val="en-US"/>
                                            </w:rPr>
                                          </m:ctrlPr>
                                        </m:sSubPr>
                                        <m:e>
                                          <m:r>
                                            <m:rPr>
                                              <m:sty m:val="p"/>
                                            </m:rPr>
                                            <w:rPr>
                                              <w:rFonts w:ascii="Cambria Math" w:hAnsi="Cambria Math"/>
                                              <w:sz w:val="18"/>
                                              <w:szCs w:val="18"/>
                                              <w:lang w:val="en-US"/>
                                            </w:rPr>
                                            <m:t>i</m:t>
                                          </m:r>
                                        </m:e>
                                        <m:sub>
                                          <m:r>
                                            <m:rPr>
                                              <m:sty m:val="p"/>
                                            </m:rPr>
                                            <w:rPr>
                                              <w:rFonts w:ascii="Cambria Math" w:hAnsi="Cambria Math"/>
                                              <w:sz w:val="18"/>
                                              <w:szCs w:val="18"/>
                                              <w:lang w:val="en-US"/>
                                            </w:rPr>
                                            <m:t>z</m:t>
                                          </m:r>
                                        </m:sub>
                                      </m:sSub>
                                    </m:den>
                                  </m:f>
                                  <m:r>
                                    <m:rPr>
                                      <m:sty m:val="p"/>
                                    </m:rPr>
                                    <w:rPr>
                                      <w:rFonts w:ascii="Cambria Math" w:hAnsi="Cambria Math"/>
                                      <w:sz w:val="18"/>
                                      <w:szCs w:val="18"/>
                                      <w:lang w:val="en-US"/>
                                    </w:rPr>
                                    <m:t>+2.9</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h</m:t>
                                          </m:r>
                                        </m:e>
                                        <m:sub>
                                          <m:r>
                                            <m:rPr>
                                              <m:sty m:val="p"/>
                                            </m:rPr>
                                            <w:rPr>
                                              <w:rFonts w:ascii="Cambria Math" w:hAnsi="Cambria Math"/>
                                              <w:sz w:val="18"/>
                                              <w:szCs w:val="18"/>
                                              <w:lang w:val="en-US"/>
                                            </w:rPr>
                                            <m:t>i</m:t>
                                          </m:r>
                                        </m:sub>
                                      </m:sSub>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e>
                              </m:d>
                            </m:e>
                            <m:sup>
                              <m:r>
                                <m:rPr>
                                  <m:sty m:val="p"/>
                                </m:rPr>
                                <w:rPr>
                                  <w:rFonts w:ascii="Cambria Math" w:hAnsi="Cambria Math"/>
                                  <w:sz w:val="18"/>
                                  <w:szCs w:val="18"/>
                                  <w:lang w:val="en-US"/>
                                </w:rPr>
                                <m:t>-1</m:t>
                              </m:r>
                            </m:sup>
                          </m:sSup>
                          <m:r>
                            <m:rPr>
                              <m:sty m:val="p"/>
                            </m:rPr>
                            <w:rPr>
                              <w:rFonts w:ascii="Cambria Math" w:hAnsi="Cambria Math"/>
                              <w:sz w:val="18"/>
                              <w:szCs w:val="18"/>
                              <w:lang w:val="en-US"/>
                            </w:rPr>
                            <m:t>-0.006≥0</m:t>
                          </m:r>
                        </m:e>
                      </m:mr>
                      <m:mr>
                        <m:e>
                          <m:r>
                            <m:rPr>
                              <m:sty m:val="p"/>
                            </m:rPr>
                            <w:rPr>
                              <w:rFonts w:ascii="Cambria Math" w:hAnsi="Cambria Math"/>
                              <w:sz w:val="18"/>
                              <w:szCs w:val="18"/>
                              <w:lang w:val="en-US"/>
                            </w:rPr>
                            <m:t>2.5</m:t>
                          </m:r>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1-</m:t>
                                  </m:r>
                                  <m:sSub>
                                    <m:sSubPr>
                                      <m:ctrlPr>
                                        <w:rPr>
                                          <w:rFonts w:ascii="Cambria Math" w:hAnsi="Cambria Math"/>
                                          <w:sz w:val="18"/>
                                          <w:szCs w:val="18"/>
                                          <w:lang w:val="en-US" w:eastAsia="it-IT"/>
                                        </w:rPr>
                                      </m:ctrlPr>
                                    </m:sSubPr>
                                    <m:e>
                                      <m:r>
                                        <m:rPr>
                                          <m:sty m:val="p"/>
                                        </m:rPr>
                                        <w:rPr>
                                          <w:rFonts w:ascii="Cambria Math" w:hAnsi="Cambria Math"/>
                                          <w:sz w:val="18"/>
                                          <w:szCs w:val="18"/>
                                          <w:lang w:val="en-US" w:eastAsia="it-IT"/>
                                        </w:rPr>
                                        <m:t>ν</m:t>
                                      </m:r>
                                      <m:ctrlPr>
                                        <w:rPr>
                                          <w:rFonts w:ascii="Cambria Math" w:hAnsi="Cambria Math"/>
                                          <w:sz w:val="18"/>
                                          <w:szCs w:val="18"/>
                                          <w:lang w:val="en-US"/>
                                        </w:rPr>
                                      </m:ctrlPr>
                                    </m:e>
                                    <m:sub>
                                      <m:r>
                                        <m:rPr>
                                          <m:sty m:val="p"/>
                                        </m:rPr>
                                        <w:rPr>
                                          <w:rFonts w:ascii="Cambria Math" w:hAnsi="Cambria Math"/>
                                          <w:sz w:val="18"/>
                                          <w:szCs w:val="18"/>
                                          <w:lang w:val="en-US" w:eastAsia="it-IT"/>
                                        </w:rPr>
                                        <m:t>G</m:t>
                                      </m:r>
                                    </m:sub>
                                  </m:sSub>
                                  <m:ctrlPr>
                                    <w:rPr>
                                      <w:rFonts w:ascii="Cambria Math" w:hAnsi="Cambria Math"/>
                                      <w:sz w:val="18"/>
                                      <w:szCs w:val="18"/>
                                      <w:vertAlign w:val="subscript"/>
                                      <w:lang w:val="en-US" w:eastAsia="it-IT"/>
                                    </w:rPr>
                                  </m:ctrlPr>
                                </m:e>
                              </m:d>
                            </m:e>
                            <m:sup>
                              <m:r>
                                <m:rPr>
                                  <m:sty m:val="p"/>
                                </m:rPr>
                                <w:rPr>
                                  <w:rFonts w:ascii="Cambria Math" w:hAnsi="Cambria Math"/>
                                  <w:sz w:val="18"/>
                                  <w:szCs w:val="18"/>
                                  <w:lang w:val="en-US"/>
                                </w:rPr>
                                <m:t>1.8</m:t>
                              </m:r>
                            </m:sup>
                          </m:sSup>
                          <m:sSup>
                            <m:sSupPr>
                              <m:ctrlPr>
                                <w:rPr>
                                  <w:rFonts w:ascii="Cambria Math" w:hAnsi="Cambria Math"/>
                                  <w:sz w:val="18"/>
                                  <w:szCs w:val="18"/>
                                  <w:lang w:val="en-US"/>
                                </w:rPr>
                              </m:ctrlPr>
                            </m:sSupPr>
                            <m:e>
                              <m:d>
                                <m:dPr>
                                  <m:ctrlPr>
                                    <w:rPr>
                                      <w:rFonts w:ascii="Cambria Math" w:hAnsi="Cambria Math"/>
                                      <w:sz w:val="18"/>
                                      <w:szCs w:val="18"/>
                                      <w:lang w:val="en-US"/>
                                    </w:rPr>
                                  </m:ctrlPr>
                                </m:dPr>
                                <m:e>
                                  <m:r>
                                    <m:rPr>
                                      <m:sty m:val="p"/>
                                    </m:rPr>
                                    <w:rPr>
                                      <w:rFonts w:ascii="Cambria Math" w:hAnsi="Cambria Math"/>
                                      <w:sz w:val="18"/>
                                      <w:szCs w:val="18"/>
                                      <w:lang w:val="en-US"/>
                                    </w:rPr>
                                    <m:t>0.1</m:t>
                                  </m:r>
                                  <m:f>
                                    <m:fPr>
                                      <m:ctrlPr>
                                        <w:rPr>
                                          <w:rFonts w:ascii="Cambria Math" w:hAnsi="Cambria Math"/>
                                          <w:sz w:val="18"/>
                                          <w:szCs w:val="18"/>
                                          <w:lang w:val="en-US"/>
                                        </w:rPr>
                                      </m:ctrlPr>
                                    </m:fPr>
                                    <m:num>
                                      <m:r>
                                        <m:rPr>
                                          <m:sty m:val="p"/>
                                        </m:rPr>
                                        <w:rPr>
                                          <w:rFonts w:ascii="Cambria Math" w:hAnsi="Cambria Math"/>
                                          <w:sz w:val="18"/>
                                          <w:szCs w:val="18"/>
                                          <w:lang w:val="en-US"/>
                                        </w:rPr>
                                        <m:t>L</m:t>
                                      </m:r>
                                    </m:num>
                                    <m:den>
                                      <m:sSub>
                                        <m:sSubPr>
                                          <m:ctrlPr>
                                            <w:rPr>
                                              <w:rFonts w:ascii="Cambria Math" w:hAnsi="Cambria Math"/>
                                              <w:sz w:val="18"/>
                                              <w:szCs w:val="18"/>
                                              <w:lang w:val="en-US"/>
                                            </w:rPr>
                                          </m:ctrlPr>
                                        </m:sSubPr>
                                        <m:e>
                                          <m:r>
                                            <m:rPr>
                                              <m:sty m:val="p"/>
                                            </m:rPr>
                                            <w:rPr>
                                              <w:rFonts w:ascii="Cambria Math" w:hAnsi="Cambria Math"/>
                                              <w:sz w:val="18"/>
                                              <w:szCs w:val="18"/>
                                              <w:lang w:val="en-US"/>
                                            </w:rPr>
                                            <m:t>i</m:t>
                                          </m:r>
                                        </m:e>
                                        <m:sub>
                                          <m:r>
                                            <m:rPr>
                                              <m:sty m:val="p"/>
                                            </m:rPr>
                                            <w:rPr>
                                              <w:rFonts w:ascii="Cambria Math" w:hAnsi="Cambria Math"/>
                                              <w:sz w:val="18"/>
                                              <w:szCs w:val="18"/>
                                              <w:lang w:val="en-US"/>
                                            </w:rPr>
                                            <m:t>z</m:t>
                                          </m:r>
                                        </m:sub>
                                      </m:sSub>
                                    </m:den>
                                  </m:f>
                                  <m:r>
                                    <m:rPr>
                                      <m:sty m:val="p"/>
                                    </m:rPr>
                                    <w:rPr>
                                      <w:rFonts w:ascii="Cambria Math" w:hAnsi="Cambria Math"/>
                                      <w:sz w:val="18"/>
                                      <w:szCs w:val="18"/>
                                      <w:lang w:val="en-US"/>
                                    </w:rPr>
                                    <m:t>+0.2</m:t>
                                  </m:r>
                                  <m:f>
                                    <m:fPr>
                                      <m:ctrlPr>
                                        <w:rPr>
                                          <w:rFonts w:ascii="Cambria Math" w:hAnsi="Cambria Math"/>
                                          <w:sz w:val="18"/>
                                          <w:szCs w:val="18"/>
                                          <w:lang w:val="en-US"/>
                                        </w:rPr>
                                      </m:ctrlPr>
                                    </m:fPr>
                                    <m:num>
                                      <m:sSub>
                                        <m:sSubPr>
                                          <m:ctrlPr>
                                            <w:rPr>
                                              <w:rFonts w:ascii="Cambria Math" w:hAnsi="Cambria Math"/>
                                              <w:sz w:val="18"/>
                                              <w:szCs w:val="18"/>
                                              <w:lang w:val="en-US"/>
                                            </w:rPr>
                                          </m:ctrlPr>
                                        </m:sSubPr>
                                        <m:e>
                                          <m:r>
                                            <m:rPr>
                                              <m:sty m:val="p"/>
                                            </m:rPr>
                                            <w:rPr>
                                              <w:rFonts w:ascii="Cambria Math" w:hAnsi="Cambria Math"/>
                                              <w:sz w:val="18"/>
                                              <w:szCs w:val="18"/>
                                              <w:lang w:val="en-US"/>
                                            </w:rPr>
                                            <m:t>h</m:t>
                                          </m:r>
                                        </m:e>
                                        <m:sub>
                                          <m:r>
                                            <m:rPr>
                                              <m:sty m:val="p"/>
                                            </m:rPr>
                                            <w:rPr>
                                              <w:rFonts w:ascii="Cambria Math" w:hAnsi="Cambria Math"/>
                                              <w:sz w:val="18"/>
                                              <w:szCs w:val="18"/>
                                              <w:lang w:val="en-US"/>
                                            </w:rPr>
                                            <m:t>i</m:t>
                                          </m:r>
                                        </m:sub>
                                      </m:sSub>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w</m:t>
                                          </m:r>
                                        </m:sub>
                                      </m:sSub>
                                    </m:den>
                                  </m:f>
                                  <m:r>
                                    <m:rPr>
                                      <m:sty m:val="p"/>
                                    </m:rPr>
                                    <w:rPr>
                                      <w:rFonts w:ascii="Cambria Math" w:hAnsi="Cambria Math"/>
                                      <w:sz w:val="18"/>
                                      <w:szCs w:val="18"/>
                                      <w:lang w:val="en-US"/>
                                    </w:rPr>
                                    <m:t>+2.7</m:t>
                                  </m:r>
                                  <m:f>
                                    <m:fPr>
                                      <m:ctrlPr>
                                        <w:rPr>
                                          <w:rFonts w:ascii="Cambria Math" w:hAnsi="Cambria Math"/>
                                          <w:sz w:val="18"/>
                                          <w:szCs w:val="18"/>
                                          <w:lang w:val="en-US"/>
                                        </w:rPr>
                                      </m:ctrlPr>
                                    </m:fPr>
                                    <m:num>
                                      <m:r>
                                        <m:rPr>
                                          <m:sty m:val="p"/>
                                        </m:rPr>
                                        <w:rPr>
                                          <w:rFonts w:ascii="Cambria Math" w:hAnsi="Cambria Math"/>
                                          <w:sz w:val="18"/>
                                          <w:szCs w:val="18"/>
                                          <w:lang w:val="en-US"/>
                                        </w:rPr>
                                        <m:t>b</m:t>
                                      </m:r>
                                    </m:num>
                                    <m:den>
                                      <m:sSub>
                                        <m:sSubPr>
                                          <m:ctrlPr>
                                            <w:rPr>
                                              <w:rFonts w:ascii="Cambria Math" w:hAnsi="Cambria Math"/>
                                              <w:sz w:val="18"/>
                                              <w:szCs w:val="18"/>
                                              <w:lang w:val="en-US"/>
                                            </w:rPr>
                                          </m:ctrlPr>
                                        </m:sSubPr>
                                        <m:e>
                                          <m:r>
                                            <m:rPr>
                                              <m:sty m:val="p"/>
                                            </m:rPr>
                                            <w:rPr>
                                              <w:rFonts w:ascii="Cambria Math" w:hAnsi="Cambria Math"/>
                                              <w:sz w:val="18"/>
                                              <w:szCs w:val="18"/>
                                              <w:lang w:val="en-US"/>
                                            </w:rPr>
                                            <m:t>t</m:t>
                                          </m:r>
                                        </m:e>
                                        <m:sub>
                                          <m:r>
                                            <m:rPr>
                                              <m:sty m:val="p"/>
                                            </m:rPr>
                                            <w:rPr>
                                              <w:rFonts w:ascii="Cambria Math" w:hAnsi="Cambria Math"/>
                                              <w:sz w:val="18"/>
                                              <w:szCs w:val="18"/>
                                              <w:lang w:val="en-US"/>
                                            </w:rPr>
                                            <m:t>f</m:t>
                                          </m:r>
                                        </m:sub>
                                      </m:sSub>
                                    </m:den>
                                  </m:f>
                                </m:e>
                              </m:d>
                            </m:e>
                            <m:sup>
                              <m:r>
                                <m:rPr>
                                  <m:sty m:val="p"/>
                                </m:rPr>
                                <w:rPr>
                                  <w:rFonts w:ascii="Cambria Math" w:hAnsi="Cambria Math"/>
                                  <w:sz w:val="18"/>
                                  <w:szCs w:val="18"/>
                                  <w:lang w:val="en-US"/>
                                </w:rPr>
                                <m:t>-1</m:t>
                              </m:r>
                            </m:sup>
                          </m:sSup>
                          <m:r>
                            <m:rPr>
                              <m:sty m:val="p"/>
                            </m:rPr>
                            <w:rPr>
                              <w:rFonts w:ascii="Cambria Math" w:hAnsi="Cambria Math"/>
                              <w:sz w:val="18"/>
                              <w:szCs w:val="18"/>
                              <w:lang w:val="en-US"/>
                            </w:rPr>
                            <m:t>-0.0097≥0</m:t>
                          </m:r>
                        </m:e>
                      </m:mr>
                    </m:m>
                  </m:e>
                </m:d>
              </m:oMath>
            </m:oMathPara>
          </w:p>
        </w:tc>
        <w:tc>
          <w:tcPr>
            <w:tcW w:w="735" w:type="pct"/>
            <w:tcBorders>
              <w:top w:val="nil"/>
              <w:left w:val="nil"/>
              <w:bottom w:val="nil"/>
              <w:right w:val="nil"/>
            </w:tcBorders>
            <w:vAlign w:val="center"/>
          </w:tcPr>
          <w:p w14:paraId="6C7577EB" w14:textId="77777777" w:rsidR="00730C57" w:rsidRPr="004A68AC" w:rsidRDefault="00730C57" w:rsidP="00657961">
            <w:pPr>
              <w:jc w:val="right"/>
              <w:rPr>
                <w:lang w:val="en-US"/>
              </w:rPr>
            </w:pPr>
            <w:r w:rsidRPr="004A68AC">
              <w:rPr>
                <w:lang w:val="en-US"/>
              </w:rPr>
              <w:t>(9a)</w:t>
            </w:r>
          </w:p>
          <w:p w14:paraId="607C9ECA" w14:textId="77777777" w:rsidR="00657961" w:rsidRPr="004A68AC" w:rsidRDefault="00657961" w:rsidP="00657961">
            <w:pPr>
              <w:jc w:val="right"/>
              <w:rPr>
                <w:lang w:val="en-US"/>
              </w:rPr>
            </w:pPr>
          </w:p>
          <w:p w14:paraId="49F55078" w14:textId="199E1447" w:rsidR="00730C57" w:rsidRPr="004A68AC" w:rsidRDefault="00730C57" w:rsidP="00657961">
            <w:pPr>
              <w:jc w:val="right"/>
              <w:rPr>
                <w:lang w:val="en-US"/>
              </w:rPr>
            </w:pPr>
            <w:r w:rsidRPr="004A68AC">
              <w:rPr>
                <w:lang w:val="en-US"/>
              </w:rPr>
              <w:t>(9b)</w:t>
            </w:r>
          </w:p>
        </w:tc>
      </w:tr>
    </w:tbl>
    <w:p w14:paraId="22D01D16" w14:textId="292E18E3" w:rsidR="00730C57" w:rsidRPr="004A68AC" w:rsidRDefault="00730C57" w:rsidP="00730C57">
      <w:pPr>
        <w:rPr>
          <w:vertAlign w:val="subscript"/>
          <w:lang w:val="en-US" w:eastAsia="it-IT"/>
        </w:rPr>
      </w:pPr>
      <w:r w:rsidRPr="004A68AC">
        <w:rPr>
          <w:lang w:val="en-US" w:eastAsia="it-IT"/>
        </w:rPr>
        <w:t>where i</w:t>
      </w:r>
      <w:r w:rsidRPr="004A68AC">
        <w:rPr>
          <w:vertAlign w:val="subscript"/>
          <w:lang w:val="en-US" w:eastAsia="it-IT"/>
        </w:rPr>
        <w:t>z</w:t>
      </w:r>
      <w:r w:rsidRPr="004A68AC">
        <w:rPr>
          <w:lang w:val="en-US" w:eastAsia="it-IT"/>
        </w:rPr>
        <w:t xml:space="preserve"> is the radius of gyration on the weak axis</w:t>
      </w:r>
      <w:r w:rsidRPr="004A68AC">
        <w:rPr>
          <w:szCs w:val="20"/>
          <w:lang w:val="en-US"/>
        </w:rPr>
        <w:t>. The parameter a is used to represent the plastic rotation between the yielding point and the point at which the load capacity drops to its residual value, whereas, parameter b represents the plastic rotation between the yielding point and the point at which the residual capacity is reduced to zero (</w:t>
      </w:r>
      <w:r w:rsidRPr="004A68AC">
        <w:rPr>
          <w:i/>
          <w:szCs w:val="20"/>
          <w:lang w:val="en-US"/>
        </w:rPr>
        <w:t>i.e.</w:t>
      </w:r>
      <w:r w:rsidRPr="004A68AC">
        <w:rPr>
          <w:szCs w:val="20"/>
          <w:lang w:val="en-US"/>
        </w:rPr>
        <w:t xml:space="preserve">, rupture). </w:t>
      </w:r>
      <w:r w:rsidRPr="004A68AC">
        <w:rPr>
          <w:lang w:val="en-US" w:eastAsia="it-IT"/>
        </w:rPr>
        <w:t>The use of Eq</w:t>
      </w:r>
      <w:r w:rsidR="000B042E" w:rsidRPr="004A68AC">
        <w:rPr>
          <w:lang w:val="en-US" w:eastAsia="it-IT"/>
        </w:rPr>
        <w:t>s</w:t>
      </w:r>
      <w:r w:rsidRPr="004A68AC">
        <w:rPr>
          <w:lang w:val="en-US" w:eastAsia="it-IT"/>
        </w:rPr>
        <w:t>. 8a and 9a, or Eq</w:t>
      </w:r>
      <w:r w:rsidR="000B042E" w:rsidRPr="004A68AC">
        <w:rPr>
          <w:lang w:val="en-US" w:eastAsia="it-IT"/>
        </w:rPr>
        <w:t>s</w:t>
      </w:r>
      <w:r w:rsidRPr="004A68AC">
        <w:rPr>
          <w:lang w:val="en-US" w:eastAsia="it-IT"/>
        </w:rPr>
        <w:t>. 8b and 9b, depends on the dimensionless gravity axial force ν</w:t>
      </w:r>
      <w:r w:rsidRPr="004A68AC">
        <w:rPr>
          <w:vertAlign w:val="subscript"/>
          <w:lang w:val="en-US" w:eastAsia="it-IT"/>
        </w:rPr>
        <w:t>G</w:t>
      </w:r>
      <w:r w:rsidRPr="004A68AC">
        <w:rPr>
          <w:lang w:val="en-US" w:eastAsia="it-IT"/>
        </w:rPr>
        <w:t xml:space="preserve"> and the slenderness parameters α</w:t>
      </w:r>
      <w:r w:rsidRPr="004A68AC">
        <w:rPr>
          <w:vertAlign w:val="subscript"/>
          <w:lang w:val="en-US" w:eastAsia="it-IT"/>
        </w:rPr>
        <w:t>A</w:t>
      </w:r>
      <w:r w:rsidRPr="004A68AC">
        <w:rPr>
          <w:lang w:val="en-US" w:eastAsia="it-IT"/>
        </w:rPr>
        <w:t xml:space="preserve"> and β</w:t>
      </w:r>
      <w:r w:rsidRPr="004A68AC">
        <w:rPr>
          <w:vertAlign w:val="subscript"/>
          <w:lang w:val="en-US" w:eastAsia="it-IT"/>
        </w:rPr>
        <w:t>A</w:t>
      </w:r>
      <w:r w:rsidRPr="004A68AC">
        <w:rPr>
          <w:szCs w:val="20"/>
          <w:lang w:val="en-US"/>
        </w:rPr>
        <w:t xml:space="preserve">, as summarized in </w:t>
      </w:r>
      <w:r w:rsidRPr="004A68AC">
        <w:rPr>
          <w:szCs w:val="20"/>
          <w:lang w:val="en-US"/>
        </w:rPr>
        <w:fldChar w:fldCharType="begin" w:fldLock="1"/>
      </w:r>
      <w:r w:rsidRPr="004A68AC">
        <w:rPr>
          <w:szCs w:val="20"/>
          <w:lang w:val="en-US"/>
        </w:rPr>
        <w:instrText xml:space="preserve"> REF _Ref38716339 \h  \* MERGEFORMAT </w:instrText>
      </w:r>
      <w:r w:rsidRPr="004A68AC">
        <w:rPr>
          <w:szCs w:val="20"/>
          <w:lang w:val="en-US"/>
        </w:rPr>
      </w:r>
      <w:r w:rsidRPr="004A68AC">
        <w:rPr>
          <w:szCs w:val="20"/>
          <w:lang w:val="en-US"/>
        </w:rPr>
        <w:fldChar w:fldCharType="separate"/>
      </w:r>
      <w:r w:rsidRPr="004A68AC">
        <w:rPr>
          <w:szCs w:val="20"/>
          <w:lang w:val="en-US"/>
        </w:rPr>
        <w:t xml:space="preserve">Table </w:t>
      </w:r>
      <w:r w:rsidRPr="004A68AC">
        <w:rPr>
          <w:noProof/>
          <w:szCs w:val="20"/>
          <w:lang w:val="en-US"/>
        </w:rPr>
        <w:t>5</w:t>
      </w:r>
      <w:r w:rsidRPr="004A68AC">
        <w:rPr>
          <w:szCs w:val="20"/>
          <w:lang w:val="en-US"/>
        </w:rPr>
        <w:fldChar w:fldCharType="end"/>
      </w:r>
      <w:r w:rsidRPr="004A68AC">
        <w:rPr>
          <w:vertAlign w:val="subscript"/>
          <w:lang w:val="en-US" w:eastAsia="it-IT"/>
        </w:rPr>
        <w:t>.</w:t>
      </w:r>
    </w:p>
    <w:p w14:paraId="687D7D93" w14:textId="77777777" w:rsidR="00A87774" w:rsidRPr="004A68AC" w:rsidRDefault="00A87774" w:rsidP="00730C57">
      <w:pPr>
        <w:rPr>
          <w:vertAlign w:val="subscript"/>
          <w:lang w:val="en-US" w:eastAsia="it-IT"/>
        </w:rPr>
      </w:pPr>
    </w:p>
    <w:p w14:paraId="12D1F0D9" w14:textId="4E84D687" w:rsidR="00A87774" w:rsidRPr="004A68AC" w:rsidRDefault="00A87774" w:rsidP="00A87774">
      <w:pPr>
        <w:rPr>
          <w:lang w:val="en-US" w:eastAsia="it-IT"/>
        </w:rPr>
      </w:pPr>
      <w:r w:rsidRPr="004A68AC">
        <w:rPr>
          <w:lang w:val="en-US"/>
        </w:rPr>
        <w:t xml:space="preserve">     The relationship between </w:t>
      </w:r>
      <w:r w:rsidRPr="004A68AC">
        <w:rPr>
          <w:lang w:val="en-US" w:eastAsia="it-IT"/>
        </w:rPr>
        <w:t>ν (or ν</w:t>
      </w:r>
      <w:r w:rsidRPr="004A68AC">
        <w:rPr>
          <w:vertAlign w:val="subscript"/>
          <w:lang w:val="en-US" w:eastAsia="it-IT"/>
        </w:rPr>
        <w:t>G</w:t>
      </w:r>
      <w:r w:rsidRPr="004A68AC">
        <w:rPr>
          <w:lang w:val="en-US" w:eastAsia="it-IT"/>
        </w:rPr>
        <w:t xml:space="preserve">) and the total rotation capacity limits for four cross sections presented in </w:t>
      </w:r>
      <w:r w:rsidRPr="004A68AC">
        <w:rPr>
          <w:lang w:val="en-US" w:eastAsia="it-IT"/>
        </w:rPr>
        <w:fldChar w:fldCharType="begin" w:fldLock="1"/>
      </w:r>
      <w:r w:rsidRPr="004A68AC">
        <w:rPr>
          <w:lang w:val="en-US" w:eastAsia="it-IT"/>
        </w:rPr>
        <w:instrText xml:space="preserve"> REF _Ref38905456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6</w:t>
      </w:r>
      <w:r w:rsidRPr="004A68AC">
        <w:rPr>
          <w:lang w:val="en-US" w:eastAsia="it-IT"/>
        </w:rPr>
        <w:fldChar w:fldCharType="end"/>
      </w:r>
      <w:r w:rsidRPr="004A68AC">
        <w:rPr>
          <w:lang w:val="en-US" w:eastAsia="it-IT"/>
        </w:rPr>
        <w:t xml:space="preserve">, is shown in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 xml:space="preserve">. </w:t>
      </w:r>
      <w:r w:rsidRPr="004A68AC">
        <w:rPr>
          <w:lang w:val="en-US"/>
        </w:rPr>
        <w:t xml:space="preserve">The comparison has been made directly in the cross sections to understand the effects of axial force on the deformation capacity limits established by the different codes. The considered sections have been extracted from the two case study structures analyzed in the following section, </w:t>
      </w:r>
      <w:r w:rsidRPr="004A68AC">
        <w:rPr>
          <w:lang w:val="en-US" w:eastAsia="it-IT"/>
        </w:rPr>
        <w:t xml:space="preserve">and which characteristics fit as below, above and in-between the slenderness limits established by the ASCE 41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lang w:val="en-US" w:eastAsia="it-IT"/>
        </w:rPr>
        <w:fldChar w:fldCharType="separate"/>
      </w:r>
      <w:r w:rsidRPr="004A68AC">
        <w:rPr>
          <w:noProof/>
          <w:lang w:val="en-US" w:eastAsia="it-IT"/>
        </w:rPr>
        <w:t>[15,18,19]</w:t>
      </w:r>
      <w:r w:rsidRPr="004A68AC">
        <w:rPr>
          <w:lang w:val="en-US" w:eastAsia="it-IT"/>
        </w:rPr>
        <w:fldChar w:fldCharType="end"/>
      </w:r>
      <w:r w:rsidRPr="004A68AC">
        <w:rPr>
          <w:lang w:val="en-US" w:eastAsia="it-IT"/>
        </w:rPr>
        <w:t xml:space="preserve">, as detailed in </w:t>
      </w:r>
      <w:r w:rsidRPr="004A68AC">
        <w:rPr>
          <w:lang w:val="en-US" w:eastAsia="it-IT"/>
        </w:rPr>
        <w:fldChar w:fldCharType="begin" w:fldLock="1"/>
      </w:r>
      <w:r w:rsidRPr="004A68AC">
        <w:rPr>
          <w:lang w:val="en-US" w:eastAsia="it-IT"/>
        </w:rPr>
        <w:instrText xml:space="preserve"> REF _Ref38905456 \h  \* MERGEFORMAT </w:instrText>
      </w:r>
      <w:r w:rsidRPr="004A68AC">
        <w:rPr>
          <w:lang w:val="en-US" w:eastAsia="it-IT"/>
        </w:rPr>
      </w:r>
      <w:r w:rsidRPr="004A68AC">
        <w:rPr>
          <w:lang w:val="en-US" w:eastAsia="it-IT"/>
        </w:rPr>
        <w:fldChar w:fldCharType="separate"/>
      </w:r>
      <w:r w:rsidRPr="004A68AC">
        <w:rPr>
          <w:szCs w:val="20"/>
          <w:lang w:val="en-US"/>
        </w:rPr>
        <w:t xml:space="preserve">Table </w:t>
      </w:r>
      <w:r w:rsidRPr="004A68AC">
        <w:rPr>
          <w:noProof/>
          <w:szCs w:val="20"/>
          <w:lang w:val="en-US"/>
        </w:rPr>
        <w:t>6</w:t>
      </w:r>
      <w:r w:rsidRPr="004A68AC">
        <w:rPr>
          <w:lang w:val="en-US" w:eastAsia="it-IT"/>
        </w:rPr>
        <w:fldChar w:fldCharType="end"/>
      </w:r>
      <w:r w:rsidRPr="004A68AC">
        <w:rPr>
          <w:lang w:val="en-US"/>
        </w:rPr>
        <w:t xml:space="preserve">. For each code and limit state, the characteristics of the rotation limit are affected by: (1) the different definition of slenderness limits; (2) the differences in the definition of </w:t>
      </w:r>
      <w:r w:rsidRPr="004A68AC">
        <w:rPr>
          <w:lang w:val="en-US" w:eastAsia="it-IT"/>
        </w:rPr>
        <w:t>θ</w:t>
      </w:r>
      <w:r w:rsidRPr="004A68AC">
        <w:rPr>
          <w:vertAlign w:val="subscript"/>
          <w:lang w:val="en-US" w:eastAsia="it-IT"/>
        </w:rPr>
        <w:t>y</w:t>
      </w:r>
      <w:r w:rsidRPr="004A68AC">
        <w:rPr>
          <w:lang w:val="en-US" w:eastAsia="it-IT"/>
        </w:rPr>
        <w:t xml:space="preserve">; and (3) the different definition of the dimensionless axial force. It is not possible to directly compare the ASCE 41-17 </w:t>
      </w:r>
      <w:r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lang w:val="en-US" w:eastAsia="it-IT"/>
        </w:rPr>
        <w:fldChar w:fldCharType="separate"/>
      </w:r>
      <w:r w:rsidRPr="004A68AC">
        <w:rPr>
          <w:noProof/>
          <w:lang w:val="en-US" w:eastAsia="it-IT"/>
        </w:rPr>
        <w:t>[19]</w:t>
      </w:r>
      <w:r w:rsidRPr="004A68AC">
        <w:rPr>
          <w:lang w:val="en-US" w:eastAsia="it-IT"/>
        </w:rPr>
        <w:fldChar w:fldCharType="end"/>
      </w:r>
      <w:r w:rsidRPr="004A68AC">
        <w:rPr>
          <w:lang w:val="en-US" w:eastAsia="it-IT"/>
        </w:rPr>
        <w:t>, as only gravity loads are considered, except in the case in which ν</w:t>
      </w:r>
      <w:r w:rsidRPr="004A68AC">
        <w:rPr>
          <w:vertAlign w:val="subscript"/>
          <w:lang w:val="en-US" w:eastAsia="it-IT"/>
        </w:rPr>
        <w:t>G</w:t>
      </w:r>
      <w:r w:rsidRPr="004A68AC">
        <w:rPr>
          <w:lang w:val="en-US" w:eastAsia="it-IT"/>
        </w:rPr>
        <w:t>.= ν (</w:t>
      </w:r>
      <w:r w:rsidRPr="004A68AC">
        <w:rPr>
          <w:i/>
          <w:iCs/>
          <w:lang w:val="en-US" w:eastAsia="it-IT"/>
        </w:rPr>
        <w:t>i.e.,</w:t>
      </w:r>
      <w:r w:rsidRPr="004A68AC">
        <w:rPr>
          <w:lang w:val="en-US" w:eastAsia="it-IT"/>
        </w:rPr>
        <w:t xml:space="preserve"> columns in which the overturning effects are negligible).</w:t>
      </w:r>
    </w:p>
    <w:p w14:paraId="4DB42CFA" w14:textId="77777777" w:rsidR="006C2442" w:rsidRPr="004A68AC" w:rsidRDefault="006C2442" w:rsidP="00A87774">
      <w:pPr>
        <w:rPr>
          <w:lang w:val="en-US" w:eastAsia="it-IT"/>
        </w:rPr>
      </w:pPr>
    </w:p>
    <w:p w14:paraId="01424C7B" w14:textId="1BF9D9E3" w:rsidR="006C2442" w:rsidRPr="004A68AC" w:rsidRDefault="006C2442" w:rsidP="006C2442">
      <w:pPr>
        <w:rPr>
          <w:lang w:val="en-US" w:eastAsia="it-IT"/>
        </w:rPr>
      </w:pPr>
      <w:r w:rsidRPr="004A68AC">
        <w:rPr>
          <w:lang w:val="en-US" w:eastAsia="it-IT"/>
        </w:rPr>
        <w:lastRenderedPageBreak/>
        <w:t xml:space="preserve">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 xml:space="preserve"> shows four cross sections that are classified as different classes according to the EC3-1-1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1993-1-1","id":"ITEM-1","issued":{"date-parts":[["2005"]]},"title":"Eurocode 3: Design of Steel Structures - Part 1-1: General Rules and Rules for Buildings","type":"article"},"uris":["http://www.mendeley.com/documents/?uuid=0fea690d-e9c3-4680-9a5d-7186f9caeed5"]}],"mendeley":{"formattedCitation":"[43]","plainTextFormattedCitation":"[43]","previouslyFormattedCitation":"[43]"},"properties":{"noteIndex":0},"schema":"https://github.com/citation-style-language/schema/raw/master/csl-citation.json"}</w:instrText>
      </w:r>
      <w:r w:rsidRPr="004A68AC">
        <w:rPr>
          <w:lang w:val="en-US" w:eastAsia="it-IT"/>
        </w:rPr>
        <w:fldChar w:fldCharType="separate"/>
      </w:r>
      <w:r w:rsidRPr="004A68AC">
        <w:rPr>
          <w:noProof/>
          <w:lang w:val="en-US" w:eastAsia="it-IT"/>
        </w:rPr>
        <w:t>[43]</w:t>
      </w:r>
      <w:r w:rsidRPr="004A68AC">
        <w:rPr>
          <w:lang w:val="en-US" w:eastAsia="it-IT"/>
        </w:rPr>
        <w:fldChar w:fldCharType="end"/>
      </w:r>
      <w:r w:rsidRPr="004A68AC">
        <w:rPr>
          <w:lang w:val="en-US" w:eastAsia="it-IT"/>
        </w:rPr>
        <w:t xml:space="preserve">.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(a), (b), and (c) show respectively the curves for sections W14</w:t>
      </w:r>
      <w:r w:rsidRPr="004A68AC">
        <w:rPr>
          <w:b/>
          <w:sz w:val="18"/>
          <w:szCs w:val="18"/>
          <w:lang w:val="en-US"/>
        </w:rPr>
        <w:t>×</w:t>
      </w:r>
      <w:r w:rsidRPr="004A68AC">
        <w:rPr>
          <w:lang w:val="en-US" w:eastAsia="it-IT"/>
        </w:rPr>
        <w:t>283, W14</w:t>
      </w:r>
      <w:r w:rsidRPr="004A68AC">
        <w:rPr>
          <w:b/>
          <w:sz w:val="18"/>
          <w:szCs w:val="18"/>
          <w:lang w:val="en-US"/>
        </w:rPr>
        <w:t>×</w:t>
      </w:r>
      <w:r w:rsidRPr="004A68AC">
        <w:rPr>
          <w:lang w:val="en-US" w:eastAsia="it-IT"/>
        </w:rPr>
        <w:t>99 and W14</w:t>
      </w:r>
      <w:r w:rsidRPr="004A68AC">
        <w:rPr>
          <w:b/>
          <w:sz w:val="18"/>
          <w:szCs w:val="18"/>
          <w:lang w:val="en-US"/>
        </w:rPr>
        <w:t>×</w:t>
      </w:r>
      <w:r w:rsidRPr="004A68AC">
        <w:rPr>
          <w:lang w:val="en-US" w:eastAsia="it-IT"/>
        </w:rPr>
        <w:t xml:space="preserve">74 which are classified as ‘Class 1’ and ‘Class 2’ according to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Pr="004A68AC">
        <w:rPr>
          <w:noProof/>
          <w:lang w:val="en-US" w:eastAsia="it-IT"/>
        </w:rPr>
        <w:t>[13]</w:t>
      </w:r>
      <w:r w:rsidRPr="004A68AC">
        <w:rPr>
          <w:lang w:val="en-US" w:eastAsia="it-IT"/>
        </w:rPr>
        <w:fldChar w:fldCharType="end"/>
      </w:r>
      <w:r w:rsidRPr="004A68AC">
        <w:rPr>
          <w:lang w:val="en-US" w:eastAsia="it-IT"/>
        </w:rPr>
        <w:t xml:space="preserve"> and hence, allow the development of plastic rotation for ν ≤ 0.3. On the other hand, for section W14</w:t>
      </w:r>
      <w:r w:rsidRPr="004A68AC">
        <w:rPr>
          <w:b/>
          <w:sz w:val="18"/>
          <w:szCs w:val="18"/>
          <w:lang w:val="en-US"/>
        </w:rPr>
        <w:t>×</w:t>
      </w:r>
      <w:r w:rsidRPr="004A68AC">
        <w:rPr>
          <w:lang w:val="en-US" w:eastAsia="it-IT"/>
        </w:rPr>
        <w:t xml:space="preserve">61 shown in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 xml:space="preserve">(d), the development of plastic rotation is not allowed at any point, as it is classified as ‘Class 3’. The vertical axes in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 xml:space="preserve"> show the total rotation rather than the plastic rotation, to allow a direct comparison of θ</w:t>
      </w:r>
      <w:r w:rsidRPr="004A68AC">
        <w:rPr>
          <w:vertAlign w:val="subscript"/>
          <w:lang w:val="en-US" w:eastAsia="it-IT"/>
        </w:rPr>
        <w:t>y</w:t>
      </w:r>
      <w:r w:rsidRPr="004A68AC">
        <w:rPr>
          <w:lang w:val="en-US" w:eastAsia="it-IT"/>
        </w:rPr>
        <w:t xml:space="preserve"> definition in-between codes.</w:t>
      </w:r>
    </w:p>
    <w:p w14:paraId="7F6DC627" w14:textId="77777777" w:rsidR="001841D9" w:rsidRPr="004A68AC" w:rsidRDefault="001841D9" w:rsidP="00A87774">
      <w:pPr>
        <w:rPr>
          <w:lang w:val="en-US" w:eastAsia="it-IT"/>
        </w:rPr>
      </w:pPr>
    </w:p>
    <w:p w14:paraId="4ECFB3EF" w14:textId="62E6018D" w:rsidR="00777E39" w:rsidRPr="004A68AC" w:rsidRDefault="00777E39" w:rsidP="00777E39">
      <w:pPr>
        <w:pStyle w:val="Tablecaption"/>
        <w:spacing w:before="0" w:after="0" w:line="240" w:lineRule="auto"/>
        <w:jc w:val="center"/>
        <w:rPr>
          <w:color w:val="auto"/>
          <w:szCs w:val="20"/>
          <w:lang w:val="en-US"/>
        </w:rPr>
      </w:pPr>
      <w:bookmarkStart w:id="17" w:name="_Ref45959772"/>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Pr="004A68AC">
        <w:rPr>
          <w:noProof/>
          <w:color w:val="auto"/>
          <w:szCs w:val="20"/>
          <w:lang w:val="en-US"/>
        </w:rPr>
        <w:t>4</w:t>
      </w:r>
      <w:r w:rsidRPr="004A68AC">
        <w:rPr>
          <w:color w:val="auto"/>
          <w:szCs w:val="20"/>
          <w:lang w:val="en-US"/>
        </w:rPr>
        <w:fldChar w:fldCharType="end"/>
      </w:r>
      <w:bookmarkEnd w:id="17"/>
      <w:r w:rsidRPr="004A68AC">
        <w:rPr>
          <w:color w:val="auto"/>
          <w:szCs w:val="20"/>
          <w:lang w:val="en-US"/>
        </w:rPr>
        <w:t xml:space="preserve">. </w:t>
      </w:r>
      <w:r w:rsidRPr="004A68AC">
        <w:rPr>
          <w:b w:val="0"/>
          <w:color w:val="auto"/>
          <w:szCs w:val="20"/>
          <w:lang w:val="en-US"/>
        </w:rPr>
        <w:t>Slenderness limits for the classification of columns and plastic rotation capacity limits.</w:t>
      </w:r>
      <w:r w:rsidRPr="004A68AC">
        <w:rPr>
          <w:rStyle w:val="CommentReference"/>
          <w:rFonts w:eastAsia="SimSun"/>
          <w:b w:val="0"/>
          <w:bCs w:val="0"/>
          <w:color w:val="auto"/>
          <w:szCs w:val="20"/>
          <w:lang w:val="en-US" w:eastAsia="zh-CN"/>
        </w:rPr>
        <w:t xml:space="preserve"> </w:t>
      </w:r>
    </w:p>
    <w:tbl>
      <w:tblPr>
        <w:tblStyle w:val="HelleSchattierung1"/>
        <w:tblW w:w="0" w:type="auto"/>
        <w:jc w:val="center"/>
        <w:tblLayout w:type="fixed"/>
        <w:tblLook w:val="04A0" w:firstRow="1" w:lastRow="0" w:firstColumn="1" w:lastColumn="0" w:noHBand="0" w:noVBand="1"/>
      </w:tblPr>
      <w:tblGrid>
        <w:gridCol w:w="1418"/>
        <w:gridCol w:w="1559"/>
        <w:gridCol w:w="2977"/>
        <w:gridCol w:w="992"/>
        <w:gridCol w:w="1418"/>
        <w:gridCol w:w="1274"/>
      </w:tblGrid>
      <w:tr w:rsidR="009B4243" w:rsidRPr="004A68AC" w14:paraId="16D631FD" w14:textId="77777777" w:rsidTr="009B424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bottom w:val="nil"/>
            </w:tcBorders>
            <w:shd w:val="clear" w:color="auto" w:fill="auto"/>
            <w:vAlign w:val="center"/>
          </w:tcPr>
          <w:p w14:paraId="1136A537" w14:textId="77777777" w:rsidR="00777E39" w:rsidRPr="004A68AC" w:rsidRDefault="00777E39" w:rsidP="00F452DE">
            <w:pPr>
              <w:jc w:val="center"/>
              <w:rPr>
                <w:color w:val="auto"/>
                <w:sz w:val="18"/>
                <w:szCs w:val="18"/>
              </w:rPr>
            </w:pPr>
            <w:r w:rsidRPr="004A68AC">
              <w:rPr>
                <w:color w:val="auto"/>
                <w:sz w:val="18"/>
                <w:szCs w:val="18"/>
              </w:rPr>
              <w:t>Code</w:t>
            </w:r>
          </w:p>
        </w:tc>
        <w:tc>
          <w:tcPr>
            <w:tcW w:w="1559" w:type="dxa"/>
            <w:vMerge w:val="restart"/>
            <w:tcBorders>
              <w:bottom w:val="nil"/>
            </w:tcBorders>
            <w:shd w:val="clear" w:color="auto" w:fill="auto"/>
            <w:vAlign w:val="center"/>
          </w:tcPr>
          <w:p w14:paraId="786CFAE1" w14:textId="77777777" w:rsidR="00777E39" w:rsidRPr="004A68AC" w:rsidRDefault="00777E39" w:rsidP="00F452D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Dimensionless axial load limits</w:t>
            </w:r>
          </w:p>
        </w:tc>
        <w:tc>
          <w:tcPr>
            <w:tcW w:w="2977" w:type="dxa"/>
            <w:vMerge w:val="restart"/>
            <w:tcBorders>
              <w:bottom w:val="nil"/>
            </w:tcBorders>
            <w:vAlign w:val="center"/>
          </w:tcPr>
          <w:p w14:paraId="07E18A05" w14:textId="77777777" w:rsidR="00777E39" w:rsidRPr="004A68AC" w:rsidDel="00BA64B1" w:rsidRDefault="00777E39" w:rsidP="00F452D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Slenderness limits</w:t>
            </w:r>
            <w:r w:rsidRPr="004A68AC">
              <w:rPr>
                <w:b w:val="0"/>
                <w:color w:val="auto"/>
                <w:sz w:val="18"/>
                <w:szCs w:val="18"/>
              </w:rPr>
              <w:t xml:space="preserve"> </w:t>
            </w:r>
            <w:r w:rsidRPr="004A68AC">
              <w:rPr>
                <w:b w:val="0"/>
                <w:color w:val="auto"/>
                <w:sz w:val="18"/>
                <w:szCs w:val="18"/>
                <w:vertAlign w:val="superscript"/>
              </w:rPr>
              <w:t>2</w:t>
            </w:r>
          </w:p>
        </w:tc>
        <w:tc>
          <w:tcPr>
            <w:tcW w:w="3684" w:type="dxa"/>
            <w:gridSpan w:val="3"/>
            <w:tcBorders>
              <w:bottom w:val="nil"/>
            </w:tcBorders>
            <w:shd w:val="clear" w:color="auto" w:fill="auto"/>
            <w:vAlign w:val="center"/>
          </w:tcPr>
          <w:p w14:paraId="72789417" w14:textId="77777777" w:rsidR="00777E39" w:rsidRPr="004A68AC" w:rsidRDefault="00777E39" w:rsidP="00F452D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Plastic rotation capacity limits</w:t>
            </w:r>
          </w:p>
        </w:tc>
      </w:tr>
      <w:tr w:rsidR="009B4243" w:rsidRPr="004A68AC" w14:paraId="16461424"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single" w:sz="8" w:space="0" w:color="000000" w:themeColor="text1"/>
            </w:tcBorders>
            <w:shd w:val="clear" w:color="auto" w:fill="auto"/>
            <w:vAlign w:val="center"/>
          </w:tcPr>
          <w:p w14:paraId="324885A9" w14:textId="77777777" w:rsidR="00777E39" w:rsidRPr="004A68AC" w:rsidRDefault="00777E39" w:rsidP="00F452DE">
            <w:pPr>
              <w:jc w:val="center"/>
              <w:rPr>
                <w:color w:val="auto"/>
                <w:sz w:val="18"/>
                <w:szCs w:val="18"/>
              </w:rPr>
            </w:pPr>
          </w:p>
        </w:tc>
        <w:tc>
          <w:tcPr>
            <w:tcW w:w="1559" w:type="dxa"/>
            <w:vMerge/>
            <w:tcBorders>
              <w:top w:val="nil"/>
              <w:bottom w:val="single" w:sz="8" w:space="0" w:color="000000" w:themeColor="text1"/>
            </w:tcBorders>
            <w:shd w:val="clear" w:color="auto" w:fill="auto"/>
            <w:vAlign w:val="center"/>
          </w:tcPr>
          <w:p w14:paraId="233C7A90"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p>
        </w:tc>
        <w:tc>
          <w:tcPr>
            <w:tcW w:w="2977" w:type="dxa"/>
            <w:vMerge/>
            <w:tcBorders>
              <w:top w:val="nil"/>
              <w:bottom w:val="single" w:sz="8" w:space="0" w:color="000000" w:themeColor="text1"/>
            </w:tcBorders>
            <w:shd w:val="clear" w:color="auto" w:fill="auto"/>
            <w:vAlign w:val="center"/>
          </w:tcPr>
          <w:p w14:paraId="6236BBCE"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p>
        </w:tc>
        <w:tc>
          <w:tcPr>
            <w:tcW w:w="992" w:type="dxa"/>
            <w:tcBorders>
              <w:top w:val="nil"/>
              <w:bottom w:val="single" w:sz="8" w:space="0" w:color="000000" w:themeColor="text1"/>
            </w:tcBorders>
            <w:shd w:val="clear" w:color="auto" w:fill="auto"/>
            <w:vAlign w:val="center"/>
          </w:tcPr>
          <w:p w14:paraId="68CFB157" w14:textId="77777777" w:rsidR="00777E39" w:rsidRPr="004A68AC" w:rsidDel="00BA64B1" w:rsidRDefault="00777E39" w:rsidP="00F452DE">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LS1</w:t>
            </w:r>
          </w:p>
        </w:tc>
        <w:tc>
          <w:tcPr>
            <w:tcW w:w="1418" w:type="dxa"/>
            <w:tcBorders>
              <w:top w:val="nil"/>
              <w:bottom w:val="single" w:sz="8" w:space="0" w:color="000000" w:themeColor="text1"/>
            </w:tcBorders>
            <w:shd w:val="clear" w:color="auto" w:fill="auto"/>
            <w:vAlign w:val="center"/>
          </w:tcPr>
          <w:p w14:paraId="02D338D7" w14:textId="77777777" w:rsidR="00777E39" w:rsidRPr="004A68AC" w:rsidDel="00BA64B1" w:rsidRDefault="00777E39" w:rsidP="00F452DE">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LS2</w:t>
            </w:r>
          </w:p>
        </w:tc>
        <w:tc>
          <w:tcPr>
            <w:tcW w:w="1274" w:type="dxa"/>
            <w:tcBorders>
              <w:top w:val="nil"/>
              <w:bottom w:val="single" w:sz="8" w:space="0" w:color="000000" w:themeColor="text1"/>
            </w:tcBorders>
            <w:shd w:val="clear" w:color="auto" w:fill="auto"/>
            <w:vAlign w:val="center"/>
          </w:tcPr>
          <w:p w14:paraId="7C384899" w14:textId="77777777" w:rsidR="00777E39" w:rsidRPr="004A68AC" w:rsidDel="00BA64B1" w:rsidRDefault="00777E39" w:rsidP="00F452DE">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LS3</w:t>
            </w:r>
          </w:p>
        </w:tc>
      </w:tr>
      <w:tr w:rsidR="009B4243" w:rsidRPr="004A68AC" w14:paraId="0A729102"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8" w:space="0" w:color="000000" w:themeColor="text1"/>
              <w:left w:val="nil"/>
              <w:bottom w:val="nil"/>
              <w:right w:val="nil"/>
            </w:tcBorders>
            <w:shd w:val="clear" w:color="auto" w:fill="auto"/>
            <w:vAlign w:val="center"/>
          </w:tcPr>
          <w:p w14:paraId="197F6B8B" w14:textId="0E674050" w:rsidR="00777E39" w:rsidRPr="004A68AC" w:rsidRDefault="00777E39" w:rsidP="00F452DE">
            <w:pPr>
              <w:ind w:hanging="108"/>
              <w:jc w:val="center"/>
              <w:rPr>
                <w:color w:val="auto"/>
                <w:sz w:val="18"/>
                <w:szCs w:val="18"/>
              </w:rPr>
            </w:pPr>
            <w:r w:rsidRPr="004A68AC">
              <w:rPr>
                <w:color w:val="auto"/>
                <w:sz w:val="18"/>
                <w:szCs w:val="18"/>
              </w:rPr>
              <w:t xml:space="preserve">EC8-3 </w:t>
            </w:r>
            <w:r w:rsidRPr="004A68AC">
              <w:rPr>
                <w:sz w:val="18"/>
                <w:szCs w:val="18"/>
              </w:rPr>
              <w:fldChar w:fldCharType="begin" w:fldLock="1"/>
            </w:r>
            <w:r w:rsidR="005C47A3" w:rsidRPr="004A68AC">
              <w:rPr>
                <w:b w:val="0"/>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rPr>
              <w:fldChar w:fldCharType="separate"/>
            </w:r>
            <w:r w:rsidR="00855F83" w:rsidRPr="004A68AC">
              <w:rPr>
                <w:b w:val="0"/>
                <w:noProof/>
                <w:color w:val="auto"/>
                <w:sz w:val="18"/>
                <w:szCs w:val="18"/>
              </w:rPr>
              <w:t>[13]</w:t>
            </w:r>
            <w:r w:rsidRPr="004A68AC">
              <w:rPr>
                <w:sz w:val="18"/>
                <w:szCs w:val="18"/>
              </w:rPr>
              <w:fldChar w:fldCharType="end"/>
            </w:r>
            <w:r w:rsidRPr="004A68AC">
              <w:rPr>
                <w:b w:val="0"/>
                <w:color w:val="auto"/>
                <w:sz w:val="18"/>
                <w:szCs w:val="18"/>
                <w:vertAlign w:val="superscript"/>
              </w:rPr>
              <w:t xml:space="preserve"> 1</w:t>
            </w:r>
          </w:p>
        </w:tc>
        <w:tc>
          <w:tcPr>
            <w:tcW w:w="1559" w:type="dxa"/>
            <w:vMerge w:val="restart"/>
            <w:tcBorders>
              <w:top w:val="single" w:sz="8" w:space="0" w:color="000000" w:themeColor="text1"/>
              <w:left w:val="nil"/>
              <w:bottom w:val="nil"/>
              <w:right w:val="nil"/>
            </w:tcBorders>
            <w:shd w:val="clear" w:color="auto" w:fill="auto"/>
            <w:vAlign w:val="center"/>
          </w:tcPr>
          <w:p w14:paraId="484D6B64"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ν &lt; 0.3</w:t>
            </w:r>
          </w:p>
        </w:tc>
        <w:tc>
          <w:tcPr>
            <w:tcW w:w="2977" w:type="dxa"/>
            <w:tcBorders>
              <w:top w:val="single" w:sz="8" w:space="0" w:color="000000" w:themeColor="text1"/>
              <w:left w:val="nil"/>
              <w:bottom w:val="nil"/>
              <w:right w:val="nil"/>
            </w:tcBorders>
            <w:shd w:val="clear" w:color="auto" w:fill="auto"/>
            <w:vAlign w:val="center"/>
          </w:tcPr>
          <w:p w14:paraId="5D1DC87F"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w:t>
            </w:r>
            <w:r w:rsidRPr="004A68AC">
              <w:rPr>
                <w:color w:val="auto"/>
                <w:sz w:val="18"/>
                <w:szCs w:val="18"/>
              </w:rPr>
              <w:t xml:space="preserve"> 506 and </w:t>
            </w: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rPr>
              <w:t xml:space="preserve"> </w:t>
            </w:r>
            <w:r w:rsidRPr="004A68AC">
              <w:rPr>
                <w:color w:val="auto"/>
                <w:sz w:val="18"/>
                <w:szCs w:val="18"/>
                <w:lang w:eastAsia="it-IT"/>
              </w:rPr>
              <w:t>≤ 138</w:t>
            </w:r>
            <w:r w:rsidRPr="004A68AC">
              <w:rPr>
                <w:color w:val="auto"/>
                <w:sz w:val="18"/>
                <w:szCs w:val="18"/>
              </w:rPr>
              <w:t xml:space="preserve"> (Class 1)</w:t>
            </w:r>
          </w:p>
        </w:tc>
        <w:tc>
          <w:tcPr>
            <w:tcW w:w="992" w:type="dxa"/>
            <w:tcBorders>
              <w:top w:val="single" w:sz="8" w:space="0" w:color="000000" w:themeColor="text1"/>
              <w:left w:val="nil"/>
              <w:bottom w:val="nil"/>
              <w:right w:val="nil"/>
            </w:tcBorders>
            <w:shd w:val="clear" w:color="auto" w:fill="auto"/>
            <w:vAlign w:val="center"/>
          </w:tcPr>
          <w:p w14:paraId="5AA1A2ED"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single" w:sz="8" w:space="0" w:color="000000" w:themeColor="text1"/>
              <w:left w:val="nil"/>
              <w:bottom w:val="nil"/>
              <w:right w:val="nil"/>
            </w:tcBorders>
            <w:shd w:val="clear" w:color="auto" w:fill="auto"/>
            <w:vAlign w:val="center"/>
          </w:tcPr>
          <w:p w14:paraId="05F4426E"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6.0 θ</w:t>
            </w:r>
            <w:r w:rsidRPr="004A68AC">
              <w:rPr>
                <w:color w:val="auto"/>
                <w:sz w:val="18"/>
                <w:szCs w:val="18"/>
                <w:vertAlign w:val="subscript"/>
                <w:lang w:eastAsia="it-IT"/>
              </w:rPr>
              <w:t>y</w:t>
            </w:r>
          </w:p>
        </w:tc>
        <w:tc>
          <w:tcPr>
            <w:tcW w:w="1274" w:type="dxa"/>
            <w:tcBorders>
              <w:top w:val="single" w:sz="8" w:space="0" w:color="000000" w:themeColor="text1"/>
              <w:left w:val="nil"/>
              <w:bottom w:val="nil"/>
              <w:right w:val="nil"/>
            </w:tcBorders>
            <w:shd w:val="clear" w:color="auto" w:fill="auto"/>
            <w:vAlign w:val="center"/>
          </w:tcPr>
          <w:p w14:paraId="06A531C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8.0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7F17F76B"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6831AFAC" w14:textId="77777777" w:rsidR="00777E39" w:rsidRPr="004A68AC" w:rsidRDefault="00777E39" w:rsidP="00F452DE">
            <w:pPr>
              <w:jc w:val="center"/>
              <w:rPr>
                <w:color w:val="auto"/>
                <w:sz w:val="18"/>
                <w:szCs w:val="18"/>
              </w:rPr>
            </w:pPr>
          </w:p>
        </w:tc>
        <w:tc>
          <w:tcPr>
            <w:tcW w:w="1559" w:type="dxa"/>
            <w:vMerge/>
            <w:tcBorders>
              <w:top w:val="nil"/>
              <w:bottom w:val="nil"/>
            </w:tcBorders>
            <w:shd w:val="clear" w:color="auto" w:fill="auto"/>
            <w:vAlign w:val="center"/>
          </w:tcPr>
          <w:p w14:paraId="552D514B"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977" w:type="dxa"/>
            <w:tcBorders>
              <w:top w:val="nil"/>
              <w:bottom w:val="nil"/>
            </w:tcBorders>
            <w:shd w:val="clear" w:color="auto" w:fill="auto"/>
            <w:vAlign w:val="center"/>
          </w:tcPr>
          <w:p w14:paraId="46949518"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w:t>
            </w:r>
            <w:r w:rsidRPr="004A68AC">
              <w:rPr>
                <w:color w:val="auto"/>
                <w:sz w:val="18"/>
                <w:szCs w:val="18"/>
              </w:rPr>
              <w:t xml:space="preserve"> 583 and </w:t>
            </w: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rPr>
              <w:t xml:space="preserve"> </w:t>
            </w:r>
            <w:r w:rsidRPr="004A68AC">
              <w:rPr>
                <w:color w:val="auto"/>
                <w:sz w:val="18"/>
                <w:szCs w:val="18"/>
                <w:lang w:eastAsia="it-IT"/>
              </w:rPr>
              <w:t>≤ 153</w:t>
            </w:r>
            <w:r w:rsidRPr="004A68AC">
              <w:rPr>
                <w:color w:val="auto"/>
                <w:sz w:val="18"/>
                <w:szCs w:val="18"/>
              </w:rPr>
              <w:t xml:space="preserve"> (Class 2)</w:t>
            </w:r>
          </w:p>
        </w:tc>
        <w:tc>
          <w:tcPr>
            <w:tcW w:w="992" w:type="dxa"/>
            <w:tcBorders>
              <w:top w:val="nil"/>
              <w:bottom w:val="nil"/>
            </w:tcBorders>
            <w:shd w:val="clear" w:color="auto" w:fill="auto"/>
            <w:vAlign w:val="center"/>
          </w:tcPr>
          <w:p w14:paraId="4D28944E"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nil"/>
              <w:bottom w:val="nil"/>
            </w:tcBorders>
            <w:shd w:val="clear" w:color="auto" w:fill="auto"/>
            <w:vAlign w:val="center"/>
          </w:tcPr>
          <w:p w14:paraId="28CE6554"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2.0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nil"/>
              <w:bottom w:val="nil"/>
            </w:tcBorders>
            <w:shd w:val="clear" w:color="auto" w:fill="auto"/>
            <w:vAlign w:val="center"/>
          </w:tcPr>
          <w:p w14:paraId="11121E10"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45B4838A"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557BB922" w14:textId="77777777" w:rsidR="00777E39" w:rsidRPr="004A68AC" w:rsidRDefault="00777E39" w:rsidP="00F452DE">
            <w:pPr>
              <w:jc w:val="center"/>
              <w:rPr>
                <w:color w:val="auto"/>
                <w:sz w:val="18"/>
                <w:szCs w:val="18"/>
              </w:rPr>
            </w:pPr>
          </w:p>
        </w:tc>
        <w:tc>
          <w:tcPr>
            <w:tcW w:w="1559" w:type="dxa"/>
            <w:vMerge/>
            <w:tcBorders>
              <w:top w:val="nil"/>
              <w:left w:val="nil"/>
              <w:bottom w:val="single" w:sz="4" w:space="0" w:color="000000" w:themeColor="text1"/>
              <w:right w:val="nil"/>
            </w:tcBorders>
            <w:shd w:val="clear" w:color="auto" w:fill="auto"/>
            <w:vAlign w:val="center"/>
          </w:tcPr>
          <w:p w14:paraId="067A3189"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977" w:type="dxa"/>
            <w:tcBorders>
              <w:top w:val="nil"/>
              <w:left w:val="nil"/>
              <w:bottom w:val="single" w:sz="4" w:space="0" w:color="000000" w:themeColor="text1"/>
              <w:right w:val="nil"/>
            </w:tcBorders>
            <w:shd w:val="clear" w:color="auto" w:fill="auto"/>
            <w:vAlign w:val="center"/>
          </w:tcPr>
          <w:p w14:paraId="18CB02A1"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&gt;</w:t>
            </w:r>
            <w:r w:rsidRPr="004A68AC">
              <w:rPr>
                <w:color w:val="auto"/>
                <w:sz w:val="18"/>
                <w:szCs w:val="18"/>
              </w:rPr>
              <w:t xml:space="preserve"> 583 or </w:t>
            </w: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rPr>
              <w:t xml:space="preserve"> </w:t>
            </w:r>
            <w:r w:rsidRPr="004A68AC">
              <w:rPr>
                <w:color w:val="auto"/>
                <w:sz w:val="18"/>
                <w:szCs w:val="18"/>
                <w:lang w:eastAsia="it-IT"/>
              </w:rPr>
              <w:t>&gt; 153</w:t>
            </w:r>
            <w:r w:rsidRPr="004A68AC">
              <w:rPr>
                <w:color w:val="auto"/>
                <w:sz w:val="18"/>
                <w:szCs w:val="18"/>
              </w:rPr>
              <w:t xml:space="preserve"> (Class 3 or 4)</w:t>
            </w:r>
          </w:p>
        </w:tc>
        <w:tc>
          <w:tcPr>
            <w:tcW w:w="3684" w:type="dxa"/>
            <w:gridSpan w:val="3"/>
            <w:tcBorders>
              <w:top w:val="nil"/>
              <w:left w:val="nil"/>
              <w:bottom w:val="single" w:sz="4" w:space="0" w:color="000000" w:themeColor="text1"/>
              <w:right w:val="nil"/>
            </w:tcBorders>
            <w:shd w:val="clear" w:color="auto" w:fill="auto"/>
            <w:vAlign w:val="center"/>
          </w:tcPr>
          <w:p w14:paraId="3F30944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Force-controlled</w:t>
            </w:r>
          </w:p>
        </w:tc>
      </w:tr>
      <w:tr w:rsidR="009B4243" w:rsidRPr="004A68AC" w14:paraId="430BA257"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single" w:sz="8" w:space="0" w:color="000000" w:themeColor="text1"/>
            </w:tcBorders>
            <w:shd w:val="clear" w:color="auto" w:fill="auto"/>
            <w:vAlign w:val="center"/>
          </w:tcPr>
          <w:p w14:paraId="39271DA0" w14:textId="77777777" w:rsidR="00777E39" w:rsidRPr="004A68AC" w:rsidRDefault="00777E39" w:rsidP="00F452DE">
            <w:pPr>
              <w:jc w:val="center"/>
              <w:rPr>
                <w:color w:val="auto"/>
                <w:sz w:val="18"/>
                <w:szCs w:val="18"/>
              </w:rPr>
            </w:pPr>
          </w:p>
        </w:tc>
        <w:tc>
          <w:tcPr>
            <w:tcW w:w="1559" w:type="dxa"/>
            <w:tcBorders>
              <w:top w:val="single" w:sz="4" w:space="0" w:color="000000" w:themeColor="text1"/>
              <w:bottom w:val="single" w:sz="8" w:space="0" w:color="000000" w:themeColor="text1"/>
            </w:tcBorders>
            <w:shd w:val="clear" w:color="auto" w:fill="auto"/>
            <w:vAlign w:val="center"/>
          </w:tcPr>
          <w:p w14:paraId="2CA84A75"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0.3 ≤ ν</w:t>
            </w:r>
          </w:p>
        </w:tc>
        <w:tc>
          <w:tcPr>
            <w:tcW w:w="2977" w:type="dxa"/>
            <w:tcBorders>
              <w:top w:val="single" w:sz="4" w:space="0" w:color="000000" w:themeColor="text1"/>
              <w:bottom w:val="single" w:sz="8" w:space="0" w:color="000000" w:themeColor="text1"/>
            </w:tcBorders>
            <w:shd w:val="clear" w:color="auto" w:fill="auto"/>
            <w:vAlign w:val="center"/>
          </w:tcPr>
          <w:p w14:paraId="4F3D4158"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All</w:t>
            </w:r>
          </w:p>
        </w:tc>
        <w:tc>
          <w:tcPr>
            <w:tcW w:w="3684" w:type="dxa"/>
            <w:gridSpan w:val="3"/>
            <w:tcBorders>
              <w:top w:val="single" w:sz="4" w:space="0" w:color="000000" w:themeColor="text1"/>
              <w:bottom w:val="single" w:sz="8" w:space="0" w:color="000000" w:themeColor="text1"/>
            </w:tcBorders>
            <w:shd w:val="clear" w:color="auto" w:fill="auto"/>
            <w:vAlign w:val="center"/>
          </w:tcPr>
          <w:p w14:paraId="7C00BACF"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Force-controlled</w:t>
            </w:r>
          </w:p>
        </w:tc>
      </w:tr>
      <w:tr w:rsidR="009B4243" w:rsidRPr="004A68AC" w14:paraId="6A21C0C8"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8" w:space="0" w:color="000000" w:themeColor="text1"/>
              <w:left w:val="nil"/>
              <w:bottom w:val="nil"/>
              <w:right w:val="nil"/>
            </w:tcBorders>
            <w:shd w:val="clear" w:color="auto" w:fill="auto"/>
            <w:vAlign w:val="center"/>
          </w:tcPr>
          <w:p w14:paraId="305FC949" w14:textId="098BB07E" w:rsidR="00777E39" w:rsidRPr="004A68AC" w:rsidRDefault="00777E39" w:rsidP="00F452DE">
            <w:pPr>
              <w:jc w:val="center"/>
              <w:rPr>
                <w:color w:val="auto"/>
                <w:sz w:val="18"/>
                <w:szCs w:val="18"/>
              </w:rPr>
            </w:pPr>
            <w:r w:rsidRPr="004A68AC">
              <w:rPr>
                <w:color w:val="auto"/>
                <w:sz w:val="18"/>
                <w:szCs w:val="18"/>
              </w:rPr>
              <w:t xml:space="preserve">ASCE 41-06 </w:t>
            </w:r>
            <w:r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[15]</w:t>
            </w:r>
            <w:r w:rsidRPr="004A68AC">
              <w:rPr>
                <w:sz w:val="18"/>
                <w:szCs w:val="18"/>
              </w:rPr>
              <w:fldChar w:fldCharType="end"/>
            </w:r>
            <w:r w:rsidRPr="004A68AC">
              <w:rPr>
                <w:b w:val="0"/>
                <w:color w:val="auto"/>
                <w:sz w:val="18"/>
                <w:szCs w:val="18"/>
                <w:vertAlign w:val="superscript"/>
              </w:rPr>
              <w:t xml:space="preserve"> 2</w:t>
            </w:r>
          </w:p>
        </w:tc>
        <w:tc>
          <w:tcPr>
            <w:tcW w:w="1559" w:type="dxa"/>
            <w:vMerge w:val="restart"/>
            <w:tcBorders>
              <w:top w:val="single" w:sz="8" w:space="0" w:color="000000" w:themeColor="text1"/>
              <w:left w:val="nil"/>
              <w:bottom w:val="nil"/>
              <w:right w:val="nil"/>
            </w:tcBorders>
            <w:shd w:val="clear" w:color="auto" w:fill="auto"/>
            <w:vAlign w:val="center"/>
          </w:tcPr>
          <w:p w14:paraId="65B9BBA7"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ν &lt; 0.2</w:t>
            </w:r>
          </w:p>
        </w:tc>
        <w:tc>
          <w:tcPr>
            <w:tcW w:w="2977" w:type="dxa"/>
            <w:tcBorders>
              <w:top w:val="single" w:sz="8" w:space="0" w:color="000000" w:themeColor="text1"/>
              <w:left w:val="nil"/>
              <w:bottom w:val="nil"/>
              <w:right w:val="nil"/>
            </w:tcBorders>
            <w:shd w:val="clear" w:color="auto" w:fill="auto"/>
            <w:vAlign w:val="center"/>
          </w:tcPr>
          <w:p w14:paraId="2160D01C"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788</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92" w:type="dxa"/>
            <w:tcBorders>
              <w:top w:val="single" w:sz="8" w:space="0" w:color="000000" w:themeColor="text1"/>
              <w:left w:val="nil"/>
              <w:bottom w:val="nil"/>
              <w:right w:val="nil"/>
            </w:tcBorders>
            <w:shd w:val="clear" w:color="auto" w:fill="auto"/>
            <w:vAlign w:val="center"/>
          </w:tcPr>
          <w:p w14:paraId="1A1C7EDE"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single" w:sz="8" w:space="0" w:color="000000" w:themeColor="text1"/>
              <w:left w:val="nil"/>
              <w:bottom w:val="nil"/>
              <w:right w:val="nil"/>
            </w:tcBorders>
            <w:shd w:val="clear" w:color="auto" w:fill="auto"/>
            <w:vAlign w:val="center"/>
          </w:tcPr>
          <w:p w14:paraId="523BC31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6.0 θ</w:t>
            </w:r>
            <w:r w:rsidRPr="004A68AC">
              <w:rPr>
                <w:color w:val="auto"/>
                <w:sz w:val="18"/>
                <w:szCs w:val="18"/>
                <w:vertAlign w:val="subscript"/>
                <w:lang w:eastAsia="it-IT"/>
              </w:rPr>
              <w:t>y</w:t>
            </w:r>
          </w:p>
        </w:tc>
        <w:tc>
          <w:tcPr>
            <w:tcW w:w="1274" w:type="dxa"/>
            <w:tcBorders>
              <w:top w:val="single" w:sz="8" w:space="0" w:color="000000" w:themeColor="text1"/>
              <w:left w:val="nil"/>
              <w:bottom w:val="nil"/>
              <w:right w:val="nil"/>
            </w:tcBorders>
            <w:shd w:val="clear" w:color="auto" w:fill="auto"/>
            <w:vAlign w:val="center"/>
          </w:tcPr>
          <w:p w14:paraId="59B75AC3"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8.0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128D3AF5"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2BED9F9C" w14:textId="77777777" w:rsidR="00777E39" w:rsidRPr="004A68AC" w:rsidRDefault="00777E39" w:rsidP="00F452DE">
            <w:pPr>
              <w:jc w:val="center"/>
              <w:rPr>
                <w:color w:val="auto"/>
                <w:sz w:val="18"/>
                <w:szCs w:val="18"/>
              </w:rPr>
            </w:pPr>
          </w:p>
        </w:tc>
        <w:tc>
          <w:tcPr>
            <w:tcW w:w="1559" w:type="dxa"/>
            <w:vMerge/>
            <w:tcBorders>
              <w:top w:val="nil"/>
              <w:bottom w:val="nil"/>
            </w:tcBorders>
            <w:shd w:val="clear" w:color="auto" w:fill="auto"/>
            <w:vAlign w:val="center"/>
          </w:tcPr>
          <w:p w14:paraId="5610ED2D"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977" w:type="dxa"/>
            <w:tcBorders>
              <w:top w:val="nil"/>
              <w:bottom w:val="nil"/>
            </w:tcBorders>
            <w:shd w:val="clear" w:color="auto" w:fill="auto"/>
            <w:vAlign w:val="center"/>
          </w:tcPr>
          <w:p w14:paraId="6267B874"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Other intermediate values</w:t>
            </w:r>
          </w:p>
        </w:tc>
        <w:tc>
          <w:tcPr>
            <w:tcW w:w="3684" w:type="dxa"/>
            <w:gridSpan w:val="3"/>
            <w:tcBorders>
              <w:top w:val="nil"/>
              <w:bottom w:val="nil"/>
            </w:tcBorders>
            <w:shd w:val="clear" w:color="auto" w:fill="auto"/>
            <w:vAlign w:val="center"/>
          </w:tcPr>
          <w:p w14:paraId="401C2391"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Interpolation</w:t>
            </w:r>
          </w:p>
        </w:tc>
      </w:tr>
      <w:tr w:rsidR="009B4243" w:rsidRPr="004A68AC" w14:paraId="169EE32D"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4F1B9535" w14:textId="77777777" w:rsidR="00777E39" w:rsidRPr="004A68AC" w:rsidRDefault="00777E39" w:rsidP="00F452DE">
            <w:pPr>
              <w:jc w:val="center"/>
              <w:rPr>
                <w:color w:val="auto"/>
                <w:sz w:val="18"/>
                <w:szCs w:val="18"/>
              </w:rPr>
            </w:pPr>
          </w:p>
        </w:tc>
        <w:tc>
          <w:tcPr>
            <w:tcW w:w="1559" w:type="dxa"/>
            <w:vMerge/>
            <w:tcBorders>
              <w:top w:val="nil"/>
              <w:left w:val="nil"/>
              <w:bottom w:val="single" w:sz="4" w:space="0" w:color="000000" w:themeColor="text1"/>
              <w:right w:val="nil"/>
            </w:tcBorders>
            <w:shd w:val="clear" w:color="auto" w:fill="auto"/>
            <w:vAlign w:val="center"/>
          </w:tcPr>
          <w:p w14:paraId="7037E1AD"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977" w:type="dxa"/>
            <w:tcBorders>
              <w:top w:val="nil"/>
              <w:left w:val="nil"/>
              <w:bottom w:val="single" w:sz="4" w:space="0" w:color="000000" w:themeColor="text1"/>
              <w:right w:val="nil"/>
            </w:tcBorders>
            <w:shd w:val="clear" w:color="auto" w:fill="auto"/>
            <w:vAlign w:val="center"/>
          </w:tcPr>
          <w:p w14:paraId="2AD9985E"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1209</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92" w:type="dxa"/>
            <w:tcBorders>
              <w:top w:val="nil"/>
              <w:left w:val="nil"/>
              <w:bottom w:val="single" w:sz="4" w:space="0" w:color="000000" w:themeColor="text1"/>
              <w:right w:val="nil"/>
            </w:tcBorders>
            <w:shd w:val="clear" w:color="auto" w:fill="auto"/>
            <w:vAlign w:val="center"/>
          </w:tcPr>
          <w:p w14:paraId="78B724FD"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nil"/>
              <w:left w:val="nil"/>
              <w:bottom w:val="single" w:sz="4" w:space="0" w:color="000000" w:themeColor="text1"/>
              <w:right w:val="nil"/>
            </w:tcBorders>
            <w:shd w:val="clear" w:color="auto" w:fill="auto"/>
            <w:vAlign w:val="center"/>
          </w:tcPr>
          <w:p w14:paraId="2512EBC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2.0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nil"/>
              <w:left w:val="nil"/>
              <w:bottom w:val="single" w:sz="4" w:space="0" w:color="000000" w:themeColor="text1"/>
              <w:right w:val="nil"/>
            </w:tcBorders>
            <w:shd w:val="clear" w:color="auto" w:fill="auto"/>
            <w:vAlign w:val="center"/>
          </w:tcPr>
          <w:p w14:paraId="61EB300A"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41308FBD"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687DEC45" w14:textId="77777777" w:rsidR="00777E39" w:rsidRPr="004A68AC" w:rsidRDefault="00777E39" w:rsidP="00F452DE">
            <w:pPr>
              <w:jc w:val="center"/>
              <w:rPr>
                <w:color w:val="auto"/>
                <w:sz w:val="18"/>
                <w:szCs w:val="18"/>
              </w:rPr>
            </w:pPr>
          </w:p>
        </w:tc>
        <w:tc>
          <w:tcPr>
            <w:tcW w:w="1559" w:type="dxa"/>
            <w:vMerge w:val="restart"/>
            <w:tcBorders>
              <w:top w:val="single" w:sz="4" w:space="0" w:color="000000" w:themeColor="text1"/>
              <w:bottom w:val="nil"/>
            </w:tcBorders>
            <w:shd w:val="clear" w:color="auto" w:fill="auto"/>
            <w:vAlign w:val="center"/>
          </w:tcPr>
          <w:p w14:paraId="41DDF260"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0.2 ≤ ν ≤ 0.5</w:t>
            </w:r>
          </w:p>
        </w:tc>
        <w:tc>
          <w:tcPr>
            <w:tcW w:w="2977" w:type="dxa"/>
            <w:tcBorders>
              <w:top w:val="single" w:sz="4" w:space="0" w:color="000000" w:themeColor="text1"/>
              <w:bottom w:val="nil"/>
            </w:tcBorders>
            <w:shd w:val="clear" w:color="auto" w:fill="auto"/>
            <w:vAlign w:val="center"/>
          </w:tcPr>
          <w:p w14:paraId="7AA82882"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1098</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92" w:type="dxa"/>
            <w:tcBorders>
              <w:top w:val="single" w:sz="4" w:space="0" w:color="000000" w:themeColor="text1"/>
              <w:bottom w:val="nil"/>
            </w:tcBorders>
            <w:shd w:val="clear" w:color="auto" w:fill="auto"/>
            <w:vAlign w:val="center"/>
          </w:tcPr>
          <w:p w14:paraId="2027090D"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single" w:sz="4" w:space="0" w:color="000000" w:themeColor="text1"/>
              <w:bottom w:val="nil"/>
            </w:tcBorders>
            <w:shd w:val="clear" w:color="auto" w:fill="auto"/>
            <w:vAlign w:val="center"/>
          </w:tcPr>
          <w:p w14:paraId="1492FB16"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8 (1-5</w:t>
            </w:r>
            <w:r w:rsidRPr="004A68AC">
              <w:rPr>
                <w:color w:val="auto"/>
                <w:sz w:val="18"/>
                <w:szCs w:val="18"/>
                <w:lang w:eastAsia="it-IT"/>
              </w:rPr>
              <w:t>ν/3)</w:t>
            </w:r>
            <w:r w:rsidRPr="004A68AC">
              <w:rPr>
                <w:color w:val="auto"/>
                <w:sz w:val="18"/>
                <w:szCs w:val="18"/>
              </w:rPr>
              <w:t xml:space="preserve">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single" w:sz="4" w:space="0" w:color="000000" w:themeColor="text1"/>
              <w:bottom w:val="nil"/>
            </w:tcBorders>
            <w:shd w:val="clear" w:color="auto" w:fill="auto"/>
            <w:vAlign w:val="center"/>
          </w:tcPr>
          <w:p w14:paraId="65B739C8"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11 (1-5</w:t>
            </w:r>
            <w:r w:rsidRPr="004A68AC">
              <w:rPr>
                <w:color w:val="auto"/>
                <w:sz w:val="18"/>
                <w:szCs w:val="18"/>
                <w:lang w:eastAsia="it-IT"/>
              </w:rPr>
              <w:t>ν/3)</w:t>
            </w:r>
            <w:r w:rsidRPr="004A68AC">
              <w:rPr>
                <w:color w:val="auto"/>
                <w:sz w:val="18"/>
                <w:szCs w:val="18"/>
              </w:rPr>
              <w:t xml:space="preserve">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3C53D32E"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7F071694" w14:textId="77777777" w:rsidR="00777E39" w:rsidRPr="004A68AC" w:rsidRDefault="00777E39" w:rsidP="00F452DE">
            <w:pPr>
              <w:jc w:val="center"/>
              <w:rPr>
                <w:color w:val="auto"/>
                <w:sz w:val="18"/>
                <w:szCs w:val="18"/>
              </w:rPr>
            </w:pPr>
          </w:p>
        </w:tc>
        <w:tc>
          <w:tcPr>
            <w:tcW w:w="1559" w:type="dxa"/>
            <w:vMerge/>
            <w:tcBorders>
              <w:top w:val="nil"/>
              <w:left w:val="nil"/>
              <w:bottom w:val="nil"/>
              <w:right w:val="nil"/>
            </w:tcBorders>
            <w:shd w:val="clear" w:color="auto" w:fill="auto"/>
            <w:vAlign w:val="center"/>
          </w:tcPr>
          <w:p w14:paraId="4DFA3290"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977" w:type="dxa"/>
            <w:tcBorders>
              <w:top w:val="nil"/>
              <w:left w:val="nil"/>
              <w:bottom w:val="nil"/>
              <w:right w:val="nil"/>
            </w:tcBorders>
            <w:shd w:val="clear" w:color="auto" w:fill="auto"/>
            <w:vAlign w:val="center"/>
          </w:tcPr>
          <w:p w14:paraId="12728F77"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Other intermediate values</w:t>
            </w:r>
          </w:p>
        </w:tc>
        <w:tc>
          <w:tcPr>
            <w:tcW w:w="3684" w:type="dxa"/>
            <w:gridSpan w:val="3"/>
            <w:tcBorders>
              <w:top w:val="nil"/>
              <w:left w:val="nil"/>
              <w:bottom w:val="nil"/>
              <w:right w:val="nil"/>
            </w:tcBorders>
            <w:shd w:val="clear" w:color="auto" w:fill="auto"/>
            <w:vAlign w:val="center"/>
          </w:tcPr>
          <w:p w14:paraId="4FF670D7"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Interpolation</w:t>
            </w:r>
          </w:p>
        </w:tc>
      </w:tr>
      <w:tr w:rsidR="009B4243" w:rsidRPr="004A68AC" w14:paraId="5761D7E2"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76D954D7" w14:textId="77777777" w:rsidR="00777E39" w:rsidRPr="004A68AC" w:rsidRDefault="00777E39" w:rsidP="00F452DE">
            <w:pPr>
              <w:jc w:val="center"/>
              <w:rPr>
                <w:color w:val="auto"/>
                <w:sz w:val="18"/>
                <w:szCs w:val="18"/>
              </w:rPr>
            </w:pPr>
          </w:p>
        </w:tc>
        <w:tc>
          <w:tcPr>
            <w:tcW w:w="1559" w:type="dxa"/>
            <w:vMerge/>
            <w:tcBorders>
              <w:top w:val="nil"/>
              <w:bottom w:val="single" w:sz="4" w:space="0" w:color="000000" w:themeColor="text1"/>
            </w:tcBorders>
            <w:shd w:val="clear" w:color="auto" w:fill="auto"/>
            <w:vAlign w:val="center"/>
          </w:tcPr>
          <w:p w14:paraId="0A98A0BD"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977" w:type="dxa"/>
            <w:tcBorders>
              <w:top w:val="nil"/>
              <w:bottom w:val="single" w:sz="4" w:space="0" w:color="000000" w:themeColor="text1"/>
            </w:tcBorders>
            <w:shd w:val="clear" w:color="auto" w:fill="auto"/>
            <w:vAlign w:val="center"/>
          </w:tcPr>
          <w:p w14:paraId="1C5B240A"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1682</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92" w:type="dxa"/>
            <w:tcBorders>
              <w:top w:val="nil"/>
              <w:bottom w:val="single" w:sz="4" w:space="0" w:color="000000" w:themeColor="text1"/>
            </w:tcBorders>
            <w:shd w:val="clear" w:color="auto" w:fill="auto"/>
            <w:vAlign w:val="center"/>
          </w:tcPr>
          <w:p w14:paraId="6F826201"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nil"/>
              <w:bottom w:val="single" w:sz="4" w:space="0" w:color="000000" w:themeColor="text1"/>
            </w:tcBorders>
            <w:shd w:val="clear" w:color="auto" w:fill="auto"/>
            <w:vAlign w:val="center"/>
          </w:tcPr>
          <w:p w14:paraId="77F6C06A"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0.5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nil"/>
              <w:bottom w:val="single" w:sz="4" w:space="0" w:color="000000" w:themeColor="text1"/>
            </w:tcBorders>
            <w:shd w:val="clear" w:color="auto" w:fill="auto"/>
            <w:vAlign w:val="center"/>
          </w:tcPr>
          <w:p w14:paraId="50408CAE"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0.8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05766185"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single" w:sz="8" w:space="0" w:color="000000" w:themeColor="text1"/>
              <w:right w:val="nil"/>
            </w:tcBorders>
            <w:shd w:val="clear" w:color="auto" w:fill="auto"/>
            <w:vAlign w:val="center"/>
          </w:tcPr>
          <w:p w14:paraId="5FA3EFC9" w14:textId="77777777" w:rsidR="00777E39" w:rsidRPr="004A68AC" w:rsidRDefault="00777E39" w:rsidP="00F452DE">
            <w:pPr>
              <w:jc w:val="center"/>
              <w:rPr>
                <w:color w:val="auto"/>
                <w:sz w:val="18"/>
                <w:szCs w:val="18"/>
              </w:rPr>
            </w:pPr>
          </w:p>
        </w:tc>
        <w:tc>
          <w:tcPr>
            <w:tcW w:w="1559" w:type="dxa"/>
            <w:tcBorders>
              <w:top w:val="single" w:sz="4" w:space="0" w:color="000000" w:themeColor="text1"/>
              <w:left w:val="nil"/>
              <w:bottom w:val="single" w:sz="8" w:space="0" w:color="000000" w:themeColor="text1"/>
              <w:right w:val="nil"/>
            </w:tcBorders>
            <w:shd w:val="clear" w:color="auto" w:fill="auto"/>
            <w:vAlign w:val="center"/>
          </w:tcPr>
          <w:p w14:paraId="2F32E76F"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0.5 &lt; ν</w:t>
            </w:r>
          </w:p>
        </w:tc>
        <w:tc>
          <w:tcPr>
            <w:tcW w:w="2977" w:type="dxa"/>
            <w:tcBorders>
              <w:top w:val="single" w:sz="4" w:space="0" w:color="000000" w:themeColor="text1"/>
              <w:left w:val="nil"/>
              <w:bottom w:val="single" w:sz="8" w:space="0" w:color="000000" w:themeColor="text1"/>
              <w:right w:val="nil"/>
            </w:tcBorders>
            <w:shd w:val="clear" w:color="auto" w:fill="auto"/>
            <w:vAlign w:val="center"/>
          </w:tcPr>
          <w:p w14:paraId="4EE55900"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All</w:t>
            </w:r>
          </w:p>
        </w:tc>
        <w:tc>
          <w:tcPr>
            <w:tcW w:w="3684" w:type="dxa"/>
            <w:gridSpan w:val="3"/>
            <w:tcBorders>
              <w:top w:val="single" w:sz="4" w:space="0" w:color="000000" w:themeColor="text1"/>
              <w:left w:val="nil"/>
              <w:bottom w:val="single" w:sz="8" w:space="0" w:color="000000" w:themeColor="text1"/>
              <w:right w:val="nil"/>
            </w:tcBorders>
            <w:shd w:val="clear" w:color="auto" w:fill="auto"/>
            <w:vAlign w:val="center"/>
          </w:tcPr>
          <w:p w14:paraId="4F94405F"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Force-controlled</w:t>
            </w:r>
          </w:p>
        </w:tc>
      </w:tr>
      <w:tr w:rsidR="009B4243" w:rsidRPr="004A68AC" w14:paraId="186D8E35"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8" w:space="0" w:color="000000" w:themeColor="text1"/>
              <w:bottom w:val="nil"/>
            </w:tcBorders>
            <w:shd w:val="clear" w:color="auto" w:fill="auto"/>
            <w:vAlign w:val="center"/>
          </w:tcPr>
          <w:p w14:paraId="2987D919" w14:textId="7C928701" w:rsidR="00777E39" w:rsidRPr="004A68AC" w:rsidRDefault="00777E39" w:rsidP="00F452DE">
            <w:pPr>
              <w:jc w:val="center"/>
              <w:rPr>
                <w:b w:val="0"/>
                <w:color w:val="auto"/>
                <w:sz w:val="18"/>
                <w:szCs w:val="18"/>
              </w:rPr>
            </w:pPr>
            <w:r w:rsidRPr="004A68AC">
              <w:rPr>
                <w:color w:val="auto"/>
                <w:sz w:val="18"/>
                <w:szCs w:val="18"/>
              </w:rPr>
              <w:t>ASCE 41-13</w:t>
            </w:r>
            <w:r w:rsidRPr="004A68AC">
              <w:rPr>
                <w:b w:val="0"/>
                <w:color w:val="auto"/>
                <w:sz w:val="18"/>
                <w:szCs w:val="18"/>
              </w:rPr>
              <w:t xml:space="preserve"> </w:t>
            </w:r>
            <w:r w:rsidRPr="004A68AC">
              <w:rPr>
                <w:sz w:val="18"/>
                <w:szCs w:val="18"/>
              </w:rPr>
              <w:fldChar w:fldCharType="begin" w:fldLock="1"/>
            </w:r>
            <w:r w:rsidR="005C47A3" w:rsidRPr="004A68AC">
              <w:rPr>
                <w:b w:val="0"/>
                <w:color w:val="auto"/>
                <w:sz w:val="18"/>
                <w:szCs w:val="18"/>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[18]</w:t>
            </w:r>
            <w:r w:rsidRPr="004A68AC">
              <w:rPr>
                <w:sz w:val="18"/>
                <w:szCs w:val="18"/>
              </w:rPr>
              <w:fldChar w:fldCharType="end"/>
            </w:r>
            <w:r w:rsidRPr="004A68AC">
              <w:rPr>
                <w:b w:val="0"/>
                <w:color w:val="auto"/>
                <w:sz w:val="18"/>
                <w:szCs w:val="18"/>
                <w:vertAlign w:val="superscript"/>
              </w:rPr>
              <w:t xml:space="preserve"> 2</w:t>
            </w:r>
          </w:p>
        </w:tc>
        <w:tc>
          <w:tcPr>
            <w:tcW w:w="1559" w:type="dxa"/>
            <w:vMerge w:val="restart"/>
            <w:tcBorders>
              <w:top w:val="single" w:sz="8" w:space="0" w:color="000000" w:themeColor="text1"/>
              <w:bottom w:val="nil"/>
            </w:tcBorders>
            <w:shd w:val="clear" w:color="auto" w:fill="auto"/>
            <w:vAlign w:val="center"/>
          </w:tcPr>
          <w:p w14:paraId="5BA06D3F"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it-IT"/>
              </w:rPr>
            </w:pPr>
            <w:r w:rsidRPr="004A68AC">
              <w:rPr>
                <w:color w:val="auto"/>
                <w:sz w:val="18"/>
                <w:szCs w:val="18"/>
                <w:lang w:eastAsia="it-IT"/>
              </w:rPr>
              <w:t>ν &lt; 0.2</w:t>
            </w:r>
          </w:p>
        </w:tc>
        <w:tc>
          <w:tcPr>
            <w:tcW w:w="2977" w:type="dxa"/>
            <w:tcBorders>
              <w:top w:val="single" w:sz="8" w:space="0" w:color="000000" w:themeColor="text1"/>
              <w:bottom w:val="nil"/>
            </w:tcBorders>
            <w:shd w:val="clear" w:color="auto" w:fill="auto"/>
            <w:vAlign w:val="center"/>
          </w:tcPr>
          <w:p w14:paraId="348BE992"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788</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92" w:type="dxa"/>
            <w:tcBorders>
              <w:top w:val="single" w:sz="8" w:space="0" w:color="000000" w:themeColor="text1"/>
              <w:bottom w:val="nil"/>
            </w:tcBorders>
            <w:shd w:val="clear" w:color="auto" w:fill="auto"/>
            <w:vAlign w:val="center"/>
          </w:tcPr>
          <w:p w14:paraId="768C5E27"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single" w:sz="8" w:space="0" w:color="000000" w:themeColor="text1"/>
              <w:bottom w:val="nil"/>
            </w:tcBorders>
            <w:shd w:val="clear" w:color="auto" w:fill="auto"/>
            <w:vAlign w:val="center"/>
          </w:tcPr>
          <w:p w14:paraId="0204EF64"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9.0 θ</w:t>
            </w:r>
            <w:r w:rsidRPr="004A68AC">
              <w:rPr>
                <w:color w:val="auto"/>
                <w:sz w:val="18"/>
                <w:szCs w:val="18"/>
                <w:vertAlign w:val="subscript"/>
                <w:lang w:eastAsia="it-IT"/>
              </w:rPr>
              <w:t>y</w:t>
            </w:r>
          </w:p>
        </w:tc>
        <w:tc>
          <w:tcPr>
            <w:tcW w:w="1274" w:type="dxa"/>
            <w:tcBorders>
              <w:top w:val="single" w:sz="8" w:space="0" w:color="000000" w:themeColor="text1"/>
              <w:bottom w:val="nil"/>
            </w:tcBorders>
            <w:shd w:val="clear" w:color="auto" w:fill="auto"/>
            <w:vAlign w:val="center"/>
          </w:tcPr>
          <w:p w14:paraId="12606E20"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11.0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3F104A04"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3DF543CC" w14:textId="77777777" w:rsidR="00777E39" w:rsidRPr="004A68AC" w:rsidRDefault="00777E39" w:rsidP="00F452DE">
            <w:pPr>
              <w:jc w:val="center"/>
              <w:rPr>
                <w:b w:val="0"/>
                <w:color w:val="auto"/>
                <w:sz w:val="18"/>
                <w:szCs w:val="18"/>
              </w:rPr>
            </w:pPr>
          </w:p>
        </w:tc>
        <w:tc>
          <w:tcPr>
            <w:tcW w:w="1559" w:type="dxa"/>
            <w:vMerge/>
            <w:tcBorders>
              <w:top w:val="nil"/>
              <w:left w:val="nil"/>
              <w:bottom w:val="nil"/>
              <w:right w:val="nil"/>
            </w:tcBorders>
            <w:shd w:val="clear" w:color="auto" w:fill="auto"/>
            <w:vAlign w:val="center"/>
          </w:tcPr>
          <w:p w14:paraId="0536B9F6"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it-IT"/>
              </w:rPr>
            </w:pPr>
          </w:p>
        </w:tc>
        <w:tc>
          <w:tcPr>
            <w:tcW w:w="2977" w:type="dxa"/>
            <w:tcBorders>
              <w:top w:val="nil"/>
              <w:left w:val="nil"/>
              <w:bottom w:val="nil"/>
              <w:right w:val="nil"/>
            </w:tcBorders>
            <w:shd w:val="clear" w:color="auto" w:fill="auto"/>
            <w:vAlign w:val="center"/>
          </w:tcPr>
          <w:p w14:paraId="1F88C578"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Other intermediate values</w:t>
            </w:r>
          </w:p>
        </w:tc>
        <w:tc>
          <w:tcPr>
            <w:tcW w:w="3684" w:type="dxa"/>
            <w:gridSpan w:val="3"/>
            <w:tcBorders>
              <w:top w:val="nil"/>
              <w:left w:val="nil"/>
              <w:bottom w:val="nil"/>
              <w:right w:val="nil"/>
            </w:tcBorders>
            <w:shd w:val="clear" w:color="auto" w:fill="auto"/>
            <w:vAlign w:val="center"/>
          </w:tcPr>
          <w:p w14:paraId="5D0C61C9"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Interpolation</w:t>
            </w:r>
          </w:p>
        </w:tc>
      </w:tr>
      <w:tr w:rsidR="009B4243" w:rsidRPr="004A68AC" w14:paraId="1D9DDF82"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6EF447CD" w14:textId="77777777" w:rsidR="00777E39" w:rsidRPr="004A68AC" w:rsidRDefault="00777E39" w:rsidP="00F452DE">
            <w:pPr>
              <w:jc w:val="center"/>
              <w:rPr>
                <w:b w:val="0"/>
                <w:color w:val="auto"/>
                <w:sz w:val="18"/>
                <w:szCs w:val="18"/>
              </w:rPr>
            </w:pPr>
          </w:p>
        </w:tc>
        <w:tc>
          <w:tcPr>
            <w:tcW w:w="1559" w:type="dxa"/>
            <w:vMerge/>
            <w:tcBorders>
              <w:top w:val="nil"/>
              <w:bottom w:val="single" w:sz="4" w:space="0" w:color="000000" w:themeColor="text1"/>
            </w:tcBorders>
            <w:shd w:val="clear" w:color="auto" w:fill="auto"/>
            <w:vAlign w:val="center"/>
          </w:tcPr>
          <w:p w14:paraId="2C738733"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it-IT"/>
              </w:rPr>
            </w:pPr>
          </w:p>
        </w:tc>
        <w:tc>
          <w:tcPr>
            <w:tcW w:w="2977" w:type="dxa"/>
            <w:tcBorders>
              <w:top w:val="nil"/>
              <w:bottom w:val="single" w:sz="4" w:space="0" w:color="000000" w:themeColor="text1"/>
            </w:tcBorders>
            <w:shd w:val="clear" w:color="auto" w:fill="auto"/>
            <w:vAlign w:val="center"/>
          </w:tcPr>
          <w:p w14:paraId="67166F97"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1209</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92" w:type="dxa"/>
            <w:tcBorders>
              <w:top w:val="nil"/>
              <w:bottom w:val="single" w:sz="4" w:space="0" w:color="000000" w:themeColor="text1"/>
            </w:tcBorders>
            <w:shd w:val="clear" w:color="auto" w:fill="auto"/>
            <w:vAlign w:val="center"/>
          </w:tcPr>
          <w:p w14:paraId="62C3D94E"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nil"/>
              <w:bottom w:val="single" w:sz="4" w:space="0" w:color="000000" w:themeColor="text1"/>
            </w:tcBorders>
            <w:shd w:val="clear" w:color="auto" w:fill="auto"/>
            <w:vAlign w:val="center"/>
          </w:tcPr>
          <w:p w14:paraId="0E74834B"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3.0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nil"/>
              <w:bottom w:val="single" w:sz="4" w:space="0" w:color="000000" w:themeColor="text1"/>
            </w:tcBorders>
            <w:shd w:val="clear" w:color="auto" w:fill="auto"/>
            <w:vAlign w:val="center"/>
          </w:tcPr>
          <w:p w14:paraId="26DD94B0"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4.0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56F982CC"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4C944136" w14:textId="77777777" w:rsidR="00777E39" w:rsidRPr="004A68AC" w:rsidRDefault="00777E39" w:rsidP="00F452DE">
            <w:pPr>
              <w:jc w:val="center"/>
              <w:rPr>
                <w:b w:val="0"/>
                <w:color w:val="auto"/>
                <w:sz w:val="18"/>
                <w:szCs w:val="18"/>
              </w:rPr>
            </w:pPr>
          </w:p>
        </w:tc>
        <w:tc>
          <w:tcPr>
            <w:tcW w:w="1559" w:type="dxa"/>
            <w:vMerge w:val="restart"/>
            <w:tcBorders>
              <w:top w:val="single" w:sz="4" w:space="0" w:color="000000" w:themeColor="text1"/>
              <w:left w:val="nil"/>
              <w:bottom w:val="nil"/>
              <w:right w:val="nil"/>
            </w:tcBorders>
            <w:shd w:val="clear" w:color="auto" w:fill="auto"/>
            <w:vAlign w:val="center"/>
          </w:tcPr>
          <w:p w14:paraId="6E969D4A"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it-IT"/>
              </w:rPr>
            </w:pPr>
            <w:r w:rsidRPr="004A68AC">
              <w:rPr>
                <w:color w:val="auto"/>
                <w:sz w:val="18"/>
                <w:szCs w:val="18"/>
                <w:lang w:eastAsia="it-IT"/>
              </w:rPr>
              <w:t>0.2 ≤ ν ≤ 0.5</w:t>
            </w:r>
          </w:p>
        </w:tc>
        <w:tc>
          <w:tcPr>
            <w:tcW w:w="2977" w:type="dxa"/>
            <w:tcBorders>
              <w:top w:val="single" w:sz="4" w:space="0" w:color="000000" w:themeColor="text1"/>
              <w:left w:val="nil"/>
              <w:bottom w:val="nil"/>
              <w:right w:val="nil"/>
            </w:tcBorders>
            <w:shd w:val="clear" w:color="auto" w:fill="auto"/>
            <w:vAlign w:val="center"/>
          </w:tcPr>
          <w:p w14:paraId="231D169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1098</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992" w:type="dxa"/>
            <w:tcBorders>
              <w:top w:val="single" w:sz="4" w:space="0" w:color="000000" w:themeColor="text1"/>
              <w:left w:val="nil"/>
              <w:bottom w:val="nil"/>
              <w:right w:val="nil"/>
            </w:tcBorders>
            <w:shd w:val="clear" w:color="auto" w:fill="auto"/>
            <w:vAlign w:val="center"/>
          </w:tcPr>
          <w:p w14:paraId="2DF7AE17"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single" w:sz="4" w:space="0" w:color="000000" w:themeColor="text1"/>
              <w:left w:val="nil"/>
              <w:bottom w:val="nil"/>
              <w:right w:val="nil"/>
            </w:tcBorders>
            <w:shd w:val="clear" w:color="auto" w:fill="auto"/>
            <w:vAlign w:val="center"/>
          </w:tcPr>
          <w:p w14:paraId="11DE7409"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14 (1-5</w:t>
            </w:r>
            <w:r w:rsidRPr="004A68AC">
              <w:rPr>
                <w:color w:val="auto"/>
                <w:sz w:val="18"/>
                <w:szCs w:val="18"/>
                <w:lang w:eastAsia="it-IT"/>
              </w:rPr>
              <w:t>ν/3)</w:t>
            </w:r>
            <w:r w:rsidRPr="004A68AC">
              <w:rPr>
                <w:color w:val="auto"/>
                <w:sz w:val="18"/>
                <w:szCs w:val="18"/>
              </w:rPr>
              <w:t xml:space="preserve">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single" w:sz="4" w:space="0" w:color="000000" w:themeColor="text1"/>
              <w:left w:val="nil"/>
              <w:bottom w:val="nil"/>
              <w:right w:val="nil"/>
            </w:tcBorders>
            <w:shd w:val="clear" w:color="auto" w:fill="auto"/>
            <w:vAlign w:val="center"/>
          </w:tcPr>
          <w:p w14:paraId="1E164248"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17 (1-5</w:t>
            </w:r>
            <w:r w:rsidRPr="004A68AC">
              <w:rPr>
                <w:color w:val="auto"/>
                <w:sz w:val="18"/>
                <w:szCs w:val="18"/>
                <w:lang w:eastAsia="it-IT"/>
              </w:rPr>
              <w:t>ν/3)</w:t>
            </w:r>
            <w:r w:rsidRPr="004A68AC">
              <w:rPr>
                <w:color w:val="auto"/>
                <w:sz w:val="18"/>
                <w:szCs w:val="18"/>
              </w:rPr>
              <w:t xml:space="preserve">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2BCB9F0B"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nil"/>
            </w:tcBorders>
            <w:shd w:val="clear" w:color="auto" w:fill="auto"/>
            <w:vAlign w:val="center"/>
          </w:tcPr>
          <w:p w14:paraId="3D1BA041" w14:textId="77777777" w:rsidR="00777E39" w:rsidRPr="004A68AC" w:rsidRDefault="00777E39" w:rsidP="00F452DE">
            <w:pPr>
              <w:jc w:val="center"/>
              <w:rPr>
                <w:b w:val="0"/>
                <w:color w:val="auto"/>
                <w:sz w:val="18"/>
                <w:szCs w:val="18"/>
              </w:rPr>
            </w:pPr>
          </w:p>
        </w:tc>
        <w:tc>
          <w:tcPr>
            <w:tcW w:w="1559" w:type="dxa"/>
            <w:vMerge/>
            <w:tcBorders>
              <w:top w:val="nil"/>
              <w:bottom w:val="nil"/>
            </w:tcBorders>
            <w:shd w:val="clear" w:color="auto" w:fill="auto"/>
            <w:vAlign w:val="center"/>
          </w:tcPr>
          <w:p w14:paraId="67DFB6C7"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it-IT"/>
              </w:rPr>
            </w:pPr>
          </w:p>
        </w:tc>
        <w:tc>
          <w:tcPr>
            <w:tcW w:w="2977" w:type="dxa"/>
            <w:tcBorders>
              <w:top w:val="nil"/>
              <w:bottom w:val="nil"/>
            </w:tcBorders>
            <w:shd w:val="clear" w:color="auto" w:fill="auto"/>
            <w:vAlign w:val="center"/>
          </w:tcPr>
          <w:p w14:paraId="0C73CFFB"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Other intermediate values</w:t>
            </w:r>
          </w:p>
        </w:tc>
        <w:tc>
          <w:tcPr>
            <w:tcW w:w="3684" w:type="dxa"/>
            <w:gridSpan w:val="3"/>
            <w:tcBorders>
              <w:top w:val="nil"/>
              <w:bottom w:val="nil"/>
            </w:tcBorders>
            <w:shd w:val="clear" w:color="auto" w:fill="auto"/>
            <w:vAlign w:val="center"/>
          </w:tcPr>
          <w:p w14:paraId="51FE81EF"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Interpolation</w:t>
            </w:r>
          </w:p>
        </w:tc>
      </w:tr>
      <w:tr w:rsidR="009B4243" w:rsidRPr="004A68AC" w14:paraId="4C53C09F"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left w:val="nil"/>
              <w:bottom w:val="nil"/>
              <w:right w:val="nil"/>
            </w:tcBorders>
            <w:shd w:val="clear" w:color="auto" w:fill="auto"/>
            <w:vAlign w:val="center"/>
          </w:tcPr>
          <w:p w14:paraId="3DA12E15" w14:textId="77777777" w:rsidR="00777E39" w:rsidRPr="004A68AC" w:rsidRDefault="00777E39" w:rsidP="00F452DE">
            <w:pPr>
              <w:jc w:val="center"/>
              <w:rPr>
                <w:b w:val="0"/>
                <w:color w:val="auto"/>
                <w:sz w:val="18"/>
                <w:szCs w:val="18"/>
              </w:rPr>
            </w:pPr>
          </w:p>
        </w:tc>
        <w:tc>
          <w:tcPr>
            <w:tcW w:w="1559" w:type="dxa"/>
            <w:vMerge/>
            <w:tcBorders>
              <w:top w:val="nil"/>
              <w:left w:val="nil"/>
              <w:bottom w:val="single" w:sz="4" w:space="0" w:color="000000" w:themeColor="text1"/>
              <w:right w:val="nil"/>
            </w:tcBorders>
            <w:shd w:val="clear" w:color="auto" w:fill="auto"/>
            <w:vAlign w:val="center"/>
          </w:tcPr>
          <w:p w14:paraId="6B71A13C"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it-IT"/>
              </w:rPr>
            </w:pPr>
          </w:p>
        </w:tc>
        <w:tc>
          <w:tcPr>
            <w:tcW w:w="2977" w:type="dxa"/>
            <w:tcBorders>
              <w:top w:val="nil"/>
              <w:left w:val="nil"/>
              <w:bottom w:val="single" w:sz="4" w:space="0" w:color="000000" w:themeColor="text1"/>
              <w:right w:val="nil"/>
            </w:tcBorders>
            <w:shd w:val="clear" w:color="auto" w:fill="auto"/>
            <w:vAlign w:val="center"/>
          </w:tcPr>
          <w:p w14:paraId="01437130"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1682</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171</w:t>
            </w:r>
          </w:p>
        </w:tc>
        <w:tc>
          <w:tcPr>
            <w:tcW w:w="992" w:type="dxa"/>
            <w:tcBorders>
              <w:top w:val="nil"/>
              <w:left w:val="nil"/>
              <w:bottom w:val="single" w:sz="4" w:space="0" w:color="000000" w:themeColor="text1"/>
              <w:right w:val="nil"/>
            </w:tcBorders>
            <w:shd w:val="clear" w:color="auto" w:fill="auto"/>
            <w:vAlign w:val="center"/>
          </w:tcPr>
          <w:p w14:paraId="1359F19E"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0.25 </w:t>
            </w:r>
            <w:r w:rsidRPr="004A68AC">
              <w:rPr>
                <w:color w:val="auto"/>
                <w:sz w:val="18"/>
                <w:szCs w:val="18"/>
                <w:lang w:eastAsia="it-IT"/>
              </w:rPr>
              <w:t>θ</w:t>
            </w:r>
            <w:r w:rsidRPr="004A68AC">
              <w:rPr>
                <w:color w:val="auto"/>
                <w:sz w:val="18"/>
                <w:szCs w:val="18"/>
                <w:vertAlign w:val="subscript"/>
                <w:lang w:eastAsia="it-IT"/>
              </w:rPr>
              <w:t>y</w:t>
            </w:r>
          </w:p>
        </w:tc>
        <w:tc>
          <w:tcPr>
            <w:tcW w:w="1418" w:type="dxa"/>
            <w:tcBorders>
              <w:top w:val="nil"/>
              <w:left w:val="nil"/>
              <w:bottom w:val="single" w:sz="4" w:space="0" w:color="000000" w:themeColor="text1"/>
              <w:right w:val="nil"/>
            </w:tcBorders>
            <w:shd w:val="clear" w:color="auto" w:fill="auto"/>
            <w:vAlign w:val="center"/>
          </w:tcPr>
          <w:p w14:paraId="7C96F032"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1.2 </w:t>
            </w:r>
            <w:r w:rsidRPr="004A68AC">
              <w:rPr>
                <w:color w:val="auto"/>
                <w:sz w:val="18"/>
                <w:szCs w:val="18"/>
                <w:lang w:eastAsia="it-IT"/>
              </w:rPr>
              <w:t>θ</w:t>
            </w:r>
            <w:r w:rsidRPr="004A68AC">
              <w:rPr>
                <w:color w:val="auto"/>
                <w:sz w:val="18"/>
                <w:szCs w:val="18"/>
                <w:vertAlign w:val="subscript"/>
                <w:lang w:eastAsia="it-IT"/>
              </w:rPr>
              <w:t>y</w:t>
            </w:r>
          </w:p>
        </w:tc>
        <w:tc>
          <w:tcPr>
            <w:tcW w:w="1274" w:type="dxa"/>
            <w:tcBorders>
              <w:top w:val="nil"/>
              <w:left w:val="nil"/>
              <w:bottom w:val="single" w:sz="4" w:space="0" w:color="000000" w:themeColor="text1"/>
              <w:right w:val="nil"/>
            </w:tcBorders>
            <w:shd w:val="clear" w:color="auto" w:fill="auto"/>
            <w:vAlign w:val="center"/>
          </w:tcPr>
          <w:p w14:paraId="4589A38A"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1.2 </w:t>
            </w:r>
            <w:r w:rsidRPr="004A68AC">
              <w:rPr>
                <w:color w:val="auto"/>
                <w:sz w:val="18"/>
                <w:szCs w:val="18"/>
                <w:lang w:eastAsia="it-IT"/>
              </w:rPr>
              <w:t>θ</w:t>
            </w:r>
            <w:r w:rsidRPr="004A68AC">
              <w:rPr>
                <w:color w:val="auto"/>
                <w:sz w:val="18"/>
                <w:szCs w:val="18"/>
                <w:vertAlign w:val="subscript"/>
                <w:lang w:eastAsia="it-IT"/>
              </w:rPr>
              <w:t>y</w:t>
            </w:r>
          </w:p>
        </w:tc>
      </w:tr>
      <w:tr w:rsidR="009B4243" w:rsidRPr="004A68AC" w14:paraId="462A5D77"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single" w:sz="8" w:space="0" w:color="000000" w:themeColor="text1"/>
            </w:tcBorders>
            <w:shd w:val="clear" w:color="auto" w:fill="auto"/>
            <w:vAlign w:val="center"/>
          </w:tcPr>
          <w:p w14:paraId="44116549" w14:textId="77777777" w:rsidR="00777E39" w:rsidRPr="004A68AC" w:rsidRDefault="00777E39" w:rsidP="00F452DE">
            <w:pPr>
              <w:jc w:val="center"/>
              <w:rPr>
                <w:b w:val="0"/>
                <w:color w:val="auto"/>
                <w:sz w:val="18"/>
                <w:szCs w:val="18"/>
              </w:rPr>
            </w:pPr>
          </w:p>
        </w:tc>
        <w:tc>
          <w:tcPr>
            <w:tcW w:w="1559" w:type="dxa"/>
            <w:tcBorders>
              <w:top w:val="single" w:sz="4" w:space="0" w:color="000000" w:themeColor="text1"/>
              <w:bottom w:val="single" w:sz="8" w:space="0" w:color="000000" w:themeColor="text1"/>
            </w:tcBorders>
            <w:shd w:val="clear" w:color="auto" w:fill="auto"/>
            <w:vAlign w:val="center"/>
          </w:tcPr>
          <w:p w14:paraId="6A676CF8"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it-IT"/>
              </w:rPr>
            </w:pPr>
            <w:r w:rsidRPr="004A68AC">
              <w:rPr>
                <w:color w:val="auto"/>
                <w:sz w:val="18"/>
                <w:szCs w:val="18"/>
                <w:lang w:eastAsia="it-IT"/>
              </w:rPr>
              <w:t>0.5 &lt; ν</w:t>
            </w:r>
          </w:p>
        </w:tc>
        <w:tc>
          <w:tcPr>
            <w:tcW w:w="2977" w:type="dxa"/>
            <w:tcBorders>
              <w:top w:val="single" w:sz="4" w:space="0" w:color="000000" w:themeColor="text1"/>
              <w:bottom w:val="single" w:sz="8" w:space="0" w:color="000000" w:themeColor="text1"/>
            </w:tcBorders>
            <w:shd w:val="clear" w:color="auto" w:fill="auto"/>
            <w:vAlign w:val="center"/>
          </w:tcPr>
          <w:p w14:paraId="1CCC62ED"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All</w:t>
            </w:r>
          </w:p>
        </w:tc>
        <w:tc>
          <w:tcPr>
            <w:tcW w:w="3684" w:type="dxa"/>
            <w:gridSpan w:val="3"/>
            <w:tcBorders>
              <w:top w:val="single" w:sz="4" w:space="0" w:color="000000" w:themeColor="text1"/>
              <w:bottom w:val="single" w:sz="8" w:space="0" w:color="000000" w:themeColor="text1"/>
            </w:tcBorders>
            <w:shd w:val="clear" w:color="auto" w:fill="auto"/>
            <w:vAlign w:val="center"/>
          </w:tcPr>
          <w:p w14:paraId="67FBE919"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Force-controlled</w:t>
            </w:r>
          </w:p>
        </w:tc>
      </w:tr>
      <w:tr w:rsidR="009B4243" w:rsidRPr="004A68AC" w14:paraId="574A7664" w14:textId="77777777" w:rsidTr="009B4243">
        <w:trPr>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8" w:space="0" w:color="000000" w:themeColor="text1"/>
              <w:left w:val="nil"/>
              <w:bottom w:val="nil"/>
              <w:right w:val="nil"/>
            </w:tcBorders>
            <w:shd w:val="clear" w:color="auto" w:fill="auto"/>
            <w:vAlign w:val="center"/>
          </w:tcPr>
          <w:p w14:paraId="625081F5" w14:textId="2601C1E7" w:rsidR="00777E39" w:rsidRPr="004A68AC" w:rsidRDefault="00777E39" w:rsidP="00F452DE">
            <w:pPr>
              <w:jc w:val="center"/>
              <w:rPr>
                <w:b w:val="0"/>
                <w:color w:val="auto"/>
                <w:sz w:val="18"/>
                <w:szCs w:val="18"/>
              </w:rPr>
            </w:pPr>
            <w:r w:rsidRPr="004A68AC">
              <w:rPr>
                <w:color w:val="auto"/>
                <w:sz w:val="18"/>
                <w:szCs w:val="18"/>
              </w:rPr>
              <w:t>ASCE 41-17</w:t>
            </w:r>
            <w:r w:rsidRPr="004A68AC">
              <w:rPr>
                <w:b w:val="0"/>
                <w:color w:val="auto"/>
                <w:sz w:val="18"/>
                <w:szCs w:val="18"/>
              </w:rPr>
              <w:t xml:space="preserve"> </w:t>
            </w:r>
            <w:r w:rsidRPr="004A68AC">
              <w:rPr>
                <w:sz w:val="18"/>
                <w:szCs w:val="18"/>
              </w:rPr>
              <w:fldChar w:fldCharType="begin" w:fldLock="1"/>
            </w:r>
            <w:r w:rsidR="005C47A3" w:rsidRPr="004A68AC">
              <w:rPr>
                <w:b w:val="0"/>
                <w:color w:val="auto"/>
                <w:sz w:val="18"/>
                <w:szCs w:val="18"/>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 w:val="18"/>
                <w:szCs w:val="18"/>
              </w:rPr>
              <w:fldChar w:fldCharType="separate"/>
            </w:r>
            <w:r w:rsidR="00B339CD" w:rsidRPr="004A68AC">
              <w:rPr>
                <w:b w:val="0"/>
                <w:noProof/>
                <w:color w:val="auto"/>
                <w:sz w:val="18"/>
                <w:szCs w:val="18"/>
              </w:rPr>
              <w:t>[19]</w:t>
            </w:r>
            <w:r w:rsidRPr="004A68AC">
              <w:rPr>
                <w:sz w:val="18"/>
                <w:szCs w:val="18"/>
              </w:rPr>
              <w:fldChar w:fldCharType="end"/>
            </w:r>
            <w:r w:rsidR="004620C8" w:rsidRPr="004A68AC">
              <w:rPr>
                <w:b w:val="0"/>
                <w:color w:val="auto"/>
                <w:sz w:val="18"/>
                <w:szCs w:val="18"/>
                <w:vertAlign w:val="superscript"/>
              </w:rPr>
              <w:t xml:space="preserve"> </w:t>
            </w:r>
            <w:r w:rsidR="004620C8" w:rsidRPr="004A68AC">
              <w:rPr>
                <w:sz w:val="18"/>
                <w:szCs w:val="18"/>
                <w:vertAlign w:val="superscript"/>
              </w:rPr>
              <w:t>3</w:t>
            </w:r>
          </w:p>
        </w:tc>
        <w:tc>
          <w:tcPr>
            <w:tcW w:w="1559" w:type="dxa"/>
            <w:tcBorders>
              <w:top w:val="single" w:sz="8" w:space="0" w:color="000000" w:themeColor="text1"/>
              <w:left w:val="nil"/>
              <w:bottom w:val="single" w:sz="4" w:space="0" w:color="000000" w:themeColor="text1"/>
              <w:right w:val="nil"/>
            </w:tcBorders>
            <w:shd w:val="clear" w:color="auto" w:fill="auto"/>
            <w:vAlign w:val="center"/>
          </w:tcPr>
          <w:p w14:paraId="45968B24"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it-IT"/>
              </w:rPr>
            </w:pPr>
            <w:r w:rsidRPr="004A68AC">
              <w:rPr>
                <w:color w:val="auto"/>
                <w:sz w:val="18"/>
                <w:szCs w:val="18"/>
                <w:lang w:eastAsia="it-IT"/>
              </w:rPr>
              <w:t>ν</w:t>
            </w:r>
            <w:r w:rsidRPr="004A68AC">
              <w:rPr>
                <w:color w:val="auto"/>
                <w:sz w:val="18"/>
                <w:szCs w:val="18"/>
                <w:vertAlign w:val="subscript"/>
                <w:lang w:eastAsia="it-IT"/>
              </w:rPr>
              <w:t>G</w:t>
            </w:r>
            <w:r w:rsidRPr="004A68AC">
              <w:rPr>
                <w:color w:val="auto"/>
                <w:sz w:val="18"/>
                <w:szCs w:val="18"/>
                <w:lang w:eastAsia="it-IT"/>
              </w:rPr>
              <w:t xml:space="preserve"> ≤ 0.6</w:t>
            </w:r>
          </w:p>
        </w:tc>
        <w:tc>
          <w:tcPr>
            <w:tcW w:w="2977" w:type="dxa"/>
            <w:tcBorders>
              <w:top w:val="single" w:sz="8" w:space="0" w:color="000000" w:themeColor="text1"/>
              <w:left w:val="nil"/>
              <w:bottom w:val="single" w:sz="4" w:space="0" w:color="000000" w:themeColor="text1"/>
              <w:right w:val="nil"/>
            </w:tcBorders>
            <w:shd w:val="clear" w:color="auto" w:fill="auto"/>
            <w:vAlign w:val="center"/>
          </w:tcPr>
          <w:p w14:paraId="3B64B693"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All</w:t>
            </w:r>
          </w:p>
        </w:tc>
        <w:tc>
          <w:tcPr>
            <w:tcW w:w="992" w:type="dxa"/>
            <w:tcBorders>
              <w:top w:val="single" w:sz="8" w:space="0" w:color="000000" w:themeColor="text1"/>
              <w:left w:val="nil"/>
              <w:bottom w:val="single" w:sz="4" w:space="0" w:color="000000" w:themeColor="text1"/>
              <w:right w:val="nil"/>
            </w:tcBorders>
            <w:shd w:val="clear" w:color="auto" w:fill="auto"/>
            <w:vAlign w:val="center"/>
          </w:tcPr>
          <w:p w14:paraId="21BCFEB8"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0.5 a</w:t>
            </w:r>
          </w:p>
        </w:tc>
        <w:tc>
          <w:tcPr>
            <w:tcW w:w="1418" w:type="dxa"/>
            <w:tcBorders>
              <w:top w:val="single" w:sz="8" w:space="0" w:color="000000" w:themeColor="text1"/>
              <w:left w:val="nil"/>
              <w:bottom w:val="single" w:sz="4" w:space="0" w:color="000000" w:themeColor="text1"/>
              <w:right w:val="nil"/>
            </w:tcBorders>
            <w:shd w:val="clear" w:color="auto" w:fill="auto"/>
            <w:vAlign w:val="center"/>
          </w:tcPr>
          <w:p w14:paraId="6A84A019"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0.75 b</w:t>
            </w:r>
          </w:p>
        </w:tc>
        <w:tc>
          <w:tcPr>
            <w:tcW w:w="1274" w:type="dxa"/>
            <w:tcBorders>
              <w:top w:val="single" w:sz="8" w:space="0" w:color="000000" w:themeColor="text1"/>
              <w:left w:val="nil"/>
              <w:bottom w:val="single" w:sz="4" w:space="0" w:color="000000" w:themeColor="text1"/>
              <w:right w:val="nil"/>
            </w:tcBorders>
            <w:shd w:val="clear" w:color="auto" w:fill="auto"/>
            <w:vAlign w:val="center"/>
          </w:tcPr>
          <w:p w14:paraId="7CFED551" w14:textId="77777777" w:rsidR="00777E39" w:rsidRPr="004A68AC" w:rsidRDefault="00777E39" w:rsidP="00F452DE">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b</w:t>
            </w:r>
          </w:p>
        </w:tc>
      </w:tr>
      <w:tr w:rsidR="009B4243" w:rsidRPr="004A68AC" w14:paraId="37E82934" w14:textId="77777777" w:rsidTr="009B424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vMerge/>
            <w:tcBorders>
              <w:top w:val="nil"/>
              <w:bottom w:val="single" w:sz="8" w:space="0" w:color="auto"/>
            </w:tcBorders>
            <w:shd w:val="clear" w:color="auto" w:fill="auto"/>
            <w:vAlign w:val="center"/>
          </w:tcPr>
          <w:p w14:paraId="5EACBECE" w14:textId="77777777" w:rsidR="00777E39" w:rsidRPr="004A68AC" w:rsidRDefault="00777E39" w:rsidP="00F452DE">
            <w:pPr>
              <w:jc w:val="center"/>
              <w:rPr>
                <w:color w:val="auto"/>
                <w:sz w:val="18"/>
                <w:szCs w:val="18"/>
              </w:rPr>
            </w:pPr>
          </w:p>
        </w:tc>
        <w:tc>
          <w:tcPr>
            <w:tcW w:w="1559" w:type="dxa"/>
            <w:tcBorders>
              <w:top w:val="single" w:sz="4" w:space="0" w:color="000000" w:themeColor="text1"/>
              <w:bottom w:val="single" w:sz="8" w:space="0" w:color="auto"/>
            </w:tcBorders>
            <w:shd w:val="clear" w:color="auto" w:fill="auto"/>
            <w:vAlign w:val="center"/>
          </w:tcPr>
          <w:p w14:paraId="2420D4EE"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it-IT"/>
              </w:rPr>
            </w:pPr>
            <w:r w:rsidRPr="004A68AC">
              <w:rPr>
                <w:color w:val="auto"/>
                <w:sz w:val="18"/>
                <w:szCs w:val="18"/>
                <w:lang w:eastAsia="it-IT"/>
              </w:rPr>
              <w:t>0.6 &lt; ν</w:t>
            </w:r>
            <w:r w:rsidRPr="004A68AC">
              <w:rPr>
                <w:color w:val="auto"/>
                <w:sz w:val="18"/>
                <w:szCs w:val="18"/>
                <w:vertAlign w:val="subscript"/>
                <w:lang w:eastAsia="it-IT"/>
              </w:rPr>
              <w:t>G</w:t>
            </w:r>
          </w:p>
        </w:tc>
        <w:tc>
          <w:tcPr>
            <w:tcW w:w="2977" w:type="dxa"/>
            <w:tcBorders>
              <w:top w:val="single" w:sz="4" w:space="0" w:color="000000" w:themeColor="text1"/>
              <w:bottom w:val="single" w:sz="8" w:space="0" w:color="auto"/>
            </w:tcBorders>
            <w:shd w:val="clear" w:color="auto" w:fill="auto"/>
            <w:vAlign w:val="center"/>
          </w:tcPr>
          <w:p w14:paraId="1A957E1D"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All</w:t>
            </w:r>
          </w:p>
        </w:tc>
        <w:tc>
          <w:tcPr>
            <w:tcW w:w="3684" w:type="dxa"/>
            <w:gridSpan w:val="3"/>
            <w:tcBorders>
              <w:top w:val="single" w:sz="4" w:space="0" w:color="000000" w:themeColor="text1"/>
              <w:bottom w:val="single" w:sz="8" w:space="0" w:color="auto"/>
            </w:tcBorders>
            <w:shd w:val="clear" w:color="auto" w:fill="auto"/>
            <w:vAlign w:val="center"/>
          </w:tcPr>
          <w:p w14:paraId="7413D53B" w14:textId="77777777" w:rsidR="00777E39" w:rsidRPr="004A68AC" w:rsidRDefault="00777E39" w:rsidP="00F452DE">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Force-controlled</w:t>
            </w:r>
          </w:p>
        </w:tc>
      </w:tr>
    </w:tbl>
    <w:p w14:paraId="6081719A" w14:textId="77777777" w:rsidR="00777E39" w:rsidRPr="004A68AC" w:rsidRDefault="00777E39" w:rsidP="00777E39">
      <w:pPr>
        <w:rPr>
          <w:sz w:val="18"/>
          <w:szCs w:val="18"/>
          <w:lang w:val="en-US"/>
        </w:rPr>
      </w:pPr>
      <w:r w:rsidRPr="004A68AC">
        <w:rPr>
          <w:sz w:val="18"/>
          <w:szCs w:val="18"/>
          <w:vertAlign w:val="superscript"/>
          <w:lang w:val="en-US"/>
        </w:rPr>
        <w:t>1</w:t>
      </w:r>
      <w:r w:rsidRPr="004A68AC">
        <w:rPr>
          <w:sz w:val="18"/>
          <w:szCs w:val="18"/>
          <w:lang w:val="en-US"/>
        </w:rPr>
        <w:t xml:space="preserve"> Sections that comply with both ‘Class 1’ and ‘Class 2’ criteria must be classified as ‘Class 1’.</w:t>
      </w:r>
    </w:p>
    <w:p w14:paraId="60F0063F" w14:textId="0F086BF4" w:rsidR="00777E39" w:rsidRPr="004A68AC" w:rsidRDefault="00777E39" w:rsidP="00777E39">
      <w:pPr>
        <w:rPr>
          <w:sz w:val="18"/>
          <w:szCs w:val="18"/>
          <w:lang w:val="en-US"/>
        </w:rPr>
      </w:pPr>
      <w:r w:rsidRPr="004A68AC">
        <w:rPr>
          <w:sz w:val="18"/>
          <w:szCs w:val="18"/>
          <w:vertAlign w:val="superscript"/>
          <w:lang w:val="en-US"/>
        </w:rPr>
        <w:t>2</w:t>
      </w:r>
      <w:r w:rsidRPr="004A68AC">
        <w:rPr>
          <w:sz w:val="18"/>
          <w:szCs w:val="18"/>
          <w:lang w:val="en-US"/>
        </w:rPr>
        <w:t xml:space="preserve"> Interpolation must be made for web and flange slenderness limits. The lower plastic rotation limit should be taken for each limit state.</w:t>
      </w:r>
    </w:p>
    <w:p w14:paraId="512234E0" w14:textId="310EF0C8" w:rsidR="004620C8" w:rsidRPr="004A68AC" w:rsidRDefault="004620C8" w:rsidP="00777E39">
      <w:pPr>
        <w:rPr>
          <w:bCs/>
          <w:sz w:val="18"/>
          <w:szCs w:val="18"/>
          <w:lang w:val="en-US"/>
        </w:rPr>
      </w:pPr>
      <w:r w:rsidRPr="004A68AC">
        <w:rPr>
          <w:bCs/>
          <w:sz w:val="18"/>
          <w:szCs w:val="18"/>
          <w:vertAlign w:val="superscript"/>
        </w:rPr>
        <w:t>3</w:t>
      </w:r>
      <w:r w:rsidRPr="004A68AC">
        <w:rPr>
          <w:bCs/>
          <w:sz w:val="18"/>
          <w:szCs w:val="18"/>
        </w:rPr>
        <w:t xml:space="preserve"> The terms ‘a’ and ‘b’ are defined as in Eqs. 8 and 9.</w:t>
      </w:r>
    </w:p>
    <w:p w14:paraId="28E726BC" w14:textId="77777777" w:rsidR="004D1F89" w:rsidRPr="004A68AC" w:rsidRDefault="004D1F89" w:rsidP="004D1F89">
      <w:pPr>
        <w:rPr>
          <w:lang w:val="en-US" w:eastAsia="it-IT"/>
        </w:rPr>
      </w:pPr>
    </w:p>
    <w:p w14:paraId="46C5C3E0" w14:textId="1D2012A3" w:rsidR="004D1F89" w:rsidRPr="004A68AC" w:rsidRDefault="004D1F89" w:rsidP="004D1F89">
      <w:pPr>
        <w:rPr>
          <w:lang w:val="en-US" w:eastAsia="it-IT"/>
        </w:rPr>
      </w:pPr>
      <w:r w:rsidRPr="004A68AC">
        <w:rPr>
          <w:lang w:val="en-US" w:eastAsia="it-IT"/>
        </w:rPr>
        <w:t xml:space="preserve">     The definition of θ</w:t>
      </w:r>
      <w:r w:rsidRPr="004A68AC">
        <w:rPr>
          <w:vertAlign w:val="subscript"/>
          <w:lang w:val="en-US" w:eastAsia="it-IT"/>
        </w:rPr>
        <w:t>y</w:t>
      </w:r>
      <w:r w:rsidRPr="004A68AC">
        <w:rPr>
          <w:lang w:val="en-US" w:eastAsia="it-IT"/>
        </w:rPr>
        <w:t xml:space="preserve"> in the American codes (Eqs. 2 and 4) significantly influences the rotation capacity at the highest values of ν, however, it is negligible in the low axial zone of the curves, as can be observed by comparing the rotation limits in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Pr="004A68AC">
        <w:rPr>
          <w:noProof/>
          <w:lang w:val="en-US" w:eastAsia="it-IT"/>
        </w:rPr>
        <w:t>[13]</w:t>
      </w:r>
      <w:r w:rsidRPr="004A68AC">
        <w:rPr>
          <w:lang w:val="en-US" w:eastAsia="it-IT"/>
        </w:rPr>
        <w:fldChar w:fldCharType="end"/>
      </w:r>
      <w:r w:rsidRPr="004A68AC">
        <w:rPr>
          <w:lang w:val="en-US" w:eastAsia="it-IT"/>
        </w:rPr>
        <w:t xml:space="preserve"> and the ASCE 41-06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lang w:val="en-US" w:eastAsia="it-IT"/>
        </w:rPr>
        <w:fldChar w:fldCharType="separate"/>
      </w:r>
      <w:r w:rsidRPr="004A68AC">
        <w:rPr>
          <w:noProof/>
          <w:lang w:val="en-US" w:eastAsia="it-IT"/>
        </w:rPr>
        <w:t>[15]</w:t>
      </w:r>
      <w:r w:rsidRPr="004A68AC">
        <w:rPr>
          <w:lang w:val="en-US" w:eastAsia="it-IT"/>
        </w:rPr>
        <w:fldChar w:fldCharType="end"/>
      </w:r>
      <w:r w:rsidRPr="004A68AC">
        <w:rPr>
          <w:lang w:val="en-US" w:eastAsia="it-IT"/>
        </w:rPr>
        <w:t xml:space="preserve">. Considering that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Pr="004A68AC">
        <w:rPr>
          <w:noProof/>
          <w:lang w:val="en-US" w:eastAsia="it-IT"/>
        </w:rPr>
        <w:t>[13]</w:t>
      </w:r>
      <w:r w:rsidRPr="004A68AC">
        <w:rPr>
          <w:lang w:val="en-US" w:eastAsia="it-IT"/>
        </w:rPr>
        <w:fldChar w:fldCharType="end"/>
      </w:r>
      <w:r w:rsidRPr="004A68AC">
        <w:rPr>
          <w:lang w:val="en-US" w:eastAsia="it-IT"/>
        </w:rPr>
        <w:t xml:space="preserve"> restricts the development of plastic rotation to columns with ν &lt; 0.3, the use of either Eq. 1 or Eq. 2 for the definition of θ</w:t>
      </w:r>
      <w:r w:rsidRPr="004A68AC">
        <w:rPr>
          <w:vertAlign w:val="subscript"/>
          <w:lang w:val="en-US" w:eastAsia="it-IT"/>
        </w:rPr>
        <w:t>y</w:t>
      </w:r>
      <w:r w:rsidRPr="004A68AC">
        <w:rPr>
          <w:lang w:val="en-US" w:eastAsia="it-IT"/>
        </w:rPr>
        <w:t xml:space="preserve"> does not significantly affect the plastic rotation capacity limits. When comparing the ASCE 41-06 </w:t>
      </w:r>
      <w:r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lang w:val="en-US" w:eastAsia="it-IT"/>
        </w:rPr>
        <w:fldChar w:fldCharType="separate"/>
      </w:r>
      <w:r w:rsidRPr="004A68AC">
        <w:rPr>
          <w:noProof/>
          <w:lang w:val="en-US" w:eastAsia="it-IT"/>
        </w:rPr>
        <w:t>[15]</w:t>
      </w:r>
      <w:r w:rsidRPr="004A68AC">
        <w:rPr>
          <w:lang w:val="en-US" w:eastAsia="it-IT"/>
        </w:rPr>
        <w:fldChar w:fldCharType="end"/>
      </w:r>
      <w:r w:rsidRPr="004A68AC">
        <w:rPr>
          <w:lang w:val="en-US" w:eastAsia="it-IT"/>
        </w:rPr>
        <w:t xml:space="preserve"> with its successors, the ASCE 41-13 </w:t>
      </w:r>
      <w:r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lang w:val="en-US" w:eastAsia="it-IT"/>
        </w:rPr>
        <w:fldChar w:fldCharType="separate"/>
      </w:r>
      <w:r w:rsidRPr="004A68AC">
        <w:rPr>
          <w:noProof/>
          <w:lang w:val="en-US" w:eastAsia="it-IT"/>
        </w:rPr>
        <w:t>[18]</w:t>
      </w:r>
      <w:r w:rsidRPr="004A68AC">
        <w:rPr>
          <w:lang w:val="en-US" w:eastAsia="it-IT"/>
        </w:rPr>
        <w:fldChar w:fldCharType="end"/>
      </w:r>
      <w:r w:rsidRPr="004A68AC">
        <w:rPr>
          <w:lang w:val="en-US" w:eastAsia="it-IT"/>
        </w:rPr>
        <w:t xml:space="preserve"> reflects less conservative plastic rotation capacity limits, however, the slenderness boundaries and the influence of the dimensionless axial forces (ν) remain the same. With regards to the ASCE 41-17 </w:t>
      </w:r>
      <w:r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lang w:val="en-US" w:eastAsia="it-IT"/>
        </w:rPr>
        <w:fldChar w:fldCharType="separate"/>
      </w:r>
      <w:r w:rsidRPr="004A68AC">
        <w:rPr>
          <w:noProof/>
          <w:lang w:val="en-US" w:eastAsia="it-IT"/>
        </w:rPr>
        <w:t>[19]</w:t>
      </w:r>
      <w:r w:rsidRPr="004A68AC">
        <w:rPr>
          <w:lang w:val="en-US" w:eastAsia="it-IT"/>
        </w:rPr>
        <w:fldChar w:fldCharType="end"/>
      </w:r>
      <w:r w:rsidRPr="004A68AC">
        <w:rPr>
          <w:lang w:val="en-US" w:eastAsia="it-IT"/>
        </w:rPr>
        <w:t xml:space="preserve">, it can be observed that for the </w:t>
      </w:r>
      <w:r w:rsidRPr="004A68AC">
        <w:rPr>
          <w:lang w:val="en-US" w:eastAsia="it-IT"/>
        </w:rPr>
        <w:lastRenderedPageBreak/>
        <w:t xml:space="preserve">sections of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(a) and (b), the plastic rotation capacity limits are less conservative even when assuming that ν = ν</w:t>
      </w:r>
      <w:r w:rsidRPr="004A68AC">
        <w:rPr>
          <w:vertAlign w:val="subscript"/>
          <w:lang w:val="en-US" w:eastAsia="it-IT"/>
        </w:rPr>
        <w:t>G</w:t>
      </w:r>
      <w:r w:rsidRPr="004A68AC">
        <w:rPr>
          <w:lang w:val="en-US" w:eastAsia="it-IT"/>
        </w:rPr>
        <w:t xml:space="preserve">. On the other hand, for the other two sections of </w:t>
      </w:r>
      <w:r w:rsidRPr="004A68AC">
        <w:rPr>
          <w:lang w:val="en-US" w:eastAsia="it-IT"/>
        </w:rPr>
        <w:fldChar w:fldCharType="begin" w:fldLock="1"/>
      </w:r>
      <w:r w:rsidRPr="004A68AC">
        <w:rPr>
          <w:lang w:val="en-US" w:eastAsia="it-IT"/>
        </w:rPr>
        <w:instrText xml:space="preserve"> REF _Ref38901876 \h  \* MERGEFORMAT </w:instrText>
      </w:r>
      <w:r w:rsidRPr="004A68AC">
        <w:rPr>
          <w:lang w:val="en-US" w:eastAsia="it-IT"/>
        </w:rPr>
      </w:r>
      <w:r w:rsidRPr="004A68AC">
        <w:rPr>
          <w:lang w:val="en-US" w:eastAsia="it-IT"/>
        </w:rPr>
        <w:fldChar w:fldCharType="separate"/>
      </w:r>
      <w:r w:rsidRPr="004A68AC">
        <w:rPr>
          <w:lang w:val="en-US"/>
        </w:rPr>
        <w:t xml:space="preserve">Figure </w:t>
      </w:r>
      <w:r w:rsidRPr="004A68AC">
        <w:rPr>
          <w:noProof/>
          <w:lang w:val="en-US"/>
        </w:rPr>
        <w:t>5</w:t>
      </w:r>
      <w:r w:rsidRPr="004A68AC">
        <w:rPr>
          <w:lang w:val="en-US" w:eastAsia="it-IT"/>
        </w:rPr>
        <w:fldChar w:fldCharType="end"/>
      </w:r>
      <w:r w:rsidRPr="004A68AC">
        <w:rPr>
          <w:lang w:val="en-US" w:eastAsia="it-IT"/>
        </w:rPr>
        <w:t>(c) and (d) the plastic rotation capacity limits of the newest version of the ASCE 41 are likely to be more conservative than the ones established by its predecessors.</w:t>
      </w:r>
    </w:p>
    <w:p w14:paraId="4CC9AE59" w14:textId="77777777" w:rsidR="004D1F89" w:rsidRPr="004A68AC" w:rsidRDefault="004D1F89" w:rsidP="00777E39">
      <w:pPr>
        <w:rPr>
          <w:sz w:val="18"/>
          <w:szCs w:val="18"/>
          <w:lang w:val="en-US"/>
        </w:rPr>
      </w:pPr>
    </w:p>
    <w:p w14:paraId="49EB3169" w14:textId="4CEE8C7D" w:rsidR="00657961" w:rsidRPr="004A68AC" w:rsidRDefault="00657961" w:rsidP="00657961">
      <w:pPr>
        <w:pStyle w:val="Tablecaption"/>
        <w:spacing w:before="0" w:after="0" w:line="240" w:lineRule="auto"/>
        <w:jc w:val="center"/>
        <w:rPr>
          <w:color w:val="auto"/>
          <w:szCs w:val="20"/>
          <w:lang w:val="en-US"/>
        </w:rPr>
      </w:pPr>
      <w:bookmarkStart w:id="18" w:name="_Ref38716339"/>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Pr="004A68AC">
        <w:rPr>
          <w:noProof/>
          <w:color w:val="auto"/>
          <w:szCs w:val="20"/>
          <w:lang w:val="en-US"/>
        </w:rPr>
        <w:t>5</w:t>
      </w:r>
      <w:r w:rsidRPr="004A68AC">
        <w:rPr>
          <w:color w:val="auto"/>
          <w:szCs w:val="20"/>
          <w:lang w:val="en-US"/>
        </w:rPr>
        <w:fldChar w:fldCharType="end"/>
      </w:r>
      <w:bookmarkEnd w:id="18"/>
      <w:r w:rsidRPr="004A68AC">
        <w:rPr>
          <w:color w:val="auto"/>
          <w:szCs w:val="20"/>
          <w:lang w:val="en-US"/>
        </w:rPr>
        <w:t xml:space="preserve">. </w:t>
      </w:r>
      <w:r w:rsidRPr="004A68AC">
        <w:rPr>
          <w:b w:val="0"/>
          <w:color w:val="auto"/>
          <w:szCs w:val="20"/>
          <w:lang w:val="en-US"/>
        </w:rPr>
        <w:t xml:space="preserve">Plastic rotation parameters based on slenderness limits, according to ASCE 41-17 </w:t>
      </w:r>
      <w:r w:rsidRPr="004A68AC">
        <w:rPr>
          <w:b w:val="0"/>
          <w:color w:val="auto"/>
          <w:szCs w:val="20"/>
          <w:lang w:val="en-US"/>
        </w:rPr>
        <w:fldChar w:fldCharType="begin" w:fldLock="1"/>
      </w:r>
      <w:r w:rsidR="005C47A3" w:rsidRPr="004A68AC">
        <w:rPr>
          <w:b w:val="0"/>
          <w:color w:val="auto"/>
          <w:szCs w:val="20"/>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b w:val="0"/>
          <w:color w:val="auto"/>
          <w:szCs w:val="20"/>
          <w:lang w:val="en-US"/>
        </w:rPr>
        <w:fldChar w:fldCharType="separate"/>
      </w:r>
      <w:r w:rsidRPr="004A68AC">
        <w:rPr>
          <w:b w:val="0"/>
          <w:noProof/>
          <w:color w:val="auto"/>
          <w:szCs w:val="20"/>
          <w:lang w:val="en-US"/>
        </w:rPr>
        <w:t>[19]</w:t>
      </w:r>
      <w:r w:rsidRPr="004A68AC">
        <w:rPr>
          <w:b w:val="0"/>
          <w:color w:val="auto"/>
          <w:szCs w:val="20"/>
          <w:lang w:val="en-US"/>
        </w:rPr>
        <w:fldChar w:fldCharType="end"/>
      </w:r>
      <w:r w:rsidRPr="004A68AC">
        <w:rPr>
          <w:b w:val="0"/>
          <w:color w:val="auto"/>
          <w:szCs w:val="20"/>
          <w:lang w:val="en-US"/>
        </w:rPr>
        <w:t>.</w:t>
      </w:r>
    </w:p>
    <w:tbl>
      <w:tblPr>
        <w:tblStyle w:val="HelleSchattierung1"/>
        <w:tblW w:w="5000" w:type="pct"/>
        <w:jc w:val="center"/>
        <w:tblLook w:val="04A0" w:firstRow="1" w:lastRow="0" w:firstColumn="1" w:lastColumn="0" w:noHBand="0" w:noVBand="1"/>
      </w:tblPr>
      <w:tblGrid>
        <w:gridCol w:w="3376"/>
        <w:gridCol w:w="3196"/>
        <w:gridCol w:w="3066"/>
      </w:tblGrid>
      <w:tr w:rsidR="00657961" w:rsidRPr="004A68AC" w14:paraId="713144FE" w14:textId="77777777" w:rsidTr="006C244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5ED37890" w14:textId="77777777" w:rsidR="00657961" w:rsidRPr="004A68AC" w:rsidRDefault="00657961" w:rsidP="005A6344">
            <w:pPr>
              <w:jc w:val="center"/>
              <w:rPr>
                <w:color w:val="auto"/>
                <w:sz w:val="18"/>
                <w:szCs w:val="18"/>
              </w:rPr>
            </w:pPr>
            <w:r w:rsidRPr="004A68AC">
              <w:rPr>
                <w:color w:val="auto"/>
                <w:sz w:val="18"/>
                <w:szCs w:val="18"/>
              </w:rPr>
              <w:t xml:space="preserve">Dimensionless axial gravity force, </w:t>
            </w:r>
            <w:r w:rsidRPr="004A68AC">
              <w:rPr>
                <w:color w:val="auto"/>
                <w:sz w:val="18"/>
                <w:szCs w:val="18"/>
                <w:lang w:eastAsia="it-IT"/>
              </w:rPr>
              <w:t>ν</w:t>
            </w:r>
            <w:r w:rsidRPr="004A68AC">
              <w:rPr>
                <w:color w:val="auto"/>
                <w:sz w:val="18"/>
                <w:szCs w:val="18"/>
                <w:vertAlign w:val="subscript"/>
                <w:lang w:eastAsia="it-IT"/>
              </w:rPr>
              <w:t>G</w:t>
            </w:r>
          </w:p>
        </w:tc>
        <w:tc>
          <w:tcPr>
            <w:tcW w:w="0" w:type="pct"/>
            <w:shd w:val="clear" w:color="auto" w:fill="auto"/>
            <w:vAlign w:val="center"/>
          </w:tcPr>
          <w:p w14:paraId="71C509F8" w14:textId="77777777" w:rsidR="00657961" w:rsidRPr="004A68AC" w:rsidRDefault="00657961" w:rsidP="00094014">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Slenderness limits</w:t>
            </w:r>
            <w:r w:rsidRPr="004A68AC">
              <w:rPr>
                <w:b w:val="0"/>
                <w:color w:val="auto"/>
                <w:sz w:val="18"/>
                <w:szCs w:val="18"/>
                <w:vertAlign w:val="superscript"/>
              </w:rPr>
              <w:t xml:space="preserve"> 1</w:t>
            </w:r>
          </w:p>
        </w:tc>
        <w:tc>
          <w:tcPr>
            <w:tcW w:w="0" w:type="pct"/>
            <w:shd w:val="clear" w:color="auto" w:fill="auto"/>
            <w:vAlign w:val="center"/>
          </w:tcPr>
          <w:p w14:paraId="2F1C713F" w14:textId="77777777" w:rsidR="00657961" w:rsidRPr="004A68AC" w:rsidRDefault="00657961">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Equations to use</w:t>
            </w:r>
          </w:p>
        </w:tc>
      </w:tr>
      <w:tr w:rsidR="00657961" w:rsidRPr="004A68AC" w14:paraId="2F16714D" w14:textId="77777777" w:rsidTr="006C24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8" w:space="0" w:color="000000" w:themeColor="text1"/>
              <w:bottom w:val="nil"/>
            </w:tcBorders>
            <w:shd w:val="clear" w:color="auto" w:fill="auto"/>
            <w:vAlign w:val="center"/>
          </w:tcPr>
          <w:p w14:paraId="0A30AC94" w14:textId="77777777" w:rsidR="00657961" w:rsidRPr="004A68AC" w:rsidRDefault="00657961" w:rsidP="005A6344">
            <w:pPr>
              <w:jc w:val="center"/>
              <w:rPr>
                <w:b w:val="0"/>
                <w:color w:val="auto"/>
                <w:sz w:val="18"/>
                <w:szCs w:val="18"/>
              </w:rPr>
            </w:pPr>
            <w:r w:rsidRPr="004A68AC">
              <w:rPr>
                <w:b w:val="0"/>
                <w:color w:val="auto"/>
                <w:sz w:val="18"/>
                <w:szCs w:val="18"/>
                <w:lang w:eastAsia="it-IT"/>
              </w:rPr>
              <w:t>ν</w:t>
            </w:r>
            <w:r w:rsidRPr="004A68AC">
              <w:rPr>
                <w:b w:val="0"/>
                <w:color w:val="auto"/>
                <w:sz w:val="18"/>
                <w:szCs w:val="18"/>
                <w:vertAlign w:val="subscript"/>
                <w:lang w:eastAsia="it-IT"/>
              </w:rPr>
              <w:t>G</w:t>
            </w:r>
            <w:r w:rsidRPr="004A68AC">
              <w:rPr>
                <w:b w:val="0"/>
                <w:color w:val="auto"/>
                <w:sz w:val="18"/>
                <w:szCs w:val="18"/>
                <w:lang w:eastAsia="it-IT"/>
              </w:rPr>
              <w:t xml:space="preserve"> &lt; 0.2</w:t>
            </w:r>
          </w:p>
        </w:tc>
        <w:tc>
          <w:tcPr>
            <w:tcW w:w="0" w:type="pct"/>
            <w:tcBorders>
              <w:top w:val="single" w:sz="8" w:space="0" w:color="000000" w:themeColor="text1"/>
              <w:bottom w:val="nil"/>
            </w:tcBorders>
            <w:shd w:val="clear" w:color="auto" w:fill="auto"/>
            <w:vAlign w:val="center"/>
          </w:tcPr>
          <w:p w14:paraId="08595740" w14:textId="77777777" w:rsidR="00657961" w:rsidRPr="004A68AC" w:rsidRDefault="00657961" w:rsidP="0009401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1123(1-0.71ν</w:t>
            </w:r>
            <w:r w:rsidRPr="004A68AC">
              <w:rPr>
                <w:color w:val="auto"/>
                <w:sz w:val="18"/>
                <w:szCs w:val="18"/>
                <w:vertAlign w:val="subscript"/>
                <w:lang w:eastAsia="it-IT"/>
              </w:rPr>
              <w:t>G</w:t>
            </w:r>
            <w:r w:rsidRPr="004A68AC">
              <w:rPr>
                <w:color w:val="auto"/>
                <w:sz w:val="18"/>
                <w:szCs w:val="18"/>
                <w:lang w:eastAsia="it-IT"/>
              </w:rPr>
              <w:t>)</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0" w:type="pct"/>
            <w:tcBorders>
              <w:top w:val="single" w:sz="8" w:space="0" w:color="000000" w:themeColor="text1"/>
              <w:bottom w:val="nil"/>
            </w:tcBorders>
            <w:shd w:val="clear" w:color="auto" w:fill="auto"/>
            <w:vAlign w:val="center"/>
          </w:tcPr>
          <w:p w14:paraId="6674EF8A" w14:textId="77777777" w:rsidR="00657961" w:rsidRPr="004A68AC" w:rsidRDefault="00657961">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Eqs. 8a and 9a</w:t>
            </w:r>
          </w:p>
        </w:tc>
      </w:tr>
      <w:tr w:rsidR="00657961" w:rsidRPr="004A68AC" w14:paraId="7B0976F1" w14:textId="77777777" w:rsidTr="006C2442">
        <w:trPr>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tcBorders>
            <w:shd w:val="clear" w:color="auto" w:fill="auto"/>
            <w:vAlign w:val="center"/>
          </w:tcPr>
          <w:p w14:paraId="0B056D98" w14:textId="77777777" w:rsidR="00657961" w:rsidRPr="004A68AC" w:rsidRDefault="00657961">
            <w:pPr>
              <w:jc w:val="center"/>
              <w:rPr>
                <w:color w:val="auto"/>
                <w:sz w:val="18"/>
                <w:szCs w:val="18"/>
              </w:rPr>
            </w:pPr>
          </w:p>
        </w:tc>
        <w:tc>
          <w:tcPr>
            <w:tcW w:w="0" w:type="pct"/>
            <w:tcBorders>
              <w:top w:val="nil"/>
              <w:bottom w:val="nil"/>
            </w:tcBorders>
            <w:shd w:val="clear" w:color="auto" w:fill="auto"/>
            <w:vAlign w:val="center"/>
          </w:tcPr>
          <w:p w14:paraId="6A4A12CB" w14:textId="77777777" w:rsidR="00657961" w:rsidRPr="004A68AC" w:rsidRDefault="00657961">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Other intermediate values</w:t>
            </w:r>
          </w:p>
        </w:tc>
        <w:tc>
          <w:tcPr>
            <w:tcW w:w="0" w:type="pct"/>
            <w:tcBorders>
              <w:top w:val="nil"/>
              <w:bottom w:val="nil"/>
            </w:tcBorders>
            <w:shd w:val="clear" w:color="auto" w:fill="auto"/>
            <w:vAlign w:val="center"/>
          </w:tcPr>
          <w:p w14:paraId="36BFE6E4" w14:textId="77777777" w:rsidR="00657961" w:rsidRPr="004A68AC" w:rsidRDefault="00657961">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Interpolate</w:t>
            </w:r>
          </w:p>
        </w:tc>
      </w:tr>
      <w:tr w:rsidR="00657961" w:rsidRPr="004A68AC" w14:paraId="0B9092C7" w14:textId="77777777" w:rsidTr="006C24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single" w:sz="4" w:space="0" w:color="auto"/>
            </w:tcBorders>
            <w:shd w:val="clear" w:color="auto" w:fill="auto"/>
            <w:vAlign w:val="center"/>
          </w:tcPr>
          <w:p w14:paraId="3524EBA5" w14:textId="77777777" w:rsidR="00657961" w:rsidRPr="004A68AC" w:rsidRDefault="00657961">
            <w:pPr>
              <w:jc w:val="center"/>
              <w:rPr>
                <w:color w:val="auto"/>
                <w:sz w:val="18"/>
                <w:szCs w:val="18"/>
              </w:rPr>
            </w:pPr>
          </w:p>
        </w:tc>
        <w:tc>
          <w:tcPr>
            <w:tcW w:w="0" w:type="pct"/>
            <w:tcBorders>
              <w:top w:val="nil"/>
              <w:bottom w:val="single" w:sz="4" w:space="0" w:color="auto"/>
            </w:tcBorders>
            <w:shd w:val="clear" w:color="auto" w:fill="auto"/>
            <w:vAlign w:val="center"/>
          </w:tcPr>
          <w:p w14:paraId="6470E897" w14:textId="77777777" w:rsidR="00657961" w:rsidRPr="004A68AC" w:rsidRDefault="00657961">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1723(1-1.83ν</w:t>
            </w:r>
            <w:r w:rsidRPr="004A68AC">
              <w:rPr>
                <w:color w:val="auto"/>
                <w:sz w:val="18"/>
                <w:szCs w:val="18"/>
                <w:vertAlign w:val="subscript"/>
                <w:lang w:eastAsia="it-IT"/>
              </w:rPr>
              <w:t>G</w:t>
            </w:r>
            <w:r w:rsidRPr="004A68AC">
              <w:rPr>
                <w:color w:val="auto"/>
                <w:sz w:val="18"/>
                <w:szCs w:val="18"/>
                <w:lang w:eastAsia="it-IT"/>
              </w:rPr>
              <w:t>)</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174</w:t>
            </w:r>
          </w:p>
        </w:tc>
        <w:tc>
          <w:tcPr>
            <w:tcW w:w="0" w:type="pct"/>
            <w:tcBorders>
              <w:top w:val="nil"/>
              <w:bottom w:val="single" w:sz="4" w:space="0" w:color="auto"/>
            </w:tcBorders>
            <w:shd w:val="clear" w:color="auto" w:fill="auto"/>
            <w:vAlign w:val="center"/>
          </w:tcPr>
          <w:p w14:paraId="5A97C5EA" w14:textId="77777777" w:rsidR="00657961" w:rsidRPr="004A68AC" w:rsidRDefault="00657961">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Eqs. 8b and 9b</w:t>
            </w:r>
          </w:p>
        </w:tc>
      </w:tr>
      <w:tr w:rsidR="00657961" w:rsidRPr="004A68AC" w14:paraId="5EFF28C5" w14:textId="77777777" w:rsidTr="006C2442">
        <w:trPr>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bottom w:val="nil"/>
            </w:tcBorders>
            <w:shd w:val="clear" w:color="auto" w:fill="auto"/>
            <w:vAlign w:val="center"/>
          </w:tcPr>
          <w:p w14:paraId="445B9DEE" w14:textId="77777777" w:rsidR="00657961" w:rsidRPr="004A68AC" w:rsidRDefault="00657961" w:rsidP="005A6344">
            <w:pPr>
              <w:jc w:val="center"/>
              <w:rPr>
                <w:color w:val="auto"/>
                <w:sz w:val="18"/>
                <w:szCs w:val="18"/>
              </w:rPr>
            </w:pPr>
            <w:r w:rsidRPr="004A68AC">
              <w:rPr>
                <w:b w:val="0"/>
                <w:color w:val="auto"/>
                <w:sz w:val="18"/>
                <w:szCs w:val="18"/>
                <w:lang w:eastAsia="it-IT"/>
              </w:rPr>
              <w:t>0.2 ≤ ν</w:t>
            </w:r>
            <w:r w:rsidRPr="004A68AC">
              <w:rPr>
                <w:b w:val="0"/>
                <w:color w:val="auto"/>
                <w:sz w:val="18"/>
                <w:szCs w:val="18"/>
                <w:vertAlign w:val="subscript"/>
                <w:lang w:eastAsia="it-IT"/>
              </w:rPr>
              <w:t>G</w:t>
            </w:r>
            <w:r w:rsidRPr="004A68AC">
              <w:rPr>
                <w:b w:val="0"/>
                <w:color w:val="auto"/>
                <w:sz w:val="18"/>
                <w:szCs w:val="18"/>
                <w:lang w:eastAsia="it-IT"/>
              </w:rPr>
              <w:t xml:space="preserve"> ≤ 0.6</w:t>
            </w:r>
          </w:p>
        </w:tc>
        <w:tc>
          <w:tcPr>
            <w:tcW w:w="0" w:type="pct"/>
            <w:tcBorders>
              <w:top w:val="single" w:sz="4" w:space="0" w:color="auto"/>
              <w:bottom w:val="nil"/>
            </w:tcBorders>
            <w:shd w:val="clear" w:color="auto" w:fill="auto"/>
            <w:vAlign w:val="center"/>
          </w:tcPr>
          <w:p w14:paraId="09C691CD" w14:textId="77777777" w:rsidR="00657961" w:rsidRPr="004A68AC" w:rsidRDefault="00657961" w:rsidP="0009401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353(2.93-ν</w:t>
            </w:r>
            <w:r w:rsidRPr="004A68AC">
              <w:rPr>
                <w:color w:val="auto"/>
                <w:sz w:val="18"/>
                <w:szCs w:val="18"/>
                <w:vertAlign w:val="subscript"/>
                <w:lang w:eastAsia="it-IT"/>
              </w:rPr>
              <w:t>G</w:t>
            </w:r>
            <w:r w:rsidRPr="004A68AC">
              <w:rPr>
                <w:color w:val="auto"/>
                <w:sz w:val="18"/>
                <w:szCs w:val="18"/>
                <w:lang w:eastAsia="it-IT"/>
              </w:rPr>
              <w:t>)</w:t>
            </w:r>
            <w:r w:rsidRPr="004A68AC">
              <w:rPr>
                <w:color w:val="auto"/>
                <w:sz w:val="18"/>
                <w:szCs w:val="18"/>
              </w:rPr>
              <w:t xml:space="preserve"> and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137</w:t>
            </w:r>
          </w:p>
        </w:tc>
        <w:tc>
          <w:tcPr>
            <w:tcW w:w="0" w:type="pct"/>
            <w:tcBorders>
              <w:top w:val="single" w:sz="4" w:space="0" w:color="auto"/>
              <w:bottom w:val="nil"/>
            </w:tcBorders>
            <w:shd w:val="clear" w:color="auto" w:fill="auto"/>
            <w:vAlign w:val="center"/>
          </w:tcPr>
          <w:p w14:paraId="21D40CE3" w14:textId="77777777" w:rsidR="00657961" w:rsidRPr="004A68AC" w:rsidRDefault="00657961">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Eqs. 8a and 9a</w:t>
            </w:r>
          </w:p>
        </w:tc>
      </w:tr>
      <w:tr w:rsidR="00657961" w:rsidRPr="004A68AC" w14:paraId="10E64DE8" w14:textId="77777777" w:rsidTr="006C24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nil"/>
            </w:tcBorders>
            <w:shd w:val="clear" w:color="auto" w:fill="auto"/>
            <w:vAlign w:val="center"/>
          </w:tcPr>
          <w:p w14:paraId="7DCBF244" w14:textId="77777777" w:rsidR="00657961" w:rsidRPr="004A68AC" w:rsidRDefault="00657961">
            <w:pPr>
              <w:jc w:val="center"/>
              <w:rPr>
                <w:color w:val="auto"/>
                <w:sz w:val="18"/>
                <w:szCs w:val="18"/>
              </w:rPr>
            </w:pPr>
          </w:p>
        </w:tc>
        <w:tc>
          <w:tcPr>
            <w:tcW w:w="0" w:type="pct"/>
            <w:tcBorders>
              <w:top w:val="nil"/>
              <w:bottom w:val="nil"/>
            </w:tcBorders>
            <w:shd w:val="clear" w:color="auto" w:fill="auto"/>
            <w:vAlign w:val="center"/>
          </w:tcPr>
          <w:p w14:paraId="141A1FB4" w14:textId="77777777" w:rsidR="00657961" w:rsidRPr="004A68AC" w:rsidRDefault="00657961">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Other intermediate values</w:t>
            </w:r>
          </w:p>
        </w:tc>
        <w:tc>
          <w:tcPr>
            <w:tcW w:w="0" w:type="pct"/>
            <w:tcBorders>
              <w:top w:val="nil"/>
              <w:bottom w:val="nil"/>
            </w:tcBorders>
            <w:shd w:val="clear" w:color="auto" w:fill="auto"/>
            <w:vAlign w:val="center"/>
          </w:tcPr>
          <w:p w14:paraId="493EFFC0" w14:textId="77777777" w:rsidR="00657961" w:rsidRPr="004A68AC" w:rsidRDefault="00657961">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Interpolate</w:t>
            </w:r>
          </w:p>
        </w:tc>
      </w:tr>
      <w:tr w:rsidR="00657961" w:rsidRPr="004A68AC" w14:paraId="405A75B2" w14:textId="77777777" w:rsidTr="006C2442">
        <w:trPr>
          <w:trHeight w:val="340"/>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nil"/>
              <w:bottom w:val="single" w:sz="8" w:space="0" w:color="000000" w:themeColor="text1"/>
            </w:tcBorders>
            <w:shd w:val="clear" w:color="auto" w:fill="auto"/>
            <w:vAlign w:val="center"/>
          </w:tcPr>
          <w:p w14:paraId="6E4778FF" w14:textId="77777777" w:rsidR="00657961" w:rsidRPr="004A68AC" w:rsidRDefault="00657961">
            <w:pPr>
              <w:jc w:val="center"/>
              <w:rPr>
                <w:color w:val="auto"/>
                <w:sz w:val="18"/>
                <w:szCs w:val="18"/>
              </w:rPr>
            </w:pPr>
          </w:p>
        </w:tc>
        <w:tc>
          <w:tcPr>
            <w:tcW w:w="0" w:type="pct"/>
            <w:tcBorders>
              <w:top w:val="nil"/>
              <w:bottom w:val="single" w:sz="8" w:space="0" w:color="000000" w:themeColor="text1"/>
            </w:tcBorders>
            <w:shd w:val="clear" w:color="auto" w:fill="auto"/>
            <w:vAlign w:val="center"/>
          </w:tcPr>
          <w:p w14:paraId="46F9C5EC" w14:textId="77777777" w:rsidR="00657961" w:rsidRPr="004A68AC" w:rsidRDefault="00657961">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513(2.33-ν</w:t>
            </w:r>
            <w:r w:rsidRPr="004A68AC">
              <w:rPr>
                <w:color w:val="auto"/>
                <w:sz w:val="18"/>
                <w:szCs w:val="18"/>
                <w:vertAlign w:val="subscript"/>
                <w:lang w:eastAsia="it-IT"/>
              </w:rPr>
              <w:t>G</w:t>
            </w:r>
            <w:r w:rsidRPr="004A68AC">
              <w:rPr>
                <w:color w:val="auto"/>
                <w:sz w:val="18"/>
                <w:szCs w:val="18"/>
                <w:lang w:eastAsia="it-IT"/>
              </w:rPr>
              <w:t>)</w:t>
            </w:r>
            <w:r w:rsidRPr="004A68AC">
              <w:rPr>
                <w:color w:val="auto"/>
                <w:sz w:val="18"/>
                <w:szCs w:val="18"/>
              </w:rPr>
              <w:t xml:space="preserve"> or </w:t>
            </w: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174</w:t>
            </w:r>
          </w:p>
        </w:tc>
        <w:tc>
          <w:tcPr>
            <w:tcW w:w="0" w:type="pct"/>
            <w:tcBorders>
              <w:top w:val="nil"/>
              <w:bottom w:val="single" w:sz="8" w:space="0" w:color="000000" w:themeColor="text1"/>
            </w:tcBorders>
            <w:shd w:val="clear" w:color="auto" w:fill="auto"/>
            <w:vAlign w:val="center"/>
          </w:tcPr>
          <w:p w14:paraId="772ACF2A" w14:textId="77777777" w:rsidR="00657961" w:rsidRPr="004A68AC" w:rsidRDefault="00657961">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Eqs. 8b and 9b</w:t>
            </w:r>
          </w:p>
        </w:tc>
      </w:tr>
    </w:tbl>
    <w:p w14:paraId="6961F5D1" w14:textId="77777777" w:rsidR="00657961" w:rsidRPr="004A68AC" w:rsidRDefault="00657961" w:rsidP="00657961">
      <w:pPr>
        <w:rPr>
          <w:sz w:val="18"/>
          <w:szCs w:val="18"/>
          <w:lang w:val="en-US"/>
        </w:rPr>
      </w:pPr>
      <w:r w:rsidRPr="004A68AC">
        <w:rPr>
          <w:sz w:val="18"/>
          <w:szCs w:val="18"/>
          <w:vertAlign w:val="superscript"/>
          <w:lang w:val="en-US"/>
        </w:rPr>
        <w:t>1</w:t>
      </w:r>
      <w:r w:rsidRPr="004A68AC">
        <w:rPr>
          <w:sz w:val="18"/>
          <w:szCs w:val="18"/>
          <w:lang w:val="en-US"/>
        </w:rPr>
        <w:t xml:space="preserve"> Interpolation must be made for web and flange slenderness limits. The lower ductility parameters a and b should be taken.</w:t>
      </w:r>
    </w:p>
    <w:p w14:paraId="21BF7B55" w14:textId="77777777" w:rsidR="00657961" w:rsidRPr="004A68AC" w:rsidRDefault="00657961" w:rsidP="00657961">
      <w:pPr>
        <w:rPr>
          <w:lang w:val="en-US"/>
        </w:rPr>
      </w:pPr>
    </w:p>
    <w:p w14:paraId="6B17460F" w14:textId="5171367A" w:rsidR="008444F3" w:rsidRPr="004A68AC" w:rsidRDefault="00467AE7" w:rsidP="008444F3">
      <w:pPr>
        <w:jc w:val="center"/>
        <w:rPr>
          <w:lang w:val="en-US"/>
        </w:rPr>
      </w:pPr>
      <w:r w:rsidRPr="004A68AC">
        <w:rPr>
          <w:noProof/>
          <w:lang w:val="en-US" w:eastAsia="en-GB"/>
        </w:rPr>
        <mc:AlternateContent>
          <mc:Choice Requires="wps">
            <w:drawing>
              <wp:anchor distT="0" distB="0" distL="114300" distR="114300" simplePos="0" relativeHeight="251814912" behindDoc="0" locked="0" layoutInCell="1" allowOverlap="1" wp14:anchorId="7F43B79D" wp14:editId="71051595">
                <wp:simplePos x="0" y="0"/>
                <wp:positionH relativeFrom="column">
                  <wp:posOffset>2248298</wp:posOffset>
                </wp:positionH>
                <wp:positionV relativeFrom="paragraph">
                  <wp:posOffset>267089</wp:posOffset>
                </wp:positionV>
                <wp:extent cx="633853" cy="627797"/>
                <wp:effectExtent l="0" t="0" r="13970" b="20320"/>
                <wp:wrapNone/>
                <wp:docPr id="75" name="Rectangle 75"/>
                <wp:cNvGraphicFramePr/>
                <a:graphic xmlns:a="http://schemas.openxmlformats.org/drawingml/2006/main">
                  <a:graphicData uri="http://schemas.microsoft.com/office/word/2010/wordprocessingShape">
                    <wps:wsp>
                      <wps:cNvSpPr/>
                      <wps:spPr>
                        <a:xfrm>
                          <a:off x="0" y="0"/>
                          <a:ext cx="633853" cy="62779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82CACE6" w14:textId="1918461C" w:rsidR="00F534F9" w:rsidRPr="00643965" w:rsidRDefault="00F534F9" w:rsidP="00643965">
                            <w:pPr>
                              <w:jc w:val="center"/>
                              <w:rPr>
                                <w:rFonts w:asciiTheme="minorHAnsi" w:eastAsiaTheme="minorEastAsia" w:hAnsiTheme="minorHAnsi" w:cstheme="minorBidi"/>
                                <w:sz w:val="14"/>
                                <w:szCs w:val="14"/>
                              </w:rPr>
                            </w:pPr>
                            <m:oMathPara>
                              <m:oMath>
                                <m:r>
                                  <w:rPr>
                                    <w:rFonts w:ascii="Cambria Math" w:hAnsi="Cambria Math"/>
                                    <w:sz w:val="14"/>
                                    <w:szCs w:val="14"/>
                                  </w:rPr>
                                  <m:t>ν=</m:t>
                                </m:r>
                                <m:f>
                                  <m:fPr>
                                    <m:ctrlPr>
                                      <w:rPr>
                                        <w:rFonts w:ascii="Cambria Math" w:hAnsi="Cambria Math"/>
                                        <w:sz w:val="14"/>
                                        <w:szCs w:val="14"/>
                                        <w:lang w:val="en-US" w:eastAsia="it-IT"/>
                                      </w:rPr>
                                    </m:ctrlPr>
                                  </m:fPr>
                                  <m:num>
                                    <m:sSub>
                                      <m:sSubPr>
                                        <m:ctrlPr>
                                          <w:rPr>
                                            <w:rFonts w:ascii="Cambria Math" w:hAnsi="Cambria Math"/>
                                            <w:sz w:val="14"/>
                                            <w:szCs w:val="14"/>
                                            <w:vertAlign w:val="subscript"/>
                                            <w:lang w:val="en-US" w:eastAsia="it-IT"/>
                                          </w:rPr>
                                        </m:ctrlPr>
                                      </m:sSubPr>
                                      <m:e>
                                        <m:r>
                                          <m:rPr>
                                            <m:sty m:val="p"/>
                                          </m:rPr>
                                          <w:rPr>
                                            <w:rFonts w:ascii="Cambria Math" w:hAnsi="Cambria Math"/>
                                            <w:sz w:val="14"/>
                                            <w:szCs w:val="14"/>
                                            <w:lang w:val="en-US" w:eastAsia="it-IT"/>
                                          </w:rPr>
                                          <m:t>N</m:t>
                                        </m:r>
                                        <m:ctrlPr>
                                          <w:rPr>
                                            <w:rFonts w:ascii="Cambria Math" w:hAnsi="Cambria Math"/>
                                            <w:sz w:val="14"/>
                                            <w:szCs w:val="14"/>
                                            <w:lang w:val="en-US" w:eastAsia="it-IT"/>
                                          </w:rPr>
                                        </m:ctrlPr>
                                      </m:e>
                                      <m:sub>
                                        <m:r>
                                          <m:rPr>
                                            <m:sty m:val="p"/>
                                          </m:rPr>
                                          <w:rPr>
                                            <w:rFonts w:ascii="Cambria Math" w:hAnsi="Cambria Math"/>
                                            <w:sz w:val="14"/>
                                            <w:szCs w:val="14"/>
                                            <w:vertAlign w:val="subscript"/>
                                            <w:lang w:val="en-US" w:eastAsia="it-IT"/>
                                          </w:rPr>
                                          <m:t>k</m:t>
                                        </m:r>
                                      </m:sub>
                                    </m:sSub>
                                    <m:ctrlPr>
                                      <w:rPr>
                                        <w:rFonts w:ascii="Cambria Math" w:hAnsi="Cambria Math"/>
                                        <w:i/>
                                        <w:sz w:val="14"/>
                                        <w:szCs w:val="14"/>
                                        <w:lang w:val="en-US" w:eastAsia="it-IT"/>
                                      </w:rPr>
                                    </m:ctrlPr>
                                  </m:num>
                                  <m:den>
                                    <m:sSub>
                                      <m:sSubPr>
                                        <m:ctrlPr>
                                          <w:rPr>
                                            <w:rFonts w:ascii="Cambria Math" w:hAnsi="Cambria Math"/>
                                            <w:i/>
                                            <w:sz w:val="14"/>
                                            <w:szCs w:val="14"/>
                                            <w:lang w:val="en-US" w:eastAsia="it-IT"/>
                                          </w:rPr>
                                        </m:ctrlPr>
                                      </m:sSubPr>
                                      <m:e>
                                        <m:r>
                                          <w:rPr>
                                            <w:rFonts w:ascii="Cambria Math" w:hAnsi="Cambria Math"/>
                                            <w:sz w:val="14"/>
                                            <w:szCs w:val="14"/>
                                            <w:lang w:val="en-US" w:eastAsia="it-IT"/>
                                          </w:rPr>
                                          <m:t>N</m:t>
                                        </m:r>
                                      </m:e>
                                      <m:sub>
                                        <m:r>
                                          <w:rPr>
                                            <w:rFonts w:ascii="Cambria Math" w:hAnsi="Cambria Math"/>
                                            <w:sz w:val="14"/>
                                            <w:szCs w:val="14"/>
                                            <w:lang w:val="en-US" w:eastAsia="it-IT"/>
                                          </w:rPr>
                                          <m:t>pl,Rd</m:t>
                                        </m:r>
                                      </m:sub>
                                    </m:sSub>
                                  </m:den>
                                </m:f>
                                <m:r>
                                  <m:rPr>
                                    <m:sty m:val="p"/>
                                  </m:rPr>
                                  <w:rPr>
                                    <w:rFonts w:asciiTheme="minorHAnsi" w:eastAsiaTheme="minorEastAsia" w:hAnsiTheme="minorHAnsi" w:cstheme="minorBidi"/>
                                    <w:sz w:val="14"/>
                                    <w:szCs w:val="14"/>
                                    <w:lang w:val="en-US" w:eastAsia="it-IT"/>
                                  </w:rPr>
                                  <w:br/>
                                </m:r>
                              </m:oMath>
                              <m:oMath>
                                <m:sSub>
                                  <m:sSubPr>
                                    <m:ctrlPr>
                                      <w:rPr>
                                        <w:rFonts w:ascii="Cambria Math" w:hAnsi="Cambria Math"/>
                                        <w:i/>
                                        <w:sz w:val="14"/>
                                        <w:szCs w:val="14"/>
                                      </w:rPr>
                                    </m:ctrlPr>
                                  </m:sSubPr>
                                  <m:e>
                                    <m:r>
                                      <w:rPr>
                                        <w:rFonts w:ascii="Cambria Math" w:hAnsi="Cambria Math"/>
                                        <w:sz w:val="14"/>
                                        <w:szCs w:val="14"/>
                                      </w:rPr>
                                      <m:t>ν</m:t>
                                    </m:r>
                                  </m:e>
                                  <m:sub>
                                    <m:r>
                                      <w:rPr>
                                        <w:rFonts w:ascii="Cambria Math" w:hAnsi="Cambria Math"/>
                                        <w:sz w:val="14"/>
                                        <w:szCs w:val="14"/>
                                      </w:rPr>
                                      <m:t>G</m:t>
                                    </m:r>
                                  </m:sub>
                                </m:sSub>
                                <m:r>
                                  <w:rPr>
                                    <w:rFonts w:ascii="Cambria Math" w:hAnsi="Cambria Math"/>
                                    <w:sz w:val="14"/>
                                    <w:szCs w:val="14"/>
                                  </w:rPr>
                                  <m:t>=</m:t>
                                </m:r>
                                <m:f>
                                  <m:fPr>
                                    <m:ctrlPr>
                                      <w:rPr>
                                        <w:rFonts w:ascii="Cambria Math" w:hAnsi="Cambria Math"/>
                                        <w:sz w:val="14"/>
                                        <w:szCs w:val="14"/>
                                        <w:lang w:val="en-US" w:eastAsia="it-IT"/>
                                      </w:rPr>
                                    </m:ctrlPr>
                                  </m:fPr>
                                  <m:num>
                                    <m:sSub>
                                      <m:sSubPr>
                                        <m:ctrlPr>
                                          <w:rPr>
                                            <w:rFonts w:ascii="Cambria Math" w:hAnsi="Cambria Math"/>
                                            <w:sz w:val="14"/>
                                            <w:szCs w:val="14"/>
                                            <w:vertAlign w:val="subscript"/>
                                            <w:lang w:val="en-US" w:eastAsia="it-IT"/>
                                          </w:rPr>
                                        </m:ctrlPr>
                                      </m:sSubPr>
                                      <m:e>
                                        <m:r>
                                          <m:rPr>
                                            <m:sty m:val="p"/>
                                          </m:rPr>
                                          <w:rPr>
                                            <w:rFonts w:ascii="Cambria Math" w:hAnsi="Cambria Math"/>
                                            <w:sz w:val="14"/>
                                            <w:szCs w:val="14"/>
                                            <w:lang w:val="en-US" w:eastAsia="it-IT"/>
                                          </w:rPr>
                                          <m:t>N</m:t>
                                        </m:r>
                                        <m:ctrlPr>
                                          <w:rPr>
                                            <w:rFonts w:ascii="Cambria Math" w:hAnsi="Cambria Math"/>
                                            <w:sz w:val="14"/>
                                            <w:szCs w:val="14"/>
                                            <w:lang w:val="en-US" w:eastAsia="it-IT"/>
                                          </w:rPr>
                                        </m:ctrlPr>
                                      </m:e>
                                      <m:sub>
                                        <m:r>
                                          <m:rPr>
                                            <m:sty m:val="p"/>
                                          </m:rPr>
                                          <w:rPr>
                                            <w:rFonts w:ascii="Cambria Math" w:hAnsi="Cambria Math"/>
                                            <w:sz w:val="14"/>
                                            <w:szCs w:val="14"/>
                                            <w:vertAlign w:val="subscript"/>
                                            <w:lang w:val="en-US" w:eastAsia="it-IT"/>
                                          </w:rPr>
                                          <m:t>G</m:t>
                                        </m:r>
                                      </m:sub>
                                    </m:sSub>
                                    <m:ctrlPr>
                                      <w:rPr>
                                        <w:rFonts w:ascii="Cambria Math" w:hAnsi="Cambria Math"/>
                                        <w:i/>
                                        <w:sz w:val="14"/>
                                        <w:szCs w:val="14"/>
                                        <w:lang w:val="en-US" w:eastAsia="it-IT"/>
                                      </w:rPr>
                                    </m:ctrlPr>
                                  </m:num>
                                  <m:den>
                                    <m:sSub>
                                      <m:sSubPr>
                                        <m:ctrlPr>
                                          <w:rPr>
                                            <w:rFonts w:ascii="Cambria Math" w:hAnsi="Cambria Math"/>
                                            <w:i/>
                                            <w:sz w:val="14"/>
                                            <w:szCs w:val="14"/>
                                            <w:lang w:val="en-US" w:eastAsia="it-IT"/>
                                          </w:rPr>
                                        </m:ctrlPr>
                                      </m:sSubPr>
                                      <m:e>
                                        <m:r>
                                          <w:rPr>
                                            <w:rFonts w:ascii="Cambria Math" w:hAnsi="Cambria Math"/>
                                            <w:sz w:val="14"/>
                                            <w:szCs w:val="14"/>
                                            <w:lang w:val="en-US" w:eastAsia="it-IT"/>
                                          </w:rPr>
                                          <m:t>N</m:t>
                                        </m:r>
                                      </m:e>
                                      <m:sub>
                                        <m:r>
                                          <w:rPr>
                                            <w:rFonts w:ascii="Cambria Math" w:hAnsi="Cambria Math"/>
                                            <w:sz w:val="14"/>
                                            <w:szCs w:val="14"/>
                                            <w:lang w:val="en-US" w:eastAsia="it-IT"/>
                                          </w:rPr>
                                          <m:t>pl,Rd</m:t>
                                        </m:r>
                                      </m:sub>
                                    </m:sSub>
                                  </m:den>
                                </m:f>
                              </m:oMath>
                            </m:oMathPara>
                          </w:p>
                          <w:p w14:paraId="18296C6F" w14:textId="74F1C5E6" w:rsidR="00F534F9" w:rsidRPr="00643965" w:rsidRDefault="00F534F9" w:rsidP="00467AE7">
                            <w:pPr>
                              <w:jc w:val="center"/>
                              <w:rPr>
                                <w:rFonts w:asciiTheme="minorHAnsi" w:eastAsiaTheme="minorEastAsia" w:hAnsiTheme="minorHAnsi" w:cstheme="minorBidi"/>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3B79D" id="Rectangle 75" o:spid="_x0000_s1033" style="position:absolute;left:0;text-align:left;margin-left:177.05pt;margin-top:21.05pt;width:49.9pt;height:49.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" fillcolor="white [3201]" strokecolor="black [3200]">
                <v:textbox>
                  <w:txbxContent>
                    <w:p w14:paraId="482CACE6" w14:textId="1918461C" w:rsidR="00F534F9" w:rsidRPr="00643965" w:rsidRDefault="00F534F9" w:rsidP="00643965">
                      <w:pPr>
                        <w:jc w:val="center"/>
                        <w:rPr>
                          <w:rFonts w:asciiTheme="minorHAnsi" w:eastAsiaTheme="minorEastAsia" w:hAnsiTheme="minorHAnsi" w:cstheme="minorBidi"/>
                          <w:sz w:val="14"/>
                          <w:szCs w:val="14"/>
                        </w:rPr>
                      </w:pPr>
                      <m:oMathPara>
                        <m:oMath>
                          <m:r>
                            <w:rPr>
                              <w:rFonts w:ascii="Cambria Math" w:hAnsi="Cambria Math"/>
                              <w:sz w:val="14"/>
                              <w:szCs w:val="14"/>
                            </w:rPr>
                            <m:t>ν=</m:t>
                          </m:r>
                          <m:f>
                            <m:fPr>
                              <m:ctrlPr>
                                <w:rPr>
                                  <w:rFonts w:ascii="Cambria Math" w:hAnsi="Cambria Math"/>
                                  <w:sz w:val="14"/>
                                  <w:szCs w:val="14"/>
                                  <w:lang w:val="en-US" w:eastAsia="it-IT"/>
                                </w:rPr>
                              </m:ctrlPr>
                            </m:fPr>
                            <m:num>
                              <m:sSub>
                                <m:sSubPr>
                                  <m:ctrlPr>
                                    <w:rPr>
                                      <w:rFonts w:ascii="Cambria Math" w:hAnsi="Cambria Math"/>
                                      <w:sz w:val="14"/>
                                      <w:szCs w:val="14"/>
                                      <w:vertAlign w:val="subscript"/>
                                      <w:lang w:val="en-US" w:eastAsia="it-IT"/>
                                    </w:rPr>
                                  </m:ctrlPr>
                                </m:sSubPr>
                                <m:e>
                                  <m:r>
                                    <m:rPr>
                                      <m:sty m:val="p"/>
                                    </m:rPr>
                                    <w:rPr>
                                      <w:rFonts w:ascii="Cambria Math" w:hAnsi="Cambria Math"/>
                                      <w:sz w:val="14"/>
                                      <w:szCs w:val="14"/>
                                      <w:lang w:val="en-US" w:eastAsia="it-IT"/>
                                    </w:rPr>
                                    <m:t>N</m:t>
                                  </m:r>
                                  <m:ctrlPr>
                                    <w:rPr>
                                      <w:rFonts w:ascii="Cambria Math" w:hAnsi="Cambria Math"/>
                                      <w:sz w:val="14"/>
                                      <w:szCs w:val="14"/>
                                      <w:lang w:val="en-US" w:eastAsia="it-IT"/>
                                    </w:rPr>
                                  </m:ctrlPr>
                                </m:e>
                                <m:sub>
                                  <m:r>
                                    <m:rPr>
                                      <m:sty m:val="p"/>
                                    </m:rPr>
                                    <w:rPr>
                                      <w:rFonts w:ascii="Cambria Math" w:hAnsi="Cambria Math"/>
                                      <w:sz w:val="14"/>
                                      <w:szCs w:val="14"/>
                                      <w:vertAlign w:val="subscript"/>
                                      <w:lang w:val="en-US" w:eastAsia="it-IT"/>
                                    </w:rPr>
                                    <m:t>k</m:t>
                                  </m:r>
                                </m:sub>
                              </m:sSub>
                              <m:ctrlPr>
                                <w:rPr>
                                  <w:rFonts w:ascii="Cambria Math" w:hAnsi="Cambria Math"/>
                                  <w:i/>
                                  <w:sz w:val="14"/>
                                  <w:szCs w:val="14"/>
                                  <w:lang w:val="en-US" w:eastAsia="it-IT"/>
                                </w:rPr>
                              </m:ctrlPr>
                            </m:num>
                            <m:den>
                              <m:sSub>
                                <m:sSubPr>
                                  <m:ctrlPr>
                                    <w:rPr>
                                      <w:rFonts w:ascii="Cambria Math" w:hAnsi="Cambria Math"/>
                                      <w:i/>
                                      <w:sz w:val="14"/>
                                      <w:szCs w:val="14"/>
                                      <w:lang w:val="en-US" w:eastAsia="it-IT"/>
                                    </w:rPr>
                                  </m:ctrlPr>
                                </m:sSubPr>
                                <m:e>
                                  <m:r>
                                    <w:rPr>
                                      <w:rFonts w:ascii="Cambria Math" w:hAnsi="Cambria Math"/>
                                      <w:sz w:val="14"/>
                                      <w:szCs w:val="14"/>
                                      <w:lang w:val="en-US" w:eastAsia="it-IT"/>
                                    </w:rPr>
                                    <m:t>N</m:t>
                                  </m:r>
                                </m:e>
                                <m:sub>
                                  <m:r>
                                    <w:rPr>
                                      <w:rFonts w:ascii="Cambria Math" w:hAnsi="Cambria Math"/>
                                      <w:sz w:val="14"/>
                                      <w:szCs w:val="14"/>
                                      <w:lang w:val="en-US" w:eastAsia="it-IT"/>
                                    </w:rPr>
                                    <m:t>pl,Rd</m:t>
                                  </m:r>
                                </m:sub>
                              </m:sSub>
                            </m:den>
                          </m:f>
                          <m:r>
                            <m:rPr>
                              <m:sty m:val="p"/>
                            </m:rPr>
                            <w:rPr>
                              <w:rFonts w:asciiTheme="minorHAnsi" w:eastAsiaTheme="minorEastAsia" w:hAnsiTheme="minorHAnsi" w:cstheme="minorBidi"/>
                              <w:sz w:val="14"/>
                              <w:szCs w:val="14"/>
                              <w:lang w:val="en-US" w:eastAsia="it-IT"/>
                            </w:rPr>
                            <w:br/>
                          </m:r>
                        </m:oMath>
                        <m:oMath>
                          <m:sSub>
                            <m:sSubPr>
                              <m:ctrlPr>
                                <w:rPr>
                                  <w:rFonts w:ascii="Cambria Math" w:hAnsi="Cambria Math"/>
                                  <w:i/>
                                  <w:sz w:val="14"/>
                                  <w:szCs w:val="14"/>
                                </w:rPr>
                              </m:ctrlPr>
                            </m:sSubPr>
                            <m:e>
                              <m:r>
                                <w:rPr>
                                  <w:rFonts w:ascii="Cambria Math" w:hAnsi="Cambria Math"/>
                                  <w:sz w:val="14"/>
                                  <w:szCs w:val="14"/>
                                </w:rPr>
                                <m:t>ν</m:t>
                              </m:r>
                            </m:e>
                            <m:sub>
                              <m:r>
                                <w:rPr>
                                  <w:rFonts w:ascii="Cambria Math" w:hAnsi="Cambria Math"/>
                                  <w:sz w:val="14"/>
                                  <w:szCs w:val="14"/>
                                </w:rPr>
                                <m:t>G</m:t>
                              </m:r>
                            </m:sub>
                          </m:sSub>
                          <m:r>
                            <w:rPr>
                              <w:rFonts w:ascii="Cambria Math" w:hAnsi="Cambria Math"/>
                              <w:sz w:val="14"/>
                              <w:szCs w:val="14"/>
                            </w:rPr>
                            <m:t>=</m:t>
                          </m:r>
                          <m:f>
                            <m:fPr>
                              <m:ctrlPr>
                                <w:rPr>
                                  <w:rFonts w:ascii="Cambria Math" w:hAnsi="Cambria Math"/>
                                  <w:sz w:val="14"/>
                                  <w:szCs w:val="14"/>
                                  <w:lang w:val="en-US" w:eastAsia="it-IT"/>
                                </w:rPr>
                              </m:ctrlPr>
                            </m:fPr>
                            <m:num>
                              <m:sSub>
                                <m:sSubPr>
                                  <m:ctrlPr>
                                    <w:rPr>
                                      <w:rFonts w:ascii="Cambria Math" w:hAnsi="Cambria Math"/>
                                      <w:sz w:val="14"/>
                                      <w:szCs w:val="14"/>
                                      <w:vertAlign w:val="subscript"/>
                                      <w:lang w:val="en-US" w:eastAsia="it-IT"/>
                                    </w:rPr>
                                  </m:ctrlPr>
                                </m:sSubPr>
                                <m:e>
                                  <m:r>
                                    <m:rPr>
                                      <m:sty m:val="p"/>
                                    </m:rPr>
                                    <w:rPr>
                                      <w:rFonts w:ascii="Cambria Math" w:hAnsi="Cambria Math"/>
                                      <w:sz w:val="14"/>
                                      <w:szCs w:val="14"/>
                                      <w:lang w:val="en-US" w:eastAsia="it-IT"/>
                                    </w:rPr>
                                    <m:t>N</m:t>
                                  </m:r>
                                  <m:ctrlPr>
                                    <w:rPr>
                                      <w:rFonts w:ascii="Cambria Math" w:hAnsi="Cambria Math"/>
                                      <w:sz w:val="14"/>
                                      <w:szCs w:val="14"/>
                                      <w:lang w:val="en-US" w:eastAsia="it-IT"/>
                                    </w:rPr>
                                  </m:ctrlPr>
                                </m:e>
                                <m:sub>
                                  <m:r>
                                    <m:rPr>
                                      <m:sty m:val="p"/>
                                    </m:rPr>
                                    <w:rPr>
                                      <w:rFonts w:ascii="Cambria Math" w:hAnsi="Cambria Math"/>
                                      <w:sz w:val="14"/>
                                      <w:szCs w:val="14"/>
                                      <w:vertAlign w:val="subscript"/>
                                      <w:lang w:val="en-US" w:eastAsia="it-IT"/>
                                    </w:rPr>
                                    <m:t>G</m:t>
                                  </m:r>
                                </m:sub>
                              </m:sSub>
                              <m:ctrlPr>
                                <w:rPr>
                                  <w:rFonts w:ascii="Cambria Math" w:hAnsi="Cambria Math"/>
                                  <w:i/>
                                  <w:sz w:val="14"/>
                                  <w:szCs w:val="14"/>
                                  <w:lang w:val="en-US" w:eastAsia="it-IT"/>
                                </w:rPr>
                              </m:ctrlPr>
                            </m:num>
                            <m:den>
                              <m:sSub>
                                <m:sSubPr>
                                  <m:ctrlPr>
                                    <w:rPr>
                                      <w:rFonts w:ascii="Cambria Math" w:hAnsi="Cambria Math"/>
                                      <w:i/>
                                      <w:sz w:val="14"/>
                                      <w:szCs w:val="14"/>
                                      <w:lang w:val="en-US" w:eastAsia="it-IT"/>
                                    </w:rPr>
                                  </m:ctrlPr>
                                </m:sSubPr>
                                <m:e>
                                  <m:r>
                                    <w:rPr>
                                      <w:rFonts w:ascii="Cambria Math" w:hAnsi="Cambria Math"/>
                                      <w:sz w:val="14"/>
                                      <w:szCs w:val="14"/>
                                      <w:lang w:val="en-US" w:eastAsia="it-IT"/>
                                    </w:rPr>
                                    <m:t>N</m:t>
                                  </m:r>
                                </m:e>
                                <m:sub>
                                  <m:r>
                                    <w:rPr>
                                      <w:rFonts w:ascii="Cambria Math" w:hAnsi="Cambria Math"/>
                                      <w:sz w:val="14"/>
                                      <w:szCs w:val="14"/>
                                      <w:lang w:val="en-US" w:eastAsia="it-IT"/>
                                    </w:rPr>
                                    <m:t>pl,Rd</m:t>
                                  </m:r>
                                </m:sub>
                              </m:sSub>
                            </m:den>
                          </m:f>
                        </m:oMath>
                      </m:oMathPara>
                    </w:p>
                    <w:p w14:paraId="18296C6F" w14:textId="74F1C5E6" w:rsidR="00F534F9" w:rsidRPr="00643965" w:rsidRDefault="00F534F9" w:rsidP="00467AE7">
                      <w:pPr>
                        <w:jc w:val="center"/>
                        <w:rPr>
                          <w:rFonts w:asciiTheme="minorHAnsi" w:eastAsiaTheme="minorEastAsia" w:hAnsiTheme="minorHAnsi" w:cstheme="minorBidi"/>
                          <w:sz w:val="14"/>
                          <w:szCs w:val="14"/>
                        </w:rPr>
                      </w:pPr>
                    </w:p>
                  </w:txbxContent>
                </v:textbox>
              </v:rect>
            </w:pict>
          </mc:Fallback>
        </mc:AlternateContent>
      </w:r>
      <w:r w:rsidR="004F66CE" w:rsidRPr="004A68AC">
        <w:rPr>
          <w:noProof/>
          <w:lang w:val="en-US"/>
        </w:rPr>
        <w:drawing>
          <wp:inline distT="0" distB="0" distL="0" distR="0" wp14:anchorId="7B34537F" wp14:editId="57DB3AD1">
            <wp:extent cx="5384800" cy="43116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800" cy="4311650"/>
                    </a:xfrm>
                    <a:prstGeom prst="rect">
                      <a:avLst/>
                    </a:prstGeom>
                    <a:noFill/>
                    <a:ln>
                      <a:noFill/>
                    </a:ln>
                  </pic:spPr>
                </pic:pic>
              </a:graphicData>
            </a:graphic>
          </wp:inline>
        </w:drawing>
      </w:r>
    </w:p>
    <w:p w14:paraId="1CA27798" w14:textId="38FFA1B8" w:rsidR="00BE2D3C" w:rsidRPr="004A68AC" w:rsidRDefault="00BE2D3C" w:rsidP="00BE2D3C">
      <w:pPr>
        <w:pStyle w:val="Caption"/>
        <w:spacing w:after="0"/>
        <w:rPr>
          <w:lang w:val="en-US"/>
        </w:rPr>
      </w:pPr>
      <w:bookmarkStart w:id="19" w:name="_Ref38901876"/>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00292616" w:rsidRPr="004A68AC">
        <w:rPr>
          <w:b/>
          <w:noProof/>
          <w:lang w:val="en-US"/>
        </w:rPr>
        <w:t>5</w:t>
      </w:r>
      <w:r w:rsidRPr="004A68AC">
        <w:rPr>
          <w:b/>
          <w:lang w:val="en-US"/>
        </w:rPr>
        <w:fldChar w:fldCharType="end"/>
      </w:r>
      <w:bookmarkEnd w:id="19"/>
      <w:r w:rsidRPr="004A68AC">
        <w:rPr>
          <w:b/>
          <w:lang w:val="en-US"/>
        </w:rPr>
        <w:t>.</w:t>
      </w:r>
      <w:r w:rsidRPr="004A68AC">
        <w:rPr>
          <w:lang w:val="en-US"/>
        </w:rPr>
        <w:t xml:space="preserve"> </w:t>
      </w:r>
      <w:r w:rsidR="007C58C1" w:rsidRPr="004A68AC">
        <w:rPr>
          <w:lang w:val="en-US"/>
        </w:rPr>
        <w:t xml:space="preserve">Total rotation capacity limit (elastic plus plastic) (θ) for columns vs. </w:t>
      </w:r>
      <w:r w:rsidRPr="004A68AC">
        <w:rPr>
          <w:lang w:val="en-US"/>
        </w:rPr>
        <w:t xml:space="preserve">dimensionless axial </w:t>
      </w:r>
      <w:r w:rsidR="00707ADA" w:rsidRPr="004A68AC">
        <w:rPr>
          <w:lang w:val="en-US"/>
        </w:rPr>
        <w:t xml:space="preserve">force </w:t>
      </w:r>
      <w:r w:rsidRPr="004A68AC">
        <w:rPr>
          <w:lang w:val="en-US"/>
        </w:rPr>
        <w:t>ν (or ν</w:t>
      </w:r>
      <w:r w:rsidRPr="004A68AC">
        <w:rPr>
          <w:vertAlign w:val="subscript"/>
          <w:lang w:val="en-US"/>
        </w:rPr>
        <w:t>G</w:t>
      </w:r>
      <w:r w:rsidRPr="004A68AC">
        <w:rPr>
          <w:lang w:val="en-US"/>
        </w:rPr>
        <w:t>)</w:t>
      </w:r>
      <w:r w:rsidR="007C58C1" w:rsidRPr="004A68AC">
        <w:rPr>
          <w:lang w:val="en-US"/>
        </w:rPr>
        <w:t>. Column sections (a) W14×283; (b) W14×99; (c) W14×74; (d) W14×61.</w:t>
      </w:r>
    </w:p>
    <w:p w14:paraId="340EC280" w14:textId="45597EBF" w:rsidR="00E75A3A" w:rsidRPr="004A68AC" w:rsidRDefault="00E75A3A" w:rsidP="00E75A3A">
      <w:pPr>
        <w:rPr>
          <w:lang w:val="en-US" w:eastAsia="it-IT"/>
        </w:rPr>
      </w:pPr>
    </w:p>
    <w:p w14:paraId="15604932" w14:textId="56783301" w:rsidR="004D1F89" w:rsidRPr="004A68AC" w:rsidRDefault="004D1F89" w:rsidP="00E75A3A">
      <w:pPr>
        <w:rPr>
          <w:lang w:val="en-US" w:eastAsia="it-IT"/>
        </w:rPr>
      </w:pPr>
    </w:p>
    <w:p w14:paraId="5C498E18" w14:textId="261F3D21" w:rsidR="004D1F89" w:rsidRPr="004A68AC" w:rsidRDefault="004D1F89" w:rsidP="00E75A3A">
      <w:pPr>
        <w:rPr>
          <w:lang w:val="en-US" w:eastAsia="it-IT"/>
        </w:rPr>
      </w:pPr>
    </w:p>
    <w:p w14:paraId="1778D091" w14:textId="77777777" w:rsidR="004D1F89" w:rsidRPr="004A68AC" w:rsidRDefault="004D1F89" w:rsidP="00E75A3A">
      <w:pPr>
        <w:rPr>
          <w:lang w:val="en-US" w:eastAsia="it-IT"/>
        </w:rPr>
      </w:pPr>
    </w:p>
    <w:p w14:paraId="1C482CED" w14:textId="77777777" w:rsidR="004115F3" w:rsidRPr="004A68AC" w:rsidRDefault="004115F3" w:rsidP="004115F3">
      <w:pPr>
        <w:pStyle w:val="Tablecaption"/>
        <w:spacing w:before="0" w:after="0" w:line="240" w:lineRule="auto"/>
        <w:jc w:val="center"/>
        <w:rPr>
          <w:color w:val="auto"/>
          <w:szCs w:val="20"/>
          <w:lang w:val="en-US"/>
        </w:rPr>
      </w:pPr>
      <w:bookmarkStart w:id="20" w:name="_Ref38905456"/>
      <w:r w:rsidRPr="004A68AC">
        <w:rPr>
          <w:color w:val="auto"/>
          <w:szCs w:val="20"/>
          <w:lang w:val="en-US"/>
        </w:rPr>
        <w:lastRenderedPageBreak/>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Pr="004A68AC">
        <w:rPr>
          <w:noProof/>
          <w:color w:val="auto"/>
          <w:szCs w:val="20"/>
          <w:lang w:val="en-US"/>
        </w:rPr>
        <w:t>6</w:t>
      </w:r>
      <w:r w:rsidRPr="004A68AC">
        <w:rPr>
          <w:color w:val="auto"/>
          <w:szCs w:val="20"/>
          <w:lang w:val="en-US"/>
        </w:rPr>
        <w:fldChar w:fldCharType="end"/>
      </w:r>
      <w:bookmarkEnd w:id="20"/>
      <w:r w:rsidRPr="004A68AC">
        <w:rPr>
          <w:color w:val="auto"/>
          <w:szCs w:val="20"/>
          <w:lang w:val="en-US"/>
        </w:rPr>
        <w:t xml:space="preserve">. </w:t>
      </w:r>
      <w:r w:rsidRPr="004A68AC">
        <w:rPr>
          <w:b w:val="0"/>
          <w:color w:val="auto"/>
          <w:szCs w:val="20"/>
          <w:lang w:val="en-US"/>
        </w:rPr>
        <w:t>Classification of selected sections according to their slenderness.</w:t>
      </w:r>
    </w:p>
    <w:tbl>
      <w:tblPr>
        <w:tblStyle w:val="HelleSchattierung1"/>
        <w:tblW w:w="4999" w:type="pct"/>
        <w:jc w:val="center"/>
        <w:tblLook w:val="04A0" w:firstRow="1" w:lastRow="0" w:firstColumn="1" w:lastColumn="0" w:noHBand="0" w:noVBand="1"/>
      </w:tblPr>
      <w:tblGrid>
        <w:gridCol w:w="1704"/>
        <w:gridCol w:w="1983"/>
        <w:gridCol w:w="1983"/>
        <w:gridCol w:w="1983"/>
        <w:gridCol w:w="1983"/>
      </w:tblGrid>
      <w:tr w:rsidR="004115F3" w:rsidRPr="004A68AC" w14:paraId="4953C7D3" w14:textId="77777777" w:rsidTr="00E82D5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val="restart"/>
            <w:shd w:val="clear" w:color="auto" w:fill="auto"/>
            <w:vAlign w:val="center"/>
          </w:tcPr>
          <w:p w14:paraId="17F03287" w14:textId="77777777" w:rsidR="004115F3" w:rsidRPr="004A68AC" w:rsidRDefault="004115F3" w:rsidP="00E82D54">
            <w:pPr>
              <w:jc w:val="center"/>
              <w:rPr>
                <w:color w:val="auto"/>
                <w:sz w:val="18"/>
                <w:szCs w:val="18"/>
              </w:rPr>
            </w:pPr>
            <w:r w:rsidRPr="004A68AC">
              <w:rPr>
                <w:color w:val="auto"/>
                <w:sz w:val="18"/>
                <w:szCs w:val="18"/>
              </w:rPr>
              <w:t>Code</w:t>
            </w:r>
          </w:p>
        </w:tc>
        <w:tc>
          <w:tcPr>
            <w:tcW w:w="4116" w:type="pct"/>
            <w:gridSpan w:val="4"/>
            <w:tcBorders>
              <w:bottom w:val="nil"/>
            </w:tcBorders>
            <w:shd w:val="clear" w:color="auto" w:fill="auto"/>
            <w:vAlign w:val="center"/>
          </w:tcPr>
          <w:p w14:paraId="74CF21E2" w14:textId="77777777" w:rsidR="004115F3" w:rsidRPr="004A68AC" w:rsidRDefault="004115F3" w:rsidP="00E82D54">
            <w:pPr>
              <w:jc w:val="cente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4A68AC">
              <w:rPr>
                <w:color w:val="auto"/>
                <w:sz w:val="18"/>
                <w:szCs w:val="18"/>
              </w:rPr>
              <w:t>Slenderness region</w:t>
            </w:r>
            <w:r w:rsidRPr="004A68AC">
              <w:rPr>
                <w:b w:val="0"/>
                <w:color w:val="auto"/>
                <w:sz w:val="18"/>
                <w:szCs w:val="18"/>
              </w:rPr>
              <w:t xml:space="preserve"> </w:t>
            </w:r>
            <w:r w:rsidRPr="004A68AC">
              <w:rPr>
                <w:b w:val="0"/>
                <w:color w:val="auto"/>
                <w:sz w:val="18"/>
                <w:szCs w:val="18"/>
                <w:vertAlign w:val="superscript"/>
              </w:rPr>
              <w:t>1,</w:t>
            </w:r>
            <w:r w:rsidRPr="004A68AC">
              <w:rPr>
                <w:b w:val="0"/>
                <w:bCs w:val="0"/>
                <w:color w:val="auto"/>
                <w:sz w:val="18"/>
                <w:szCs w:val="18"/>
                <w:vertAlign w:val="superscript"/>
                <w:lang w:eastAsia="it-IT"/>
              </w:rPr>
              <w:t>2</w:t>
            </w:r>
          </w:p>
        </w:tc>
      </w:tr>
      <w:tr w:rsidR="004115F3" w:rsidRPr="004A68AC" w14:paraId="44525780" w14:textId="77777777" w:rsidTr="00E82D5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tcBorders>
              <w:bottom w:val="single" w:sz="8" w:space="0" w:color="000000" w:themeColor="text1"/>
            </w:tcBorders>
            <w:shd w:val="clear" w:color="auto" w:fill="auto"/>
            <w:vAlign w:val="center"/>
          </w:tcPr>
          <w:p w14:paraId="2E25B2B5" w14:textId="77777777" w:rsidR="004115F3" w:rsidRPr="004A68AC" w:rsidRDefault="004115F3" w:rsidP="00E82D54">
            <w:pPr>
              <w:jc w:val="center"/>
              <w:rPr>
                <w:color w:val="auto"/>
                <w:sz w:val="18"/>
                <w:szCs w:val="18"/>
              </w:rPr>
            </w:pPr>
          </w:p>
        </w:tc>
        <w:tc>
          <w:tcPr>
            <w:tcW w:w="1029" w:type="pct"/>
            <w:tcBorders>
              <w:top w:val="nil"/>
              <w:bottom w:val="single" w:sz="8" w:space="0" w:color="000000" w:themeColor="text1"/>
            </w:tcBorders>
            <w:shd w:val="clear" w:color="auto" w:fill="auto"/>
            <w:vAlign w:val="center"/>
          </w:tcPr>
          <w:p w14:paraId="7745A769"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W14×283</w:t>
            </w:r>
          </w:p>
        </w:tc>
        <w:tc>
          <w:tcPr>
            <w:tcW w:w="1029" w:type="pct"/>
            <w:tcBorders>
              <w:top w:val="nil"/>
              <w:bottom w:val="single" w:sz="8" w:space="0" w:color="000000" w:themeColor="text1"/>
            </w:tcBorders>
            <w:shd w:val="clear" w:color="auto" w:fill="auto"/>
            <w:vAlign w:val="center"/>
          </w:tcPr>
          <w:p w14:paraId="4634694C"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W14×99</w:t>
            </w:r>
          </w:p>
        </w:tc>
        <w:tc>
          <w:tcPr>
            <w:tcW w:w="1029" w:type="pct"/>
            <w:tcBorders>
              <w:top w:val="nil"/>
              <w:bottom w:val="single" w:sz="8" w:space="0" w:color="000000" w:themeColor="text1"/>
            </w:tcBorders>
            <w:shd w:val="clear" w:color="auto" w:fill="auto"/>
            <w:vAlign w:val="center"/>
          </w:tcPr>
          <w:p w14:paraId="63B84FB7"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W14×74</w:t>
            </w:r>
          </w:p>
        </w:tc>
        <w:tc>
          <w:tcPr>
            <w:tcW w:w="1029" w:type="pct"/>
            <w:tcBorders>
              <w:top w:val="nil"/>
              <w:bottom w:val="single" w:sz="8" w:space="0" w:color="000000" w:themeColor="text1"/>
            </w:tcBorders>
            <w:shd w:val="clear" w:color="auto" w:fill="auto"/>
            <w:vAlign w:val="center"/>
          </w:tcPr>
          <w:p w14:paraId="30D707C8"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W14×61</w:t>
            </w:r>
          </w:p>
        </w:tc>
      </w:tr>
      <w:tr w:rsidR="004115F3" w:rsidRPr="004A68AC" w14:paraId="145458C2" w14:textId="77777777" w:rsidTr="00E82D54">
        <w:trPr>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single" w:sz="8" w:space="0" w:color="000000" w:themeColor="text1"/>
              <w:bottom w:val="nil"/>
            </w:tcBorders>
            <w:shd w:val="clear" w:color="auto" w:fill="auto"/>
            <w:vAlign w:val="center"/>
          </w:tcPr>
          <w:p w14:paraId="25F3AD28" w14:textId="7BAEFC9C" w:rsidR="004115F3" w:rsidRPr="004A68AC" w:rsidRDefault="004115F3" w:rsidP="00E82D54">
            <w:pPr>
              <w:jc w:val="center"/>
              <w:rPr>
                <w:color w:val="auto"/>
                <w:sz w:val="18"/>
                <w:szCs w:val="18"/>
              </w:rPr>
            </w:pPr>
            <w:r w:rsidRPr="004A68AC">
              <w:rPr>
                <w:color w:val="auto"/>
                <w:sz w:val="18"/>
                <w:szCs w:val="18"/>
              </w:rPr>
              <w:t xml:space="preserve">EC8-3 </w:t>
            </w:r>
            <w:r w:rsidRPr="004A68AC">
              <w:rPr>
                <w:sz w:val="18"/>
                <w:szCs w:val="18"/>
              </w:rPr>
              <w:fldChar w:fldCharType="begin" w:fldLock="1"/>
            </w:r>
            <w:r w:rsidR="005C47A3" w:rsidRPr="004A68AC">
              <w:rPr>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rPr>
              <w:fldChar w:fldCharType="separate"/>
            </w:r>
            <w:r w:rsidRPr="004A68AC">
              <w:rPr>
                <w:b w:val="0"/>
                <w:noProof/>
                <w:color w:val="auto"/>
                <w:sz w:val="18"/>
                <w:szCs w:val="18"/>
              </w:rPr>
              <w:t>[13]</w:t>
            </w:r>
            <w:r w:rsidRPr="004A68AC">
              <w:rPr>
                <w:sz w:val="18"/>
                <w:szCs w:val="18"/>
              </w:rPr>
              <w:fldChar w:fldCharType="end"/>
            </w:r>
          </w:p>
        </w:tc>
        <w:tc>
          <w:tcPr>
            <w:tcW w:w="1029" w:type="pct"/>
            <w:tcBorders>
              <w:top w:val="single" w:sz="8" w:space="0" w:color="000000" w:themeColor="text1"/>
              <w:bottom w:val="nil"/>
            </w:tcBorders>
            <w:shd w:val="clear" w:color="auto" w:fill="auto"/>
            <w:vAlign w:val="center"/>
          </w:tcPr>
          <w:p w14:paraId="1046A157"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‘Class 1’</w:t>
            </w:r>
          </w:p>
        </w:tc>
        <w:tc>
          <w:tcPr>
            <w:tcW w:w="1029" w:type="pct"/>
            <w:tcBorders>
              <w:top w:val="single" w:sz="8" w:space="0" w:color="000000" w:themeColor="text1"/>
              <w:bottom w:val="nil"/>
            </w:tcBorders>
            <w:shd w:val="clear" w:color="auto" w:fill="auto"/>
            <w:vAlign w:val="center"/>
          </w:tcPr>
          <w:p w14:paraId="00A836DD"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‘Class 2’</w:t>
            </w:r>
          </w:p>
        </w:tc>
        <w:tc>
          <w:tcPr>
            <w:tcW w:w="1029" w:type="pct"/>
            <w:tcBorders>
              <w:top w:val="single" w:sz="8" w:space="0" w:color="000000" w:themeColor="text1"/>
              <w:bottom w:val="nil"/>
            </w:tcBorders>
            <w:shd w:val="clear" w:color="auto" w:fill="auto"/>
            <w:vAlign w:val="center"/>
          </w:tcPr>
          <w:p w14:paraId="504D6EDC"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‘Class 1’</w:t>
            </w:r>
          </w:p>
        </w:tc>
        <w:tc>
          <w:tcPr>
            <w:tcW w:w="1029" w:type="pct"/>
            <w:tcBorders>
              <w:top w:val="single" w:sz="8" w:space="0" w:color="000000" w:themeColor="text1"/>
              <w:bottom w:val="nil"/>
            </w:tcBorders>
            <w:shd w:val="clear" w:color="auto" w:fill="auto"/>
            <w:vAlign w:val="center"/>
          </w:tcPr>
          <w:p w14:paraId="45A2DF11"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‘Class 3’</w:t>
            </w:r>
          </w:p>
        </w:tc>
      </w:tr>
      <w:tr w:rsidR="004115F3" w:rsidRPr="004A68AC" w14:paraId="6652A48D" w14:textId="77777777" w:rsidTr="00E82D5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tcBorders>
              <w:top w:val="nil"/>
              <w:bottom w:val="nil"/>
            </w:tcBorders>
            <w:shd w:val="clear" w:color="auto" w:fill="auto"/>
            <w:vAlign w:val="center"/>
          </w:tcPr>
          <w:p w14:paraId="02DDCC31" w14:textId="77777777" w:rsidR="004115F3" w:rsidRPr="004A68AC" w:rsidRDefault="004115F3" w:rsidP="00E82D54">
            <w:pPr>
              <w:jc w:val="center"/>
              <w:rPr>
                <w:color w:val="auto"/>
                <w:sz w:val="18"/>
                <w:szCs w:val="18"/>
              </w:rPr>
            </w:pPr>
          </w:p>
        </w:tc>
        <w:tc>
          <w:tcPr>
            <w:tcW w:w="1029" w:type="pct"/>
            <w:tcBorders>
              <w:top w:val="nil"/>
              <w:bottom w:val="nil"/>
            </w:tcBorders>
            <w:shd w:val="clear" w:color="auto" w:fill="auto"/>
            <w:vAlign w:val="center"/>
          </w:tcPr>
          <w:p w14:paraId="11EF32BE"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 164</w:t>
            </w:r>
          </w:p>
        </w:tc>
        <w:tc>
          <w:tcPr>
            <w:tcW w:w="1029" w:type="pct"/>
            <w:tcBorders>
              <w:top w:val="nil"/>
              <w:bottom w:val="nil"/>
            </w:tcBorders>
            <w:shd w:val="clear" w:color="auto" w:fill="auto"/>
            <w:vAlign w:val="center"/>
          </w:tcPr>
          <w:p w14:paraId="207A6CAF"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 424</w:t>
            </w:r>
          </w:p>
        </w:tc>
        <w:tc>
          <w:tcPr>
            <w:tcW w:w="1029" w:type="pct"/>
            <w:tcBorders>
              <w:top w:val="nil"/>
              <w:bottom w:val="nil"/>
            </w:tcBorders>
            <w:shd w:val="clear" w:color="auto" w:fill="auto"/>
            <w:vAlign w:val="center"/>
          </w:tcPr>
          <w:p w14:paraId="13A82EE6"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E</w:t>
            </w:r>
            <w:r w:rsidRPr="004A68AC">
              <w:rPr>
                <w:color w:val="auto"/>
                <w:sz w:val="18"/>
                <w:szCs w:val="18"/>
                <w:lang w:eastAsia="it-IT"/>
              </w:rPr>
              <w:t xml:space="preserve"> = 489</w:t>
            </w:r>
          </w:p>
        </w:tc>
        <w:tc>
          <w:tcPr>
            <w:tcW w:w="1029" w:type="pct"/>
            <w:tcBorders>
              <w:top w:val="nil"/>
              <w:bottom w:val="nil"/>
            </w:tcBorders>
            <w:shd w:val="clear" w:color="auto" w:fill="auto"/>
            <w:vAlign w:val="center"/>
          </w:tcPr>
          <w:p w14:paraId="361BDF4F"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lang w:eastAsia="it-IT"/>
              </w:rPr>
              <w:t>α</w:t>
            </w:r>
            <w:r w:rsidRPr="004A68AC">
              <w:rPr>
                <w:b/>
                <w:color w:val="auto"/>
                <w:sz w:val="18"/>
                <w:szCs w:val="18"/>
                <w:vertAlign w:val="subscript"/>
                <w:lang w:eastAsia="it-IT"/>
              </w:rPr>
              <w:t>E</w:t>
            </w:r>
            <w:r w:rsidRPr="004A68AC">
              <w:rPr>
                <w:b/>
                <w:color w:val="auto"/>
                <w:sz w:val="18"/>
                <w:szCs w:val="18"/>
                <w:lang w:eastAsia="it-IT"/>
              </w:rPr>
              <w:t xml:space="preserve"> = 585</w:t>
            </w:r>
          </w:p>
        </w:tc>
      </w:tr>
      <w:tr w:rsidR="004115F3" w:rsidRPr="004A68AC" w14:paraId="724291D4" w14:textId="77777777" w:rsidTr="00E82D54">
        <w:trPr>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tcBorders>
              <w:top w:val="nil"/>
              <w:bottom w:val="single" w:sz="8" w:space="0" w:color="000000" w:themeColor="text1"/>
            </w:tcBorders>
            <w:shd w:val="clear" w:color="auto" w:fill="auto"/>
            <w:vAlign w:val="center"/>
          </w:tcPr>
          <w:p w14:paraId="0B7FA0AC" w14:textId="77777777" w:rsidR="004115F3" w:rsidRPr="004A68AC" w:rsidRDefault="004115F3" w:rsidP="00E82D54">
            <w:pPr>
              <w:jc w:val="center"/>
              <w:rPr>
                <w:color w:val="auto"/>
                <w:sz w:val="18"/>
                <w:szCs w:val="18"/>
              </w:rPr>
            </w:pPr>
          </w:p>
        </w:tc>
        <w:tc>
          <w:tcPr>
            <w:tcW w:w="1029" w:type="pct"/>
            <w:tcBorders>
              <w:top w:val="nil"/>
              <w:bottom w:val="single" w:sz="8" w:space="0" w:color="000000" w:themeColor="text1"/>
            </w:tcBorders>
            <w:shd w:val="clear" w:color="auto" w:fill="auto"/>
            <w:vAlign w:val="center"/>
          </w:tcPr>
          <w:p w14:paraId="3A43AC18"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lang w:eastAsia="it-IT"/>
              </w:rPr>
              <w:t xml:space="preserve"> = 62</w:t>
            </w:r>
          </w:p>
        </w:tc>
        <w:tc>
          <w:tcPr>
            <w:tcW w:w="1029" w:type="pct"/>
            <w:tcBorders>
              <w:top w:val="nil"/>
              <w:bottom w:val="single" w:sz="8" w:space="0" w:color="000000" w:themeColor="text1"/>
            </w:tcBorders>
            <w:shd w:val="clear" w:color="auto" w:fill="auto"/>
            <w:vAlign w:val="center"/>
          </w:tcPr>
          <w:p w14:paraId="512DE4BE"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4A68AC">
              <w:rPr>
                <w:b/>
                <w:color w:val="auto"/>
                <w:sz w:val="18"/>
                <w:szCs w:val="18"/>
                <w:lang w:eastAsia="it-IT"/>
              </w:rPr>
              <w:t>β</w:t>
            </w:r>
            <w:r w:rsidRPr="004A68AC">
              <w:rPr>
                <w:b/>
                <w:color w:val="auto"/>
                <w:sz w:val="18"/>
                <w:szCs w:val="18"/>
                <w:vertAlign w:val="subscript"/>
                <w:lang w:eastAsia="it-IT"/>
              </w:rPr>
              <w:t>E</w:t>
            </w:r>
            <w:r w:rsidRPr="004A68AC">
              <w:rPr>
                <w:b/>
                <w:color w:val="auto"/>
                <w:sz w:val="18"/>
                <w:szCs w:val="18"/>
                <w:lang w:eastAsia="it-IT"/>
              </w:rPr>
              <w:t xml:space="preserve"> = 150</w:t>
            </w:r>
          </w:p>
        </w:tc>
        <w:tc>
          <w:tcPr>
            <w:tcW w:w="1029" w:type="pct"/>
            <w:tcBorders>
              <w:top w:val="nil"/>
              <w:bottom w:val="single" w:sz="8" w:space="0" w:color="000000" w:themeColor="text1"/>
            </w:tcBorders>
            <w:shd w:val="clear" w:color="auto" w:fill="auto"/>
            <w:vAlign w:val="center"/>
          </w:tcPr>
          <w:p w14:paraId="68AD2690"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lang w:eastAsia="it-IT"/>
              </w:rPr>
              <w:t xml:space="preserve"> = 103</w:t>
            </w:r>
          </w:p>
        </w:tc>
        <w:tc>
          <w:tcPr>
            <w:tcW w:w="1029" w:type="pct"/>
            <w:tcBorders>
              <w:top w:val="nil"/>
              <w:bottom w:val="single" w:sz="8" w:space="0" w:color="000000" w:themeColor="text1"/>
            </w:tcBorders>
            <w:shd w:val="clear" w:color="auto" w:fill="auto"/>
            <w:vAlign w:val="center"/>
          </w:tcPr>
          <w:p w14:paraId="55AD3E79"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β</w:t>
            </w:r>
            <w:r w:rsidRPr="004A68AC">
              <w:rPr>
                <w:color w:val="auto"/>
                <w:sz w:val="18"/>
                <w:szCs w:val="18"/>
                <w:vertAlign w:val="subscript"/>
                <w:lang w:eastAsia="it-IT"/>
              </w:rPr>
              <w:t>E</w:t>
            </w:r>
            <w:r w:rsidRPr="004A68AC">
              <w:rPr>
                <w:color w:val="auto"/>
                <w:sz w:val="18"/>
                <w:szCs w:val="18"/>
                <w:lang w:eastAsia="it-IT"/>
              </w:rPr>
              <w:t xml:space="preserve"> = 125</w:t>
            </w:r>
          </w:p>
        </w:tc>
      </w:tr>
      <w:tr w:rsidR="004115F3" w:rsidRPr="004A68AC" w14:paraId="43686680" w14:textId="77777777" w:rsidTr="00E82D5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single" w:sz="8" w:space="0" w:color="000000" w:themeColor="text1"/>
              <w:bottom w:val="nil"/>
            </w:tcBorders>
            <w:shd w:val="clear" w:color="auto" w:fill="auto"/>
            <w:vAlign w:val="center"/>
          </w:tcPr>
          <w:p w14:paraId="7EE1651A" w14:textId="38427489" w:rsidR="004115F3" w:rsidRPr="004A68AC" w:rsidRDefault="004115F3" w:rsidP="00E82D54">
            <w:pPr>
              <w:jc w:val="center"/>
              <w:rPr>
                <w:color w:val="auto"/>
                <w:sz w:val="18"/>
                <w:szCs w:val="18"/>
              </w:rPr>
            </w:pPr>
            <w:r w:rsidRPr="004A68AC">
              <w:rPr>
                <w:color w:val="auto"/>
                <w:sz w:val="18"/>
                <w:szCs w:val="18"/>
              </w:rPr>
              <w:t xml:space="preserve">ASCE 41 </w:t>
            </w:r>
            <w:r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 w:val="18"/>
                <w:szCs w:val="18"/>
              </w:rPr>
              <w:fldChar w:fldCharType="separate"/>
            </w:r>
            <w:r w:rsidRPr="004A68AC">
              <w:rPr>
                <w:b w:val="0"/>
                <w:noProof/>
                <w:color w:val="auto"/>
                <w:sz w:val="18"/>
                <w:szCs w:val="18"/>
              </w:rPr>
              <w:t>[15,18,19]</w:t>
            </w:r>
            <w:r w:rsidRPr="004A68AC">
              <w:rPr>
                <w:sz w:val="18"/>
                <w:szCs w:val="18"/>
              </w:rPr>
              <w:fldChar w:fldCharType="end"/>
            </w:r>
          </w:p>
        </w:tc>
        <w:tc>
          <w:tcPr>
            <w:tcW w:w="1029" w:type="pct"/>
            <w:tcBorders>
              <w:top w:val="single" w:sz="8" w:space="0" w:color="000000" w:themeColor="text1"/>
              <w:bottom w:val="nil"/>
            </w:tcBorders>
            <w:shd w:val="clear" w:color="auto" w:fill="auto"/>
            <w:vAlign w:val="center"/>
          </w:tcPr>
          <w:p w14:paraId="27F096A6"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Below lower limit</w:t>
            </w:r>
          </w:p>
        </w:tc>
        <w:tc>
          <w:tcPr>
            <w:tcW w:w="1029" w:type="pct"/>
            <w:tcBorders>
              <w:top w:val="single" w:sz="8" w:space="0" w:color="000000" w:themeColor="text1"/>
              <w:bottom w:val="nil"/>
            </w:tcBorders>
            <w:shd w:val="clear" w:color="auto" w:fill="auto"/>
            <w:vAlign w:val="center"/>
          </w:tcPr>
          <w:p w14:paraId="53D0300D"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Above higher limit</w:t>
            </w:r>
          </w:p>
        </w:tc>
        <w:tc>
          <w:tcPr>
            <w:tcW w:w="1029" w:type="pct"/>
            <w:tcBorders>
              <w:top w:val="single" w:sz="8" w:space="0" w:color="000000" w:themeColor="text1"/>
              <w:bottom w:val="nil"/>
            </w:tcBorders>
            <w:shd w:val="clear" w:color="auto" w:fill="auto"/>
            <w:vAlign w:val="center"/>
          </w:tcPr>
          <w:p w14:paraId="74D04314"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Below lower limit</w:t>
            </w:r>
          </w:p>
        </w:tc>
        <w:tc>
          <w:tcPr>
            <w:tcW w:w="1029" w:type="pct"/>
            <w:tcBorders>
              <w:top w:val="single" w:sz="8" w:space="0" w:color="000000" w:themeColor="text1"/>
              <w:bottom w:val="nil"/>
            </w:tcBorders>
            <w:shd w:val="clear" w:color="auto" w:fill="auto"/>
            <w:vAlign w:val="center"/>
          </w:tcPr>
          <w:p w14:paraId="74AA46BB"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Interpolation region</w:t>
            </w:r>
          </w:p>
        </w:tc>
      </w:tr>
      <w:tr w:rsidR="004115F3" w:rsidRPr="004A68AC" w14:paraId="21377676" w14:textId="77777777" w:rsidTr="00E82D54">
        <w:trPr>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tcBorders>
              <w:top w:val="nil"/>
              <w:bottom w:val="nil"/>
            </w:tcBorders>
            <w:shd w:val="clear" w:color="auto" w:fill="auto"/>
            <w:vAlign w:val="center"/>
          </w:tcPr>
          <w:p w14:paraId="17310C00" w14:textId="77777777" w:rsidR="004115F3" w:rsidRPr="004A68AC" w:rsidRDefault="004115F3" w:rsidP="00E82D54">
            <w:pPr>
              <w:jc w:val="center"/>
              <w:rPr>
                <w:color w:val="auto"/>
                <w:sz w:val="18"/>
                <w:szCs w:val="18"/>
              </w:rPr>
            </w:pPr>
          </w:p>
        </w:tc>
        <w:tc>
          <w:tcPr>
            <w:tcW w:w="1029" w:type="pct"/>
            <w:tcBorders>
              <w:top w:val="nil"/>
              <w:bottom w:val="nil"/>
            </w:tcBorders>
            <w:shd w:val="clear" w:color="auto" w:fill="auto"/>
            <w:vAlign w:val="center"/>
          </w:tcPr>
          <w:p w14:paraId="4FA62B20"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190</w:t>
            </w:r>
          </w:p>
        </w:tc>
        <w:tc>
          <w:tcPr>
            <w:tcW w:w="1029" w:type="pct"/>
            <w:tcBorders>
              <w:top w:val="nil"/>
              <w:bottom w:val="nil"/>
            </w:tcBorders>
            <w:shd w:val="clear" w:color="auto" w:fill="auto"/>
            <w:vAlign w:val="center"/>
          </w:tcPr>
          <w:p w14:paraId="34D13D46"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508</w:t>
            </w:r>
          </w:p>
        </w:tc>
        <w:tc>
          <w:tcPr>
            <w:tcW w:w="1029" w:type="pct"/>
            <w:tcBorders>
              <w:top w:val="nil"/>
              <w:bottom w:val="nil"/>
            </w:tcBorders>
            <w:shd w:val="clear" w:color="auto" w:fill="auto"/>
            <w:vAlign w:val="center"/>
          </w:tcPr>
          <w:p w14:paraId="5A286751"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547</w:t>
            </w:r>
          </w:p>
        </w:tc>
        <w:tc>
          <w:tcPr>
            <w:tcW w:w="1029" w:type="pct"/>
            <w:tcBorders>
              <w:top w:val="nil"/>
              <w:bottom w:val="nil"/>
            </w:tcBorders>
            <w:shd w:val="clear" w:color="auto" w:fill="auto"/>
            <w:vAlign w:val="center"/>
          </w:tcPr>
          <w:p w14:paraId="5B1073CD" w14:textId="77777777" w:rsidR="004115F3" w:rsidRPr="004A68AC" w:rsidRDefault="004115F3" w:rsidP="00E82D5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lang w:eastAsia="it-IT"/>
              </w:rPr>
              <w:t>α</w:t>
            </w:r>
            <w:r w:rsidRPr="004A68AC">
              <w:rPr>
                <w:color w:val="auto"/>
                <w:sz w:val="18"/>
                <w:szCs w:val="18"/>
                <w:vertAlign w:val="subscript"/>
                <w:lang w:eastAsia="it-IT"/>
              </w:rPr>
              <w:t>A</w:t>
            </w:r>
            <w:r w:rsidRPr="004A68AC">
              <w:rPr>
                <w:color w:val="auto"/>
                <w:sz w:val="18"/>
                <w:szCs w:val="18"/>
                <w:lang w:eastAsia="it-IT"/>
              </w:rPr>
              <w:t xml:space="preserve"> = 655</w:t>
            </w:r>
          </w:p>
        </w:tc>
      </w:tr>
      <w:tr w:rsidR="004115F3" w:rsidRPr="004A68AC" w14:paraId="0FE3BD25" w14:textId="77777777" w:rsidTr="00E82D5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84" w:type="pct"/>
            <w:vMerge/>
            <w:tcBorders>
              <w:top w:val="nil"/>
              <w:bottom w:val="single" w:sz="8" w:space="0" w:color="auto"/>
            </w:tcBorders>
            <w:shd w:val="clear" w:color="auto" w:fill="auto"/>
            <w:vAlign w:val="center"/>
          </w:tcPr>
          <w:p w14:paraId="67C8516D" w14:textId="77777777" w:rsidR="004115F3" w:rsidRPr="004A68AC" w:rsidRDefault="004115F3" w:rsidP="00E82D54">
            <w:pPr>
              <w:jc w:val="center"/>
              <w:rPr>
                <w:color w:val="auto"/>
                <w:sz w:val="18"/>
                <w:szCs w:val="18"/>
              </w:rPr>
            </w:pPr>
          </w:p>
        </w:tc>
        <w:tc>
          <w:tcPr>
            <w:tcW w:w="1029" w:type="pct"/>
            <w:tcBorders>
              <w:top w:val="nil"/>
              <w:bottom w:val="single" w:sz="8" w:space="0" w:color="auto"/>
            </w:tcBorders>
            <w:shd w:val="clear" w:color="auto" w:fill="auto"/>
            <w:vAlign w:val="center"/>
          </w:tcPr>
          <w:p w14:paraId="0AE8A428"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76</w:t>
            </w:r>
          </w:p>
        </w:tc>
        <w:tc>
          <w:tcPr>
            <w:tcW w:w="1029" w:type="pct"/>
            <w:tcBorders>
              <w:top w:val="nil"/>
              <w:bottom w:val="single" w:sz="8" w:space="0" w:color="auto"/>
            </w:tcBorders>
            <w:shd w:val="clear" w:color="auto" w:fill="auto"/>
            <w:vAlign w:val="center"/>
          </w:tcPr>
          <w:p w14:paraId="19EE590B"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lang w:eastAsia="it-IT"/>
              </w:rPr>
              <w:t>β</w:t>
            </w:r>
            <w:r w:rsidRPr="004A68AC">
              <w:rPr>
                <w:b/>
                <w:color w:val="auto"/>
                <w:sz w:val="18"/>
                <w:szCs w:val="18"/>
                <w:vertAlign w:val="subscript"/>
                <w:lang w:eastAsia="it-IT"/>
              </w:rPr>
              <w:t>A</w:t>
            </w:r>
            <w:r w:rsidRPr="004A68AC">
              <w:rPr>
                <w:b/>
                <w:color w:val="auto"/>
                <w:sz w:val="18"/>
                <w:szCs w:val="18"/>
                <w:lang w:eastAsia="it-IT"/>
              </w:rPr>
              <w:t xml:space="preserve"> = 182</w:t>
            </w:r>
          </w:p>
        </w:tc>
        <w:tc>
          <w:tcPr>
            <w:tcW w:w="1029" w:type="pct"/>
            <w:tcBorders>
              <w:top w:val="nil"/>
              <w:bottom w:val="single" w:sz="8" w:space="0" w:color="auto"/>
            </w:tcBorders>
            <w:shd w:val="clear" w:color="auto" w:fill="auto"/>
            <w:vAlign w:val="center"/>
          </w:tcPr>
          <w:p w14:paraId="67DAAB8C"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β</w:t>
            </w:r>
            <w:r w:rsidRPr="004A68AC">
              <w:rPr>
                <w:color w:val="auto"/>
                <w:sz w:val="18"/>
                <w:szCs w:val="18"/>
                <w:vertAlign w:val="subscript"/>
                <w:lang w:eastAsia="it-IT"/>
              </w:rPr>
              <w:t>A</w:t>
            </w:r>
            <w:r w:rsidRPr="004A68AC">
              <w:rPr>
                <w:color w:val="auto"/>
                <w:sz w:val="18"/>
                <w:szCs w:val="18"/>
                <w:lang w:eastAsia="it-IT"/>
              </w:rPr>
              <w:t xml:space="preserve"> = 125</w:t>
            </w:r>
          </w:p>
        </w:tc>
        <w:tc>
          <w:tcPr>
            <w:tcW w:w="1029" w:type="pct"/>
            <w:tcBorders>
              <w:top w:val="nil"/>
              <w:bottom w:val="single" w:sz="8" w:space="0" w:color="auto"/>
            </w:tcBorders>
            <w:shd w:val="clear" w:color="auto" w:fill="auto"/>
            <w:vAlign w:val="center"/>
          </w:tcPr>
          <w:p w14:paraId="4AF40EAC" w14:textId="77777777" w:rsidR="004115F3" w:rsidRPr="004A68AC" w:rsidRDefault="004115F3" w:rsidP="00E82D54">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lang w:eastAsia="it-IT"/>
              </w:rPr>
              <w:t>β</w:t>
            </w:r>
            <w:r w:rsidRPr="004A68AC">
              <w:rPr>
                <w:b/>
                <w:color w:val="auto"/>
                <w:sz w:val="18"/>
                <w:szCs w:val="18"/>
                <w:vertAlign w:val="subscript"/>
                <w:lang w:eastAsia="it-IT"/>
              </w:rPr>
              <w:t>A</w:t>
            </w:r>
            <w:r w:rsidRPr="004A68AC">
              <w:rPr>
                <w:b/>
                <w:color w:val="auto"/>
                <w:sz w:val="18"/>
                <w:szCs w:val="18"/>
                <w:lang w:eastAsia="it-IT"/>
              </w:rPr>
              <w:t xml:space="preserve"> = 151</w:t>
            </w:r>
          </w:p>
        </w:tc>
      </w:tr>
    </w:tbl>
    <w:p w14:paraId="2EDBF40F" w14:textId="77777777" w:rsidR="004115F3" w:rsidRPr="004A68AC" w:rsidRDefault="004115F3" w:rsidP="004115F3">
      <w:pPr>
        <w:rPr>
          <w:sz w:val="18"/>
          <w:szCs w:val="18"/>
          <w:lang w:val="en-US"/>
        </w:rPr>
      </w:pPr>
      <w:r w:rsidRPr="004A68AC">
        <w:rPr>
          <w:sz w:val="18"/>
          <w:szCs w:val="18"/>
          <w:vertAlign w:val="superscript"/>
          <w:lang w:val="en-US"/>
        </w:rPr>
        <w:t>1</w:t>
      </w:r>
      <w:r w:rsidRPr="004A68AC">
        <w:rPr>
          <w:sz w:val="18"/>
          <w:szCs w:val="18"/>
          <w:lang w:val="en-US"/>
        </w:rPr>
        <w:t xml:space="preserve"> Slenderness parameters calculated with </w:t>
      </w:r>
      <w:r w:rsidRPr="004A68AC">
        <w:rPr>
          <w:i/>
          <w:sz w:val="18"/>
          <w:szCs w:val="18"/>
          <w:lang w:val="en-US"/>
        </w:rPr>
        <w:t>f</w:t>
      </w:r>
      <w:r w:rsidRPr="004A68AC">
        <w:rPr>
          <w:sz w:val="18"/>
          <w:szCs w:val="18"/>
          <w:vertAlign w:val="subscript"/>
          <w:lang w:val="en-US"/>
        </w:rPr>
        <w:t>ye</w:t>
      </w:r>
      <w:r w:rsidRPr="004A68AC">
        <w:rPr>
          <w:sz w:val="18"/>
          <w:szCs w:val="18"/>
          <w:lang w:val="en-US"/>
        </w:rPr>
        <w:t xml:space="preserve"> = 1.1</w:t>
      </w:r>
      <w:r w:rsidRPr="004A68AC">
        <w:rPr>
          <w:b/>
          <w:sz w:val="18"/>
          <w:szCs w:val="18"/>
          <w:lang w:val="en-US"/>
        </w:rPr>
        <w:t>×</w:t>
      </w:r>
      <w:r w:rsidRPr="004A68AC">
        <w:rPr>
          <w:sz w:val="18"/>
          <w:szCs w:val="18"/>
          <w:lang w:val="en-US"/>
        </w:rPr>
        <w:t>345 MPa (steel A572).</w:t>
      </w:r>
    </w:p>
    <w:p w14:paraId="472E9F18" w14:textId="1C18EEF1" w:rsidR="004115F3" w:rsidRPr="004A68AC" w:rsidRDefault="004115F3" w:rsidP="004115F3">
      <w:pPr>
        <w:rPr>
          <w:sz w:val="18"/>
          <w:szCs w:val="18"/>
          <w:lang w:val="en-US"/>
        </w:rPr>
      </w:pPr>
      <w:r w:rsidRPr="004A68AC">
        <w:rPr>
          <w:sz w:val="18"/>
          <w:szCs w:val="18"/>
          <w:vertAlign w:val="superscript"/>
          <w:lang w:val="en-US"/>
        </w:rPr>
        <w:t>2</w:t>
      </w:r>
      <w:r w:rsidRPr="004A68AC">
        <w:rPr>
          <w:sz w:val="18"/>
          <w:szCs w:val="18"/>
          <w:lang w:val="en-US"/>
        </w:rPr>
        <w:t xml:space="preserve"> Bold values are those ruling the slenderness classification.</w:t>
      </w:r>
    </w:p>
    <w:p w14:paraId="03934C80" w14:textId="77777777" w:rsidR="001841D9" w:rsidRPr="004A68AC" w:rsidRDefault="001841D9" w:rsidP="004115F3">
      <w:pPr>
        <w:rPr>
          <w:sz w:val="18"/>
          <w:szCs w:val="18"/>
          <w:lang w:val="en-US"/>
        </w:rPr>
      </w:pPr>
    </w:p>
    <w:p w14:paraId="12583277" w14:textId="69DDB24F" w:rsidR="00A42238" w:rsidRPr="004A68AC" w:rsidRDefault="00A42238" w:rsidP="00202AB1">
      <w:pPr>
        <w:pStyle w:val="ListParagraph"/>
        <w:numPr>
          <w:ilvl w:val="2"/>
          <w:numId w:val="1"/>
        </w:numPr>
        <w:rPr>
          <w:b/>
          <w:bCs/>
          <w:i/>
          <w:iCs/>
          <w:lang w:val="en-US"/>
        </w:rPr>
      </w:pPr>
      <w:r w:rsidRPr="004A68AC">
        <w:rPr>
          <w:b/>
          <w:bCs/>
          <w:i/>
          <w:iCs/>
          <w:lang w:val="en-US"/>
        </w:rPr>
        <w:t>Panel Zones</w:t>
      </w:r>
    </w:p>
    <w:p w14:paraId="1BD50C10" w14:textId="5ACC0B17" w:rsidR="00167CB2" w:rsidRPr="004A68AC" w:rsidRDefault="001B4E07" w:rsidP="00B75CD8">
      <w:pPr>
        <w:rPr>
          <w:lang w:val="en-US" w:eastAsia="it-IT"/>
        </w:rPr>
      </w:pPr>
      <w:r w:rsidRPr="004A68AC">
        <w:rPr>
          <w:lang w:val="en-US" w:eastAsia="it-IT"/>
        </w:rPr>
        <w:t>For</w:t>
      </w:r>
      <w:r w:rsidR="00B75CD8" w:rsidRPr="004A68AC">
        <w:rPr>
          <w:lang w:val="en-US" w:eastAsia="it-IT"/>
        </w:rPr>
        <w:t xml:space="preserve"> panel zones, </w:t>
      </w:r>
      <w:r w:rsidR="00C357F1" w:rsidRPr="004A68AC">
        <w:rPr>
          <w:lang w:val="en-US" w:eastAsia="it-IT"/>
        </w:rPr>
        <w:t xml:space="preserve">the American codes </w:t>
      </w:r>
      <w:r w:rsidR="00C357F1"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C357F1" w:rsidRPr="004A68AC">
        <w:rPr>
          <w:lang w:val="en-US" w:eastAsia="it-IT"/>
        </w:rPr>
        <w:fldChar w:fldCharType="separate"/>
      </w:r>
      <w:r w:rsidR="00B339CD" w:rsidRPr="004A68AC">
        <w:rPr>
          <w:noProof/>
          <w:lang w:val="en-US" w:eastAsia="it-IT"/>
        </w:rPr>
        <w:t>[15,18,19]</w:t>
      </w:r>
      <w:r w:rsidR="00C357F1" w:rsidRPr="004A68AC">
        <w:rPr>
          <w:lang w:val="en-US" w:eastAsia="it-IT"/>
        </w:rPr>
        <w:fldChar w:fldCharType="end"/>
      </w:r>
      <w:r w:rsidR="00C357F1" w:rsidRPr="004A68AC">
        <w:rPr>
          <w:lang w:val="en-US" w:eastAsia="it-IT"/>
        </w:rPr>
        <w:t xml:space="preserve"> provide guidelines for the </w:t>
      </w:r>
      <w:r w:rsidR="00B75CD8" w:rsidRPr="004A68AC">
        <w:rPr>
          <w:lang w:val="en-US" w:eastAsia="it-IT"/>
        </w:rPr>
        <w:t>determination of the</w:t>
      </w:r>
      <w:r w:rsidR="00BA1515" w:rsidRPr="004A68AC">
        <w:rPr>
          <w:lang w:val="en-US" w:eastAsia="it-IT"/>
        </w:rPr>
        <w:t xml:space="preserve"> deformation</w:t>
      </w:r>
      <w:r w:rsidR="00B75CD8" w:rsidRPr="004A68AC">
        <w:rPr>
          <w:lang w:val="en-US" w:eastAsia="it-IT"/>
        </w:rPr>
        <w:t xml:space="preserve"> </w:t>
      </w:r>
      <w:r w:rsidRPr="004A68AC">
        <w:rPr>
          <w:lang w:val="en-US" w:eastAsia="it-IT"/>
        </w:rPr>
        <w:t>capacity limits for the</w:t>
      </w:r>
      <w:r w:rsidR="00BA1515" w:rsidRPr="004A68AC">
        <w:rPr>
          <w:lang w:val="en-US" w:eastAsia="it-IT"/>
        </w:rPr>
        <w:t xml:space="preserve"> panel zones, either in terms of</w:t>
      </w:r>
      <w:r w:rsidRPr="004A68AC">
        <w:rPr>
          <w:lang w:val="en-US" w:eastAsia="it-IT"/>
        </w:rPr>
        <w:t xml:space="preserve"> </w:t>
      </w:r>
      <w:r w:rsidR="00BA1515" w:rsidRPr="004A68AC">
        <w:rPr>
          <w:lang w:val="en-US" w:eastAsia="it-IT"/>
        </w:rPr>
        <w:t xml:space="preserve">yield </w:t>
      </w:r>
      <w:r w:rsidRPr="004A68AC">
        <w:rPr>
          <w:lang w:val="en-US" w:eastAsia="it-IT"/>
        </w:rPr>
        <w:t xml:space="preserve">shear </w:t>
      </w:r>
      <w:r w:rsidR="00BA1515" w:rsidRPr="004A68AC">
        <w:rPr>
          <w:lang w:val="en-US" w:eastAsia="it-IT"/>
        </w:rPr>
        <w:t>strain</w:t>
      </w:r>
      <w:r w:rsidR="00EA5475" w:rsidRPr="004A68AC">
        <w:rPr>
          <w:lang w:val="en-US" w:eastAsia="it-IT"/>
        </w:rPr>
        <w:t xml:space="preserve"> (γ</w:t>
      </w:r>
      <w:r w:rsidR="00EA5475" w:rsidRPr="004A68AC">
        <w:rPr>
          <w:b/>
          <w:bCs/>
          <w:vertAlign w:val="subscript"/>
          <w:lang w:val="en-US" w:eastAsia="it-IT"/>
        </w:rPr>
        <w:t>y</w:t>
      </w:r>
      <w:r w:rsidR="00EA5475" w:rsidRPr="004A68AC">
        <w:rPr>
          <w:b/>
          <w:bCs/>
          <w:lang w:val="en-US" w:eastAsia="it-IT"/>
        </w:rPr>
        <w:t>)</w:t>
      </w:r>
      <w:r w:rsidR="00BA1515" w:rsidRPr="004A68AC">
        <w:rPr>
          <w:lang w:val="en-US" w:eastAsia="it-IT"/>
        </w:rPr>
        <w:t xml:space="preserve"> or equivalent yield rotation</w:t>
      </w:r>
      <w:r w:rsidR="00EA5475" w:rsidRPr="004A68AC">
        <w:rPr>
          <w:lang w:val="en-US" w:eastAsia="it-IT"/>
        </w:rPr>
        <w:t xml:space="preserve"> (θ</w:t>
      </w:r>
      <w:r w:rsidR="00EA5475" w:rsidRPr="004A68AC">
        <w:rPr>
          <w:vertAlign w:val="subscript"/>
          <w:lang w:val="en-US" w:eastAsia="it-IT"/>
        </w:rPr>
        <w:t>y</w:t>
      </w:r>
      <w:r w:rsidR="00EA5475" w:rsidRPr="004A68AC">
        <w:rPr>
          <w:lang w:val="en-US" w:eastAsia="it-IT"/>
        </w:rPr>
        <w:t>), as they are analogous</w:t>
      </w:r>
      <w:r w:rsidR="00325394" w:rsidRPr="004A68AC">
        <w:rPr>
          <w:lang w:val="en-US" w:eastAsia="it-IT"/>
        </w:rPr>
        <w:t>.</w:t>
      </w:r>
      <w:r w:rsidR="00BA1515" w:rsidRPr="004A68AC">
        <w:rPr>
          <w:lang w:val="en-US" w:eastAsia="it-IT"/>
        </w:rPr>
        <w:t xml:space="preserve"> The</w:t>
      </w:r>
      <w:r w:rsidR="00167CB2" w:rsidRPr="004A68AC">
        <w:rPr>
          <w:lang w:val="en-US" w:eastAsia="it-IT"/>
        </w:rPr>
        <w:t xml:space="preserve"> EC8-3 </w:t>
      </w:r>
      <w:r w:rsidR="00167CB2"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167CB2" w:rsidRPr="004A68AC">
        <w:rPr>
          <w:lang w:val="en-US" w:eastAsia="it-IT"/>
        </w:rPr>
        <w:fldChar w:fldCharType="separate"/>
      </w:r>
      <w:r w:rsidR="00855F83" w:rsidRPr="004A68AC">
        <w:rPr>
          <w:noProof/>
          <w:lang w:val="en-US" w:eastAsia="it-IT"/>
        </w:rPr>
        <w:t>[13]</w:t>
      </w:r>
      <w:r w:rsidR="00167CB2" w:rsidRPr="004A68AC">
        <w:rPr>
          <w:lang w:val="en-US" w:eastAsia="it-IT"/>
        </w:rPr>
        <w:fldChar w:fldCharType="end"/>
      </w:r>
      <w:r w:rsidR="00167CB2" w:rsidRPr="004A68AC">
        <w:rPr>
          <w:lang w:val="en-US" w:eastAsia="it-IT"/>
        </w:rPr>
        <w:t xml:space="preserve"> </w:t>
      </w:r>
      <w:r w:rsidR="00BA1515" w:rsidRPr="004A68AC">
        <w:rPr>
          <w:lang w:val="en-US" w:eastAsia="it-IT"/>
        </w:rPr>
        <w:t xml:space="preserve">lacks of explicit capacity limits for this EDP, however, it </w:t>
      </w:r>
      <w:r w:rsidRPr="004A68AC">
        <w:rPr>
          <w:lang w:val="en-US" w:eastAsia="it-IT"/>
        </w:rPr>
        <w:t xml:space="preserve">requires </w:t>
      </w:r>
      <w:r w:rsidR="00167CB2" w:rsidRPr="004A68AC">
        <w:rPr>
          <w:lang w:val="en-US" w:eastAsia="it-IT"/>
        </w:rPr>
        <w:t xml:space="preserve">the panel zones to remain elastic in the retrofitted scheme for LS1, therefore, it </w:t>
      </w:r>
      <w:r w:rsidR="00BA1515" w:rsidRPr="004A68AC">
        <w:rPr>
          <w:lang w:val="en-US" w:eastAsia="it-IT"/>
        </w:rPr>
        <w:t>is assumed</w:t>
      </w:r>
      <w:r w:rsidR="00167CB2" w:rsidRPr="004A68AC">
        <w:rPr>
          <w:lang w:val="en-US" w:eastAsia="it-IT"/>
        </w:rPr>
        <w:t xml:space="preserve"> that the </w:t>
      </w:r>
      <w:r w:rsidR="00BA1515" w:rsidRPr="004A68AC">
        <w:rPr>
          <w:lang w:val="en-US" w:eastAsia="it-IT"/>
        </w:rPr>
        <w:t>shear strain (or equivalent rotation) capacity</w:t>
      </w:r>
      <w:r w:rsidR="00167CB2" w:rsidRPr="004A68AC">
        <w:rPr>
          <w:lang w:val="en-US" w:eastAsia="it-IT"/>
        </w:rPr>
        <w:t xml:space="preserve"> limit for this EDP</w:t>
      </w:r>
      <w:r w:rsidR="00B75CD8" w:rsidRPr="004A68AC">
        <w:rPr>
          <w:lang w:val="en-US" w:eastAsia="it-IT"/>
        </w:rPr>
        <w:t xml:space="preserve"> at </w:t>
      </w:r>
      <w:r w:rsidR="00EA5475" w:rsidRPr="004A68AC">
        <w:rPr>
          <w:lang w:val="en-US" w:eastAsia="it-IT"/>
        </w:rPr>
        <w:t>LS1</w:t>
      </w:r>
      <w:r w:rsidR="00167CB2" w:rsidRPr="004A68AC">
        <w:rPr>
          <w:lang w:val="en-US" w:eastAsia="it-IT"/>
        </w:rPr>
        <w:t xml:space="preserve"> is </w:t>
      </w:r>
      <w:r w:rsidR="00EA5475" w:rsidRPr="004A68AC">
        <w:rPr>
          <w:lang w:val="en-US" w:eastAsia="it-IT"/>
        </w:rPr>
        <w:t>equivalent to γ</w:t>
      </w:r>
      <w:r w:rsidR="00EA5475" w:rsidRPr="004A68AC">
        <w:rPr>
          <w:b/>
          <w:bCs/>
          <w:vertAlign w:val="subscript"/>
          <w:lang w:val="en-US" w:eastAsia="it-IT"/>
        </w:rPr>
        <w:t>y</w:t>
      </w:r>
      <w:r w:rsidR="00EA5475" w:rsidRPr="004A68AC">
        <w:rPr>
          <w:b/>
          <w:bCs/>
          <w:lang w:val="en-US" w:eastAsia="it-IT"/>
        </w:rPr>
        <w:t xml:space="preserve"> </w:t>
      </w:r>
      <w:r w:rsidR="00EA5475" w:rsidRPr="004A68AC">
        <w:rPr>
          <w:bCs/>
          <w:lang w:val="en-US" w:eastAsia="it-IT"/>
        </w:rPr>
        <w:t>(</w:t>
      </w:r>
      <w:r w:rsidR="00EA5475" w:rsidRPr="004A68AC">
        <w:rPr>
          <w:bCs/>
          <w:i/>
          <w:lang w:val="en-US" w:eastAsia="it-IT"/>
        </w:rPr>
        <w:t>i.e.</w:t>
      </w:r>
      <w:r w:rsidR="00EA5475" w:rsidRPr="004A68AC">
        <w:rPr>
          <w:bCs/>
          <w:lang w:val="en-US" w:eastAsia="it-IT"/>
        </w:rPr>
        <w:t>, no plastic deformation)</w:t>
      </w:r>
      <w:r w:rsidR="00167CB2" w:rsidRPr="004A68AC">
        <w:rPr>
          <w:lang w:val="en-US" w:eastAsia="it-IT"/>
        </w:rPr>
        <w:t>.</w:t>
      </w:r>
      <w:r w:rsidR="00B75CD8" w:rsidRPr="004A68AC">
        <w:rPr>
          <w:lang w:val="en-US" w:eastAsia="it-IT"/>
        </w:rPr>
        <w:t xml:space="preserve"> </w:t>
      </w:r>
      <w:r w:rsidR="008824A0" w:rsidRPr="004A68AC">
        <w:rPr>
          <w:lang w:val="en-US" w:eastAsia="it-IT"/>
        </w:rPr>
        <w:fldChar w:fldCharType="begin" w:fldLock="1"/>
      </w:r>
      <w:r w:rsidR="008824A0" w:rsidRPr="004A68AC">
        <w:rPr>
          <w:lang w:val="en-US" w:eastAsia="it-IT"/>
        </w:rPr>
        <w:instrText xml:space="preserve"> REF _Ref33143491 \h </w:instrText>
      </w:r>
      <w:r w:rsidR="008126FD" w:rsidRPr="004A68AC">
        <w:rPr>
          <w:lang w:val="en-US" w:eastAsia="it-IT"/>
        </w:rPr>
        <w:instrText xml:space="preserve"> \* MERGEFORMAT </w:instrText>
      </w:r>
      <w:r w:rsidR="008824A0" w:rsidRPr="004A68AC">
        <w:rPr>
          <w:lang w:val="en-US" w:eastAsia="it-IT"/>
        </w:rPr>
      </w:r>
      <w:r w:rsidR="008824A0" w:rsidRPr="004A68AC">
        <w:rPr>
          <w:lang w:val="en-US" w:eastAsia="it-IT"/>
        </w:rPr>
        <w:fldChar w:fldCharType="separate"/>
      </w:r>
      <w:r w:rsidR="00087089" w:rsidRPr="004A68AC">
        <w:rPr>
          <w:szCs w:val="20"/>
          <w:lang w:val="en-US"/>
        </w:rPr>
        <w:t xml:space="preserve">Table </w:t>
      </w:r>
      <w:r w:rsidR="00087089" w:rsidRPr="004A68AC">
        <w:rPr>
          <w:noProof/>
          <w:szCs w:val="20"/>
          <w:lang w:val="en-US"/>
        </w:rPr>
        <w:t>7</w:t>
      </w:r>
      <w:r w:rsidR="008824A0" w:rsidRPr="004A68AC">
        <w:rPr>
          <w:lang w:val="en-US" w:eastAsia="it-IT"/>
        </w:rPr>
        <w:fldChar w:fldCharType="end"/>
      </w:r>
      <w:r w:rsidR="00B75CD8" w:rsidRPr="004A68AC">
        <w:rPr>
          <w:lang w:val="en-US" w:eastAsia="it-IT"/>
        </w:rPr>
        <w:t xml:space="preserve"> summarizes the </w:t>
      </w:r>
      <w:r w:rsidR="00BA1515" w:rsidRPr="004A68AC">
        <w:rPr>
          <w:lang w:val="en-US" w:eastAsia="it-IT"/>
        </w:rPr>
        <w:t>shear strain capacity limits</w:t>
      </w:r>
      <w:r w:rsidR="00B75CD8" w:rsidRPr="004A68AC">
        <w:rPr>
          <w:lang w:val="en-US" w:eastAsia="it-IT"/>
        </w:rPr>
        <w:t xml:space="preserve"> for the different codes</w:t>
      </w:r>
      <w:r w:rsidR="00BA1515" w:rsidRPr="004A68AC">
        <w:rPr>
          <w:lang w:val="en-US" w:eastAsia="it-IT"/>
        </w:rPr>
        <w:t>, given in terms of equivalent</w:t>
      </w:r>
      <w:r w:rsidR="00EA5475" w:rsidRPr="004A68AC">
        <w:rPr>
          <w:lang w:val="en-US" w:eastAsia="it-IT"/>
        </w:rPr>
        <w:t xml:space="preserve"> plastic</w:t>
      </w:r>
      <w:r w:rsidR="00BA1515" w:rsidRPr="004A68AC">
        <w:rPr>
          <w:lang w:val="en-US" w:eastAsia="it-IT"/>
        </w:rPr>
        <w:t xml:space="preserve"> rotation</w:t>
      </w:r>
      <w:r w:rsidR="00B75CD8" w:rsidRPr="004A68AC">
        <w:rPr>
          <w:lang w:val="en-US" w:eastAsia="it-IT"/>
        </w:rPr>
        <w:t xml:space="preserve">. </w:t>
      </w:r>
      <w:r w:rsidR="008A7326" w:rsidRPr="004A68AC">
        <w:rPr>
          <w:lang w:val="en-US" w:eastAsia="it-IT"/>
        </w:rPr>
        <w:fldChar w:fldCharType="begin" w:fldLock="1"/>
      </w:r>
      <w:r w:rsidR="008A7326" w:rsidRPr="004A68AC">
        <w:rPr>
          <w:lang w:val="en-US" w:eastAsia="it-IT"/>
        </w:rPr>
        <w:instrText xml:space="preserve"> REF _Ref38922133 \h  \* MERGEFORMAT </w:instrText>
      </w:r>
      <w:r w:rsidR="008A7326" w:rsidRPr="004A68AC">
        <w:rPr>
          <w:lang w:val="en-US" w:eastAsia="it-IT"/>
        </w:rPr>
      </w:r>
      <w:r w:rsidR="008A7326" w:rsidRPr="004A68AC">
        <w:rPr>
          <w:lang w:val="en-US" w:eastAsia="it-IT"/>
        </w:rPr>
        <w:fldChar w:fldCharType="separate"/>
      </w:r>
      <w:r w:rsidR="002B107B" w:rsidRPr="004A68AC">
        <w:rPr>
          <w:lang w:val="en-US"/>
        </w:rPr>
        <w:t xml:space="preserve">Figure </w:t>
      </w:r>
      <w:r w:rsidR="002B107B" w:rsidRPr="004A68AC">
        <w:rPr>
          <w:noProof/>
          <w:lang w:val="en-US"/>
        </w:rPr>
        <w:t>6</w:t>
      </w:r>
      <w:r w:rsidR="008A7326" w:rsidRPr="004A68AC">
        <w:rPr>
          <w:lang w:val="en-US" w:eastAsia="it-IT"/>
        </w:rPr>
        <w:fldChar w:fldCharType="end"/>
      </w:r>
      <w:r w:rsidR="00B75CD8" w:rsidRPr="004A68AC">
        <w:rPr>
          <w:lang w:val="en-US" w:eastAsia="it-IT"/>
        </w:rPr>
        <w:t xml:space="preserve"> shows a comparison between the </w:t>
      </w:r>
      <w:r w:rsidR="008A7326" w:rsidRPr="004A68AC">
        <w:rPr>
          <w:lang w:val="en-US" w:eastAsia="it-IT"/>
        </w:rPr>
        <w:t>equivalent plastic rotation limit for the panel zones</w:t>
      </w:r>
      <w:r w:rsidR="006626F8" w:rsidRPr="004A68AC">
        <w:rPr>
          <w:lang w:val="en-US" w:eastAsia="it-IT"/>
        </w:rPr>
        <w:t xml:space="preserve"> in function of ν</w:t>
      </w:r>
      <w:r w:rsidR="006626F8" w:rsidRPr="004A68AC">
        <w:rPr>
          <w:vertAlign w:val="subscript"/>
          <w:lang w:val="en-US" w:eastAsia="it-IT"/>
        </w:rPr>
        <w:t>G</w:t>
      </w:r>
      <w:r w:rsidR="00B75CD8" w:rsidRPr="004A68AC">
        <w:rPr>
          <w:lang w:val="en-US" w:eastAsia="it-IT"/>
        </w:rPr>
        <w:t>.</w:t>
      </w:r>
    </w:p>
    <w:p w14:paraId="16509FC2" w14:textId="77777777" w:rsidR="001841D9" w:rsidRPr="004A68AC" w:rsidRDefault="001841D9" w:rsidP="00B75CD8">
      <w:pPr>
        <w:rPr>
          <w:lang w:val="en-US" w:eastAsia="it-IT"/>
        </w:rPr>
      </w:pPr>
    </w:p>
    <w:p w14:paraId="203CCE85" w14:textId="10B692F7" w:rsidR="00553B4C" w:rsidRPr="004A68AC" w:rsidRDefault="00553B4C" w:rsidP="00553B4C">
      <w:pPr>
        <w:pStyle w:val="Tablecaption"/>
        <w:spacing w:before="0" w:after="0" w:line="240" w:lineRule="auto"/>
        <w:jc w:val="center"/>
        <w:rPr>
          <w:b w:val="0"/>
          <w:color w:val="auto"/>
          <w:szCs w:val="20"/>
          <w:lang w:val="en-US"/>
        </w:rPr>
      </w:pPr>
      <w:bookmarkStart w:id="21" w:name="_Ref33143491"/>
      <w:r w:rsidRPr="004A68AC">
        <w:rPr>
          <w:color w:val="auto"/>
          <w:szCs w:val="20"/>
          <w:lang w:val="en-US"/>
        </w:rPr>
        <w:t xml:space="preserve">Table </w:t>
      </w:r>
      <w:r w:rsidRPr="004A68AC">
        <w:rPr>
          <w:color w:val="auto"/>
          <w:szCs w:val="20"/>
          <w:lang w:val="en-US"/>
        </w:rPr>
        <w:fldChar w:fldCharType="begin" w:fldLock="1"/>
      </w:r>
      <w:r w:rsidRPr="004A68AC">
        <w:rPr>
          <w:color w:val="auto"/>
          <w:szCs w:val="20"/>
          <w:lang w:val="en-US"/>
        </w:rPr>
        <w:instrText xml:space="preserve"> SEQ Table \* ARABIC </w:instrText>
      </w:r>
      <w:r w:rsidRPr="004A68AC">
        <w:rPr>
          <w:color w:val="auto"/>
          <w:szCs w:val="20"/>
          <w:lang w:val="en-US"/>
        </w:rPr>
        <w:fldChar w:fldCharType="separate"/>
      </w:r>
      <w:r w:rsidR="00BA1515" w:rsidRPr="004A68AC">
        <w:rPr>
          <w:noProof/>
          <w:color w:val="auto"/>
          <w:szCs w:val="20"/>
          <w:lang w:val="en-US"/>
        </w:rPr>
        <w:t>7</w:t>
      </w:r>
      <w:r w:rsidRPr="004A68AC">
        <w:rPr>
          <w:color w:val="auto"/>
          <w:szCs w:val="20"/>
          <w:lang w:val="en-US"/>
        </w:rPr>
        <w:fldChar w:fldCharType="end"/>
      </w:r>
      <w:bookmarkEnd w:id="21"/>
      <w:r w:rsidRPr="004A68AC">
        <w:rPr>
          <w:color w:val="auto"/>
          <w:szCs w:val="20"/>
          <w:lang w:val="en-US"/>
        </w:rPr>
        <w:t xml:space="preserve">. </w:t>
      </w:r>
      <w:r w:rsidR="008824A0" w:rsidRPr="004A68AC">
        <w:rPr>
          <w:b w:val="0"/>
          <w:color w:val="auto"/>
          <w:szCs w:val="20"/>
          <w:lang w:val="en-US"/>
        </w:rPr>
        <w:t>Equivalent p</w:t>
      </w:r>
      <w:r w:rsidRPr="004A68AC">
        <w:rPr>
          <w:b w:val="0"/>
          <w:color w:val="auto"/>
          <w:szCs w:val="20"/>
          <w:lang w:val="en-US"/>
        </w:rPr>
        <w:t xml:space="preserve">lastic rotation capacity as consequence of shear </w:t>
      </w:r>
      <w:r w:rsidR="003911AA" w:rsidRPr="004A68AC">
        <w:rPr>
          <w:b w:val="0"/>
          <w:color w:val="auto"/>
          <w:szCs w:val="20"/>
          <w:lang w:val="en-US"/>
        </w:rPr>
        <w:t>strain</w:t>
      </w:r>
      <w:r w:rsidRPr="004A68AC">
        <w:rPr>
          <w:b w:val="0"/>
          <w:color w:val="auto"/>
          <w:szCs w:val="20"/>
          <w:lang w:val="en-US"/>
        </w:rPr>
        <w:t xml:space="preserve"> in panel zones.</w:t>
      </w:r>
    </w:p>
    <w:tbl>
      <w:tblPr>
        <w:tblStyle w:val="HelleSchattierung1"/>
        <w:tblW w:w="5000" w:type="pct"/>
        <w:tblLook w:val="04A0" w:firstRow="1" w:lastRow="0" w:firstColumn="1" w:lastColumn="0" w:noHBand="0" w:noVBand="1"/>
      </w:tblPr>
      <w:tblGrid>
        <w:gridCol w:w="1756"/>
        <w:gridCol w:w="1972"/>
        <w:gridCol w:w="1970"/>
        <w:gridCol w:w="1970"/>
        <w:gridCol w:w="1970"/>
      </w:tblGrid>
      <w:tr w:rsidR="00C85653" w:rsidRPr="004A68AC" w14:paraId="214646A2" w14:textId="77777777" w:rsidTr="00C8565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1" w:type="pct"/>
            <w:vMerge w:val="restart"/>
            <w:shd w:val="clear" w:color="auto" w:fill="auto"/>
            <w:vAlign w:val="center"/>
          </w:tcPr>
          <w:p w14:paraId="57CB7ADD" w14:textId="77777777" w:rsidR="00C85653" w:rsidRPr="004A68AC" w:rsidRDefault="00C85653" w:rsidP="00890664">
            <w:pPr>
              <w:jc w:val="center"/>
              <w:rPr>
                <w:color w:val="auto"/>
                <w:sz w:val="18"/>
                <w:szCs w:val="18"/>
              </w:rPr>
            </w:pPr>
            <w:r w:rsidRPr="004A68AC">
              <w:rPr>
                <w:color w:val="auto"/>
                <w:sz w:val="18"/>
                <w:szCs w:val="18"/>
              </w:rPr>
              <w:t>Code</w:t>
            </w:r>
          </w:p>
        </w:tc>
        <w:tc>
          <w:tcPr>
            <w:tcW w:w="1023" w:type="pct"/>
            <w:vMerge w:val="restart"/>
            <w:shd w:val="clear" w:color="auto" w:fill="auto"/>
            <w:vAlign w:val="center"/>
          </w:tcPr>
          <w:p w14:paraId="24B8D73E" w14:textId="1C14C98B" w:rsidR="00C85653" w:rsidRPr="004A68AC" w:rsidRDefault="00C85653" w:rsidP="00890664">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Dimensionless axial load limits</w:t>
            </w:r>
          </w:p>
        </w:tc>
        <w:tc>
          <w:tcPr>
            <w:tcW w:w="3066" w:type="pct"/>
            <w:gridSpan w:val="3"/>
            <w:tcBorders>
              <w:bottom w:val="nil"/>
            </w:tcBorders>
            <w:shd w:val="clear" w:color="auto" w:fill="auto"/>
            <w:vAlign w:val="center"/>
          </w:tcPr>
          <w:p w14:paraId="4A4702E1" w14:textId="2E66E85F" w:rsidR="00C85653" w:rsidRPr="004A68AC" w:rsidRDefault="005B2AB0" w:rsidP="00890664">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Plastic s</w:t>
            </w:r>
            <w:r w:rsidR="00C85653" w:rsidRPr="004A68AC">
              <w:rPr>
                <w:color w:val="auto"/>
                <w:sz w:val="18"/>
                <w:szCs w:val="18"/>
              </w:rPr>
              <w:t>hear strain capacity limit</w:t>
            </w:r>
          </w:p>
        </w:tc>
      </w:tr>
      <w:tr w:rsidR="00C85653" w:rsidRPr="004A68AC" w14:paraId="0A732B47" w14:textId="77777777" w:rsidTr="00C856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1" w:type="pct"/>
            <w:vMerge/>
            <w:tcBorders>
              <w:bottom w:val="single" w:sz="8" w:space="0" w:color="auto"/>
            </w:tcBorders>
            <w:shd w:val="clear" w:color="auto" w:fill="auto"/>
            <w:vAlign w:val="center"/>
          </w:tcPr>
          <w:p w14:paraId="6C956F06" w14:textId="77777777" w:rsidR="00C85653" w:rsidRPr="004A68AC" w:rsidRDefault="00C85653" w:rsidP="00C85653">
            <w:pPr>
              <w:jc w:val="center"/>
              <w:rPr>
                <w:color w:val="auto"/>
                <w:sz w:val="18"/>
                <w:szCs w:val="18"/>
              </w:rPr>
            </w:pPr>
          </w:p>
        </w:tc>
        <w:tc>
          <w:tcPr>
            <w:tcW w:w="1023" w:type="pct"/>
            <w:vMerge/>
            <w:tcBorders>
              <w:bottom w:val="single" w:sz="8" w:space="0" w:color="auto"/>
            </w:tcBorders>
            <w:shd w:val="clear" w:color="auto" w:fill="auto"/>
            <w:vAlign w:val="center"/>
          </w:tcPr>
          <w:p w14:paraId="3BD12A79" w14:textId="77777777" w:rsidR="00C85653" w:rsidRPr="004A68AC" w:rsidRDefault="00C85653" w:rsidP="00C85653">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022" w:type="pct"/>
            <w:tcBorders>
              <w:top w:val="nil"/>
              <w:bottom w:val="single" w:sz="8" w:space="0" w:color="auto"/>
            </w:tcBorders>
            <w:shd w:val="clear" w:color="auto" w:fill="auto"/>
            <w:vAlign w:val="center"/>
          </w:tcPr>
          <w:p w14:paraId="62573002" w14:textId="10ACDFA8" w:rsidR="00C85653" w:rsidRPr="004A68AC" w:rsidRDefault="00C85653" w:rsidP="00C85653">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LS1</w:t>
            </w:r>
          </w:p>
        </w:tc>
        <w:tc>
          <w:tcPr>
            <w:tcW w:w="1022" w:type="pct"/>
            <w:tcBorders>
              <w:top w:val="nil"/>
              <w:bottom w:val="single" w:sz="8" w:space="0" w:color="auto"/>
            </w:tcBorders>
            <w:shd w:val="clear" w:color="auto" w:fill="auto"/>
            <w:vAlign w:val="center"/>
          </w:tcPr>
          <w:p w14:paraId="45D9A494" w14:textId="530CF75D" w:rsidR="00C85653" w:rsidRPr="004A68AC" w:rsidRDefault="00C85653" w:rsidP="00C85653">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LS2</w:t>
            </w:r>
          </w:p>
        </w:tc>
        <w:tc>
          <w:tcPr>
            <w:tcW w:w="1022" w:type="pct"/>
            <w:tcBorders>
              <w:top w:val="nil"/>
              <w:bottom w:val="single" w:sz="8" w:space="0" w:color="auto"/>
            </w:tcBorders>
            <w:shd w:val="clear" w:color="auto" w:fill="auto"/>
            <w:vAlign w:val="center"/>
          </w:tcPr>
          <w:p w14:paraId="498B922A" w14:textId="337A81A1" w:rsidR="00C85653" w:rsidRPr="004A68AC" w:rsidRDefault="00C85653" w:rsidP="00C85653">
            <w:pPr>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4A68AC">
              <w:rPr>
                <w:b/>
                <w:color w:val="auto"/>
                <w:sz w:val="18"/>
                <w:szCs w:val="18"/>
              </w:rPr>
              <w:t>LS3</w:t>
            </w:r>
          </w:p>
        </w:tc>
      </w:tr>
      <w:tr w:rsidR="004146A5" w:rsidRPr="004A68AC" w14:paraId="132B5D33" w14:textId="77777777" w:rsidTr="00C85653">
        <w:trPr>
          <w:trHeight w:val="340"/>
        </w:trPr>
        <w:tc>
          <w:tcPr>
            <w:cnfStyle w:val="001000000000" w:firstRow="0" w:lastRow="0" w:firstColumn="1" w:lastColumn="0" w:oddVBand="0" w:evenVBand="0" w:oddHBand="0" w:evenHBand="0" w:firstRowFirstColumn="0" w:firstRowLastColumn="0" w:lastRowFirstColumn="0" w:lastRowLastColumn="0"/>
            <w:tcW w:w="911" w:type="pct"/>
            <w:tcBorders>
              <w:top w:val="single" w:sz="8" w:space="0" w:color="auto"/>
            </w:tcBorders>
            <w:shd w:val="clear" w:color="auto" w:fill="auto"/>
            <w:vAlign w:val="center"/>
          </w:tcPr>
          <w:p w14:paraId="201086FA" w14:textId="646F0476" w:rsidR="008F3370" w:rsidRPr="004A68AC" w:rsidRDefault="008F3370" w:rsidP="002B6E6A">
            <w:pPr>
              <w:jc w:val="center"/>
              <w:rPr>
                <w:color w:val="auto"/>
                <w:sz w:val="18"/>
                <w:szCs w:val="18"/>
              </w:rPr>
            </w:pPr>
            <w:r w:rsidRPr="004A68AC">
              <w:rPr>
                <w:color w:val="auto"/>
                <w:sz w:val="18"/>
                <w:szCs w:val="18"/>
              </w:rPr>
              <w:t xml:space="preserve">EC8-3 </w:t>
            </w:r>
            <w:r w:rsidRPr="004A68AC">
              <w:rPr>
                <w:sz w:val="18"/>
                <w:szCs w:val="18"/>
              </w:rPr>
              <w:fldChar w:fldCharType="begin" w:fldLock="1"/>
            </w:r>
            <w:r w:rsidR="005C47A3" w:rsidRPr="004A68AC">
              <w:rPr>
                <w:b w:val="0"/>
                <w:color w:val="auto"/>
                <w:sz w:val="18"/>
                <w:szCs w:val="18"/>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rPr>
              <w:fldChar w:fldCharType="separate"/>
            </w:r>
            <w:r w:rsidR="00855F83" w:rsidRPr="004A68AC">
              <w:rPr>
                <w:b w:val="0"/>
                <w:noProof/>
                <w:color w:val="auto"/>
                <w:sz w:val="18"/>
                <w:szCs w:val="18"/>
              </w:rPr>
              <w:t>[13]</w:t>
            </w:r>
            <w:r w:rsidRPr="004A68AC">
              <w:rPr>
                <w:sz w:val="18"/>
                <w:szCs w:val="18"/>
              </w:rPr>
              <w:fldChar w:fldCharType="end"/>
            </w:r>
          </w:p>
        </w:tc>
        <w:tc>
          <w:tcPr>
            <w:tcW w:w="1023" w:type="pct"/>
            <w:tcBorders>
              <w:top w:val="single" w:sz="8" w:space="0" w:color="auto"/>
            </w:tcBorders>
            <w:shd w:val="clear" w:color="auto" w:fill="auto"/>
            <w:vAlign w:val="center"/>
          </w:tcPr>
          <w:p w14:paraId="6CD02D31" w14:textId="0F9718CD" w:rsidR="008F3370" w:rsidRPr="004A68AC" w:rsidRDefault="008F3370" w:rsidP="008F337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None</w:t>
            </w:r>
          </w:p>
        </w:tc>
        <w:tc>
          <w:tcPr>
            <w:tcW w:w="1022" w:type="pct"/>
            <w:tcBorders>
              <w:top w:val="single" w:sz="8" w:space="0" w:color="auto"/>
            </w:tcBorders>
            <w:shd w:val="clear" w:color="auto" w:fill="auto"/>
            <w:vAlign w:val="center"/>
          </w:tcPr>
          <w:p w14:paraId="3516DB4B" w14:textId="622627C2" w:rsidR="008F3370" w:rsidRPr="004A68AC" w:rsidRDefault="008F3370" w:rsidP="008F337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0</w:t>
            </w:r>
          </w:p>
        </w:tc>
        <w:tc>
          <w:tcPr>
            <w:tcW w:w="1022" w:type="pct"/>
            <w:tcBorders>
              <w:top w:val="single" w:sz="8" w:space="0" w:color="auto"/>
            </w:tcBorders>
            <w:shd w:val="clear" w:color="auto" w:fill="auto"/>
            <w:vAlign w:val="center"/>
          </w:tcPr>
          <w:p w14:paraId="48E7A81C" w14:textId="77777777" w:rsidR="008F3370" w:rsidRPr="004A68AC" w:rsidRDefault="008F3370" w:rsidP="008F337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Not specified</w:t>
            </w:r>
          </w:p>
        </w:tc>
        <w:tc>
          <w:tcPr>
            <w:tcW w:w="1022" w:type="pct"/>
            <w:tcBorders>
              <w:top w:val="single" w:sz="8" w:space="0" w:color="auto"/>
            </w:tcBorders>
            <w:shd w:val="clear" w:color="auto" w:fill="auto"/>
            <w:vAlign w:val="center"/>
          </w:tcPr>
          <w:p w14:paraId="7A29082B" w14:textId="77777777" w:rsidR="008F3370" w:rsidRPr="004A68AC" w:rsidRDefault="008F3370" w:rsidP="008F337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Not specified</w:t>
            </w:r>
          </w:p>
        </w:tc>
      </w:tr>
      <w:tr w:rsidR="004146A5" w:rsidRPr="004A68AC" w14:paraId="4E90A059" w14:textId="77777777" w:rsidTr="008906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01A31F82" w14:textId="7E445191" w:rsidR="008F3370" w:rsidRPr="004A68AC" w:rsidRDefault="009630B4" w:rsidP="008F3370">
            <w:pPr>
              <w:jc w:val="center"/>
              <w:rPr>
                <w:color w:val="auto"/>
                <w:sz w:val="18"/>
                <w:szCs w:val="18"/>
              </w:rPr>
            </w:pPr>
            <w:r w:rsidRPr="004A68AC">
              <w:rPr>
                <w:color w:val="auto"/>
                <w:sz w:val="18"/>
                <w:szCs w:val="18"/>
              </w:rPr>
              <w:t>ASCE 41</w:t>
            </w:r>
            <w:r w:rsidR="008F3370" w:rsidRPr="004A68AC">
              <w:rPr>
                <w:color w:val="auto"/>
                <w:sz w:val="18"/>
                <w:szCs w:val="18"/>
              </w:rPr>
              <w:t>-06</w:t>
            </w:r>
            <w:r w:rsidR="002B6E6A" w:rsidRPr="004A68AC">
              <w:rPr>
                <w:color w:val="auto"/>
                <w:sz w:val="18"/>
                <w:szCs w:val="18"/>
              </w:rPr>
              <w:t xml:space="preserve"> </w:t>
            </w:r>
            <w:r w:rsidR="002B6E6A" w:rsidRPr="004A68AC">
              <w:rPr>
                <w:sz w:val="18"/>
                <w:szCs w:val="18"/>
              </w:rPr>
              <w:fldChar w:fldCharType="begin" w:fldLock="1"/>
            </w:r>
            <w:r w:rsidR="005C47A3" w:rsidRPr="004A68AC">
              <w:rPr>
                <w:color w:val="auto"/>
                <w:sz w:val="18"/>
                <w:szCs w:val="18"/>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2B6E6A" w:rsidRPr="004A68AC">
              <w:rPr>
                <w:sz w:val="18"/>
                <w:szCs w:val="18"/>
              </w:rPr>
              <w:fldChar w:fldCharType="separate"/>
            </w:r>
            <w:r w:rsidR="00B339CD" w:rsidRPr="004A68AC">
              <w:rPr>
                <w:b w:val="0"/>
                <w:noProof/>
                <w:color w:val="auto"/>
                <w:sz w:val="18"/>
                <w:szCs w:val="18"/>
              </w:rPr>
              <w:t>[15]</w:t>
            </w:r>
            <w:r w:rsidR="002B6E6A" w:rsidRPr="004A68AC">
              <w:rPr>
                <w:sz w:val="18"/>
                <w:szCs w:val="18"/>
              </w:rPr>
              <w:fldChar w:fldCharType="end"/>
            </w:r>
          </w:p>
        </w:tc>
        <w:tc>
          <w:tcPr>
            <w:tcW w:w="1023" w:type="pct"/>
            <w:shd w:val="clear" w:color="auto" w:fill="auto"/>
            <w:vAlign w:val="center"/>
          </w:tcPr>
          <w:p w14:paraId="292D70B2" w14:textId="2D7337EB" w:rsidR="008F3370" w:rsidRPr="004A68AC" w:rsidRDefault="008F3370" w:rsidP="008F337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None</w:t>
            </w:r>
          </w:p>
        </w:tc>
        <w:tc>
          <w:tcPr>
            <w:tcW w:w="1022" w:type="pct"/>
            <w:shd w:val="clear" w:color="auto" w:fill="auto"/>
            <w:vAlign w:val="center"/>
          </w:tcPr>
          <w:p w14:paraId="69FC779F" w14:textId="71044AA4" w:rsidR="008F3370" w:rsidRPr="004A68AC" w:rsidRDefault="006626F8" w:rsidP="008F337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1585EDDA" w14:textId="795EFA4F" w:rsidR="008F3370" w:rsidRPr="004A68AC" w:rsidRDefault="006626F8" w:rsidP="008F337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8.0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4E027007" w14:textId="7F6BED03" w:rsidR="008F3370" w:rsidRPr="004A68AC" w:rsidRDefault="006626F8" w:rsidP="008F3370">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11.0 </w:t>
            </w:r>
            <w:r w:rsidRPr="004A68AC">
              <w:rPr>
                <w:color w:val="auto"/>
                <w:sz w:val="18"/>
                <w:szCs w:val="18"/>
                <w:lang w:eastAsia="it-IT"/>
              </w:rPr>
              <w:t>θ</w:t>
            </w:r>
            <w:r w:rsidRPr="004A68AC">
              <w:rPr>
                <w:color w:val="auto"/>
                <w:sz w:val="18"/>
                <w:szCs w:val="18"/>
                <w:vertAlign w:val="subscript"/>
                <w:lang w:eastAsia="it-IT"/>
              </w:rPr>
              <w:t>y</w:t>
            </w:r>
          </w:p>
        </w:tc>
      </w:tr>
      <w:tr w:rsidR="004146A5" w:rsidRPr="004A68AC" w14:paraId="7D63E849" w14:textId="77777777" w:rsidTr="00890664">
        <w:trPr>
          <w:trHeight w:val="340"/>
        </w:trPr>
        <w:tc>
          <w:tcPr>
            <w:cnfStyle w:val="001000000000" w:firstRow="0" w:lastRow="0" w:firstColumn="1" w:lastColumn="0" w:oddVBand="0" w:evenVBand="0" w:oddHBand="0" w:evenHBand="0" w:firstRowFirstColumn="0" w:firstRowLastColumn="0" w:lastRowFirstColumn="0" w:lastRowLastColumn="0"/>
            <w:tcW w:w="911" w:type="pct"/>
            <w:shd w:val="clear" w:color="auto" w:fill="auto"/>
            <w:vAlign w:val="center"/>
          </w:tcPr>
          <w:p w14:paraId="1D644E13" w14:textId="1D32FA09" w:rsidR="006626F8" w:rsidRPr="004A68AC" w:rsidRDefault="009630B4" w:rsidP="006626F8">
            <w:pPr>
              <w:jc w:val="center"/>
              <w:rPr>
                <w:b w:val="0"/>
                <w:color w:val="auto"/>
                <w:sz w:val="18"/>
                <w:szCs w:val="18"/>
              </w:rPr>
            </w:pPr>
            <w:r w:rsidRPr="004A68AC">
              <w:rPr>
                <w:color w:val="auto"/>
                <w:sz w:val="18"/>
                <w:szCs w:val="18"/>
              </w:rPr>
              <w:t>ASCE 41</w:t>
            </w:r>
            <w:r w:rsidR="006626F8" w:rsidRPr="004A68AC">
              <w:rPr>
                <w:color w:val="auto"/>
                <w:sz w:val="18"/>
                <w:szCs w:val="18"/>
              </w:rPr>
              <w:t>-13</w:t>
            </w:r>
            <w:r w:rsidR="006626F8" w:rsidRPr="004A68AC">
              <w:rPr>
                <w:b w:val="0"/>
                <w:color w:val="auto"/>
                <w:sz w:val="18"/>
                <w:szCs w:val="18"/>
              </w:rPr>
              <w:t xml:space="preserve"> </w:t>
            </w:r>
            <w:r w:rsidR="006626F8" w:rsidRPr="004A68AC">
              <w:rPr>
                <w:sz w:val="18"/>
                <w:szCs w:val="18"/>
              </w:rPr>
              <w:fldChar w:fldCharType="begin" w:fldLock="1"/>
            </w:r>
            <w:r w:rsidR="005C47A3" w:rsidRPr="004A68AC">
              <w:rPr>
                <w:b w:val="0"/>
                <w:color w:val="auto"/>
                <w:sz w:val="18"/>
                <w:szCs w:val="18"/>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6626F8" w:rsidRPr="004A68AC">
              <w:rPr>
                <w:sz w:val="18"/>
                <w:szCs w:val="18"/>
              </w:rPr>
              <w:fldChar w:fldCharType="separate"/>
            </w:r>
            <w:r w:rsidR="00B339CD" w:rsidRPr="004A68AC">
              <w:rPr>
                <w:b w:val="0"/>
                <w:noProof/>
                <w:color w:val="auto"/>
                <w:sz w:val="18"/>
                <w:szCs w:val="18"/>
              </w:rPr>
              <w:t>[18]</w:t>
            </w:r>
            <w:r w:rsidR="006626F8" w:rsidRPr="004A68AC">
              <w:rPr>
                <w:sz w:val="18"/>
                <w:szCs w:val="18"/>
              </w:rPr>
              <w:fldChar w:fldCharType="end"/>
            </w:r>
          </w:p>
        </w:tc>
        <w:tc>
          <w:tcPr>
            <w:tcW w:w="1023" w:type="pct"/>
            <w:shd w:val="clear" w:color="auto" w:fill="auto"/>
            <w:vAlign w:val="center"/>
          </w:tcPr>
          <w:p w14:paraId="463B6A5B" w14:textId="0F186A43" w:rsidR="006626F8" w:rsidRPr="004A68AC" w:rsidRDefault="006626F8"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None</w:t>
            </w:r>
          </w:p>
        </w:tc>
        <w:tc>
          <w:tcPr>
            <w:tcW w:w="1022" w:type="pct"/>
            <w:shd w:val="clear" w:color="auto" w:fill="auto"/>
            <w:vAlign w:val="center"/>
          </w:tcPr>
          <w:p w14:paraId="2C13FD47" w14:textId="073206BB" w:rsidR="006626F8" w:rsidRPr="004A68AC" w:rsidRDefault="006626F8"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15E8667C" w14:textId="06D7EF68" w:rsidR="006626F8" w:rsidRPr="004A68AC" w:rsidRDefault="006626F8"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12.0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0FB066C9" w14:textId="691DFA3B" w:rsidR="006626F8" w:rsidRPr="004A68AC" w:rsidRDefault="006626F8"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color w:val="auto"/>
                <w:sz w:val="18"/>
                <w:szCs w:val="18"/>
              </w:rPr>
              <w:t xml:space="preserve">12.0 </w:t>
            </w:r>
            <w:r w:rsidRPr="004A68AC">
              <w:rPr>
                <w:color w:val="auto"/>
                <w:sz w:val="18"/>
                <w:szCs w:val="18"/>
                <w:lang w:eastAsia="it-IT"/>
              </w:rPr>
              <w:t>θ</w:t>
            </w:r>
            <w:r w:rsidRPr="004A68AC">
              <w:rPr>
                <w:color w:val="auto"/>
                <w:sz w:val="18"/>
                <w:szCs w:val="18"/>
                <w:vertAlign w:val="subscript"/>
                <w:lang w:eastAsia="it-IT"/>
              </w:rPr>
              <w:t>y</w:t>
            </w:r>
          </w:p>
        </w:tc>
      </w:tr>
      <w:tr w:rsidR="004146A5" w:rsidRPr="004A68AC" w14:paraId="559D858B" w14:textId="77777777" w:rsidTr="008906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11" w:type="pct"/>
            <w:vMerge w:val="restart"/>
            <w:shd w:val="clear" w:color="auto" w:fill="auto"/>
            <w:vAlign w:val="center"/>
          </w:tcPr>
          <w:p w14:paraId="078FE102" w14:textId="0CA6E688" w:rsidR="006626F8" w:rsidRPr="004A68AC" w:rsidRDefault="009630B4" w:rsidP="006626F8">
            <w:pPr>
              <w:jc w:val="center"/>
              <w:rPr>
                <w:color w:val="auto"/>
                <w:sz w:val="18"/>
                <w:szCs w:val="18"/>
              </w:rPr>
            </w:pPr>
            <w:r w:rsidRPr="004A68AC">
              <w:rPr>
                <w:color w:val="auto"/>
                <w:sz w:val="18"/>
                <w:szCs w:val="18"/>
              </w:rPr>
              <w:t>ASCE 41</w:t>
            </w:r>
            <w:r w:rsidR="006626F8" w:rsidRPr="004A68AC">
              <w:rPr>
                <w:color w:val="auto"/>
                <w:sz w:val="18"/>
                <w:szCs w:val="18"/>
              </w:rPr>
              <w:t>-17</w:t>
            </w:r>
            <w:r w:rsidR="006626F8" w:rsidRPr="004A68AC">
              <w:rPr>
                <w:b w:val="0"/>
                <w:color w:val="auto"/>
                <w:sz w:val="18"/>
                <w:szCs w:val="18"/>
              </w:rPr>
              <w:t xml:space="preserve"> </w:t>
            </w:r>
            <w:r w:rsidR="006626F8" w:rsidRPr="004A68AC">
              <w:rPr>
                <w:sz w:val="18"/>
                <w:szCs w:val="18"/>
              </w:rPr>
              <w:fldChar w:fldCharType="begin" w:fldLock="1"/>
            </w:r>
            <w:r w:rsidR="005C47A3" w:rsidRPr="004A68AC">
              <w:rPr>
                <w:b w:val="0"/>
                <w:color w:val="auto"/>
                <w:sz w:val="18"/>
                <w:szCs w:val="18"/>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6626F8" w:rsidRPr="004A68AC">
              <w:rPr>
                <w:sz w:val="18"/>
                <w:szCs w:val="18"/>
              </w:rPr>
              <w:fldChar w:fldCharType="separate"/>
            </w:r>
            <w:r w:rsidR="00B339CD" w:rsidRPr="004A68AC">
              <w:rPr>
                <w:b w:val="0"/>
                <w:noProof/>
                <w:color w:val="auto"/>
                <w:sz w:val="18"/>
                <w:szCs w:val="18"/>
              </w:rPr>
              <w:t>[19]</w:t>
            </w:r>
            <w:r w:rsidR="006626F8" w:rsidRPr="004A68AC">
              <w:rPr>
                <w:sz w:val="18"/>
                <w:szCs w:val="18"/>
              </w:rPr>
              <w:fldChar w:fldCharType="end"/>
            </w:r>
            <w:r w:rsidR="006626F8" w:rsidRPr="004A68AC">
              <w:rPr>
                <w:b w:val="0"/>
                <w:color w:val="auto"/>
                <w:sz w:val="18"/>
                <w:szCs w:val="18"/>
                <w:vertAlign w:val="superscript"/>
              </w:rPr>
              <w:t xml:space="preserve"> 1</w:t>
            </w:r>
          </w:p>
        </w:tc>
        <w:tc>
          <w:tcPr>
            <w:tcW w:w="1023" w:type="pct"/>
            <w:shd w:val="clear" w:color="auto" w:fill="auto"/>
            <w:vAlign w:val="center"/>
          </w:tcPr>
          <w:p w14:paraId="7918FAFE" w14:textId="16241419" w:rsidR="006626F8" w:rsidRPr="004A68AC" w:rsidRDefault="006626F8" w:rsidP="006626F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lang w:eastAsia="it-IT"/>
              </w:rPr>
              <w:t>|ν</w:t>
            </w:r>
            <w:r w:rsidRPr="004A68AC">
              <w:rPr>
                <w:color w:val="auto"/>
                <w:sz w:val="18"/>
                <w:szCs w:val="18"/>
                <w:vertAlign w:val="subscript"/>
                <w:lang w:eastAsia="it-IT"/>
              </w:rPr>
              <w:t>G</w:t>
            </w:r>
            <w:r w:rsidRPr="004A68AC">
              <w:rPr>
                <w:color w:val="auto"/>
                <w:sz w:val="18"/>
                <w:szCs w:val="18"/>
                <w:lang w:eastAsia="it-IT"/>
              </w:rPr>
              <w:t>| &lt; 0.4</w:t>
            </w:r>
          </w:p>
        </w:tc>
        <w:tc>
          <w:tcPr>
            <w:tcW w:w="1022" w:type="pct"/>
            <w:shd w:val="clear" w:color="auto" w:fill="auto"/>
            <w:vAlign w:val="center"/>
          </w:tcPr>
          <w:p w14:paraId="35B7C60B" w14:textId="267585F6" w:rsidR="006626F8" w:rsidRPr="004A68AC" w:rsidRDefault="006626F8" w:rsidP="006626F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6635764D" w14:textId="0DC4AAEE" w:rsidR="006626F8" w:rsidRPr="004A68AC" w:rsidRDefault="006626F8" w:rsidP="006626F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12.0 </w:t>
            </w:r>
            <w:r w:rsidRPr="004A68AC">
              <w:rPr>
                <w:color w:val="auto"/>
                <w:sz w:val="18"/>
                <w:szCs w:val="18"/>
                <w:lang w:eastAsia="it-IT"/>
              </w:rPr>
              <w:t>θ</w:t>
            </w:r>
            <w:r w:rsidRPr="004A68AC">
              <w:rPr>
                <w:color w:val="auto"/>
                <w:sz w:val="18"/>
                <w:szCs w:val="18"/>
                <w:vertAlign w:val="subscript"/>
                <w:lang w:eastAsia="it-IT"/>
              </w:rPr>
              <w:t>y</w:t>
            </w:r>
          </w:p>
        </w:tc>
        <w:tc>
          <w:tcPr>
            <w:tcW w:w="1022" w:type="pct"/>
            <w:shd w:val="clear" w:color="auto" w:fill="auto"/>
            <w:vAlign w:val="center"/>
          </w:tcPr>
          <w:p w14:paraId="2C084DCD" w14:textId="006ACCA4" w:rsidR="006626F8" w:rsidRPr="004A68AC" w:rsidRDefault="006626F8" w:rsidP="006626F8">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4A68AC">
              <w:rPr>
                <w:color w:val="auto"/>
                <w:sz w:val="18"/>
                <w:szCs w:val="18"/>
              </w:rPr>
              <w:t xml:space="preserve">12.0 </w:t>
            </w:r>
            <w:r w:rsidRPr="004A68AC">
              <w:rPr>
                <w:color w:val="auto"/>
                <w:sz w:val="18"/>
                <w:szCs w:val="18"/>
                <w:lang w:eastAsia="it-IT"/>
              </w:rPr>
              <w:t>θ</w:t>
            </w:r>
            <w:r w:rsidRPr="004A68AC">
              <w:rPr>
                <w:color w:val="auto"/>
                <w:sz w:val="18"/>
                <w:szCs w:val="18"/>
                <w:vertAlign w:val="subscript"/>
                <w:lang w:eastAsia="it-IT"/>
              </w:rPr>
              <w:t>y</w:t>
            </w:r>
          </w:p>
        </w:tc>
      </w:tr>
      <w:tr w:rsidR="004146A5" w:rsidRPr="004A68AC" w14:paraId="7F6C4724" w14:textId="77777777" w:rsidTr="00890664">
        <w:trPr>
          <w:trHeight w:val="340"/>
        </w:trPr>
        <w:tc>
          <w:tcPr>
            <w:cnfStyle w:val="001000000000" w:firstRow="0" w:lastRow="0" w:firstColumn="1" w:lastColumn="0" w:oddVBand="0" w:evenVBand="0" w:oddHBand="0" w:evenHBand="0" w:firstRowFirstColumn="0" w:firstRowLastColumn="0" w:lastRowFirstColumn="0" w:lastRowLastColumn="0"/>
            <w:tcW w:w="911" w:type="pct"/>
            <w:vMerge/>
            <w:shd w:val="clear" w:color="auto" w:fill="auto"/>
            <w:vAlign w:val="center"/>
          </w:tcPr>
          <w:p w14:paraId="7CD32C5B" w14:textId="706679F8" w:rsidR="002B6E6A" w:rsidRPr="004A68AC" w:rsidRDefault="002B6E6A" w:rsidP="00890664">
            <w:pPr>
              <w:jc w:val="center"/>
              <w:rPr>
                <w:color w:val="auto"/>
                <w:sz w:val="18"/>
                <w:szCs w:val="18"/>
              </w:rPr>
            </w:pPr>
          </w:p>
        </w:tc>
        <w:tc>
          <w:tcPr>
            <w:tcW w:w="1023" w:type="pct"/>
            <w:shd w:val="clear" w:color="auto" w:fill="auto"/>
            <w:vAlign w:val="center"/>
          </w:tcPr>
          <w:p w14:paraId="1AE14397" w14:textId="5EF9A3E6" w:rsidR="002B6E6A" w:rsidRPr="004A68AC" w:rsidRDefault="006626F8" w:rsidP="00890664">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szCs w:val="18"/>
              </w:rPr>
            </w:pPr>
            <w:r w:rsidRPr="004A68AC">
              <w:rPr>
                <w:color w:val="auto"/>
                <w:sz w:val="18"/>
                <w:szCs w:val="18"/>
                <w:lang w:eastAsia="it-IT"/>
              </w:rPr>
              <w:t>|ν</w:t>
            </w:r>
            <w:r w:rsidRPr="004A68AC">
              <w:rPr>
                <w:color w:val="auto"/>
                <w:sz w:val="18"/>
                <w:szCs w:val="18"/>
                <w:vertAlign w:val="subscript"/>
                <w:lang w:eastAsia="it-IT"/>
              </w:rPr>
              <w:t>G</w:t>
            </w:r>
            <w:r w:rsidRPr="004A68AC">
              <w:rPr>
                <w:color w:val="auto"/>
                <w:sz w:val="18"/>
                <w:szCs w:val="18"/>
                <w:lang w:eastAsia="it-IT"/>
              </w:rPr>
              <w:t>| ≥ 0.4</w:t>
            </w:r>
          </w:p>
        </w:tc>
        <w:tc>
          <w:tcPr>
            <w:tcW w:w="1022" w:type="pct"/>
            <w:shd w:val="clear" w:color="auto" w:fill="auto"/>
            <w:vAlign w:val="center"/>
          </w:tcPr>
          <w:p w14:paraId="4C59985E" w14:textId="608E1C01" w:rsidR="002B6E6A" w:rsidRPr="004A68AC" w:rsidRDefault="006626F8"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rFonts w:eastAsia="Calibri"/>
                <w:color w:val="auto"/>
                <w:sz w:val="18"/>
                <w:szCs w:val="18"/>
              </w:rPr>
              <w:t>(5/3)(1-</w:t>
            </w:r>
            <w:r w:rsidRPr="004A68AC">
              <w:rPr>
                <w:color w:val="auto"/>
                <w:sz w:val="18"/>
                <w:szCs w:val="18"/>
                <w:lang w:eastAsia="it-IT"/>
              </w:rPr>
              <w:t>|ν</w:t>
            </w:r>
            <w:r w:rsidRPr="004A68AC">
              <w:rPr>
                <w:color w:val="auto"/>
                <w:sz w:val="18"/>
                <w:szCs w:val="18"/>
                <w:vertAlign w:val="subscript"/>
                <w:lang w:eastAsia="it-IT"/>
              </w:rPr>
              <w:t>G</w:t>
            </w:r>
            <w:r w:rsidRPr="004A68AC">
              <w:rPr>
                <w:color w:val="auto"/>
                <w:sz w:val="18"/>
                <w:szCs w:val="18"/>
                <w:lang w:eastAsia="it-IT"/>
              </w:rPr>
              <w:t>|) θ</w:t>
            </w:r>
            <w:r w:rsidRPr="004A68AC">
              <w:rPr>
                <w:color w:val="auto"/>
                <w:sz w:val="18"/>
                <w:szCs w:val="18"/>
                <w:vertAlign w:val="subscript"/>
                <w:lang w:eastAsia="it-IT"/>
              </w:rPr>
              <w:t>y</w:t>
            </w:r>
          </w:p>
        </w:tc>
        <w:tc>
          <w:tcPr>
            <w:tcW w:w="1022" w:type="pct"/>
            <w:shd w:val="clear" w:color="auto" w:fill="auto"/>
            <w:vAlign w:val="center"/>
          </w:tcPr>
          <w:p w14:paraId="24372AFD" w14:textId="3FE8A723" w:rsidR="002B6E6A" w:rsidRPr="004A68AC" w:rsidRDefault="00F366D1" w:rsidP="006626F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rFonts w:eastAsia="Calibri"/>
                <w:color w:val="auto"/>
                <w:sz w:val="18"/>
                <w:szCs w:val="18"/>
              </w:rPr>
              <w:t>20</w:t>
            </w:r>
            <w:r w:rsidR="006626F8" w:rsidRPr="004A68AC">
              <w:rPr>
                <w:rFonts w:eastAsia="Calibri"/>
                <w:color w:val="auto"/>
                <w:sz w:val="18"/>
                <w:szCs w:val="18"/>
              </w:rPr>
              <w:t>(1-</w:t>
            </w:r>
            <w:r w:rsidR="006626F8" w:rsidRPr="004A68AC">
              <w:rPr>
                <w:color w:val="auto"/>
                <w:sz w:val="18"/>
                <w:szCs w:val="18"/>
                <w:lang w:eastAsia="it-IT"/>
              </w:rPr>
              <w:t>|ν</w:t>
            </w:r>
            <w:r w:rsidR="006626F8" w:rsidRPr="004A68AC">
              <w:rPr>
                <w:color w:val="auto"/>
                <w:sz w:val="18"/>
                <w:szCs w:val="18"/>
                <w:vertAlign w:val="subscript"/>
                <w:lang w:eastAsia="it-IT"/>
              </w:rPr>
              <w:t>G</w:t>
            </w:r>
            <w:r w:rsidR="006626F8" w:rsidRPr="004A68AC">
              <w:rPr>
                <w:color w:val="auto"/>
                <w:sz w:val="18"/>
                <w:szCs w:val="18"/>
                <w:lang w:eastAsia="it-IT"/>
              </w:rPr>
              <w:t>|) θ</w:t>
            </w:r>
            <w:r w:rsidR="006626F8" w:rsidRPr="004A68AC">
              <w:rPr>
                <w:color w:val="auto"/>
                <w:sz w:val="18"/>
                <w:szCs w:val="18"/>
                <w:vertAlign w:val="subscript"/>
                <w:lang w:eastAsia="it-IT"/>
              </w:rPr>
              <w:t>y</w:t>
            </w:r>
          </w:p>
        </w:tc>
        <w:tc>
          <w:tcPr>
            <w:tcW w:w="1022" w:type="pct"/>
            <w:shd w:val="clear" w:color="auto" w:fill="auto"/>
            <w:vAlign w:val="center"/>
          </w:tcPr>
          <w:p w14:paraId="7378E168" w14:textId="3A6A7132" w:rsidR="002B6E6A" w:rsidRPr="004A68AC" w:rsidRDefault="00D657A9" w:rsidP="00890664">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4A68AC">
              <w:rPr>
                <w:rFonts w:eastAsia="Calibri"/>
                <w:color w:val="auto"/>
                <w:sz w:val="18"/>
                <w:szCs w:val="18"/>
              </w:rPr>
              <w:t>20</w:t>
            </w:r>
            <w:r w:rsidR="006626F8" w:rsidRPr="004A68AC">
              <w:rPr>
                <w:rFonts w:eastAsia="Calibri"/>
                <w:color w:val="auto"/>
                <w:sz w:val="18"/>
                <w:szCs w:val="18"/>
              </w:rPr>
              <w:t>(1-</w:t>
            </w:r>
            <w:r w:rsidR="006626F8" w:rsidRPr="004A68AC">
              <w:rPr>
                <w:color w:val="auto"/>
                <w:sz w:val="18"/>
                <w:szCs w:val="18"/>
                <w:lang w:eastAsia="it-IT"/>
              </w:rPr>
              <w:t>|ν</w:t>
            </w:r>
            <w:r w:rsidR="006626F8" w:rsidRPr="004A68AC">
              <w:rPr>
                <w:color w:val="auto"/>
                <w:sz w:val="18"/>
                <w:szCs w:val="18"/>
                <w:vertAlign w:val="subscript"/>
                <w:lang w:eastAsia="it-IT"/>
              </w:rPr>
              <w:t>G</w:t>
            </w:r>
            <w:r w:rsidR="006626F8" w:rsidRPr="004A68AC">
              <w:rPr>
                <w:color w:val="auto"/>
                <w:sz w:val="18"/>
                <w:szCs w:val="18"/>
                <w:lang w:eastAsia="it-IT"/>
              </w:rPr>
              <w:t>|) θ</w:t>
            </w:r>
            <w:r w:rsidR="006626F8" w:rsidRPr="004A68AC">
              <w:rPr>
                <w:color w:val="auto"/>
                <w:sz w:val="18"/>
                <w:szCs w:val="18"/>
                <w:vertAlign w:val="subscript"/>
                <w:lang w:eastAsia="it-IT"/>
              </w:rPr>
              <w:t>y</w:t>
            </w:r>
          </w:p>
        </w:tc>
      </w:tr>
    </w:tbl>
    <w:p w14:paraId="4616A54B" w14:textId="25A284D2" w:rsidR="003D023C" w:rsidRPr="004A68AC" w:rsidRDefault="00FA14EB" w:rsidP="00833D4E">
      <w:pPr>
        <w:rPr>
          <w:b/>
          <w:bCs/>
          <w:sz w:val="18"/>
          <w:szCs w:val="18"/>
          <w:vertAlign w:val="subscript"/>
          <w:lang w:val="en-US" w:eastAsia="it-IT"/>
        </w:rPr>
      </w:pPr>
      <w:r w:rsidRPr="004A68AC">
        <w:rPr>
          <w:sz w:val="18"/>
          <w:szCs w:val="18"/>
          <w:vertAlign w:val="superscript"/>
          <w:lang w:val="en-US"/>
        </w:rPr>
        <w:t>1</w:t>
      </w:r>
      <w:r w:rsidRPr="004A68AC">
        <w:rPr>
          <w:sz w:val="18"/>
          <w:szCs w:val="18"/>
          <w:lang w:val="en-US"/>
        </w:rPr>
        <w:t xml:space="preserve"> </w:t>
      </w:r>
      <w:r w:rsidRPr="004A68AC">
        <w:rPr>
          <w:sz w:val="18"/>
          <w:szCs w:val="18"/>
          <w:lang w:val="en-US" w:eastAsia="it-IT"/>
        </w:rPr>
        <w:t>θ</w:t>
      </w:r>
      <w:r w:rsidRPr="004A68AC">
        <w:rPr>
          <w:sz w:val="18"/>
          <w:szCs w:val="18"/>
          <w:vertAlign w:val="subscript"/>
          <w:lang w:val="en-US" w:eastAsia="it-IT"/>
        </w:rPr>
        <w:t>y</w:t>
      </w:r>
      <w:r w:rsidRPr="004A68AC">
        <w:rPr>
          <w:sz w:val="18"/>
          <w:szCs w:val="18"/>
          <w:lang w:val="en-US" w:eastAsia="it-IT"/>
        </w:rPr>
        <w:t xml:space="preserve"> ≡ </w:t>
      </w:r>
      <w:r w:rsidR="00DE54AF" w:rsidRPr="004A68AC">
        <w:rPr>
          <w:sz w:val="18"/>
          <w:szCs w:val="18"/>
          <w:lang w:val="en-US" w:eastAsia="it-IT"/>
        </w:rPr>
        <w:t>γ</w:t>
      </w:r>
      <w:r w:rsidR="00DE54AF" w:rsidRPr="004A68AC">
        <w:rPr>
          <w:b/>
          <w:bCs/>
          <w:sz w:val="18"/>
          <w:szCs w:val="18"/>
          <w:vertAlign w:val="subscript"/>
          <w:lang w:val="en-US" w:eastAsia="it-IT"/>
        </w:rPr>
        <w:t>y</w:t>
      </w:r>
    </w:p>
    <w:p w14:paraId="66CE44A1" w14:textId="77777777" w:rsidR="001841D9" w:rsidRPr="004A68AC" w:rsidRDefault="001841D9" w:rsidP="00833D4E">
      <w:pPr>
        <w:rPr>
          <w:sz w:val="18"/>
          <w:szCs w:val="18"/>
          <w:lang w:val="en-US" w:eastAsia="it-IT"/>
        </w:rPr>
      </w:pPr>
    </w:p>
    <w:p w14:paraId="27EDEEB8" w14:textId="6CFB0C3F" w:rsidR="000B2EF7" w:rsidRPr="004A68AC" w:rsidRDefault="00E93718" w:rsidP="00CF7EF8">
      <w:pPr>
        <w:jc w:val="center"/>
        <w:rPr>
          <w:lang w:val="en-US"/>
        </w:rPr>
      </w:pPr>
      <w:r w:rsidRPr="004A68AC">
        <w:rPr>
          <w:noProof/>
          <w:lang w:val="en-US" w:eastAsia="en-GB"/>
        </w:rPr>
        <w:lastRenderedPageBreak/>
        <mc:AlternateContent>
          <mc:Choice Requires="wps">
            <w:drawing>
              <wp:anchor distT="0" distB="0" distL="114300" distR="114300" simplePos="0" relativeHeight="251816960" behindDoc="0" locked="0" layoutInCell="1" allowOverlap="1" wp14:anchorId="29C75ECA" wp14:editId="54E6CD50">
                <wp:simplePos x="0" y="0"/>
                <wp:positionH relativeFrom="column">
                  <wp:posOffset>2139116</wp:posOffset>
                </wp:positionH>
                <wp:positionV relativeFrom="paragraph">
                  <wp:posOffset>157906</wp:posOffset>
                </wp:positionV>
                <wp:extent cx="532045" cy="334371"/>
                <wp:effectExtent l="0" t="0" r="20955" b="27940"/>
                <wp:wrapNone/>
                <wp:docPr id="76" name="Rectangle 76"/>
                <wp:cNvGraphicFramePr/>
                <a:graphic xmlns:a="http://schemas.openxmlformats.org/drawingml/2006/main">
                  <a:graphicData uri="http://schemas.microsoft.com/office/word/2010/wordprocessingShape">
                    <wps:wsp>
                      <wps:cNvSpPr/>
                      <wps:spPr>
                        <a:xfrm>
                          <a:off x="0" y="0"/>
                          <a:ext cx="532045" cy="33437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004BB2" w14:textId="77777777" w:rsidR="00F534F9" w:rsidRPr="00467AE7" w:rsidRDefault="00204274" w:rsidP="00E93718">
                            <w:pPr>
                              <w:jc w:val="center"/>
                              <w:rPr>
                                <w:rFonts w:asciiTheme="minorHAnsi" w:eastAsiaTheme="minorEastAsia" w:hAnsiTheme="minorHAnsi" w:cstheme="minorBidi"/>
                                <w:sz w:val="14"/>
                                <w:szCs w:val="14"/>
                              </w:rPr>
                            </w:pPr>
                            <m:oMathPara>
                              <m:oMathParaPr>
                                <m:jc m:val="left"/>
                              </m:oMathParaPr>
                              <m:oMath>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ν</m:t>
                                    </m:r>
                                  </m:e>
                                  <m:sub>
                                    <m:r>
                                      <w:rPr>
                                        <w:rFonts w:ascii="Cambria Math" w:eastAsiaTheme="minorEastAsia" w:hAnsi="Cambria Math" w:cstheme="minorBidi"/>
                                        <w:sz w:val="14"/>
                                        <w:szCs w:val="14"/>
                                      </w:rPr>
                                      <m:t>G</m:t>
                                    </m:r>
                                  </m:sub>
                                </m:sSub>
                                <m:r>
                                  <w:rPr>
                                    <w:rFonts w:ascii="Cambria Math" w:eastAsiaTheme="minorEastAsia" w:hAnsi="Cambria Math" w:cstheme="minorBidi"/>
                                    <w:sz w:val="14"/>
                                    <w:szCs w:val="14"/>
                                  </w:rPr>
                                  <m:t>=</m:t>
                                </m:r>
                                <m:f>
                                  <m:fPr>
                                    <m:ctrlPr>
                                      <w:rPr>
                                        <w:rFonts w:ascii="Cambria Math" w:eastAsiaTheme="minorEastAsia" w:hAnsi="Cambria Math" w:cstheme="minorBidi"/>
                                        <w:i/>
                                        <w:sz w:val="14"/>
                                        <w:szCs w:val="14"/>
                                      </w:rPr>
                                    </m:ctrlPr>
                                  </m:fPr>
                                  <m:num>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P</m:t>
                                        </m:r>
                                      </m:e>
                                      <m:sub>
                                        <m:r>
                                          <w:rPr>
                                            <w:rFonts w:ascii="Cambria Math" w:eastAsiaTheme="minorEastAsia" w:hAnsi="Cambria Math" w:cstheme="minorBidi"/>
                                            <w:sz w:val="14"/>
                                            <w:szCs w:val="14"/>
                                          </w:rPr>
                                          <m:t>G</m:t>
                                        </m:r>
                                      </m:sub>
                                    </m:sSub>
                                  </m:num>
                                  <m:den>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P</m:t>
                                        </m:r>
                                      </m:e>
                                      <m:sub>
                                        <m:r>
                                          <w:rPr>
                                            <w:rFonts w:ascii="Cambria Math" w:eastAsiaTheme="minorEastAsia" w:hAnsi="Cambria Math" w:cstheme="minorBidi"/>
                                            <w:sz w:val="14"/>
                                            <w:szCs w:val="14"/>
                                          </w:rPr>
                                          <m:t>ye</m:t>
                                        </m:r>
                                      </m:sub>
                                    </m:sSub>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5ECA" id="Rectangle 76" o:spid="_x0000_s1034" style="position:absolute;left:0;text-align:left;margin-left:168.45pt;margin-top:12.45pt;width:41.9pt;height:26.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" fillcolor="white [3201]" strokecolor="black [3200]">
                <v:textbox>
                  <w:txbxContent>
                    <w:p w14:paraId="10004BB2" w14:textId="77777777" w:rsidR="00F534F9" w:rsidRPr="00467AE7" w:rsidRDefault="00204274" w:rsidP="00E93718">
                      <w:pPr>
                        <w:jc w:val="center"/>
                        <w:rPr>
                          <w:rFonts w:asciiTheme="minorHAnsi" w:eastAsiaTheme="minorEastAsia" w:hAnsiTheme="minorHAnsi" w:cstheme="minorBidi"/>
                          <w:sz w:val="14"/>
                          <w:szCs w:val="14"/>
                        </w:rPr>
                      </w:pPr>
                      <m:oMathPara>
                        <m:oMathParaPr>
                          <m:jc m:val="left"/>
                        </m:oMathParaPr>
                        <m:oMath>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ν</m:t>
                              </m:r>
                            </m:e>
                            <m:sub>
                              <m:r>
                                <w:rPr>
                                  <w:rFonts w:ascii="Cambria Math" w:eastAsiaTheme="minorEastAsia" w:hAnsi="Cambria Math" w:cstheme="minorBidi"/>
                                  <w:sz w:val="14"/>
                                  <w:szCs w:val="14"/>
                                </w:rPr>
                                <m:t>G</m:t>
                              </m:r>
                            </m:sub>
                          </m:sSub>
                          <m:r>
                            <w:rPr>
                              <w:rFonts w:ascii="Cambria Math" w:eastAsiaTheme="minorEastAsia" w:hAnsi="Cambria Math" w:cstheme="minorBidi"/>
                              <w:sz w:val="14"/>
                              <w:szCs w:val="14"/>
                            </w:rPr>
                            <m:t>=</m:t>
                          </m:r>
                          <m:f>
                            <m:fPr>
                              <m:ctrlPr>
                                <w:rPr>
                                  <w:rFonts w:ascii="Cambria Math" w:eastAsiaTheme="minorEastAsia" w:hAnsi="Cambria Math" w:cstheme="minorBidi"/>
                                  <w:i/>
                                  <w:sz w:val="14"/>
                                  <w:szCs w:val="14"/>
                                </w:rPr>
                              </m:ctrlPr>
                            </m:fPr>
                            <m:num>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P</m:t>
                                  </m:r>
                                </m:e>
                                <m:sub>
                                  <m:r>
                                    <w:rPr>
                                      <w:rFonts w:ascii="Cambria Math" w:eastAsiaTheme="minorEastAsia" w:hAnsi="Cambria Math" w:cstheme="minorBidi"/>
                                      <w:sz w:val="14"/>
                                      <w:szCs w:val="14"/>
                                    </w:rPr>
                                    <m:t>G</m:t>
                                  </m:r>
                                </m:sub>
                              </m:sSub>
                            </m:num>
                            <m:den>
                              <m:sSub>
                                <m:sSubPr>
                                  <m:ctrlPr>
                                    <w:rPr>
                                      <w:rFonts w:ascii="Cambria Math" w:eastAsiaTheme="minorEastAsia" w:hAnsi="Cambria Math" w:cstheme="minorBidi"/>
                                      <w:i/>
                                      <w:sz w:val="14"/>
                                      <w:szCs w:val="14"/>
                                    </w:rPr>
                                  </m:ctrlPr>
                                </m:sSubPr>
                                <m:e>
                                  <m:r>
                                    <w:rPr>
                                      <w:rFonts w:ascii="Cambria Math" w:eastAsiaTheme="minorEastAsia" w:hAnsi="Cambria Math" w:cstheme="minorBidi"/>
                                      <w:sz w:val="14"/>
                                      <w:szCs w:val="14"/>
                                    </w:rPr>
                                    <m:t>P</m:t>
                                  </m:r>
                                </m:e>
                                <m:sub>
                                  <m:r>
                                    <w:rPr>
                                      <w:rFonts w:ascii="Cambria Math" w:eastAsiaTheme="minorEastAsia" w:hAnsi="Cambria Math" w:cstheme="minorBidi"/>
                                      <w:sz w:val="14"/>
                                      <w:szCs w:val="14"/>
                                    </w:rPr>
                                    <m:t>ye</m:t>
                                  </m:r>
                                </m:sub>
                              </m:sSub>
                            </m:den>
                          </m:f>
                        </m:oMath>
                      </m:oMathPara>
                    </w:p>
                  </w:txbxContent>
                </v:textbox>
              </v:rect>
            </w:pict>
          </mc:Fallback>
        </mc:AlternateContent>
      </w:r>
      <w:r w:rsidR="004F66CE" w:rsidRPr="004A68AC">
        <w:rPr>
          <w:noProof/>
          <w:lang w:val="en-US"/>
        </w:rPr>
        <w:drawing>
          <wp:inline distT="0" distB="0" distL="0" distR="0" wp14:anchorId="5058BB37" wp14:editId="0DA1BB4B">
            <wp:extent cx="2863829" cy="2565779"/>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8">
                      <a:extLst>
                        <a:ext uri="{28A0092B-C50C-407E-A947-70E740481C1C}">
                          <a14:useLocalDpi xmlns:a14="http://schemas.microsoft.com/office/drawing/2010/main" val="0"/>
                        </a:ext>
                      </a:extLst>
                    </a:blip>
                    <a:srcRect t="8336" b="2071"/>
                    <a:stretch/>
                  </pic:blipFill>
                  <pic:spPr bwMode="auto">
                    <a:xfrm>
                      <a:off x="0" y="0"/>
                      <a:ext cx="2863850" cy="2565798"/>
                    </a:xfrm>
                    <a:prstGeom prst="rect">
                      <a:avLst/>
                    </a:prstGeom>
                    <a:noFill/>
                    <a:ln>
                      <a:noFill/>
                    </a:ln>
                    <a:extLst>
                      <a:ext uri="{53640926-AAD7-44D8-BBD7-CCE9431645EC}">
                        <a14:shadowObscured xmlns:a14="http://schemas.microsoft.com/office/drawing/2010/main"/>
                      </a:ext>
                    </a:extLst>
                  </pic:spPr>
                </pic:pic>
              </a:graphicData>
            </a:graphic>
          </wp:inline>
        </w:drawing>
      </w:r>
    </w:p>
    <w:p w14:paraId="08B9F556" w14:textId="495A27BB" w:rsidR="007C58C1" w:rsidRPr="004A68AC" w:rsidRDefault="00E23602" w:rsidP="007C58C1">
      <w:pPr>
        <w:pStyle w:val="Caption"/>
        <w:spacing w:after="0"/>
        <w:rPr>
          <w:lang w:val="en-US"/>
        </w:rPr>
      </w:pPr>
      <w:bookmarkStart w:id="22" w:name="_Ref38922133"/>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00292616" w:rsidRPr="004A68AC">
        <w:rPr>
          <w:b/>
          <w:noProof/>
          <w:lang w:val="en-US"/>
        </w:rPr>
        <w:t>6</w:t>
      </w:r>
      <w:r w:rsidRPr="004A68AC">
        <w:rPr>
          <w:b/>
          <w:lang w:val="en-US"/>
        </w:rPr>
        <w:fldChar w:fldCharType="end"/>
      </w:r>
      <w:bookmarkEnd w:id="22"/>
      <w:r w:rsidRPr="004A68AC">
        <w:rPr>
          <w:b/>
          <w:lang w:val="en-US"/>
        </w:rPr>
        <w:t>.</w:t>
      </w:r>
      <w:r w:rsidRPr="004A68AC">
        <w:rPr>
          <w:lang w:val="en-US"/>
        </w:rPr>
        <w:t xml:space="preserve"> </w:t>
      </w:r>
      <w:r w:rsidR="007C58C1" w:rsidRPr="004A68AC">
        <w:rPr>
          <w:lang w:val="en-US"/>
        </w:rPr>
        <w:t>Normalized rotation capacity limits (θ/θ</w:t>
      </w:r>
      <w:r w:rsidR="007C58C1" w:rsidRPr="004A68AC">
        <w:rPr>
          <w:vertAlign w:val="subscript"/>
          <w:lang w:val="en-US"/>
        </w:rPr>
        <w:t>y</w:t>
      </w:r>
      <w:r w:rsidR="007C58C1" w:rsidRPr="004A68AC">
        <w:rPr>
          <w:lang w:val="en-US"/>
        </w:rPr>
        <w:t>) for panel zones vs. dimensionless axial force ν</w:t>
      </w:r>
      <w:r w:rsidR="007C58C1" w:rsidRPr="004A68AC">
        <w:rPr>
          <w:vertAlign w:val="subscript"/>
          <w:lang w:val="en-US"/>
        </w:rPr>
        <w:t>G</w:t>
      </w:r>
      <w:r w:rsidR="007C58C1" w:rsidRPr="004A68AC">
        <w:rPr>
          <w:lang w:val="en-US"/>
        </w:rPr>
        <w:t>.</w:t>
      </w:r>
    </w:p>
    <w:p w14:paraId="22B31A6F" w14:textId="259C0990" w:rsidR="001D1C4A" w:rsidRPr="004A68AC" w:rsidRDefault="001D1C4A" w:rsidP="001D1C4A">
      <w:pPr>
        <w:rPr>
          <w:lang w:val="en-US" w:eastAsia="it-IT"/>
        </w:rPr>
      </w:pPr>
    </w:p>
    <w:p w14:paraId="356B9AC9" w14:textId="77C4C1D8" w:rsidR="001D1C4A" w:rsidRPr="004A68AC" w:rsidRDefault="001D1C4A" w:rsidP="006C2442">
      <w:pPr>
        <w:pStyle w:val="Heading3"/>
        <w:spacing w:before="0" w:after="0"/>
        <w:rPr>
          <w:b w:val="0"/>
          <w:i/>
          <w:szCs w:val="20"/>
          <w:lang w:val="en-US"/>
        </w:rPr>
      </w:pPr>
      <w:r w:rsidRPr="004A68AC">
        <w:rPr>
          <w:rFonts w:ascii="Times New Roman" w:hAnsi="Times New Roman"/>
          <w:bCs w:val="0"/>
          <w:i/>
          <w:sz w:val="20"/>
          <w:szCs w:val="20"/>
          <w:lang w:val="en-US"/>
        </w:rPr>
        <w:t>3.3 Code-based global engineering demand parameters (EDPs)</w:t>
      </w:r>
    </w:p>
    <w:p w14:paraId="5633D723" w14:textId="4713E22C" w:rsidR="007A3028" w:rsidRPr="004A68AC" w:rsidRDefault="00E41743" w:rsidP="001D1C4A">
      <w:pPr>
        <w:rPr>
          <w:lang w:val="en-US" w:eastAsia="it-IT"/>
        </w:rPr>
      </w:pPr>
      <w:r w:rsidRPr="004A68AC">
        <w:rPr>
          <w:lang w:val="en-US" w:eastAsia="it-IT"/>
        </w:rPr>
        <w:t>One of the limitations in the use of local EDPs for the assessment of structures is the complexity of monitoring the components individually, especially when the assessment is done under multiple ground-motion sequences (</w:t>
      </w:r>
      <w:r w:rsidRPr="004A68AC">
        <w:rPr>
          <w:i/>
          <w:iCs/>
          <w:lang w:val="en-US" w:eastAsia="it-IT"/>
        </w:rPr>
        <w:t>i.e.</w:t>
      </w:r>
      <w:r w:rsidRPr="004A68AC">
        <w:rPr>
          <w:lang w:val="en-US" w:eastAsia="it-IT"/>
        </w:rPr>
        <w:t xml:space="preserve">, IDA). </w:t>
      </w:r>
      <w:r w:rsidR="000074BE" w:rsidRPr="004A68AC">
        <w:rPr>
          <w:lang w:val="en-US" w:eastAsia="it-IT"/>
        </w:rPr>
        <w:t>To overcome this issue, g</w:t>
      </w:r>
      <w:r w:rsidR="00391E31" w:rsidRPr="004A68AC">
        <w:rPr>
          <w:lang w:val="en-US" w:eastAsia="it-IT"/>
        </w:rPr>
        <w:t>lobal EDPs, such as the IDR</w:t>
      </w:r>
      <w:r w:rsidR="006C2442" w:rsidRPr="004A68AC">
        <w:rPr>
          <w:lang w:val="en-US" w:eastAsia="it-IT"/>
        </w:rPr>
        <w:t>.</w:t>
      </w:r>
      <w:r w:rsidR="00391E31" w:rsidRPr="004A68AC">
        <w:rPr>
          <w:lang w:val="en-US" w:eastAsia="it-IT"/>
        </w:rPr>
        <w:t xml:space="preserve"> are often used to synthetically describe the seismic response and indirectly monitor the demand imposed on the components. </w:t>
      </w:r>
      <w:r w:rsidR="0082729E" w:rsidRPr="004A68AC">
        <w:rPr>
          <w:lang w:val="en-US" w:eastAsia="it-IT"/>
        </w:rPr>
        <w:t xml:space="preserve">However, this approach could be suitable in new ductile structures designed by following modern seismic rules, that ensures well-established relationships between local failures and the global response, while may not be appropriate in existing buildings </w:t>
      </w:r>
      <w:r w:rsidR="00391E31" w:rsidRPr="004A68AC">
        <w:rPr>
          <w:lang w:val="en-US" w:eastAsia="it-IT"/>
        </w:rPr>
        <w:t>[33]</w:t>
      </w:r>
      <w:r w:rsidR="000074BE" w:rsidRPr="004A68AC">
        <w:rPr>
          <w:lang w:val="en-US" w:eastAsia="it-IT"/>
        </w:rPr>
        <w:t xml:space="preserve">. </w:t>
      </w:r>
      <w:r w:rsidR="00604861" w:rsidRPr="004A68AC">
        <w:rPr>
          <w:lang w:val="en-US" w:eastAsia="it-IT"/>
        </w:rPr>
        <w:t xml:space="preserve">Some authors </w:t>
      </w:r>
      <w:r w:rsidR="000074BE" w:rsidRPr="004A68AC">
        <w:rPr>
          <w:lang w:val="en-US" w:eastAsia="it-IT"/>
        </w:rPr>
        <w:t xml:space="preserve">proposed </w:t>
      </w:r>
      <w:r w:rsidR="00604861" w:rsidRPr="004A68AC">
        <w:rPr>
          <w:lang w:val="en-US" w:eastAsia="it-IT"/>
        </w:rPr>
        <w:t xml:space="preserve">mapping </w:t>
      </w:r>
      <w:r w:rsidR="00CC691C" w:rsidRPr="004A68AC">
        <w:rPr>
          <w:lang w:val="en-US" w:eastAsia="it-IT"/>
        </w:rPr>
        <w:t xml:space="preserve">limits for </w:t>
      </w:r>
      <w:r w:rsidR="00604861" w:rsidRPr="004A68AC">
        <w:rPr>
          <w:lang w:val="en-US" w:eastAsia="it-IT"/>
        </w:rPr>
        <w:t xml:space="preserve">global </w:t>
      </w:r>
      <w:r w:rsidR="00CC691C" w:rsidRPr="004A68AC">
        <w:rPr>
          <w:lang w:val="en-US" w:eastAsia="it-IT"/>
        </w:rPr>
        <w:t xml:space="preserve">EDPs </w:t>
      </w:r>
      <w:r w:rsidR="00CC7E87" w:rsidRPr="004A68AC">
        <w:rPr>
          <w:lang w:val="en-US" w:eastAsia="it-IT"/>
        </w:rPr>
        <w:t>(such as for IDR)</w:t>
      </w:r>
      <w:r w:rsidR="00604861" w:rsidRPr="004A68AC">
        <w:rPr>
          <w:lang w:val="en-US" w:eastAsia="it-IT"/>
        </w:rPr>
        <w:t xml:space="preserve"> based on the demands imposed on local elements (</w:t>
      </w:r>
      <w:r w:rsidR="00604861" w:rsidRPr="004A68AC">
        <w:rPr>
          <w:i/>
          <w:iCs/>
          <w:lang w:val="en-US" w:eastAsia="it-IT"/>
        </w:rPr>
        <w:t>e.g.</w:t>
      </w:r>
      <w:r w:rsidR="00604861" w:rsidRPr="004A68AC">
        <w:rPr>
          <w:lang w:val="en-US" w:eastAsia="it-IT"/>
        </w:rPr>
        <w:t xml:space="preserve">, </w:t>
      </w:r>
      <w:r w:rsidR="00604861" w:rsidRPr="004A68AC">
        <w:rPr>
          <w:lang w:val="en-US" w:eastAsia="it-IT"/>
        </w:rPr>
        <w:fldChar w:fldCharType="begin" w:fldLock="1"/>
      </w:r>
      <w:r w:rsidR="005C47A3" w:rsidRPr="004A68AC">
        <w:rPr>
          <w:lang w:val="en-US" w:eastAsia="it-IT"/>
        </w:rPr>
        <w:instrText>ADDIN CSL_CITATION {"citationItems":[{"id":"ITEM-1","itemData":{"DOI":"10.1016/j.jcsr.2021.106543","author":[{"dropping-particle":"","family":"Elettore","given":"Elena","non-dropping-particle":"","parse-names":false,"suffix":""},{"dropping-particle":"","family":"Freddi","given":"Fabio","non-dropping-particle":"","parse-names":false,"suffix":""},{"dropping-particle":"","family":"Latour","given":"Massimo","non-dropping-particle":"","parse-names":false,"suffix":""},{"dropping-particle":"","family":"Rizzano","given":"Gianvittorio","non-dropping-particle":"","parse-names":false,"suffix":""}],"container-title":"Journal of Constructional Steel Research","id":"ITEM-1","issued":{"date-parts":[["2021"]]},"title":"Design and analysis of a seismic resilient steel moment resisting frame equipped with damage-free self-centering column bases","type":"article-journal"},"uris":["http://www.mendeley.com/documents/?uuid=fcc2761b-1aaf-4a18-a1f4-32a1e323dba9"]},{"id":"ITEM-2","itemData":{"DOI":"10.1007/s10518-020-01006-8","ISBN":"0123456789","ISSN":"15731456","abstract":"This study investigates the effects of ground-motion sequences on fragility and vulnerability of reinforced concrete (RC) moment-resisting frames (MRFs). Two four-storey, four-bay RC MRFs are selected as case studies. These structures, which share the same geometry, are representative of distinct vulnerability classes in the Mediterranean region and are characterized by different material properties, cross-section dimensions, and detailing. The first case study is a ductile MRF designed according to Eurocode 8 (i.e., a special-code frame), while the second is a non-ductile MRF designed to sustain only gravity loads (i.e., a pre-code frame). The influence of masonry infills on their seismic performance is also investigated. Advanced numerical models are developed to perform cloud-based sequential nonlinear time history analyses using ground-motion sequences assembled by randomly pairing two real records via Latin hypercube sampling. Different structure-specific damage states are considered to derive fragility curves for the undamaged structures, when subjected to a single ground-motion record, and state-dependent fragility curves by considering the additional damage induced by a second ground-motion record within the sequence. Damage-to-loss models are then used to derive mean vulnerability relationships. Results of the analysis show the importance of considering the effect of damage accumulation in the pre-code frames. Moreover, the presence of infills shows an overall positive contribution to the seismic performance of both frame types. Vector-valued vulnerability relationships accounting for the damaging effect of two ground-motion records are finally presented in the form of mean vulnerability surfaces.","author":[{"dropping-particle":"","family":"Aljawhari","given":"Karim","non-dropping-particle":"","parse-names":false,"suffix":""},{"dropping-particle":"","family":"Gentile","given":"Roberto","non-dropping-particle":"","parse-names":false,"suffix":""},{"dropping-particle":"","family":"Freddi","given":"Fabio","non-dropping-particle":"","parse-names":false,"suffix":""},{"dropping-particle":"","family":"Galasso","given":"Carmine","non-dropping-particle":"","parse-names":false,"suffix":""}],"container-title":"Bulletin of Earthquake Engineering","id":"ITEM-2","issue":"0123456789","issued":{"date-parts":[["2020"]]},"publisher":"Springer Netherlands","title":"Effects of ground-motion sequences on fragility and vulnerability of case-study reinforced concrete frames","type":"book"},"uris":["http://www.mendeley.com/documents/?uuid=37dead6b-00cb-4c9f-b8fa-0b45fcab4fcf"]}],"mendeley":{"formattedCitation":"[44,45]","plainTextFormattedCitation":"[44,45]","previouslyFormattedCitation":"[44,45]"},"properties":{"noteIndex":0},"schema":"https://github.com/citation-style-language/schema/raw/master/csl-citation.json"}</w:instrText>
      </w:r>
      <w:r w:rsidR="00604861" w:rsidRPr="004A68AC">
        <w:rPr>
          <w:lang w:val="en-US" w:eastAsia="it-IT"/>
        </w:rPr>
        <w:fldChar w:fldCharType="separate"/>
      </w:r>
      <w:r w:rsidR="006C2442" w:rsidRPr="004A68AC">
        <w:rPr>
          <w:noProof/>
          <w:lang w:val="en-US" w:eastAsia="it-IT"/>
        </w:rPr>
        <w:t>[44,45]</w:t>
      </w:r>
      <w:r w:rsidR="00604861" w:rsidRPr="004A68AC">
        <w:rPr>
          <w:lang w:val="en-US" w:eastAsia="it-IT"/>
        </w:rPr>
        <w:fldChar w:fldCharType="end"/>
      </w:r>
      <w:r w:rsidR="00604861" w:rsidRPr="004A68AC">
        <w:rPr>
          <w:lang w:val="en-US" w:eastAsia="it-IT"/>
        </w:rPr>
        <w:t xml:space="preserve">) </w:t>
      </w:r>
      <w:r w:rsidR="00CC7E87" w:rsidRPr="004A68AC">
        <w:rPr>
          <w:lang w:val="en-US" w:eastAsia="it-IT"/>
        </w:rPr>
        <w:t>obtained through</w:t>
      </w:r>
      <w:r w:rsidR="00604861" w:rsidRPr="004A68AC">
        <w:rPr>
          <w:lang w:val="en-US" w:eastAsia="it-IT"/>
        </w:rPr>
        <w:t xml:space="preserve"> non-linear static analyses</w:t>
      </w:r>
      <w:r w:rsidR="00CC7E87" w:rsidRPr="004A68AC">
        <w:rPr>
          <w:lang w:val="en-US" w:eastAsia="it-IT"/>
        </w:rPr>
        <w:t>. Nonetheless, the relationship between global EDPs and the capacity of the local elements is not necessarily constant for all building typologies and geometries, which limits the direct use of global limits in a code-based framework.</w:t>
      </w:r>
      <w:r w:rsidR="004A5724" w:rsidRPr="004A68AC">
        <w:rPr>
          <w:lang w:val="en-US" w:eastAsia="it-IT"/>
        </w:rPr>
        <w:t xml:space="preserve"> Moreover, this approach may be limited to low-rise buildings as it is affected by the assumption of the simplified analysis used, </w:t>
      </w:r>
      <w:r w:rsidR="004A5724" w:rsidRPr="004A68AC">
        <w:rPr>
          <w:i/>
          <w:iCs/>
          <w:lang w:val="en-US" w:eastAsia="it-IT"/>
        </w:rPr>
        <w:t>i.e.,</w:t>
      </w:r>
      <w:r w:rsidR="004A5724" w:rsidRPr="004A68AC">
        <w:rPr>
          <w:lang w:val="en-US" w:eastAsia="it-IT"/>
        </w:rPr>
        <w:t xml:space="preserve"> distribution of forces according to the first mode of vibration in pushover analyses.</w:t>
      </w:r>
    </w:p>
    <w:p w14:paraId="228D67B5" w14:textId="77777777" w:rsidR="007A3028" w:rsidRPr="004A68AC" w:rsidRDefault="007A3028" w:rsidP="001D1C4A">
      <w:pPr>
        <w:rPr>
          <w:lang w:val="en-US" w:eastAsia="it-IT"/>
        </w:rPr>
      </w:pPr>
    </w:p>
    <w:p w14:paraId="5B3EE50D" w14:textId="01A31D30" w:rsidR="00087299" w:rsidRPr="004A68AC" w:rsidRDefault="007A3028" w:rsidP="001D1C4A">
      <w:pPr>
        <w:rPr>
          <w:lang w:val="en-US" w:eastAsia="it-IT"/>
        </w:rPr>
      </w:pPr>
      <w:r w:rsidRPr="004A68AC">
        <w:rPr>
          <w:lang w:val="en-US" w:eastAsia="it-IT"/>
        </w:rPr>
        <w:t xml:space="preserve">     </w:t>
      </w:r>
      <w:r w:rsidR="00CC7E87" w:rsidRPr="004A68AC">
        <w:rPr>
          <w:lang w:val="en-US" w:eastAsia="it-IT"/>
        </w:rPr>
        <w:t>Despite the aforementioned</w:t>
      </w:r>
      <w:r w:rsidR="004A5724" w:rsidRPr="004A68AC">
        <w:rPr>
          <w:lang w:val="en-US" w:eastAsia="it-IT"/>
        </w:rPr>
        <w:t xml:space="preserve"> limitations</w:t>
      </w:r>
      <w:r w:rsidR="00CC7E87" w:rsidRPr="004A68AC">
        <w:rPr>
          <w:lang w:val="en-US" w:eastAsia="it-IT"/>
        </w:rPr>
        <w:t xml:space="preserve">, the ASCE 41-06 </w:t>
      </w:r>
      <w:r w:rsidR="00CC7E87"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CC7E87" w:rsidRPr="004A68AC">
        <w:rPr>
          <w:lang w:val="en-US" w:eastAsia="it-IT"/>
        </w:rPr>
        <w:fldChar w:fldCharType="separate"/>
      </w:r>
      <w:r w:rsidR="00CC7E87" w:rsidRPr="004A68AC">
        <w:rPr>
          <w:noProof/>
          <w:lang w:val="en-US" w:eastAsia="it-IT"/>
        </w:rPr>
        <w:t>[15]</w:t>
      </w:r>
      <w:r w:rsidR="00CC7E87" w:rsidRPr="004A68AC">
        <w:rPr>
          <w:lang w:val="en-US" w:eastAsia="it-IT"/>
        </w:rPr>
        <w:fldChar w:fldCharType="end"/>
      </w:r>
      <w:r w:rsidR="00CC7E87" w:rsidRPr="004A68AC">
        <w:rPr>
          <w:lang w:val="en-US" w:eastAsia="it-IT"/>
        </w:rPr>
        <w:t xml:space="preserve"> provided</w:t>
      </w:r>
      <w:r w:rsidRPr="004A68AC">
        <w:rPr>
          <w:lang w:val="en-US" w:eastAsia="it-IT"/>
        </w:rPr>
        <w:t xml:space="preserve"> maximum</w:t>
      </w:r>
      <w:r w:rsidR="00CC7E87" w:rsidRPr="004A68AC">
        <w:rPr>
          <w:lang w:val="en-US" w:eastAsia="it-IT"/>
        </w:rPr>
        <w:t xml:space="preserve"> </w:t>
      </w:r>
      <w:r w:rsidRPr="004A68AC">
        <w:rPr>
          <w:lang w:val="en-US" w:eastAsia="it-IT"/>
        </w:rPr>
        <w:t>inter-story drift ratio (MIDR) limits within the qualitative descriptions of the three limit states for steel MRFs, being 0.7%, 2.5% and 5%, for the LS1, LS2 and LS3, respectively.</w:t>
      </w:r>
    </w:p>
    <w:p w14:paraId="12E4615C" w14:textId="235FB1A3" w:rsidR="00F44282" w:rsidRPr="004A68AC" w:rsidRDefault="00F44282" w:rsidP="001D1C4A">
      <w:pPr>
        <w:rPr>
          <w:lang w:val="en-US"/>
        </w:rPr>
      </w:pPr>
    </w:p>
    <w:p w14:paraId="292E7B67" w14:textId="59453357" w:rsidR="00F44282" w:rsidRPr="004A68AC" w:rsidRDefault="00F44282" w:rsidP="00087299">
      <w:pPr>
        <w:rPr>
          <w:lang w:val="en-US"/>
        </w:rPr>
      </w:pPr>
      <w:r w:rsidRPr="004A68AC">
        <w:rPr>
          <w:lang w:val="en-US"/>
        </w:rPr>
        <w:t xml:space="preserve">     </w:t>
      </w:r>
      <w:r w:rsidR="008E6FBD" w:rsidRPr="004A68AC">
        <w:rPr>
          <w:lang w:val="en-US"/>
        </w:rPr>
        <w:t xml:space="preserve">Regardless of the </w:t>
      </w:r>
      <w:r w:rsidR="00391E31" w:rsidRPr="004A68AC">
        <w:rPr>
          <w:lang w:val="en-US"/>
        </w:rPr>
        <w:t>capability</w:t>
      </w:r>
      <w:r w:rsidR="008E6FBD" w:rsidRPr="004A68AC">
        <w:rPr>
          <w:lang w:val="en-US"/>
        </w:rPr>
        <w:t xml:space="preserve"> of global EDPs to reflect component-level damage, they are key parameters in the estimation of non-structural damage, therefore, they become an important part of the performance-based assessment </w:t>
      </w:r>
      <w:r w:rsidR="008E6FBD" w:rsidRPr="004A68AC">
        <w:rPr>
          <w:lang w:val="en-US"/>
        </w:rPr>
        <w:fldChar w:fldCharType="begin" w:fldLock="1"/>
      </w:r>
      <w:r w:rsidR="005C47A3" w:rsidRPr="004A68AC">
        <w:rPr>
          <w:lang w:val="en-US"/>
        </w:rPr>
        <w:instrText>ADDIN CSL_CITATION {"citationItems":[{"id":"ITEM-1","itemData":{"DOI":"10.1061/9780784414248","ISBN":"978-0-7844-7996-4","author":[{"dropping-particle":"","family":"American Society of Civil Engineers","given":"","non-dropping-particle":"","parse-names":false,"suffix":""}],"container-title":"ASCE/SEI 7-16","id":"ITEM-1","issued":{"date-parts":[["2017"]]},"title":"Minimum Design Loads and Associated Criteria for Buildings and Other Structures","type":"article"},"uris":["http://www.mendeley.com/documents/?uuid=5943af8f-2949-42e3-b36a-747994912dbd"]},{"id":"ITEM-2","itemData":{"author":[{"dropping-particle":"","family":"European Committe for Standarization","given":"","non-dropping-particle":"","parse-names":false,"suffix":""}],"container-title":"EN 1998-1","id":"ITEM-2","issued":{"date-parts":[["2004"]]},"title":"Eurocode 8: Design of structures for earthquake resistance - Part 1: General rules, seismic actions and rules for buildings","type":"article"},"uris":["http://www.mendeley.com/documents/?uuid=99be25ec-7338-43a9-990c-8774c3905b39"]}],"mendeley":{"formattedCitation":"[4,5]","plainTextFormattedCitation":"[4,5]","previouslyFormattedCitation":"[4,5]"},"properties":{"noteIndex":0},"schema":"https://github.com/citation-style-language/schema/raw/master/csl-citation.json"}</w:instrText>
      </w:r>
      <w:r w:rsidR="008E6FBD" w:rsidRPr="004A68AC">
        <w:rPr>
          <w:lang w:val="en-US"/>
        </w:rPr>
        <w:fldChar w:fldCharType="separate"/>
      </w:r>
      <w:r w:rsidR="004663FE" w:rsidRPr="004A68AC">
        <w:rPr>
          <w:noProof/>
          <w:lang w:val="en-US"/>
        </w:rPr>
        <w:t>[4,5]</w:t>
      </w:r>
      <w:r w:rsidR="008E6FBD" w:rsidRPr="004A68AC">
        <w:rPr>
          <w:lang w:val="en-US"/>
        </w:rPr>
        <w:fldChar w:fldCharType="end"/>
      </w:r>
      <w:r w:rsidR="008E6FBD" w:rsidRPr="004A68AC">
        <w:rPr>
          <w:lang w:val="en-US"/>
        </w:rPr>
        <w:t xml:space="preserve">. Both the MIDR and the </w:t>
      </w:r>
      <w:r w:rsidR="00E239F6" w:rsidRPr="004A68AC">
        <w:rPr>
          <w:lang w:val="en-US"/>
        </w:rPr>
        <w:t xml:space="preserve">maximum </w:t>
      </w:r>
      <w:r w:rsidRPr="004A68AC">
        <w:rPr>
          <w:lang w:val="en-US"/>
        </w:rPr>
        <w:t>story acceleration (</w:t>
      </w:r>
      <w:r w:rsidR="00E239F6" w:rsidRPr="004A68AC">
        <w:rPr>
          <w:lang w:val="en-US"/>
        </w:rPr>
        <w:t>MSA</w:t>
      </w:r>
      <w:r w:rsidRPr="004A68AC">
        <w:rPr>
          <w:lang w:val="en-US"/>
        </w:rPr>
        <w:t>)</w:t>
      </w:r>
      <w:r w:rsidR="008E6FBD" w:rsidRPr="004A68AC">
        <w:rPr>
          <w:lang w:val="en-US"/>
        </w:rPr>
        <w:t xml:space="preserve"> are often used as reference global EDPs</w:t>
      </w:r>
      <w:r w:rsidRPr="004A68AC">
        <w:rPr>
          <w:lang w:val="en-US"/>
        </w:rPr>
        <w:t xml:space="preserve">, as large </w:t>
      </w:r>
      <w:r w:rsidR="00690FCC" w:rsidRPr="004A68AC">
        <w:rPr>
          <w:lang w:val="en-US"/>
        </w:rPr>
        <w:t>story</w:t>
      </w:r>
      <w:r w:rsidR="008E6FBD" w:rsidRPr="004A68AC">
        <w:rPr>
          <w:lang w:val="en-US"/>
        </w:rPr>
        <w:t xml:space="preserve"> deformations and</w:t>
      </w:r>
      <w:r w:rsidR="00690FCC" w:rsidRPr="004A68AC">
        <w:rPr>
          <w:lang w:val="en-US"/>
        </w:rPr>
        <w:t xml:space="preserve"> </w:t>
      </w:r>
      <w:r w:rsidRPr="004A68AC">
        <w:rPr>
          <w:lang w:val="en-US"/>
        </w:rPr>
        <w:t>accelerations have been related to damage o</w:t>
      </w:r>
      <w:r w:rsidR="00CC691C" w:rsidRPr="004A68AC">
        <w:rPr>
          <w:lang w:val="en-US"/>
        </w:rPr>
        <w:t>f</w:t>
      </w:r>
      <w:r w:rsidRPr="004A68AC">
        <w:rPr>
          <w:lang w:val="en-US"/>
        </w:rPr>
        <w:t xml:space="preserve"> non-structural components (</w:t>
      </w:r>
      <w:r w:rsidRPr="004A68AC">
        <w:rPr>
          <w:i/>
          <w:iCs/>
          <w:lang w:val="en-US"/>
        </w:rPr>
        <w:t>e.g.</w:t>
      </w:r>
      <w:r w:rsidRPr="004A68AC">
        <w:rPr>
          <w:lang w:val="en-US"/>
        </w:rPr>
        <w:t xml:space="preserve">, </w:t>
      </w:r>
      <w:r w:rsidR="00CC691C" w:rsidRPr="004A68AC">
        <w:rPr>
          <w:lang w:val="en-US"/>
        </w:rPr>
        <w:t xml:space="preserve">partitions, ceilings, </w:t>
      </w:r>
      <w:r w:rsidRPr="004A68AC">
        <w:rPr>
          <w:lang w:val="en-US"/>
        </w:rPr>
        <w:t>mechanical equipment</w:t>
      </w:r>
      <w:r w:rsidR="008E6FBD" w:rsidRPr="004A68AC">
        <w:rPr>
          <w:lang w:val="en-US"/>
        </w:rPr>
        <w:t>, building contents</w:t>
      </w:r>
      <w:r w:rsidRPr="004A68AC">
        <w:rPr>
          <w:lang w:val="en-US"/>
        </w:rPr>
        <w:t>).</w:t>
      </w:r>
    </w:p>
    <w:p w14:paraId="5B0BFCDD" w14:textId="094983C9" w:rsidR="000074BE" w:rsidRPr="004A68AC" w:rsidRDefault="000074BE" w:rsidP="00087299">
      <w:pPr>
        <w:rPr>
          <w:lang w:val="en-US"/>
        </w:rPr>
      </w:pPr>
    </w:p>
    <w:p w14:paraId="6FC9499B" w14:textId="783E6346" w:rsidR="000074BE" w:rsidRPr="004A68AC" w:rsidRDefault="000074BE" w:rsidP="000074BE">
      <w:pPr>
        <w:rPr>
          <w:lang w:val="en-US"/>
        </w:rPr>
      </w:pPr>
      <w:r w:rsidRPr="004A68AC">
        <w:rPr>
          <w:lang w:val="en-US" w:eastAsia="it-IT"/>
        </w:rPr>
        <w:t xml:space="preserve">     Another important issue widely investigated in recent studies (</w:t>
      </w:r>
      <w:r w:rsidRPr="004A68AC">
        <w:rPr>
          <w:i/>
          <w:iCs/>
          <w:lang w:val="en-US" w:eastAsia="it-IT"/>
        </w:rPr>
        <w:t>e.g.,</w:t>
      </w:r>
      <w:r w:rsidRPr="004A68AC">
        <w:rPr>
          <w:lang w:val="en-US" w:eastAsia="it-IT"/>
        </w:rPr>
        <w:t xml:space="preserve"> </w:t>
      </w:r>
      <w:r w:rsidR="00B653D2" w:rsidRPr="004A68AC">
        <w:rPr>
          <w:lang w:val="en-US" w:eastAsia="it-IT"/>
        </w:rPr>
        <w:fldChar w:fldCharType="begin" w:fldLock="1"/>
      </w:r>
      <w:r w:rsidR="005C47A3" w:rsidRPr="004A68AC">
        <w:rPr>
          <w:lang w:val="en-US" w:eastAsia="it-IT"/>
        </w:rPr>
        <w:instrText>ADDIN CSL_CITATION {"citationItems":[{"id":"ITEM-1","itemData":{"DOI":"10.1002/eqe.2904","ISBN":"6507252573","ISSN":"00988847","abstract":"The selection and scaling of earthquake ground motions is an important step in defining the seismic loads that will be applied to a structure during structural analysis, and serves as the interface between seismology and engineering. Recent research suggests that potential problems caused by ground motion scaling are due primarily to discrepancies in the shape of elastic response spectra between the ground motion to be scaled and the ‘target’ ground motion desired. These discrepancies may result in the scaled ground motions causing different levels of structural response than the response that would be caused by (unscaled) ground motions naturally at the intensity level of interest. A method for detecting such scaling bias is proposed, based on selecting a suite of ground motion records that have been scaled to all have the same intensity level (where here intensity is measured by spectral acceleration at the structure’s first-mode period). The structural responses associated with the records are plotted versus the records’ scale factors. Trends between the two values quantify the extent to which record scaling is causing biased structural response. Example results obtained using this method suggest that records selected based on the ground motion parameter ε (or that otherwise account for the spectral shape implied by ) can be safely scaled without introducing any bias, whereas ε the records selected using other methods have biased structural responses when scaled.","author":[{"dropping-particle":"","family":"Freddi","given":"Fabio","non-dropping-particle":"","parse-names":false,"suffix":""},{"dropping-particle":"","family":"Dimopoulos","given":"Christoforos A.","non-dropping-particle":"","parse-names":false,"suffix":""},{"dropping-particle":"","family":"Karavasilis","given":"Theodore L.","non-dropping-particle":"","parse-names":false,"suffix":""}],"container-title":"Earthquake Engineering &amp; Structural Dynamics","id":"ITEM-1","issue":"14","issued":{"date-parts":[["2017","11"]]},"page":"2281-2300","title":"Rocking damage-free steel column base with friction devices: design procedure and numerical evaluation","type":"article-journal","volume":"46"},"uris":["http://www.mendeley.com/documents/?uuid=d03a8d1e-2b18-4d18-a80d-17da26aa31c0"]},{"id":"ITEM-2","itemData":{"DOI":"10.1061/(asce)st.1943-541x.0002779","ISSN":"0733-9445","abstract":"© 2020 American Society of Civil Engineers. This paper presents the experimental evaluation of an earthquake-resilient rocking damage-free steel column base, previously proposed and numerically investigated by the authors. The column base uses post-tensioned high-strength steel bars to control its rocking behavior, and friction devices to dissipate seismic energy. It is equipped with a circular steel plate with rounded edges, which is used as a rocking base. The rounded edges prevent stress concentration and damage of the contact surfaces, whereas the circular shape allows rocking toward all plan directions. In contrast to conventional steel column bases, the proposed column base exhibits monotonic and cyclic moment-rotation behaviors that are easily described by analytical equations. This allows the definition of a step-by-step design procedure which ensures damage-free behavior, self-centering capability, and energy dissipation capacity for a target design base rotation. The experimental tests, presented in this study, were conducted under monotonic and cyclic loads demonstrating the damage-free behavior even under large rotations. The experimental results were used to validate the design procedure and to calibrate refined three-dimensional (3D) nonlinear finite-element models that will allow further investigations.","author":[{"dropping-particle":"","family":"Freddi","given":"Fabio","non-dropping-particle":"","parse-names":false,"suffix":""},{"dropping-particle":"","family":"Dimopoulos","given":"Christoforos A.","non-dropping-particle":"","parse-names":false,"suffix":""},{"dropping-particle":"","family":"Karavasilis","given":"Theodore L.","non-dropping-particle":"","parse-names":false,"suffix":""}],"container-title":"Journal of Structural Engineering","id":"ITEM-2","issue":"10","issued":{"date-parts":[["2020"]]},"page":"04020217","title":"Experimental Evaluation of a Rocking Damage-Free Steel Column Base with Friction Devices","type":"article-journal","volume":"146"},"uris":["http://www.mendeley.com/documents/?uuid=7c65a997-e4eb-4e10-8769-33311b006d08"]},{"id":"ITEM-3","itemData":{"DOI":"10.1016/j.jcsr.2021.106543","author":[{"dropping-particle":"","family":"Elettore","given":"Elena","non-dropping-particle":"","parse-names":false,"suffix":""},{"dropping-particle":"","family":"Freddi","given":"Fabio","non-dropping-particle":"","parse-names":false,"suffix":""},{"dropping-particle":"","family":"Latour","given":"Massimo","non-dropping-particle":"","parse-names":false,"suffix":""},{"dropping-particle":"","family":"Rizzano","given":"Gianvittorio","non-dropping-particle":"","parse-names":false,"suffix":""}],"container-title":"Journal of Constructional Steel Research","id":"ITEM-3","issued":{"date-parts":[["2021"]]},"title":"Design and analysis of a seismic resilient steel moment resisting frame equipped with damage-free self-centering column bases","type":"article-journal"},"uris":["http://www.mendeley.com/documents/?uuid=fcc2761b-1aaf-4a18-a1f4-32a1e323dba9"]}],"mendeley":{"formattedCitation":"[44,46,47]","plainTextFormattedCitation":"[44,46,47]","previouslyFormattedCitation":"[44,46,47]"},"properties":{"noteIndex":0},"schema":"https://github.com/citation-style-language/schema/raw/master/csl-citation.json"}</w:instrText>
      </w:r>
      <w:r w:rsidR="00B653D2" w:rsidRPr="004A68AC">
        <w:rPr>
          <w:lang w:val="en-US" w:eastAsia="it-IT"/>
        </w:rPr>
        <w:fldChar w:fldCharType="separate"/>
      </w:r>
      <w:r w:rsidR="00B653D2" w:rsidRPr="004A68AC">
        <w:rPr>
          <w:noProof/>
          <w:lang w:val="en-US" w:eastAsia="it-IT"/>
        </w:rPr>
        <w:t>[44,46,47]</w:t>
      </w:r>
      <w:r w:rsidR="00B653D2" w:rsidRPr="004A68AC">
        <w:rPr>
          <w:lang w:val="en-US" w:eastAsia="it-IT"/>
        </w:rPr>
        <w:fldChar w:fldCharType="end"/>
      </w:r>
      <w:r w:rsidRPr="004A68AC">
        <w:rPr>
          <w:lang w:val="en-US" w:eastAsia="it-IT"/>
        </w:rPr>
        <w:t>) is related to the control of residual (</w:t>
      </w:r>
      <w:r w:rsidRPr="004A68AC">
        <w:rPr>
          <w:i/>
          <w:iCs/>
          <w:lang w:val="en-US" w:eastAsia="it-IT"/>
        </w:rPr>
        <w:t>i.e.</w:t>
      </w:r>
      <w:r w:rsidRPr="004A68AC">
        <w:rPr>
          <w:lang w:val="en-US" w:eastAsia="it-IT"/>
        </w:rPr>
        <w:t xml:space="preserve">, permanent) inter-story drift ratio (RIDR) which can compromise the building repairability </w:t>
      </w:r>
      <w:r w:rsidRPr="004A68AC">
        <w:rPr>
          <w:lang w:val="en-US"/>
        </w:rPr>
        <w:fldChar w:fldCharType="begin" w:fldLock="1"/>
      </w:r>
      <w:r w:rsidR="00022E9D" w:rsidRPr="004A68AC">
        <w:rPr>
          <w:lang w:val="en-US"/>
        </w:rPr>
        <w:instrText>ADDIN CSL_CITATION {"citationItems":[{"id":"ITEM-1","itemData":{"abstract":"A review of permissible residual deformation levels is undertaken in light of the increased interest in performance-based seismic design and self-centering systems. Permissible residual deformation levels are considered based on functionality, construction tolerances, and safety. Values are defined based on a review of past structural engineering research, post-earthquake reconnaissance, current building codes, and research in the field of psychology. The findings show that there are only a limited number of studies that measured residual drift levels of structures after an earthquake and correlated these to actual damage levels. In general, construction tolerances remain at or below 0.003 rad depending on the type of structural system and material being considered. This value is below the residual drift levels at which non-structural systems start to lose functionality. Research in the field of psychology has also shown that the lower limit at which people can sense an inclination is approximately 0.005 rad above which extended periods of inclination can cause headaches and dizziness. In order to verify these findings and provide further quantitative results, floor inclinations and column tilt of an occupied 40 year old structure are investigated. These results combined with those obtained through the extensive literature review suggest that 0.005 rad is an important engineering index in terms of permissible residual deformation levels.","author":[{"dropping-particle":"","family":"McCormick","given":"Jason","non-dropping-particle":"","parse-names":false,"suffix":""},{"dropping-particle":"","family":"Aburano","given":"Hiroshi","non-dropping-particle":"","parse-names":false,"suffix":""},{"dropping-particle":"","family":"Ikenaga","given":"Masahiro","non-dropping-particle":"","parse-names":false,"suffix":""},{"dropping-particle":"","family":"Nakashima","given":"Masayoshi","non-dropping-particle":"","parse-names":false,"suffix":""}],"container-title":"The 14th World Conference on Earthquake Engineering","id":"ITEM-1","issued":{"date-parts":[["2008"]]},"page":"8","title":"Permissible Residual Deformation Levels for Building Structures Considering both Safety and Human Elements","type":"article-journal"},"uris":["http://www.mendeley.com/documents/?uuid=a99f0b14-7555-4656-b866-8fd39fd518a8"]}],"mendeley":{"formattedCitation":"[48]","plainTextFormattedCitation":"[48]","previouslyFormattedCitation":"[48]"},"properties":{"noteIndex":0},"schema":"https://github.com/citation-style-language/schema/raw/master/csl-citation.json"}</w:instrText>
      </w:r>
      <w:r w:rsidRPr="004A68AC">
        <w:rPr>
          <w:lang w:val="en-US"/>
        </w:rPr>
        <w:fldChar w:fldCharType="separate"/>
      </w:r>
      <w:r w:rsidR="00B653D2" w:rsidRPr="004A68AC">
        <w:rPr>
          <w:noProof/>
          <w:lang w:val="en-US"/>
        </w:rPr>
        <w:t>[48]</w:t>
      </w:r>
      <w:r w:rsidRPr="004A68AC">
        <w:rPr>
          <w:lang w:val="en-US"/>
        </w:rPr>
        <w:fldChar w:fldCharType="end"/>
      </w:r>
      <w:r w:rsidRPr="004A68AC">
        <w:rPr>
          <w:lang w:val="en-US" w:eastAsia="it-IT"/>
        </w:rPr>
        <w:t xml:space="preserve">. The </w:t>
      </w:r>
      <w:r w:rsidR="00CC691C" w:rsidRPr="004A68AC">
        <w:rPr>
          <w:lang w:val="en-US" w:eastAsia="it-IT"/>
        </w:rPr>
        <w:t xml:space="preserve">ASCE 41-06 </w:t>
      </w:r>
      <w:r w:rsidR="00CC691C"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CC691C" w:rsidRPr="004A68AC">
        <w:rPr>
          <w:lang w:val="en-US" w:eastAsia="it-IT"/>
        </w:rPr>
        <w:fldChar w:fldCharType="separate"/>
      </w:r>
      <w:r w:rsidR="00CC691C" w:rsidRPr="004A68AC">
        <w:rPr>
          <w:noProof/>
          <w:lang w:val="en-US" w:eastAsia="it-IT"/>
        </w:rPr>
        <w:t>[15]</w:t>
      </w:r>
      <w:r w:rsidR="00CC691C" w:rsidRPr="004A68AC">
        <w:rPr>
          <w:lang w:val="en-US" w:eastAsia="it-IT"/>
        </w:rPr>
        <w:fldChar w:fldCharType="end"/>
      </w:r>
      <w:r w:rsidR="00CC691C" w:rsidRPr="004A68AC">
        <w:rPr>
          <w:lang w:val="en-US" w:eastAsia="it-IT"/>
        </w:rPr>
        <w:t xml:space="preserve"> </w:t>
      </w:r>
      <w:r w:rsidRPr="004A68AC">
        <w:rPr>
          <w:lang w:val="en-US" w:eastAsia="it-IT"/>
        </w:rPr>
        <w:t xml:space="preserve">accounted for this issue by suggesting a negligible RIDR for LS1, a 1% RIDR for LS2 and a 5% RIDR for LS3. </w:t>
      </w:r>
      <w:r w:rsidRPr="004A68AC">
        <w:rPr>
          <w:lang w:val="en-US" w:eastAsia="it-IT"/>
        </w:rPr>
        <w:lastRenderedPageBreak/>
        <w:t xml:space="preserve">Nonetheless, </w:t>
      </w:r>
      <w:r w:rsidR="0099664D" w:rsidRPr="004A68AC">
        <w:rPr>
          <w:lang w:val="en-US" w:eastAsia="it-IT"/>
        </w:rPr>
        <w:t>limit values for M</w:t>
      </w:r>
      <w:r w:rsidRPr="004A68AC">
        <w:rPr>
          <w:lang w:val="en-US" w:eastAsia="it-IT"/>
        </w:rPr>
        <w:t>IDR</w:t>
      </w:r>
      <w:r w:rsidR="0099664D" w:rsidRPr="004A68AC">
        <w:rPr>
          <w:lang w:val="en-US" w:eastAsia="it-IT"/>
        </w:rPr>
        <w:t xml:space="preserve"> and RIDR are not provided </w:t>
      </w:r>
      <w:r w:rsidRPr="004A68AC">
        <w:rPr>
          <w:lang w:val="en-US" w:eastAsia="it-IT"/>
        </w:rPr>
        <w:t>in the newer versions of the code (</w:t>
      </w:r>
      <w:r w:rsidRPr="004A68AC">
        <w:rPr>
          <w:i/>
          <w:iCs/>
          <w:lang w:val="en-US" w:eastAsia="it-IT"/>
        </w:rPr>
        <w:t>i.e.</w:t>
      </w:r>
      <w:r w:rsidRPr="004A68AC">
        <w:rPr>
          <w:lang w:val="en-US" w:eastAsia="it-IT"/>
        </w:rPr>
        <w:t xml:space="preserve">, </w:t>
      </w:r>
      <w:r w:rsidRPr="004A68AC">
        <w:rPr>
          <w:lang w:val="en-US"/>
        </w:rPr>
        <w:fldChar w:fldCharType="begin" w:fldLock="1"/>
      </w:r>
      <w:r w:rsidR="005C47A3" w:rsidRPr="004A68AC">
        <w:rPr>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[18,19]","plainTextFormattedCitation":"[18,19]","previouslyFormattedCitation":"[18,19]"},"properties":{"noteIndex":0},"schema":"https://github.com/citation-style-language/schema/raw/master/csl-citation.json"}</w:instrText>
      </w:r>
      <w:r w:rsidRPr="004A68AC">
        <w:rPr>
          <w:lang w:val="en-US"/>
        </w:rPr>
        <w:fldChar w:fldCharType="separate"/>
      </w:r>
      <w:r w:rsidRPr="004A68AC">
        <w:rPr>
          <w:noProof/>
          <w:lang w:val="en-US"/>
        </w:rPr>
        <w:t>[18,19]</w:t>
      </w:r>
      <w:r w:rsidRPr="004A68AC">
        <w:rPr>
          <w:lang w:val="en-US"/>
        </w:rPr>
        <w:fldChar w:fldCharType="end"/>
      </w:r>
      <w:r w:rsidRPr="004A68AC">
        <w:rPr>
          <w:lang w:val="en-US"/>
        </w:rPr>
        <w:t xml:space="preserve">). </w:t>
      </w:r>
      <w:r w:rsidR="0099664D" w:rsidRPr="004A68AC">
        <w:rPr>
          <w:lang w:val="en-US"/>
        </w:rPr>
        <w:t xml:space="preserve">Despite not implemented in design or assessments codes, </w:t>
      </w:r>
      <w:r w:rsidRPr="004A68AC">
        <w:rPr>
          <w:lang w:val="en-US"/>
        </w:rPr>
        <w:t xml:space="preserve">a RIDR limit of 0.5% </w:t>
      </w:r>
      <w:r w:rsidR="0099664D" w:rsidRPr="004A68AC">
        <w:rPr>
          <w:lang w:val="en-US"/>
        </w:rPr>
        <w:t xml:space="preserve">is widely used </w:t>
      </w:r>
      <w:r w:rsidRPr="004A68AC">
        <w:rPr>
          <w:lang w:val="en-US"/>
        </w:rPr>
        <w:t>for steel buildings</w:t>
      </w:r>
      <w:r w:rsidR="0099664D" w:rsidRPr="004A68AC">
        <w:rPr>
          <w:lang w:val="en-US"/>
        </w:rPr>
        <w:t xml:space="preserve"> in order to ensure the building </w:t>
      </w:r>
      <w:r w:rsidRPr="004A68AC">
        <w:rPr>
          <w:lang w:val="en-US"/>
        </w:rPr>
        <w:t>repairability</w:t>
      </w:r>
      <w:r w:rsidR="0099664D" w:rsidRPr="004A68AC">
        <w:rPr>
          <w:lang w:val="en-US"/>
        </w:rPr>
        <w:t xml:space="preserve"> </w:t>
      </w:r>
      <w:r w:rsidR="00B653D2" w:rsidRPr="004A68AC">
        <w:rPr>
          <w:lang w:val="en-US"/>
        </w:rPr>
        <w:fldChar w:fldCharType="begin" w:fldLock="1"/>
      </w:r>
      <w:r w:rsidR="00022E9D" w:rsidRPr="004A68AC">
        <w:rPr>
          <w:lang w:val="en-US"/>
        </w:rPr>
        <w:instrText>ADDIN CSL_CITATION {"citationItems":[{"id":"ITEM-1","itemData":{"abstract":"A review of permissible residual deformation levels is undertaken in light of the increased interest in performance-based seismic design and self-centering systems. Permissible residual deformation levels are considered based on functionality, construction tolerances, and safety. Values are defined based on a review of past structural engineering research, post-earthquake reconnaissance, current building codes, and research in the field of psychology. The findings show that there are only a limited number of studies that measured residual drift levels of structures after an earthquake and correlated these to actual damage levels. In general, construction tolerances remain at or below 0.003 rad depending on the type of structural system and material being considered. This value is below the residual drift levels at which non-structural systems start to lose functionality. Research in the field of psychology has also shown that the lower limit at which people can sense an inclination is approximately 0.005 rad above which extended periods of inclination can cause headaches and dizziness. In order to verify these findings and provide further quantitative results, floor inclinations and column tilt of an occupied 40 year old structure are investigated. These results combined with those obtained through the extensive literature review suggest that 0.005 rad is an important engineering index in terms of permissible residual deformation levels.","author":[{"dropping-particle":"","family":"McCormick","given":"Jason","non-dropping-particle":"","parse-names":false,"suffix":""},{"dropping-particle":"","family":"Aburano","given":"Hiroshi","non-dropping-particle":"","parse-names":false,"suffix":""},{"dropping-particle":"","family":"Ikenaga","given":"Masahiro","non-dropping-particle":"","parse-names":false,"suffix":""},{"dropping-particle":"","family":"Nakashima","given":"Masayoshi","non-dropping-particle":"","parse-names":false,"suffix":""}],"container-title":"The 14th World Conference on Earthquake Engineering","id":"ITEM-1","issued":{"date-parts":[["2008"]]},"page":"8","title":"Permissible Residual Deformation Levels for Building Structures Considering both Safety and Human Elements","type":"article-journal"},"uris":["http://www.mendeley.com/documents/?uuid=a99f0b14-7555-4656-b866-8fd39fd518a8"]},{"id":"ITEM-2","itemData":{"DOI":"10.3130/aijs.70.165_1","ISSN":"1340-4202","author":[{"dropping-particle":"","family":"Iwata","given":"Yoshihiro","non-dropping-particle":"","parse-names":false,"suffix":""},{"dropping-particle":"","family":"Sugimoto","given":"Hirokazu","non-dropping-particle":"","parse-names":false,"suffix":""},{"dropping-particle":"","family":"Kuwamura","given":"Hitoshi","non-dropping-particle":"","parse-names":false,"suffix":""}],"container-title":"Journal of Structural and Construction Engineering","id":"ITEM-2","issue":"588","issued":{"date-parts":[["2005"]]},"page":"165-172","title":"Reparability limit of steel structural builidings : Study on performance based design of steel structural buildings, Part 2","type":"article-journal","volume":"70"},"uris":["http://www.mendeley.com/documents/?uuid=27b10098-56dc-44bf-b90a-cca824655036"]}],"mendeley":{"formattedCitation":"[48,49]","plainTextFormattedCitation":"[48,49]","previouslyFormattedCitation":"[48,49]"},"properties":{"noteIndex":0},"schema":"https://github.com/citation-style-language/schema/raw/master/csl-citation.json"}</w:instrText>
      </w:r>
      <w:r w:rsidR="00B653D2" w:rsidRPr="004A68AC">
        <w:rPr>
          <w:lang w:val="en-US"/>
        </w:rPr>
        <w:fldChar w:fldCharType="separate"/>
      </w:r>
      <w:r w:rsidR="00B653D2" w:rsidRPr="004A68AC">
        <w:rPr>
          <w:noProof/>
          <w:lang w:val="en-US"/>
        </w:rPr>
        <w:t>[48,49]</w:t>
      </w:r>
      <w:r w:rsidR="00B653D2" w:rsidRPr="004A68AC">
        <w:rPr>
          <w:lang w:val="en-US"/>
        </w:rPr>
        <w:fldChar w:fldCharType="end"/>
      </w:r>
      <w:r w:rsidRPr="004A68AC">
        <w:rPr>
          <w:lang w:val="en-US"/>
        </w:rPr>
        <w:t>.</w:t>
      </w:r>
    </w:p>
    <w:p w14:paraId="7F492B4D" w14:textId="77777777" w:rsidR="001841D9" w:rsidRPr="004A68AC" w:rsidRDefault="001841D9" w:rsidP="00087299">
      <w:pPr>
        <w:rPr>
          <w:lang w:val="en-US"/>
        </w:rPr>
      </w:pPr>
    </w:p>
    <w:p w14:paraId="50AB1EE7" w14:textId="7880FD81" w:rsidR="00014222" w:rsidRPr="004A68AC" w:rsidRDefault="0066787B" w:rsidP="00014222">
      <w:pPr>
        <w:pStyle w:val="Heading1"/>
        <w:tabs>
          <w:tab w:val="clear" w:pos="720"/>
          <w:tab w:val="num" w:pos="360"/>
        </w:tabs>
        <w:spacing w:before="0" w:after="0"/>
        <w:ind w:left="0" w:firstLine="0"/>
        <w:jc w:val="both"/>
        <w:rPr>
          <w:szCs w:val="20"/>
          <w:lang w:val="en-US"/>
        </w:rPr>
      </w:pPr>
      <w:bookmarkStart w:id="23" w:name="_Toc43469888"/>
      <w:r w:rsidRPr="004A68AC">
        <w:rPr>
          <w:szCs w:val="20"/>
          <w:lang w:val="en-US"/>
        </w:rPr>
        <w:t>ASSESSMENT OF CASE STUDY BUILDINGS</w:t>
      </w:r>
      <w:bookmarkEnd w:id="23"/>
    </w:p>
    <w:p w14:paraId="2A59568F" w14:textId="2E0FD7E7" w:rsidR="00770283" w:rsidRPr="004A68AC" w:rsidRDefault="00DE5C2F" w:rsidP="00B86008">
      <w:pPr>
        <w:rPr>
          <w:lang w:val="en-US"/>
        </w:rPr>
      </w:pPr>
      <w:r w:rsidRPr="004A68AC">
        <w:rPr>
          <w:lang w:val="en-US"/>
        </w:rPr>
        <w:t>For this paper, two of the SAC Steel Project</w:t>
      </w:r>
      <w:r w:rsidR="00D405BC" w:rsidRPr="004A68AC">
        <w:rPr>
          <w:lang w:val="en-US"/>
        </w:rPr>
        <w:t xml:space="preserve"> </w:t>
      </w:r>
      <w:r w:rsidR="00D405BC"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D405BC" w:rsidRPr="004A68AC">
        <w:rPr>
          <w:lang w:val="en-US"/>
        </w:rPr>
        <w:fldChar w:fldCharType="separate"/>
      </w:r>
      <w:r w:rsidR="005E41A8" w:rsidRPr="004A68AC">
        <w:rPr>
          <w:noProof/>
          <w:lang w:val="en-US"/>
        </w:rPr>
        <w:t>[29]</w:t>
      </w:r>
      <w:r w:rsidR="00D405BC" w:rsidRPr="004A68AC">
        <w:rPr>
          <w:lang w:val="en-US"/>
        </w:rPr>
        <w:fldChar w:fldCharType="end"/>
      </w:r>
      <w:r w:rsidRPr="004A68AC">
        <w:rPr>
          <w:lang w:val="en-US"/>
        </w:rPr>
        <w:t xml:space="preserve"> structu</w:t>
      </w:r>
      <w:r w:rsidR="00EE3EB2" w:rsidRPr="004A68AC">
        <w:rPr>
          <w:lang w:val="en-US"/>
        </w:rPr>
        <w:t>res</w:t>
      </w:r>
      <w:r w:rsidR="00F11EC1" w:rsidRPr="004A68AC">
        <w:rPr>
          <w:lang w:val="en-US"/>
        </w:rPr>
        <w:t>, particularly the pre-Northridge, 3- and 9-story Boston buildings,</w:t>
      </w:r>
      <w:r w:rsidR="00EE3EB2" w:rsidRPr="004A68AC">
        <w:rPr>
          <w:lang w:val="en-US"/>
        </w:rPr>
        <w:t xml:space="preserve"> are used</w:t>
      </w:r>
      <w:r w:rsidR="00F11EC1" w:rsidRPr="004A68AC">
        <w:rPr>
          <w:lang w:val="en-US"/>
        </w:rPr>
        <w:t xml:space="preserve"> </w:t>
      </w:r>
      <w:r w:rsidR="00EE3EB2" w:rsidRPr="004A68AC">
        <w:rPr>
          <w:lang w:val="en-US"/>
        </w:rPr>
        <w:t xml:space="preserve">to carry out </w:t>
      </w:r>
      <w:r w:rsidR="00F653DA" w:rsidRPr="004A68AC">
        <w:rPr>
          <w:lang w:val="en-US"/>
        </w:rPr>
        <w:t xml:space="preserve">seismic </w:t>
      </w:r>
      <w:r w:rsidR="00EE3EB2" w:rsidRPr="004A68AC">
        <w:rPr>
          <w:lang w:val="en-US"/>
        </w:rPr>
        <w:t>assessments</w:t>
      </w:r>
      <w:r w:rsidR="00F11EC1" w:rsidRPr="004A68AC">
        <w:rPr>
          <w:lang w:val="en-US"/>
        </w:rPr>
        <w:t>, in order to compare the code-established capacity values discussed in previous sections, within a probabilistic framework</w:t>
      </w:r>
      <w:r w:rsidR="0099664D" w:rsidRPr="004A68AC">
        <w:rPr>
          <w:lang w:val="en-US"/>
        </w:rPr>
        <w:t xml:space="preserve"> and by performing IDAs</w:t>
      </w:r>
      <w:r w:rsidR="000464B8" w:rsidRPr="004A68AC">
        <w:rPr>
          <w:lang w:val="en-US"/>
        </w:rPr>
        <w:t xml:space="preserve">. </w:t>
      </w:r>
      <w:r w:rsidR="00C71366" w:rsidRPr="004A68AC">
        <w:rPr>
          <w:lang w:val="en-US"/>
        </w:rPr>
        <w:t xml:space="preserve">It is </w:t>
      </w:r>
      <w:r w:rsidR="0082123C" w:rsidRPr="004A68AC">
        <w:rPr>
          <w:lang w:val="en-US"/>
        </w:rPr>
        <w:t>worth</w:t>
      </w:r>
      <w:r w:rsidR="00C71366" w:rsidRPr="004A68AC">
        <w:rPr>
          <w:lang w:val="en-US"/>
        </w:rPr>
        <w:t xml:space="preserve"> </w:t>
      </w:r>
      <w:r w:rsidR="0082123C" w:rsidRPr="004A68AC">
        <w:rPr>
          <w:lang w:val="en-US"/>
        </w:rPr>
        <w:t>emphasizing</w:t>
      </w:r>
      <w:r w:rsidR="00C71366" w:rsidRPr="004A68AC">
        <w:rPr>
          <w:lang w:val="en-US"/>
        </w:rPr>
        <w:t xml:space="preserve"> that</w:t>
      </w:r>
      <w:r w:rsidR="000464B8" w:rsidRPr="004A68AC">
        <w:rPr>
          <w:lang w:val="en-US"/>
        </w:rPr>
        <w:t xml:space="preserve"> the current study does not seek to assess the performance of specific structures, but instead treat these case study buildings as test</w:t>
      </w:r>
      <w:r w:rsidR="00DF3BB3" w:rsidRPr="004A68AC">
        <w:rPr>
          <w:lang w:val="en-US"/>
        </w:rPr>
        <w:t>-</w:t>
      </w:r>
      <w:r w:rsidR="000464B8" w:rsidRPr="004A68AC">
        <w:rPr>
          <w:lang w:val="en-US"/>
        </w:rPr>
        <w:t>bed for the comparison of the codes</w:t>
      </w:r>
      <w:r w:rsidR="009C2CEA" w:rsidRPr="004A68AC">
        <w:rPr>
          <w:lang w:val="en-US"/>
        </w:rPr>
        <w:t>, as these structures have been extensively investigated in literature</w:t>
      </w:r>
      <w:r w:rsidR="00DF3BB3" w:rsidRPr="004A68AC">
        <w:rPr>
          <w:lang w:val="en-US"/>
        </w:rPr>
        <w:t xml:space="preserve"> </w:t>
      </w:r>
      <w:r w:rsidR="000E07CB" w:rsidRPr="004A68AC">
        <w:rPr>
          <w:lang w:val="en-US"/>
        </w:rPr>
        <w:t>(</w:t>
      </w:r>
      <w:r w:rsidR="000E07CB" w:rsidRPr="004A68AC">
        <w:rPr>
          <w:i/>
          <w:iCs/>
          <w:lang w:val="en-US"/>
        </w:rPr>
        <w:t>e.g.</w:t>
      </w:r>
      <w:r w:rsidR="000E07CB" w:rsidRPr="004A68AC">
        <w:rPr>
          <w:lang w:val="en-US"/>
        </w:rPr>
        <w:t xml:space="preserve">, </w:t>
      </w:r>
      <w:r w:rsidR="000E07CB" w:rsidRPr="004A68AC">
        <w:rPr>
          <w:lang w:val="en-US"/>
        </w:rPr>
        <w:fldChar w:fldCharType="begin" w:fldLock="1"/>
      </w:r>
      <w:r w:rsidR="009E5473" w:rsidRPr="004A68AC">
        <w:rPr>
          <w:lang w:val="en-US"/>
        </w:rPr>
        <w:instrText>ADDIN CSL_CITATION {"citationItems":[{"id":"ITEM-1","itemData":{"abstract":"This report, FEMA-355C – State of the Art Report on Systems Performance of Steel Moment Frames Subject to Earthquake Ground Shaking, presents an overview of the current state of knowledge with regard to the response of moment-resisting steel frame buildings to strong ground shaking. This state of the art report was prepared in support of the development of a series of Recommended Design Criteria documents, prepared by the SAC Joint Venture on behalf of the Federal Emergency Management Agency and addressing the issue of the seismic performance of moment-resisting steel frame structures.","author":[{"dropping-particle":"","family":"Federal Emergency Management Agency","given":"","non-dropping-particle":"","parse-names":false,"suffix":""}],"container-title":"FEMA 355C","id":"ITEM-1","issued":{"date-parts":[["2000"]]},"title":"State of the Art Report on Systems Performance of Steel Moment Frames Subject to Earthquake Ground Shaking","type":"article"},"uris":["http://www.mendeley.com/documents/?uuid=709233d8-acbb-4537-9154-5d8f86ec4399"]}],"mendeley":{"formattedCitation":"[1]","plainTextFormattedCitation":"[1]","previouslyFormattedCitation":"[1]"},"properties":{"noteIndex":0},"schema":"https://github.com/citation-style-language/schema/raw/master/csl-citation.json"}</w:instrText>
      </w:r>
      <w:r w:rsidR="000E07CB" w:rsidRPr="004A68AC">
        <w:rPr>
          <w:lang w:val="en-US"/>
        </w:rPr>
        <w:fldChar w:fldCharType="separate"/>
      </w:r>
      <w:r w:rsidR="000E07CB" w:rsidRPr="004A68AC">
        <w:rPr>
          <w:noProof/>
          <w:lang w:val="en-US"/>
        </w:rPr>
        <w:t>[1]</w:t>
      </w:r>
      <w:r w:rsidR="000E07CB" w:rsidRPr="004A68AC">
        <w:rPr>
          <w:lang w:val="en-US"/>
        </w:rPr>
        <w:fldChar w:fldCharType="end"/>
      </w:r>
      <w:r w:rsidR="000E07CB" w:rsidRPr="004A68AC">
        <w:rPr>
          <w:lang w:val="en-US"/>
        </w:rPr>
        <w:t>)</w:t>
      </w:r>
      <w:r w:rsidR="00EE3EB2" w:rsidRPr="004A68AC">
        <w:rPr>
          <w:lang w:val="en-US"/>
        </w:rPr>
        <w:t xml:space="preserve">. These structures are representative of low- and mid-rise steel structures designed with low-ductility considerations. </w:t>
      </w:r>
      <w:r w:rsidR="00FB3239" w:rsidRPr="004A68AC">
        <w:rPr>
          <w:lang w:val="en-US"/>
        </w:rPr>
        <w:t>In addition</w:t>
      </w:r>
      <w:r w:rsidR="00EE3EB2" w:rsidRPr="004A68AC">
        <w:rPr>
          <w:lang w:val="en-US"/>
        </w:rPr>
        <w:t xml:space="preserve">, </w:t>
      </w:r>
      <w:r w:rsidR="00FB3239" w:rsidRPr="004A68AC">
        <w:rPr>
          <w:lang w:val="en-US"/>
        </w:rPr>
        <w:t xml:space="preserve">these pre-Northridge structures lack of capacity design considerations, similarly to those found in recently seismically reclassified European regions </w:t>
      </w:r>
      <w:r w:rsidR="00A54A92" w:rsidRPr="004A68AC">
        <w:rPr>
          <w:lang w:val="en-US"/>
        </w:rPr>
        <w:t>(</w:t>
      </w:r>
      <w:r w:rsidR="00A54A92" w:rsidRPr="004A68AC">
        <w:rPr>
          <w:i/>
          <w:lang w:val="en-US"/>
        </w:rPr>
        <w:t>e.g.</w:t>
      </w:r>
      <w:r w:rsidR="00A54A92" w:rsidRPr="004A68AC">
        <w:rPr>
          <w:lang w:val="en-US"/>
        </w:rPr>
        <w:t xml:space="preserve">, </w:t>
      </w:r>
      <w:r w:rsidR="00A54A92" w:rsidRPr="004A68AC">
        <w:rPr>
          <w:lang w:val="en-US"/>
        </w:rPr>
        <w:fldChar w:fldCharType="begin" w:fldLock="1"/>
      </w:r>
      <w:r w:rsidR="00E94E8E" w:rsidRPr="004A68AC">
        <w:rPr>
          <w:lang w:val="en-US"/>
        </w:rPr>
        <w:instrText>ADDIN CSL_CITATION {"citationItems":[{"id":"ITEM-1","itemData":{"DOI":"10.1016/j.jcsr.2020.106040","ISSN":"0143974X","abstract":"Many existing steel moment-resisting frames were constructed before the provisions of modern seismic codes; therefore, they are likely to exhibit high vulnerability to earthquakes due to their inadequate ductility design, hence low energy dissipation capacity. Public concern has been raised about the development of a reliable code-based framework for assessing existing structures, however, previous research has shown that the current European code EC8–3 may not be sufficient and requires urgent improvements. Particular attention should be paid to the contribution from infill walls in steel buildings, especially those made of masonry, and beam-column connections, as they play a significant role in the structural performance under earthquakes. To this end, an updated assessment procedure, which is an extension of the current procedure in EC8–3 but with several improvements to the non-linear analysis methods, is proposed in this paper and is applied to an existing steel building as a case study. The building is a three-storey steel moment-resisting frame located at Amatrice in Central Italy, which survived the recent 2016–2017 Central Italy earthquakes. Refined 3D models of the case study building, which account for the effects of infill walls and column panel zones, were implemented in a refined finite element platform. The effects of masonry infills on structural components, such as beams and columns, were investigated through non-linear analysis methods. The results emphasise the significance of including masonry infills in the numerical model for seismic assessment especially when an optimised retrofit solution is needed.","author":[{"dropping-particle":"","family":"Sarno","given":"Luigi","non-dropping-particle":"Di","parse-names":false,"suffix":""},{"dropping-particle":"","family":"Wu","given":"Jing Ren","non-dropping-particle":"","parse-names":false,"suffix":""}],"container-title":"Journal of Constructional Steel Research","id":"ITEM-1","issued":{"date-parts":[["2020"]]},"page":"106040","publisher":"Elsevier Ltd","title":"Seismic assessment of existing steel frames with masonry infills","type":"article-journal","volume":"169"},"uris":["http://www.mendeley.com/documents/?uuid=138f2e1e-2a45-48ac-b9bc-c958d8500bf7"]},{"id":"ITEM-2","itemData":{"DOI":"10.4028/www.scientific.net/KEM.763.1067","ISSN":"10139826","abstract":"Numerous existing steel framed buildings located in earthquake prone regions worldwide were designed without seismic provisions. Slender beam-columns, as well as non-ductile beam-to-column connections have been employed for multi-storey moment-resisting frames (MRFs) built before the 80's. Thus, widespread damage due to brittle failure has been commonly observed in the past earthquakes for steel MRFs. A recent post-earthquake survey carried out in the aftermath of the 2016-2017 Central Italy seismic swarm has pointed out that steel structures may survive the shaking caused by several main-shocks and strong aftershocks without collapsing. Inevitably, significant lateral deformations are experienced, and, in turn, non-structural components are severely damaged thus inhibiting the use of the steel building structures. The present paper illustrate the outcomes of a recent preliminary numerical study carried out for the case of a steel MRF building located in Amatrice, Central Italy, which experienced a series of ground motion excitations suffering significant damage to the masonry infills without collapsing. A refined numerical model of the sample structure has been developed on the basis of the data collected on site. Given the lack of design drawings, the structure has been partially re-designed in compliance with the Italian regulations imposed at the time of construction employing the allowable stress method. The earthquake performance of the case study MRF has been then investigated through advanced nonlinear dynamic analyses and its structural performance has been evaluated according to Eurocode 8-Part 3 for existing buildings. The reliability of the codified approaches has been evaluated and possible improvements emphasized.","author":[{"dropping-particle":"","family":"Sarno","given":"Luigi","non-dropping-particle":"Di","parse-names":false,"suffix":""},{"dropping-particle":"","family":"Paolacci","given":"Fabrizio","non-dropping-particle":"","parse-names":false,"suffix":""},{"dropping-particle":"","family":"Sextos","given":"Anastasios G.","non-dropping-particle":"","parse-names":false,"suffix":""}],"container-title":"Key Engineering Materials","id":"ITEM-2","issued":{"date-parts":[["2018"]]},"page":"1067-1076","title":"Seismic performance assessment of existing steel buildings: A case study","type":"article-journal","volume":"763"},"uris":["http://www.mendeley.com/documents/?uuid=fe4e2f62-adc0-4042-8f5e-2e7fa4d0874a"]}],"mendeley":{"formattedCitation":"[2,6]","plainTextFormattedCitation":"[2,6]","previouslyFormattedCitation":"[2,6]"},"properties":{"noteIndex":0},"schema":"https://github.com/citation-style-language/schema/raw/master/csl-citation.json"}</w:instrText>
      </w:r>
      <w:r w:rsidR="00A54A92" w:rsidRPr="004A68AC">
        <w:rPr>
          <w:lang w:val="en-US"/>
        </w:rPr>
        <w:fldChar w:fldCharType="separate"/>
      </w:r>
      <w:r w:rsidR="00996444" w:rsidRPr="004A68AC">
        <w:rPr>
          <w:noProof/>
          <w:lang w:val="en-US"/>
        </w:rPr>
        <w:t>[2,6]</w:t>
      </w:r>
      <w:r w:rsidR="00A54A92" w:rsidRPr="004A68AC">
        <w:rPr>
          <w:lang w:val="en-US"/>
        </w:rPr>
        <w:fldChar w:fldCharType="end"/>
      </w:r>
      <w:r w:rsidR="00A54A92" w:rsidRPr="004A68AC">
        <w:rPr>
          <w:lang w:val="en-US"/>
        </w:rPr>
        <w:t>).</w:t>
      </w:r>
      <w:r w:rsidR="00F653DA" w:rsidRPr="004A68AC">
        <w:rPr>
          <w:lang w:val="en-US"/>
        </w:rPr>
        <w:t xml:space="preserve"> These buildings were chosen (1) for being representative of the ductility level of many steel MRFs in Europe and worldwide (</w:t>
      </w:r>
      <w:r w:rsidR="00F653DA" w:rsidRPr="004A68AC">
        <w:rPr>
          <w:i/>
          <w:lang w:val="en-US"/>
        </w:rPr>
        <w:t>e.g.</w:t>
      </w:r>
      <w:r w:rsidR="00F653DA" w:rsidRPr="004A68AC">
        <w:rPr>
          <w:lang w:val="en-US"/>
        </w:rPr>
        <w:t xml:space="preserve">, </w:t>
      </w:r>
      <w:r w:rsidR="00F653DA" w:rsidRPr="004A68AC">
        <w:rPr>
          <w:lang w:val="en-US"/>
        </w:rPr>
        <w:fldChar w:fldCharType="begin" w:fldLock="1"/>
      </w:r>
      <w:r w:rsidR="00F653DA" w:rsidRPr="004A68AC">
        <w:rPr>
          <w:lang w:val="en-US"/>
        </w:rPr>
        <w:instrText>ADDIN CSL_CITATION {"citationItems":[{"id":"ITEM-1","itemData":{"DOI":"10.1016/j.jcsr.2020.106040","ISSN":"0143974X","abstract":"Many existing steel moment-resisting frames were constructed before the provisions of modern seismic codes; therefore, they are likely to exhibit high vulnerability to earthquakes due to their inadequate ductility design, hence low energy dissipation capacity. Public concern has been raised about the development of a reliable code-based framework for assessing existing structures, however, previous research has shown that the current European code EC8–3 may not be sufficient and requires urgent improvements. Particular attention should be paid to the contribution from infill walls in steel buildings, especially those made of masonry, and beam-column connections, as they play a significant role in the structural performance under earthquakes. To this end, an updated assessment procedure, which is an extension of the current procedure in EC8–3 but with several improvements to the non-linear analysis methods, is proposed in this paper and is applied to an existing steel building as a case study. The building is a three-storey steel moment-resisting frame located at Amatrice in Central Italy, which survived the recent 2016–2017 Central Italy earthquakes. Refined 3D models of the case study building, which account for the effects of infill walls and column panel zones, were implemented in a refined finite element platform. The effects of masonry infills on structural components, such as beams and columns, were investigated through non-linear analysis methods. The results emphasise the significance of including masonry infills in the numerical model for seismic assessment especially when an optimised retrofit solution is needed.","author":[{"dropping-particle":"","family":"Sarno","given":"Luigi","non-dropping-particle":"Di","parse-names":false,"suffix":""},{"dropping-particle":"","family":"Wu","given":"Jing Ren","non-dropping-particle":"","parse-names":false,"suffix":""}],"container-title":"Journal of Constructional Steel Research","id":"ITEM-1","issued":{"date-parts":[["2020"]]},"page":"106040","publisher":"Elsevier Ltd","title":"Seismic assessment of existing steel frames with masonry infills","type":"article-journal","volume":"169"},"uris":["http://www.mendeley.com/documents/?uuid=138f2e1e-2a45-48ac-b9bc-c958d8500bf7"]},{"id":"ITEM-2","itemData":{"DOI":"10.4028/www.scientific.net/KEM.763.1067","ISSN":"10139826","abstract":"Numerous existing steel framed buildings located in earthquake prone regions worldwide were designed without seismic provisions. Slender beam-columns, as well as non-ductile beam-to-column connections have been employed for multi-storey moment-resisting frames (MRFs) built before the 80's. Thus, widespread damage due to brittle failure has been commonly observed in the past earthquakes for steel MRFs. A recent post-earthquake survey carried out in the aftermath of the 2016-2017 Central Italy seismic swarm has pointed out that steel structures may survive the shaking caused by several main-shocks and strong aftershocks without collapsing. Inevitably, significant lateral deformations are experienced, and, in turn, non-structural components are severely damaged thus inhibiting the use of the steel building structures. The present paper illustrate the outcomes of a recent preliminary numerical study carried out for the case of a steel MRF building located in Amatrice, Central Italy, which experienced a series of ground motion excitations suffering significant damage to the masonry infills without collapsing. A refined numerical model of the sample structure has been developed on the basis of the data collected on site. Given the lack of design drawings, the structure has been partially re-designed in compliance with the Italian regulations imposed at the time of construction employing the allowable stress method. The earthquake performance of the case study MRF has been then investigated through advanced nonlinear dynamic analyses and its structural performance has been evaluated according to Eurocode 8-Part 3 for existing buildings. The reliability of the codified approaches has been evaluated and possible improvements emphasized.","author":[{"dropping-particle":"","family":"Sarno","given":"Luigi","non-dropping-particle":"Di","parse-names":false,"suffix":""},{"dropping-particle":"","family":"Paolacci","given":"Fabrizio","non-dropping-particle":"","parse-names":false,"suffix":""},{"dropping-particle":"","family":"Sextos","given":"Anastasios G.","non-dropping-particle":"","parse-names":false,"suffix":""}],"container-title":"Key Engineering Materials","id":"ITEM-2","issued":{"date-parts":[["2018"]]},"page":"1067-1076","title":"Seismic performance assessment of existing steel buildings: A case study","type":"article-journal","volume":"763"},"uris":["http://www.mendeley.com/documents/?uuid=fe4e2f62-adc0-4042-8f5e-2e7fa4d0874a"]}],"mendeley":{"formattedCitation":"[2,6]","plainTextFormattedCitation":"[2,6]","previouslyFormattedCitation":"[2,6]"},"properties":{"noteIndex":0},"schema":"https://github.com/citation-style-language/schema/raw/master/csl-citation.json"}</w:instrText>
      </w:r>
      <w:r w:rsidR="00F653DA" w:rsidRPr="004A68AC">
        <w:rPr>
          <w:lang w:val="en-US"/>
        </w:rPr>
        <w:fldChar w:fldCharType="separate"/>
      </w:r>
      <w:r w:rsidR="00F653DA" w:rsidRPr="004A68AC">
        <w:rPr>
          <w:noProof/>
          <w:lang w:val="en-US"/>
        </w:rPr>
        <w:t>[2,6]</w:t>
      </w:r>
      <w:r w:rsidR="00F653DA" w:rsidRPr="004A68AC">
        <w:rPr>
          <w:lang w:val="en-US"/>
        </w:rPr>
        <w:fldChar w:fldCharType="end"/>
      </w:r>
      <w:r w:rsidR="00F653DA" w:rsidRPr="004A68AC">
        <w:rPr>
          <w:lang w:val="en-US"/>
        </w:rPr>
        <w:t xml:space="preserve">); (2) for being extensively accepted and studied in literature </w:t>
      </w:r>
      <w:r w:rsidR="00F653DA"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F653DA" w:rsidRPr="004A68AC">
        <w:rPr>
          <w:lang w:val="en-US"/>
        </w:rPr>
        <w:fldChar w:fldCharType="separate"/>
      </w:r>
      <w:r w:rsidR="005E41A8" w:rsidRPr="004A68AC">
        <w:rPr>
          <w:noProof/>
          <w:lang w:val="en-US"/>
        </w:rPr>
        <w:t>[29]</w:t>
      </w:r>
      <w:r w:rsidR="00F653DA" w:rsidRPr="004A68AC">
        <w:rPr>
          <w:lang w:val="en-US"/>
        </w:rPr>
        <w:fldChar w:fldCharType="end"/>
      </w:r>
      <w:r w:rsidR="00F653DA" w:rsidRPr="004A68AC">
        <w:rPr>
          <w:lang w:val="en-US"/>
        </w:rPr>
        <w:t xml:space="preserve">; and (3) for allowing the comparison of the ASCE 41-17 </w:t>
      </w:r>
      <w:r w:rsidR="00F653DA" w:rsidRPr="004A68AC">
        <w:rPr>
          <w:lang w:val="en-US"/>
        </w:rPr>
        <w:fldChar w:fldCharType="begin" w:fldLock="1"/>
      </w:r>
      <w:r w:rsidR="005C47A3" w:rsidRPr="004A68AC">
        <w:rPr>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F653DA" w:rsidRPr="004A68AC">
        <w:rPr>
          <w:lang w:val="en-US"/>
        </w:rPr>
        <w:fldChar w:fldCharType="separate"/>
      </w:r>
      <w:r w:rsidR="00F653DA" w:rsidRPr="004A68AC">
        <w:rPr>
          <w:noProof/>
          <w:lang w:val="en-US"/>
        </w:rPr>
        <w:t>[19]</w:t>
      </w:r>
      <w:r w:rsidR="00F653DA" w:rsidRPr="004A68AC">
        <w:rPr>
          <w:lang w:val="en-US"/>
        </w:rPr>
        <w:fldChar w:fldCharType="end"/>
      </w:r>
      <w:r w:rsidR="00F653DA" w:rsidRPr="004A68AC">
        <w:rPr>
          <w:lang w:val="en-US"/>
        </w:rPr>
        <w:t xml:space="preserve"> with the rest of the codes, as the column’s rotation capacity limits are calibrated </w:t>
      </w:r>
      <w:r w:rsidR="00775B06" w:rsidRPr="004A68AC">
        <w:rPr>
          <w:lang w:val="en-US"/>
        </w:rPr>
        <w:t xml:space="preserve">on </w:t>
      </w:r>
      <w:r w:rsidR="00F653DA" w:rsidRPr="004A68AC">
        <w:rPr>
          <w:lang w:val="en-US"/>
        </w:rPr>
        <w:t>regression</w:t>
      </w:r>
      <w:r w:rsidR="00775B06" w:rsidRPr="004A68AC">
        <w:rPr>
          <w:lang w:val="en-US"/>
        </w:rPr>
        <w:t>s</w:t>
      </w:r>
      <w:r w:rsidR="00F653DA" w:rsidRPr="004A68AC">
        <w:rPr>
          <w:lang w:val="en-US"/>
        </w:rPr>
        <w:t xml:space="preserve"> made based on experiments performed on American W steel profiles.</w:t>
      </w:r>
    </w:p>
    <w:p w14:paraId="2385CCCA" w14:textId="77777777" w:rsidR="00FF6B13" w:rsidRPr="004A68AC" w:rsidRDefault="00FF6B13" w:rsidP="00B86008">
      <w:pPr>
        <w:rPr>
          <w:lang w:val="en-US"/>
        </w:rPr>
      </w:pPr>
    </w:p>
    <w:p w14:paraId="03040DD4" w14:textId="0B7F071F" w:rsidR="0066787B" w:rsidRPr="004A68AC" w:rsidRDefault="00795288" w:rsidP="00F50411">
      <w:pPr>
        <w:pStyle w:val="Heading3"/>
        <w:spacing w:before="0" w:after="0"/>
        <w:rPr>
          <w:b w:val="0"/>
          <w:i/>
          <w:szCs w:val="20"/>
          <w:lang w:val="en-US"/>
        </w:rPr>
      </w:pPr>
      <w:r w:rsidRPr="004A68AC">
        <w:rPr>
          <w:rFonts w:ascii="Times New Roman" w:hAnsi="Times New Roman"/>
          <w:bCs w:val="0"/>
          <w:i/>
          <w:sz w:val="20"/>
          <w:szCs w:val="20"/>
          <w:lang w:val="en-US"/>
        </w:rPr>
        <w:t>4</w:t>
      </w:r>
      <w:r w:rsidR="0066787B" w:rsidRPr="004A68AC">
        <w:rPr>
          <w:rFonts w:ascii="Times New Roman" w:hAnsi="Times New Roman"/>
          <w:bCs w:val="0"/>
          <w:i/>
          <w:sz w:val="20"/>
          <w:szCs w:val="20"/>
          <w:lang w:val="en-US"/>
        </w:rPr>
        <w:t>.1 Ch</w:t>
      </w:r>
      <w:r w:rsidR="00BA080D" w:rsidRPr="004A68AC">
        <w:rPr>
          <w:rFonts w:ascii="Times New Roman" w:hAnsi="Times New Roman"/>
          <w:bCs w:val="0"/>
          <w:i/>
          <w:sz w:val="20"/>
          <w:szCs w:val="20"/>
          <w:lang w:val="en-US"/>
        </w:rPr>
        <w:t>aracteristics of the structures</w:t>
      </w:r>
    </w:p>
    <w:p w14:paraId="598ED517" w14:textId="55A7F33D" w:rsidR="00276050" w:rsidRPr="004A68AC" w:rsidRDefault="008860EB" w:rsidP="00276050">
      <w:pPr>
        <w:rPr>
          <w:szCs w:val="17"/>
          <w:lang w:val="en-US"/>
        </w:rPr>
      </w:pPr>
      <w:r w:rsidRPr="004A68AC">
        <w:rPr>
          <w:lang w:val="en-US"/>
        </w:rPr>
        <w:t>The two case study buildings were designed as located in Boston (</w:t>
      </w:r>
      <w:r w:rsidRPr="004A68AC">
        <w:rPr>
          <w:i/>
          <w:iCs/>
          <w:lang w:val="en-US"/>
        </w:rPr>
        <w:t>i.e.</w:t>
      </w:r>
      <w:r w:rsidRPr="004A68AC">
        <w:rPr>
          <w:lang w:val="en-US"/>
        </w:rPr>
        <w:t>, low seismicity), built on stiff soil, designed for office occupancy, with regular plan distribution and with no considerable irregularities along the height. These buildings were intended to be representative of low- and mid-rise steel MRFs, (</w:t>
      </w:r>
      <w:r w:rsidRPr="004A68AC">
        <w:rPr>
          <w:i/>
          <w:lang w:val="en-US"/>
        </w:rPr>
        <w:t>i.e.,</w:t>
      </w:r>
      <w:r w:rsidRPr="004A68AC">
        <w:rPr>
          <w:lang w:val="en-US"/>
        </w:rPr>
        <w:t xml:space="preserve"> 3 and 9 </w:t>
      </w:r>
      <w:r w:rsidR="005E5083" w:rsidRPr="004A68AC">
        <w:rPr>
          <w:lang w:val="en-US"/>
        </w:rPr>
        <w:t>storie</w:t>
      </w:r>
      <w:r w:rsidRPr="004A68AC">
        <w:rPr>
          <w:lang w:val="en-US"/>
        </w:rPr>
        <w:t>s</w:t>
      </w:r>
      <w:r w:rsidR="003805DA" w:rsidRPr="004A68AC">
        <w:rPr>
          <w:lang w:val="en-US"/>
        </w:rPr>
        <w:t>), and f</w:t>
      </w:r>
      <w:r w:rsidRPr="004A68AC">
        <w:rPr>
          <w:lang w:val="en-US"/>
        </w:rPr>
        <w:t>or the sake of brevity, the</w:t>
      </w:r>
      <w:r w:rsidR="003805DA" w:rsidRPr="004A68AC">
        <w:rPr>
          <w:lang w:val="en-US"/>
        </w:rPr>
        <w:t>y</w:t>
      </w:r>
      <w:r w:rsidRPr="004A68AC">
        <w:rPr>
          <w:lang w:val="en-US"/>
        </w:rPr>
        <w:t xml:space="preserve"> will </w:t>
      </w:r>
      <w:r w:rsidR="00842A67" w:rsidRPr="004A68AC">
        <w:rPr>
          <w:lang w:val="en-US"/>
        </w:rPr>
        <w:t xml:space="preserve">be referred </w:t>
      </w:r>
      <w:r w:rsidRPr="004A68AC">
        <w:rPr>
          <w:lang w:val="en-US"/>
        </w:rPr>
        <w:t>hereafter as 3B and 9B, respectively. Both structures were designed according to the 12</w:t>
      </w:r>
      <w:r w:rsidRPr="004A68AC">
        <w:rPr>
          <w:vertAlign w:val="superscript"/>
          <w:lang w:val="en-US"/>
        </w:rPr>
        <w:t>th</w:t>
      </w:r>
      <w:r w:rsidRPr="004A68AC">
        <w:rPr>
          <w:lang w:val="en-US"/>
        </w:rPr>
        <w:t xml:space="preserve"> edition of the National Building Code (as noted by</w:t>
      </w:r>
      <w:r w:rsidR="003805DA" w:rsidRPr="004A68AC">
        <w:rPr>
          <w:lang w:val="en-US"/>
        </w:rPr>
        <w:t xml:space="preserve">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Pr="004A68AC">
        <w:rPr>
          <w:lang w:val="en-US"/>
        </w:rPr>
        <w:t xml:space="preserve">), considering gravity, seismic and wind loads. Since the seismic demand for the site is very low, the seismic forces only controlled the design of 3B, while 9B design was controlled by wind loads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003805DA" w:rsidRPr="004A68AC">
        <w:rPr>
          <w:lang w:val="en-US"/>
        </w:rPr>
        <w:t xml:space="preserve">. </w:t>
      </w:r>
      <w:r w:rsidRPr="004A68AC">
        <w:rPr>
          <w:lang w:val="en-US"/>
        </w:rPr>
        <w:t>In both cases, the lateral loads were resisted by perimeter steel MRFs, while the majority of the gravity loads were resisted by internal gravity frames, as it was common practice for this kind of structures in the early 90’s in the USA. Similarly to</w:t>
      </w:r>
      <w:r w:rsidR="00C91023" w:rsidRPr="004A68AC">
        <w:rPr>
          <w:lang w:val="en-US"/>
        </w:rPr>
        <w:t xml:space="preserve"> Gupta and Krawinkler</w:t>
      </w:r>
      <w:r w:rsidRPr="004A68AC">
        <w:rPr>
          <w:lang w:val="en-US"/>
        </w:rPr>
        <w:t xml:space="preserve">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003805DA" w:rsidRPr="004A68AC">
        <w:rPr>
          <w:lang w:val="en-US"/>
        </w:rPr>
        <w:t xml:space="preserve">, </w:t>
      </w:r>
      <w:r w:rsidRPr="004A68AC">
        <w:rPr>
          <w:lang w:val="en-US"/>
        </w:rPr>
        <w:t>this paper only considers the frames oriented on the N-S direction and neglects the torsional effects.</w:t>
      </w:r>
      <w:r w:rsidR="001F7C11" w:rsidRPr="004A68AC">
        <w:rPr>
          <w:lang w:val="en-US"/>
        </w:rPr>
        <w:t xml:space="preserve"> </w:t>
      </w:r>
      <w:r w:rsidRPr="004A68AC">
        <w:rPr>
          <w:lang w:val="en-US"/>
        </w:rPr>
        <w:t>Therefore, only the planar structure is an</w:t>
      </w:r>
      <w:r w:rsidR="005E5083" w:rsidRPr="004A68AC">
        <w:rPr>
          <w:lang w:val="en-US"/>
        </w:rPr>
        <w:t>alyz</w:t>
      </w:r>
      <w:r w:rsidRPr="004A68AC">
        <w:rPr>
          <w:lang w:val="en-US"/>
        </w:rPr>
        <w:t>ed with its corresponding tributary mass (</w:t>
      </w:r>
      <w:r w:rsidRPr="004A68AC">
        <w:rPr>
          <w:i/>
          <w:iCs/>
          <w:lang w:val="en-US"/>
        </w:rPr>
        <w:t>i.e.,</w:t>
      </w:r>
      <w:r w:rsidRPr="004A68AC">
        <w:rPr>
          <w:lang w:val="en-US"/>
        </w:rPr>
        <w:t xml:space="preserve"> half of the building’s mass). The </w:t>
      </w:r>
      <w:r w:rsidR="00AB11FE" w:rsidRPr="004A68AC">
        <w:rPr>
          <w:lang w:val="en-US"/>
        </w:rPr>
        <w:t xml:space="preserve">plan </w:t>
      </w:r>
      <w:r w:rsidRPr="004A68AC">
        <w:rPr>
          <w:lang w:val="en-US"/>
        </w:rPr>
        <w:t xml:space="preserve">views for buildings 3B and 9B are shown </w:t>
      </w:r>
      <w:r w:rsidRPr="004A68AC">
        <w:rPr>
          <w:szCs w:val="17"/>
          <w:lang w:val="en-US"/>
        </w:rPr>
        <w:t xml:space="preserve">in </w:t>
      </w:r>
      <w:r w:rsidRPr="004A68AC">
        <w:rPr>
          <w:szCs w:val="17"/>
          <w:lang w:val="en-US"/>
        </w:rPr>
        <w:fldChar w:fldCharType="begin" w:fldLock="1"/>
      </w:r>
      <w:r w:rsidRPr="004A68AC">
        <w:rPr>
          <w:szCs w:val="17"/>
          <w:lang w:val="en-US"/>
        </w:rPr>
        <w:instrText xml:space="preserve"> REF _Ref33187702 \h  \* MERGEFORMAT </w:instrText>
      </w:r>
      <w:r w:rsidRPr="004A68AC">
        <w:rPr>
          <w:szCs w:val="17"/>
          <w:lang w:val="en-US"/>
        </w:rPr>
      </w:r>
      <w:r w:rsidRPr="004A68AC">
        <w:rPr>
          <w:szCs w:val="17"/>
          <w:lang w:val="en-US"/>
        </w:rPr>
        <w:fldChar w:fldCharType="separate"/>
      </w:r>
      <w:r w:rsidR="002B107B" w:rsidRPr="004A68AC">
        <w:rPr>
          <w:szCs w:val="17"/>
          <w:lang w:val="en-US"/>
        </w:rPr>
        <w:t xml:space="preserve">Figure </w:t>
      </w:r>
      <w:r w:rsidR="002B107B" w:rsidRPr="004A68AC">
        <w:rPr>
          <w:noProof/>
          <w:szCs w:val="17"/>
          <w:lang w:val="en-US"/>
        </w:rPr>
        <w:t>7</w:t>
      </w:r>
      <w:r w:rsidRPr="004A68AC">
        <w:rPr>
          <w:szCs w:val="17"/>
          <w:lang w:val="en-US"/>
        </w:rPr>
        <w:fldChar w:fldCharType="end"/>
      </w:r>
      <w:r w:rsidR="00AB11FE" w:rsidRPr="004A68AC">
        <w:rPr>
          <w:szCs w:val="17"/>
          <w:lang w:val="en-US"/>
        </w:rPr>
        <w:t xml:space="preserve">(a) and (b), respectively, while </w:t>
      </w:r>
      <w:r w:rsidR="00AB11FE" w:rsidRPr="004A68AC">
        <w:rPr>
          <w:szCs w:val="17"/>
          <w:lang w:val="en-US"/>
        </w:rPr>
        <w:fldChar w:fldCharType="begin" w:fldLock="1"/>
      </w:r>
      <w:r w:rsidR="00AB11FE" w:rsidRPr="004A68AC">
        <w:rPr>
          <w:szCs w:val="17"/>
          <w:lang w:val="en-US"/>
        </w:rPr>
        <w:instrText xml:space="preserve"> REF _Ref33187702 \h  \* MERGEFORMAT </w:instrText>
      </w:r>
      <w:r w:rsidR="00AB11FE" w:rsidRPr="004A68AC">
        <w:rPr>
          <w:szCs w:val="17"/>
          <w:lang w:val="en-US"/>
        </w:rPr>
      </w:r>
      <w:r w:rsidR="00AB11FE" w:rsidRPr="004A68AC">
        <w:rPr>
          <w:szCs w:val="17"/>
          <w:lang w:val="en-US"/>
        </w:rPr>
        <w:fldChar w:fldCharType="separate"/>
      </w:r>
      <w:r w:rsidR="002B107B" w:rsidRPr="004A68AC">
        <w:rPr>
          <w:szCs w:val="17"/>
          <w:lang w:val="en-US"/>
        </w:rPr>
        <w:t xml:space="preserve">Figure </w:t>
      </w:r>
      <w:r w:rsidR="002B107B" w:rsidRPr="004A68AC">
        <w:rPr>
          <w:noProof/>
          <w:szCs w:val="17"/>
          <w:lang w:val="en-US"/>
        </w:rPr>
        <w:t>7</w:t>
      </w:r>
      <w:r w:rsidR="00AB11FE" w:rsidRPr="004A68AC">
        <w:rPr>
          <w:szCs w:val="17"/>
          <w:lang w:val="en-US"/>
        </w:rPr>
        <w:fldChar w:fldCharType="end"/>
      </w:r>
      <w:r w:rsidR="00AB11FE" w:rsidRPr="004A68AC">
        <w:rPr>
          <w:szCs w:val="17"/>
          <w:lang w:val="en-US"/>
        </w:rPr>
        <w:t>(c) and (d) show the elevation of their studied frames</w:t>
      </w:r>
      <w:r w:rsidRPr="004A68AC">
        <w:rPr>
          <w:szCs w:val="17"/>
          <w:lang w:val="en-US"/>
        </w:rPr>
        <w:t>.</w:t>
      </w:r>
      <w:r w:rsidR="00075AE6" w:rsidRPr="004A68AC">
        <w:rPr>
          <w:szCs w:val="17"/>
          <w:lang w:val="en-US"/>
        </w:rPr>
        <w:t xml:space="preserve"> Building 9B is slightly modified from its original design, </w:t>
      </w:r>
      <w:r w:rsidR="009F78F9" w:rsidRPr="004A68AC">
        <w:rPr>
          <w:szCs w:val="17"/>
          <w:lang w:val="en-US"/>
        </w:rPr>
        <w:t xml:space="preserve">to remove </w:t>
      </w:r>
      <w:r w:rsidR="00C55D6F" w:rsidRPr="004A68AC">
        <w:rPr>
          <w:szCs w:val="17"/>
          <w:lang w:val="en-US"/>
        </w:rPr>
        <w:t>the semi-pinned external span</w:t>
      </w:r>
      <w:r w:rsidR="00FE6DDB" w:rsidRPr="004A68AC">
        <w:rPr>
          <w:szCs w:val="17"/>
          <w:lang w:val="en-US"/>
        </w:rPr>
        <w:t xml:space="preserve"> (from E to F)</w:t>
      </w:r>
      <w:r w:rsidR="00C55D6F" w:rsidRPr="004A68AC">
        <w:rPr>
          <w:szCs w:val="17"/>
          <w:lang w:val="en-US"/>
        </w:rPr>
        <w:t xml:space="preserve">, as its contribution to the lateral strength and stiffness is </w:t>
      </w:r>
      <w:r w:rsidR="00AB11FE" w:rsidRPr="004A68AC">
        <w:rPr>
          <w:szCs w:val="17"/>
          <w:lang w:val="en-US"/>
        </w:rPr>
        <w:t>neglectable</w:t>
      </w:r>
      <w:r w:rsidR="00C55D6F" w:rsidRPr="004A68AC">
        <w:rPr>
          <w:szCs w:val="17"/>
          <w:lang w:val="en-US"/>
        </w:rPr>
        <w:t xml:space="preserve">, therefore, it </w:t>
      </w:r>
      <w:r w:rsidR="00620403" w:rsidRPr="004A68AC">
        <w:rPr>
          <w:szCs w:val="17"/>
          <w:lang w:val="en-US"/>
        </w:rPr>
        <w:t>is</w:t>
      </w:r>
      <w:r w:rsidR="00C55D6F" w:rsidRPr="004A68AC">
        <w:rPr>
          <w:szCs w:val="17"/>
          <w:lang w:val="en-US"/>
        </w:rPr>
        <w:t xml:space="preserve"> simply considered to be part of the gravity system. </w:t>
      </w:r>
      <w:r w:rsidRPr="004A68AC">
        <w:rPr>
          <w:szCs w:val="17"/>
          <w:lang w:val="en-US"/>
        </w:rPr>
        <w:t xml:space="preserve">The seismic mass for both buildings is reported in </w:t>
      </w:r>
      <w:r w:rsidRPr="004A68AC">
        <w:rPr>
          <w:szCs w:val="17"/>
          <w:lang w:val="en-US"/>
        </w:rPr>
        <w:fldChar w:fldCharType="begin" w:fldLock="1"/>
      </w:r>
      <w:r w:rsidRPr="004A68AC">
        <w:rPr>
          <w:szCs w:val="17"/>
          <w:lang w:val="en-US"/>
        </w:rPr>
        <w:instrText xml:space="preserve"> REF _Ref33189396 \h  \* MERGEFORMAT </w:instrText>
      </w:r>
      <w:r w:rsidRPr="004A68AC">
        <w:rPr>
          <w:szCs w:val="17"/>
          <w:lang w:val="en-US"/>
        </w:rPr>
      </w:r>
      <w:r w:rsidRPr="004A68AC">
        <w:rPr>
          <w:szCs w:val="17"/>
          <w:lang w:val="en-US"/>
        </w:rPr>
        <w:fldChar w:fldCharType="separate"/>
      </w:r>
      <w:r w:rsidR="00087089" w:rsidRPr="004A68AC">
        <w:rPr>
          <w:szCs w:val="17"/>
          <w:lang w:val="en-US"/>
        </w:rPr>
        <w:t xml:space="preserve">Table </w:t>
      </w:r>
      <w:r w:rsidR="00087089" w:rsidRPr="004A68AC">
        <w:rPr>
          <w:noProof/>
          <w:szCs w:val="17"/>
          <w:lang w:val="en-US"/>
        </w:rPr>
        <w:t>8</w:t>
      </w:r>
      <w:r w:rsidRPr="004A68AC">
        <w:rPr>
          <w:szCs w:val="17"/>
          <w:lang w:val="en-US"/>
        </w:rPr>
        <w:fldChar w:fldCharType="end"/>
      </w:r>
      <w:r w:rsidRPr="004A68AC">
        <w:rPr>
          <w:szCs w:val="17"/>
          <w:lang w:val="en-US"/>
        </w:rPr>
        <w:t>.</w:t>
      </w:r>
      <w:r w:rsidR="0069624A" w:rsidRPr="004A68AC">
        <w:rPr>
          <w:lang w:val="en-US"/>
        </w:rPr>
        <w:t xml:space="preserve"> For the assessment of the case study buildings, the beam-to-column connections are considered to be fully rigid, with no failure</w:t>
      </w:r>
      <w:r w:rsidR="00276050" w:rsidRPr="004A68AC">
        <w:rPr>
          <w:lang w:val="en-US"/>
        </w:rPr>
        <w:t xml:space="preserve"> occurrence. </w:t>
      </w:r>
      <w:r w:rsidR="00276050" w:rsidRPr="004A68AC">
        <w:rPr>
          <w:szCs w:val="17"/>
          <w:lang w:val="en-US"/>
        </w:rPr>
        <w:t>Full knowledge of the structures (</w:t>
      </w:r>
      <w:r w:rsidR="00276050" w:rsidRPr="004A68AC">
        <w:rPr>
          <w:i/>
          <w:iCs/>
          <w:szCs w:val="17"/>
          <w:lang w:val="en-US"/>
        </w:rPr>
        <w:t>i.e.,</w:t>
      </w:r>
      <w:r w:rsidR="00276050" w:rsidRPr="004A68AC">
        <w:rPr>
          <w:szCs w:val="17"/>
          <w:lang w:val="en-US"/>
        </w:rPr>
        <w:t xml:space="preserve"> CF</w:t>
      </w:r>
      <w:r w:rsidR="00276050" w:rsidRPr="004A68AC">
        <w:rPr>
          <w:szCs w:val="17"/>
          <w:vertAlign w:val="subscript"/>
          <w:lang w:val="en-US"/>
        </w:rPr>
        <w:t>KLn</w:t>
      </w:r>
      <w:r w:rsidR="00276050" w:rsidRPr="004A68AC">
        <w:rPr>
          <w:szCs w:val="17"/>
          <w:lang w:val="en-US"/>
        </w:rPr>
        <w:t xml:space="preserve"> = 1; κ = 1) is assumed in the case study buildings, as the goal is to compare the different EDPs in the different assessment codes.</w:t>
      </w:r>
    </w:p>
    <w:p w14:paraId="665F891A" w14:textId="77777777" w:rsidR="00F11EC1" w:rsidRPr="004A68AC" w:rsidRDefault="00F11EC1" w:rsidP="00276050">
      <w:pPr>
        <w:rPr>
          <w:szCs w:val="17"/>
          <w:lang w:val="en-US"/>
        </w:rPr>
      </w:pPr>
    </w:p>
    <w:p w14:paraId="741500F7" w14:textId="77777777" w:rsidR="00F11EC1" w:rsidRPr="004A68AC" w:rsidRDefault="00F11EC1" w:rsidP="00F50411">
      <w:pPr>
        <w:pStyle w:val="Heading3"/>
        <w:spacing w:before="0" w:after="0"/>
        <w:rPr>
          <w:b w:val="0"/>
          <w:i/>
          <w:szCs w:val="20"/>
          <w:lang w:val="en-US"/>
        </w:rPr>
      </w:pPr>
      <w:r w:rsidRPr="004A68AC">
        <w:rPr>
          <w:rFonts w:ascii="Times New Roman" w:hAnsi="Times New Roman"/>
          <w:bCs w:val="0"/>
          <w:i/>
          <w:sz w:val="20"/>
          <w:szCs w:val="20"/>
          <w:lang w:val="en-US"/>
        </w:rPr>
        <w:t>4.2 Finite element (FE) models</w:t>
      </w:r>
    </w:p>
    <w:p w14:paraId="02FFF7E0" w14:textId="223881B4" w:rsidR="00F129DB" w:rsidRPr="004A68AC" w:rsidRDefault="00F11EC1" w:rsidP="00F129DB">
      <w:pPr>
        <w:rPr>
          <w:lang w:val="en-US"/>
        </w:rPr>
      </w:pPr>
      <w:r w:rsidRPr="004A68AC">
        <w:rPr>
          <w:lang w:val="en-US"/>
        </w:rPr>
        <w:t xml:space="preserve">Two-dimensional non-linear FE models of the frames were developed in OpenSees </w:t>
      </w:r>
      <w:r w:rsidRPr="004A68AC">
        <w:rPr>
          <w:lang w:val="en-US"/>
        </w:rPr>
        <w:fldChar w:fldCharType="begin" w:fldLock="1"/>
      </w:r>
      <w:r w:rsidR="00022E9D" w:rsidRPr="004A68AC">
        <w:rPr>
          <w:lang w:val="en-US"/>
        </w:rPr>
        <w:instrText>ADDIN CSL_CITATION {"citationItems":[{"id":"ITEM-1","itemData":{"author":[{"dropping-particle":"","family":"McKenna","given":"Frank","non-dropping-particle":"","parse-names":false,"suffix":""},{"dropping-particle":"","family":"Fenves","given":"Gregory L.","non-dropping-particle":"","parse-names":false,"suffix":""},{"dropping-particle":"","family":"Scott","given":"Michael H.","non-dropping-particle":"","parse-names":false,"suffix":""}],"id":"ITEM-1","issued":{"date-parts":[["2000"]]},"publisher":"University of California, Berkeley","publisher-place":"Berkeley","title":"Open system for earthquake engineering simulation (OpenSees)","type":"article"},"uris":["http://www.mendeley.com/documents/?uuid=f7138df7-cd8f-467f-a711-01d2f46fab71"]}],"mendeley":{"formattedCitation":"[50]","plainTextFormattedCitation":"[50]","previouslyFormattedCitation":"[50]"},"properties":{"noteIndex":0},"schema":"https://github.com/citation-style-language/schema/raw/master/csl-citation.json"}</w:instrText>
      </w:r>
      <w:r w:rsidRPr="004A68AC">
        <w:rPr>
          <w:lang w:val="en-US"/>
        </w:rPr>
        <w:fldChar w:fldCharType="separate"/>
      </w:r>
      <w:r w:rsidR="00B653D2" w:rsidRPr="004A68AC">
        <w:rPr>
          <w:noProof/>
          <w:lang w:val="en-US"/>
        </w:rPr>
        <w:t>[50]</w:t>
      </w:r>
      <w:r w:rsidRPr="004A68AC">
        <w:rPr>
          <w:lang w:val="en-US"/>
        </w:rPr>
        <w:fldChar w:fldCharType="end"/>
      </w:r>
      <w:r w:rsidRPr="004A68AC">
        <w:rPr>
          <w:lang w:val="en-US"/>
        </w:rPr>
        <w:t>. Columns are modelled based on the distributed plasticity approach to account for the interaction of axial and bending stresses. Beams are modelled based on the lumped plasticity approach (</w:t>
      </w:r>
      <w:r w:rsidRPr="004A68AC">
        <w:rPr>
          <w:i/>
          <w:iCs/>
          <w:lang w:val="en-US"/>
        </w:rPr>
        <w:t>i.e.,</w:t>
      </w:r>
      <w:r w:rsidRPr="004A68AC">
        <w:rPr>
          <w:lang w:val="en-US"/>
        </w:rPr>
        <w:t xml:space="preserve"> non-linear rotational springs plus an elastic beam element). The plastic hinges on </w:t>
      </w:r>
      <w:r w:rsidRPr="004A68AC">
        <w:rPr>
          <w:lang w:val="en-US"/>
        </w:rPr>
        <w:lastRenderedPageBreak/>
        <w:t xml:space="preserve">the beams are calibrated based on the model proposed by Lignos and Krawinkler </w:t>
      </w:r>
      <w:r w:rsidRPr="004A68AC">
        <w:rPr>
          <w:lang w:val="en-US"/>
        </w:rPr>
        <w:fldChar w:fldCharType="begin" w:fldLock="1"/>
      </w:r>
      <w:r w:rsidR="00022E9D" w:rsidRPr="004A68AC">
        <w:rPr>
          <w:lang w:val="en-US"/>
        </w:rPr>
        <w:instrText>ADDIN CSL_CITATION {"citationItems":[{"id":"ITEM-1","itemData":{"DOI":"10.1061/(ASCE)ST.1943-541X.0000376","ISSN":"07339445","abstract":"Reliable collapse assessment of structural systems under earthquake loading requires analytical models that are able to capture component deterioration in strength and stiffness. For calibration and validation of these models, a large set of experimental data is needed. This paper discusses the development of a database of experimental data of steel components and the use of this database for quantification of important parameters that affect the cyclic moment-rotation relationship at plastic hinge regions in beams. On the basis of information deduced from the steel component database, empirical relationships for modeling of precapping plastic rotation, postcapping rotation, and cyclic deterioration for beams with reduced beam section (RBS) and other-than-RBS beams are proposed. Quantitative information is also provided for modeling of the effective yield strength, postyield strength ratio, residual strength, and ductile tearing of steel components subjected to cyclic loading. © 2011 American Society of Civil Engineers.","author":[{"dropping-particle":"","family":"Lignos","given":"Dimitrios G.","non-dropping-particle":"","parse-names":false,"suffix":""},{"dropping-particle":"","family":"Krawinkler","given":"Helmut","non-dropping-particle":"","parse-names":false,"suffix":""}],"container-title":"Journal of Structural Engineering","id":"ITEM-1","issue":"11","issued":{"date-parts":[["2011"]]},"page":"1291-1302","title":"Deterioration modeling of steel components in support of collapse prediction of steel moment frames under earthquake loading","type":"article-journal","volume":"137"},"uris":["http://www.mendeley.com/documents/?uuid=9ed977a7-3de0-4aac-9dbf-512bca88e1e8"]}],"mendeley":{"formattedCitation":"[51]","plainTextFormattedCitation":"[51]","previouslyFormattedCitation":"[51]"},"properties":{"noteIndex":0},"schema":"https://github.com/citation-style-language/schema/raw/master/csl-citation.json"}</w:instrText>
      </w:r>
      <w:r w:rsidRPr="004A68AC">
        <w:rPr>
          <w:lang w:val="en-US"/>
        </w:rPr>
        <w:fldChar w:fldCharType="separate"/>
      </w:r>
      <w:r w:rsidR="00B653D2" w:rsidRPr="004A68AC">
        <w:rPr>
          <w:noProof/>
          <w:lang w:val="en-US"/>
        </w:rPr>
        <w:t>[51]</w:t>
      </w:r>
      <w:r w:rsidRPr="004A68AC">
        <w:rPr>
          <w:lang w:val="en-US"/>
        </w:rPr>
        <w:fldChar w:fldCharType="end"/>
      </w:r>
      <w:r w:rsidRPr="004A68AC">
        <w:rPr>
          <w:lang w:val="en-US"/>
        </w:rPr>
        <w:t xml:space="preserve">, modified under the approach suggested by Zareian and Medina </w:t>
      </w:r>
      <w:r w:rsidRPr="004A68AC">
        <w:rPr>
          <w:lang w:val="en-US"/>
        </w:rPr>
        <w:fldChar w:fldCharType="begin" w:fldLock="1"/>
      </w:r>
      <w:r w:rsidR="00022E9D" w:rsidRPr="004A68AC">
        <w:rPr>
          <w:lang w:val="en-US"/>
        </w:rPr>
        <w:instrText>ADDIN CSL_CITATION {"citationItems":[{"id":"ITEM-1","itemData":{"DOI":"10.1016/j.compstruc.2009.08.001","ISSN":"00457949","abstract":"This study addresses some of the pitfalls of conventional numerical modeling of Rayleigh-type damping in inelastic structures. A practical modeling approach to solve these problems is proposed. Conventional modeling of Rayleigh-type damping for inelastic structures generates responses in which unrealistic damping forces are present that results in underestimation of peak displacement demands, overestimation of peak strength demands, and underestimation of buildings' collapse potential. The approach proposed in this paper avoids these problems by modeling each structural element with an equivalent combination of one elastic element with stiffness-proportional damping, and two springs at its two ends with no stiffness proportional damping. © 2009 Elsevier Ltd. All rights reserved.","author":[{"dropping-particle":"","family":"Zareian","given":"Farzin","non-dropping-particle":"","parse-names":false,"suffix":""},{"dropping-particle":"","family":"Medina","given":"Ricardo A.","non-dropping-particle":"","parse-names":false,"suffix":""}],"container-title":"Computers and Structures","id":"ITEM-1","issue":"1-2","issued":{"date-parts":[["2010"]]},"page":"45-53","publisher":"Elsevier Ltd","title":"A practical method for proper modeling of structural damping in inelastic plane structural systems","type":"article-journal","volume":"88"},"uris":["http://www.mendeley.com/documents/?uuid=3e0c1f35-e977-4d2a-a24e-9f9fd4c7233b"]}],"mendeley":{"formattedCitation":"[52]","plainTextFormattedCitation":"[52]","previouslyFormattedCitation":"[52]"},"properties":{"noteIndex":0},"schema":"https://github.com/citation-style-language/schema/raw/master/csl-citation.json"}</w:instrText>
      </w:r>
      <w:r w:rsidRPr="004A68AC">
        <w:rPr>
          <w:lang w:val="en-US"/>
        </w:rPr>
        <w:fldChar w:fldCharType="separate"/>
      </w:r>
      <w:r w:rsidR="00B653D2" w:rsidRPr="004A68AC">
        <w:rPr>
          <w:noProof/>
          <w:lang w:val="en-US"/>
        </w:rPr>
        <w:t>[52]</w:t>
      </w:r>
      <w:r w:rsidRPr="004A68AC">
        <w:rPr>
          <w:lang w:val="en-US"/>
        </w:rPr>
        <w:fldChar w:fldCharType="end"/>
      </w:r>
      <w:r w:rsidRPr="004A68AC">
        <w:rPr>
          <w:lang w:val="en-US"/>
        </w:rPr>
        <w:t xml:space="preserve">, in order to compensate the flexibility and the damping properties of the beams. In addition, panel zones are modelled according to the ‘Scissors model’ </w:t>
      </w:r>
      <w:r w:rsidRPr="004A68AC">
        <w:rPr>
          <w:lang w:val="en-US"/>
        </w:rPr>
        <w:fldChar w:fldCharType="begin" w:fldLock="1"/>
      </w:r>
      <w:r w:rsidR="00022E9D" w:rsidRPr="004A68AC">
        <w:rPr>
          <w:lang w:val="en-US"/>
        </w:rPr>
        <w:instrText>ADDIN CSL_CITATION {"citationItems":[{"id":"ITEM-1","itemData":{"DOI":"10.1016/j.engstruct.2004.09.008","ISSN":"01410296","abstract":"This paper deals with the modelling of the panel zone region within beam-to-column connections in steel and composite moment-resisting frames. Existing analytical models for representing the panel zone response are first reviewed and their scope and limitations are discussed. A new approach, which is particularly suited for modelling steel and composite joints within frame analysis procedures, is then proposed and described. The method rationally accounts for the effect of different boundary conditions, as well as shear and flexural deformation modes, in evaluating the elastic and inelastic response. Validation of the proposed approach is carried out through comparisons against available experimental results in addition to more detailed continuum finite element analyses. The results demonstrate that the approach developed provides a more realistic representation of the behaviour in comparison with available models, especially in the case of composite connections. It is shown that, for composite joints, commonly used simple moment-distortion relationships may not be adequate. This is primarily due to the dependency of the behaviour on the internal force distribution at the joint. The study describes the implementation of the suggested approach within frame analysis procedures, and substantiates the important role played by the panel zone in the response of moment frames under lateral loading conditions. © 2004 Elsevier Ltd. All rights reserved.","author":[{"dropping-particle":"","family":"Castro","given":"J. M.","non-dropping-particle":"","parse-names":false,"suffix":""},{"dropping-particle":"","family":"Elghazouli","given":"A. Y.","non-dropping-particle":"","parse-names":false,"suffix":""},{"dropping-particle":"","family":"Izzuddin","given":"B. A.","non-dropping-particle":"","parse-names":false,"suffix":""}],"container-title":"Engineering Structures","id":"ITEM-1","issue":"1","issued":{"date-parts":[["2005"]]},"page":"129-144","title":"Modelling of the panel zone in steel and composite moment frames","type":"article-journal","volume":"27"},"uris":["http://www.mendeley.com/documents/?uuid=8551c3b8-5fc0-45e1-b2c9-cda2a0d0d153"]}],"mendeley":{"formattedCitation":"[53]","plainTextFormattedCitation":"[53]","previouslyFormattedCitation":"[53]"},"properties":{"noteIndex":0},"schema":"https://github.com/citation-style-language/schema/raw/master/csl-citation.json"}</w:instrText>
      </w:r>
      <w:r w:rsidRPr="004A68AC">
        <w:rPr>
          <w:lang w:val="en-US"/>
        </w:rPr>
        <w:fldChar w:fldCharType="separate"/>
      </w:r>
      <w:r w:rsidR="00B653D2" w:rsidRPr="004A68AC">
        <w:rPr>
          <w:noProof/>
          <w:lang w:val="en-US"/>
        </w:rPr>
        <w:t>[53]</w:t>
      </w:r>
      <w:r w:rsidRPr="004A68AC">
        <w:rPr>
          <w:lang w:val="en-US"/>
        </w:rPr>
        <w:fldChar w:fldCharType="end"/>
      </w:r>
      <w:r w:rsidRPr="004A68AC">
        <w:rPr>
          <w:lang w:val="en-US"/>
        </w:rPr>
        <w:t xml:space="preserve">, by using two parallel rotational springs. Column bases are modelled as fixed for the 3B building, as previous studies </w:t>
      </w:r>
      <w:r w:rsidRPr="004A68AC">
        <w:rPr>
          <w:lang w:val="en-US"/>
        </w:rPr>
        <w:fldChar w:fldCharType="begin" w:fldLock="1"/>
      </w:r>
      <w:r w:rsidR="00022E9D" w:rsidRPr="004A68AC">
        <w:rPr>
          <w:lang w:val="en-US"/>
        </w:rPr>
        <w:instrText>ADDIN CSL_CITATION {"citationItems":[{"id":"ITEM-1","itemData":{"DOI":"10.1016/j.jcsr.2020.105993","ISSN":"0143974X","abstract":"The rotational fixity of column base connections in Steel Moment Resisting Frames (SMRFs) strongly influences their seismic response. However, approaches for estimating base fixity have been validated only against laboratory test data. These approaches are examined based on strong motion recordings from four instrumented SMRF buildings in California to inform best practices for seismic response simulation. These buildings represent a range of structural properties, including height, layout, as well as different types of base connections and foundations. Three-dimensional simulation models are constructed for these buildings, including the gravity framing and nonstructural stiffness. For each building, base fixities are parametrically varied. These include pinned and fixed bases, as well as intermediate fixities determined from previously developed models that are appropriate for simulating the specific types of base connections used in the buildings. The simulated response of these buildings is compared with strong motion recordings to inform optimal approaches for simulating column bases. The results indicate that: (1) for frames with exposed base plate connections, model-based estimates of base fixity result in the least error with respect to the recordings, compared to both pinned and fixed estimates, (2) for frames with embedded base connections, model-based estimates, as well as the fixed base assumption are equivalent, resulting in the least error, whereas the pinned base estimate results in large error, and (3) if simulated with the appropriate estimate of fixity as inferred from these observations, the simulations predict peak displacements and accelerations with good accuracy.","author":[{"dropping-particle":"","family":"Falborski","given":"T.","non-dropping-particle":"","parse-names":false,"suffix":""},{"dropping-particle":"","family":"Hassan","given":"A. S.","non-dropping-particle":"","parse-names":false,"suffix":""},{"dropping-particle":"","family":"Kanvinde","given":"A. M.","non-dropping-particle":"","parse-names":false,"suffix":""}],"container-title":"Journal of Constructional Steel Research","id":"ITEM-1","issued":{"date-parts":[["2020"]]},"page":"105993","publisher":"Elsevier Ltd","title":"Column base fixity in steel moment frames: Observations from instrumented buildings","type":"article-journal","volume":"168"},"uris":["http://www.mendeley.com/documents/?uuid=7172228b-38da-4c1b-a927-45c52e167955"]}],"mendeley":{"formattedCitation":"[54]","plainTextFormattedCitation":"[54]","previouslyFormattedCitation":"[54]"},"properties":{"noteIndex":0},"schema":"https://github.com/citation-style-language/schema/raw/master/csl-citation.json"}</w:instrText>
      </w:r>
      <w:r w:rsidRPr="004A68AC">
        <w:rPr>
          <w:lang w:val="en-US"/>
        </w:rPr>
        <w:fldChar w:fldCharType="separate"/>
      </w:r>
      <w:r w:rsidR="00B653D2" w:rsidRPr="004A68AC">
        <w:rPr>
          <w:noProof/>
          <w:lang w:val="en-US"/>
        </w:rPr>
        <w:t>[54]</w:t>
      </w:r>
      <w:r w:rsidRPr="004A68AC">
        <w:rPr>
          <w:lang w:val="en-US"/>
        </w:rPr>
        <w:fldChar w:fldCharType="end"/>
      </w:r>
      <w:r w:rsidRPr="004A68AC">
        <w:rPr>
          <w:lang w:val="en-US"/>
        </w:rPr>
        <w:t xml:space="preserve"> have suggested that the fixed base </w:t>
      </w:r>
      <w:r w:rsidR="00F129DB" w:rsidRPr="004A68AC">
        <w:rPr>
          <w:lang w:val="en-US"/>
        </w:rPr>
        <w:t xml:space="preserve">assumption and detailed base plate models do not significantly differ on their contribution on the behavior of frames designed to resist lateral loads. For the 9B building, column bases which are placed in the basement, are modelled as pinned, as the interaction with the basement level lateral support, at ground level, provides a fixed effect, and the modeling of the column base becomes almost irrelevant for the behavior of the structure. Column splices have been assumed as fully rigid at this stage, and they are located in the middle of the column height, as in the original design of the case study buildings </w:t>
      </w:r>
      <w:r w:rsidR="00F129DB"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F129DB" w:rsidRPr="004A68AC">
        <w:rPr>
          <w:lang w:val="en-US"/>
        </w:rPr>
        <w:fldChar w:fldCharType="separate"/>
      </w:r>
      <w:r w:rsidR="005E41A8" w:rsidRPr="004A68AC">
        <w:rPr>
          <w:noProof/>
          <w:lang w:val="en-US"/>
        </w:rPr>
        <w:t>[29]</w:t>
      </w:r>
      <w:r w:rsidR="00F129DB" w:rsidRPr="004A68AC">
        <w:rPr>
          <w:lang w:val="en-US"/>
        </w:rPr>
        <w:fldChar w:fldCharType="end"/>
      </w:r>
      <w:r w:rsidR="00F129DB" w:rsidRPr="004A68AC">
        <w:rPr>
          <w:lang w:val="en-US"/>
        </w:rPr>
        <w:t xml:space="preserve">. The material properties are defined according to the design, </w:t>
      </w:r>
      <w:r w:rsidR="00F129DB" w:rsidRPr="004A68AC">
        <w:rPr>
          <w:i/>
          <w:iCs/>
          <w:lang w:val="en-US"/>
        </w:rPr>
        <w:t>i.e.,</w:t>
      </w:r>
      <w:r w:rsidR="00F129DB" w:rsidRPr="004A68AC">
        <w:rPr>
          <w:lang w:val="en-US"/>
        </w:rPr>
        <w:t xml:space="preserve"> ASTM A572 Grade 50 (Group 1) steel in all beams and columns (</w:t>
      </w:r>
      <w:r w:rsidR="00F129DB" w:rsidRPr="004A68AC">
        <w:rPr>
          <w:i/>
          <w:iCs/>
          <w:lang w:val="en-US"/>
        </w:rPr>
        <w:t>f</w:t>
      </w:r>
      <w:r w:rsidR="00F129DB" w:rsidRPr="004A68AC">
        <w:rPr>
          <w:vertAlign w:val="subscript"/>
          <w:lang w:val="en-US"/>
        </w:rPr>
        <w:t>y</w:t>
      </w:r>
      <w:r w:rsidR="00F129DB" w:rsidRPr="004A68AC">
        <w:rPr>
          <w:lang w:val="en-US"/>
        </w:rPr>
        <w:t xml:space="preserve"> = 344.74 MPa; E = 199.95 GPa). The nominal value of </w:t>
      </w:r>
      <w:r w:rsidR="00F129DB" w:rsidRPr="004A68AC">
        <w:rPr>
          <w:i/>
          <w:iCs/>
          <w:lang w:val="en-US"/>
        </w:rPr>
        <w:t>f</w:t>
      </w:r>
      <w:r w:rsidR="00F129DB" w:rsidRPr="004A68AC">
        <w:rPr>
          <w:vertAlign w:val="subscript"/>
          <w:lang w:val="en-US"/>
        </w:rPr>
        <w:t>y</w:t>
      </w:r>
      <w:r w:rsidR="00F129DB" w:rsidRPr="004A68AC">
        <w:rPr>
          <w:lang w:val="en-US"/>
        </w:rPr>
        <w:t xml:space="preserve"> is further increased by 10% to account for the material overstrength, based on the recommendations made in ASCE 41-17 </w:t>
      </w:r>
      <w:r w:rsidR="00F129DB" w:rsidRPr="004A68AC">
        <w:rPr>
          <w:lang w:val="en-US"/>
        </w:rPr>
        <w:fldChar w:fldCharType="begin" w:fldLock="1"/>
      </w:r>
      <w:r w:rsidR="005C47A3" w:rsidRPr="004A68AC">
        <w:rPr>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F129DB" w:rsidRPr="004A68AC">
        <w:rPr>
          <w:lang w:val="en-US"/>
        </w:rPr>
        <w:fldChar w:fldCharType="separate"/>
      </w:r>
      <w:r w:rsidR="00F129DB" w:rsidRPr="004A68AC">
        <w:rPr>
          <w:noProof/>
          <w:lang w:val="en-US"/>
        </w:rPr>
        <w:t>[19]</w:t>
      </w:r>
      <w:r w:rsidR="00F129DB" w:rsidRPr="004A68AC">
        <w:rPr>
          <w:lang w:val="en-US"/>
        </w:rPr>
        <w:fldChar w:fldCharType="end"/>
      </w:r>
      <w:r w:rsidR="00F129DB" w:rsidRPr="004A68AC">
        <w:rPr>
          <w:lang w:val="en-US"/>
        </w:rPr>
        <w:t>. Damping is considered by using mass- and stiffness proportional damping (</w:t>
      </w:r>
      <w:r w:rsidR="00F129DB" w:rsidRPr="004A68AC">
        <w:rPr>
          <w:i/>
          <w:iCs/>
          <w:lang w:val="en-US"/>
        </w:rPr>
        <w:t>i.e.,</w:t>
      </w:r>
      <w:r w:rsidR="00F129DB" w:rsidRPr="004A68AC">
        <w:rPr>
          <w:lang w:val="en-US"/>
        </w:rPr>
        <w:t xml:space="preserve"> Rayleigh Damping), with a damping ratio ζ = 3%.</w:t>
      </w:r>
    </w:p>
    <w:p w14:paraId="07DD759E" w14:textId="77777777" w:rsidR="006567A0" w:rsidRPr="004A68AC" w:rsidRDefault="006567A0" w:rsidP="00F129DB">
      <w:pPr>
        <w:rPr>
          <w:lang w:val="en-US"/>
        </w:rPr>
      </w:pPr>
    </w:p>
    <w:p w14:paraId="683CFCDB" w14:textId="3BE37575" w:rsidR="006567A0" w:rsidRPr="004A68AC" w:rsidRDefault="006567A0" w:rsidP="006567A0">
      <w:pPr>
        <w:rPr>
          <w:lang w:val="en-US"/>
        </w:rPr>
      </w:pPr>
      <w:r w:rsidRPr="004A68AC">
        <w:rPr>
          <w:lang w:val="en-US"/>
        </w:rPr>
        <w:t xml:space="preserve">     The effects of the gravity framing are included in the model by using a continuous leaning columns system, similar to the ones proposed by MacRae </w:t>
      </w:r>
      <w:r w:rsidRPr="004A68AC">
        <w:rPr>
          <w:i/>
          <w:lang w:val="en-US"/>
        </w:rPr>
        <w:t>et al.</w:t>
      </w:r>
      <w:r w:rsidRPr="004A68AC">
        <w:rPr>
          <w:lang w:val="en-US"/>
        </w:rPr>
        <w:t xml:space="preserve"> </w:t>
      </w:r>
      <w:r w:rsidRPr="004A68AC">
        <w:rPr>
          <w:lang w:val="en-US"/>
        </w:rPr>
        <w:fldChar w:fldCharType="begin" w:fldLock="1"/>
      </w:r>
      <w:r w:rsidR="00022E9D" w:rsidRPr="004A68AC">
        <w:rPr>
          <w:lang w:val="en-US"/>
        </w:rPr>
        <w:instrText>ADDIN CSL_CITATION {"citationItems":[{"id":"ITEM-1","itemData":{"DOI":"10.1061/(ASCE)0733-9445(2004)130:3(381)","author":[{"dropping-particle":"","family":"MacRae","given":"Gregory A","non-dropping-particle":"","parse-names":false,"suffix":""},{"dropping-particle":"","family":"Kimura","given":"Yoshihiro","non-dropping-particle":"","parse-names":false,"suffix":""},{"dropping-particle":"","family":"Roeder","given":"Charles","non-dropping-particle":"","parse-names":false,"suffix":""}],"container-title":"Journal of Structural Engineering","id":"ITEM-1","issue":"3","issued":{"date-parts":[["2004"]]},"page":"381-391","title":"Effect of Column Stiffness on Braced Frame Seismic Behavior","type":"article-journal","volume":"130"},"uris":["http://www.mendeley.com/documents/?uuid=bbfb11eb-e475-43e7-9eb7-8c17ea52cf61"]}],"mendeley":{"formattedCitation":"[55]","plainTextFormattedCitation":"[55]","previouslyFormattedCitation":"[55]"},"properties":{"noteIndex":0},"schema":"https://github.com/citation-style-language/schema/raw/master/csl-citation.json"}</w:instrText>
      </w:r>
      <w:r w:rsidRPr="004A68AC">
        <w:rPr>
          <w:lang w:val="en-US"/>
        </w:rPr>
        <w:fldChar w:fldCharType="separate"/>
      </w:r>
      <w:r w:rsidRPr="004A68AC">
        <w:rPr>
          <w:noProof/>
          <w:lang w:val="en-US"/>
        </w:rPr>
        <w:t>[55]</w:t>
      </w:r>
      <w:r w:rsidRPr="004A68AC">
        <w:rPr>
          <w:lang w:val="en-US"/>
        </w:rPr>
        <w:fldChar w:fldCharType="end"/>
      </w:r>
      <w:r w:rsidRPr="004A68AC">
        <w:rPr>
          <w:lang w:val="en-US"/>
        </w:rPr>
        <w:t xml:space="preserve">. This column system is modelled in parallel to the structure and connected by rigid links. The purposes of the leaning columns system are (1) to include the geometric second order effects (P-Δ) of the gravity frame and (2) to provide lateral stiffness along the height of the structures. The latter issue is especially important for low-code designed structures, as the stiffness of the gravity frame could represent a large portion of the overall lateral stiffness. The columns in the system are individual fiber-based elements modelled in the same way as the columns of the main system, but connected to the same nodes along the height, acting as a spine element for the structure. The effects of the beam-to-column connections are neglected as they do not represent a significant contribution to the overall stiffness of the structure </w:t>
      </w:r>
      <w:r w:rsidRPr="004A68AC">
        <w:rPr>
          <w:lang w:val="en-US"/>
        </w:rPr>
        <w:fldChar w:fldCharType="begin" w:fldLock="1"/>
      </w:r>
      <w:r w:rsidR="00022E9D" w:rsidRPr="004A68AC">
        <w:rPr>
          <w:lang w:val="en-US"/>
        </w:rPr>
        <w:instrText>ADDIN CSL_CITATION {"citationItems":[{"id":"ITEM-1","itemData":{"DOI":"10.1016/S0143-974X(01)00078-5","ISSN":"0143974X","abstract":"Simple elastic models based on centerline dimensions of beams and columns are widely used for the design of steel moment resisting frames. However, for the performance prediction and evaluation of these structures, different nonlinear models are being used to better simulate their true behavior. Simple nonlinear modeling methods widely used as well as those with more detailed modeling representations are investigated and compared. A 9-story building and a 20-story building were designed for this study according to the 1997 NEHRP provisions. Different models for these structures were developed and analyzed statically and dynamically. The models investigated involved the use of centerline dimensions of elements or clear length dimensions, nonlinear springs for the beam connections, and linear or nonlinear springs for the panel zones. A second group of models also incorporated the fracturing behavior of beam connections to simulate the pre-Northridge connection behavior. Two suites of ground motions were used for the dynamic analysis: typical California and near fault ground motions. The differences in structural responses among different models for both suites of motions are investigated. According to static pushover analyses with roof displacement controlled, the benefit of the increase in capacity that results from the detailed models is consistently observed for both the 9-story and 20-story buildings. When the models were excited by different ground motions from each suite, the median responses of the more detailed models showed an increase in capacity and a decrease in demand as expected. However, due to the randomness inherent in the ground motions, variations were also observed. Overall, the model which incorporates clear length dimensions between beams and columns, panel zones and an equivalent gravity bay without composite action from the slab seems to be a practical model with appropriate accuracy. © 2002 Published by Elsevier Science Ltd.","author":[{"dropping-particle":"","family":"Foutch","given":"Douglas A.","non-dropping-particle":"","parse-names":false,"suffix":""},{"dropping-particle":"","family":"Yun","given":"Seung Yul","non-dropping-particle":"","parse-names":false,"suffix":""}],"container-title":"Journal of Constructional Steel Research","id":"ITEM-1","issue":"5-8","issued":{"date-parts":[["2002"]]},"page":"529-564","title":"Modeling of steel moment frames for seismic loads","type":"article-journal","volume":"58"},"uris":["http://www.mendeley.com/documents/?uuid=06235e7c-dff0-45ea-8dc9-898892906347"]}],"mendeley":{"formattedCitation":"[56]","plainTextFormattedCitation":"[56]","previouslyFormattedCitation":"[56]"},"properties":{"noteIndex":0},"schema":"https://github.com/citation-style-language/schema/raw/master/csl-citation.json"}</w:instrText>
      </w:r>
      <w:r w:rsidRPr="004A68AC">
        <w:rPr>
          <w:lang w:val="en-US"/>
        </w:rPr>
        <w:fldChar w:fldCharType="separate"/>
      </w:r>
      <w:r w:rsidRPr="004A68AC">
        <w:rPr>
          <w:noProof/>
          <w:lang w:val="en-US"/>
        </w:rPr>
        <w:t>[56]</w:t>
      </w:r>
      <w:r w:rsidRPr="004A68AC">
        <w:rPr>
          <w:lang w:val="en-US"/>
        </w:rPr>
        <w:fldChar w:fldCharType="end"/>
      </w:r>
      <w:r w:rsidRPr="004A68AC">
        <w:rPr>
          <w:lang w:val="en-US"/>
        </w:rPr>
        <w:t xml:space="preserve">. One of the disadvantages of using the model outlined in MacRae </w:t>
      </w:r>
      <w:r w:rsidRPr="004A68AC">
        <w:rPr>
          <w:i/>
          <w:lang w:val="en-US"/>
        </w:rPr>
        <w:t>et al.</w:t>
      </w:r>
      <w:r w:rsidRPr="004A68AC">
        <w:rPr>
          <w:lang w:val="en-US"/>
        </w:rPr>
        <w:t xml:space="preserve"> </w:t>
      </w:r>
      <w:r w:rsidRPr="004A68AC">
        <w:rPr>
          <w:lang w:val="en-US"/>
        </w:rPr>
        <w:fldChar w:fldCharType="begin" w:fldLock="1"/>
      </w:r>
      <w:r w:rsidR="00022E9D" w:rsidRPr="004A68AC">
        <w:rPr>
          <w:lang w:val="en-US"/>
        </w:rPr>
        <w:instrText>ADDIN CSL_CITATION {"citationItems":[{"id":"ITEM-1","itemData":{"DOI":"10.1061/(ASCE)0733-9445(2004)130:3(381)","author":[{"dropping-particle":"","family":"MacRae","given":"Gregory A","non-dropping-particle":"","parse-names":false,"suffix":""},{"dropping-particle":"","family":"Kimura","given":"Yoshihiro","non-dropping-particle":"","parse-names":false,"suffix":""},{"dropping-particle":"","family":"Roeder","given":"Charles","non-dropping-particle":"","parse-names":false,"suffix":""}],"container-title":"Journal of Structural Engineering","id":"ITEM-1","issue":"3","issued":{"date-parts":[["2004"]]},"page":"381-391","title":"Effect of Column Stiffness on Braced Frame Seismic Behavior","type":"article-journal","volume":"130"},"uris":["http://www.mendeley.com/documents/?uuid=bbfb11eb-e475-43e7-9eb7-8c17ea52cf61"]}],"mendeley":{"formattedCitation":"[55]","plainTextFormattedCitation":"[55]","previouslyFormattedCitation":"[55]"},"properties":{"noteIndex":0},"schema":"https://github.com/citation-style-language/schema/raw/master/csl-citation.json"}</w:instrText>
      </w:r>
      <w:r w:rsidRPr="004A68AC">
        <w:rPr>
          <w:lang w:val="en-US"/>
        </w:rPr>
        <w:fldChar w:fldCharType="separate"/>
      </w:r>
      <w:r w:rsidRPr="004A68AC">
        <w:rPr>
          <w:noProof/>
          <w:lang w:val="en-US"/>
        </w:rPr>
        <w:t>[55]</w:t>
      </w:r>
      <w:r w:rsidRPr="004A68AC">
        <w:rPr>
          <w:lang w:val="en-US"/>
        </w:rPr>
        <w:fldChar w:fldCharType="end"/>
      </w:r>
      <w:r w:rsidRPr="004A68AC">
        <w:rPr>
          <w:lang w:val="en-US"/>
        </w:rPr>
        <w:t xml:space="preserve">, is that the pinned column base of the leaning columns system induces a concentration of base shear in the main frame of building 3B. To reduce this effect, the strength and stiffness in the leaning columns’ base plates is included by using simple rotational springs. The design of the base plates was carried out following the AISC Steel Design Guide 1 </w:t>
      </w:r>
      <w:r w:rsidRPr="004A68AC">
        <w:rPr>
          <w:lang w:val="en-US"/>
        </w:rPr>
        <w:fldChar w:fldCharType="begin" w:fldLock="1"/>
      </w:r>
      <w:r w:rsidR="00F534F9" w:rsidRPr="004A68AC">
        <w:rPr>
          <w:lang w:val="en-US"/>
        </w:rPr>
        <w:instrText>ADDIN CSL_CITATION {"citationItems":[{"id":"ITEM-1","itemData":{"abstract":"The material in this Guide is intended to provide guidelines for engineers and fabricators to design, detail and specify column-base-plate and anchor rod connections in a manner that avoids common fabrication and erection problems.","author":[{"dropping-particle":"","family":"Fisher","given":"James M.","non-dropping-particle":"","parse-names":false,"suffix":""},{"dropping-particle":"","family":"Kloiber","given":"Lawrence A.","non-dropping-particle":"","parse-names":false,"suffix":""}],"container-title":"AISC Steel Design Guide 1","edition":"Second edi","id":"ITEM-1","issued":{"date-parts":[["2006"]]},"page":"73","title":"Base Plate and Anchor Rod Design","type":"article"},"uris":["http://www.mendeley.com/documents/?uuid=79a71554-daf1-499b-83b5-39d8fbcbaf8b"]}],"mendeley":{"formattedCitation":"[57]","plainTextFormattedCitation":"[57]","previouslyFormattedCitation":"[57]"},"properties":{"noteIndex":0},"schema":"https://github.com/citation-style-language/schema/raw/master/csl-citation.json"}</w:instrText>
      </w:r>
      <w:r w:rsidRPr="004A68AC">
        <w:rPr>
          <w:lang w:val="en-US"/>
        </w:rPr>
        <w:fldChar w:fldCharType="separate"/>
      </w:r>
      <w:r w:rsidRPr="004A68AC">
        <w:rPr>
          <w:noProof/>
          <w:lang w:val="en-US"/>
        </w:rPr>
        <w:t>[57]</w:t>
      </w:r>
      <w:r w:rsidRPr="004A68AC">
        <w:rPr>
          <w:lang w:val="en-US"/>
        </w:rPr>
        <w:fldChar w:fldCharType="end"/>
      </w:r>
      <w:r w:rsidRPr="004A68AC">
        <w:rPr>
          <w:lang w:val="en-US"/>
        </w:rPr>
        <w:t xml:space="preserve">, while the strength and stiffness properties are defined based on the approach proposed by Kanvinde </w:t>
      </w:r>
      <w:r w:rsidRPr="004A68AC">
        <w:rPr>
          <w:i/>
          <w:lang w:val="en-US"/>
        </w:rPr>
        <w:t>et al.</w:t>
      </w:r>
      <w:r w:rsidRPr="004A68AC">
        <w:rPr>
          <w:lang w:val="en-US"/>
        </w:rPr>
        <w:t xml:space="preserve"> </w:t>
      </w:r>
      <w:r w:rsidRPr="004A68AC">
        <w:rPr>
          <w:lang w:val="en-US"/>
        </w:rPr>
        <w:fldChar w:fldCharType="begin" w:fldLock="1"/>
      </w:r>
      <w:r w:rsidR="00022E9D" w:rsidRPr="004A68AC">
        <w:rPr>
          <w:lang w:val="en-US"/>
        </w:rPr>
        <w:instrText>ADDIN CSL_CITATION {"citationItems":[{"id":"ITEM-1","itemData":{"DOI":"10.1061/(ASCE)ST.1943-541X.0000495","ISSN":"07339445","abstract":"The rotational flexibility of column base connections is often ignored in structural simulation of moment frames in which the bases are assumed to be either fixed or pinned. Although structural response is sensitive to base flexibility, methods to properly characterize base flexibility are not readily available. Motivated by these issues, a new approach to characterize the rotational flexibility of exposed column base connections is presented in this paper. The method leverages existing design procedures for base connection design, such that the rotational stiffness may be calculated with modest effort once the design has been completed. The method is validated through comparison with nine experiments, which interrogate a range of parameters including base-plate size and thickness, level of axial load, anchor-rod strength, and concrete strength. The comparison between the test and the predicted values indicates that, on average, the method predicts the stiffness with accuracy, such that the average test-to-predicted ratio is 0.89. The method is particularly accurate for conditions in which the moment-to-axial-load ratio is large, whereas it overestimates the stiffness of connections with high axial load, relative to the applied moment. A detailed analysis of the results is presented, accompanied by a discussion of the limitations of the proposed approach. © 2012 American Society of Civil Engineers.","author":[{"dropping-particle":"","family":"Kanvinde","given":"A. M.","non-dropping-particle":"","parse-names":false,"suffix":""},{"dropping-particle":"","family":"Grilli","given":"D. A.","non-dropping-particle":"","parse-names":false,"suffix":""},{"dropping-particle":"","family":"Zareian","given":"F.","non-dropping-particle":"","parse-names":false,"suffix":""}],"container-title":"Journal of Structural Engineering","id":"ITEM-1","issue":"5","issued":{"date-parts":[["2012"]]},"page":"549-560","title":"Rotational stiffness of exposed column base connections: Experiments and analytical models","type":"article-journal","volume":"138"},"uris":["http://www.mendeley.com/documents/?uuid=713b9b86-07ec-481b-a6f2-ce195a1c56f9"]}],"mendeley":{"formattedCitation":"[58]","plainTextFormattedCitation":"[58]","previouslyFormattedCitation":"[58]"},"properties":{"noteIndex":0},"schema":"https://github.com/citation-style-language/schema/raw/master/csl-citation.json"}</w:instrText>
      </w:r>
      <w:r w:rsidRPr="004A68AC">
        <w:rPr>
          <w:lang w:val="en-US"/>
        </w:rPr>
        <w:fldChar w:fldCharType="separate"/>
      </w:r>
      <w:r w:rsidRPr="004A68AC">
        <w:rPr>
          <w:noProof/>
          <w:lang w:val="en-US"/>
        </w:rPr>
        <w:t>[58]</w:t>
      </w:r>
      <w:r w:rsidRPr="004A68AC">
        <w:rPr>
          <w:lang w:val="en-US"/>
        </w:rPr>
        <w:fldChar w:fldCharType="end"/>
      </w:r>
      <w:r w:rsidRPr="004A68AC">
        <w:rPr>
          <w:lang w:val="en-US"/>
        </w:rPr>
        <w:t>.</w:t>
      </w:r>
    </w:p>
    <w:p w14:paraId="5F486275" w14:textId="77777777" w:rsidR="0064152E" w:rsidRPr="004A68AC" w:rsidRDefault="0064152E" w:rsidP="00F129DB">
      <w:pPr>
        <w:rPr>
          <w:lang w:val="en-US"/>
        </w:rPr>
      </w:pPr>
    </w:p>
    <w:p w14:paraId="005E5675" w14:textId="43E132F4" w:rsidR="008860EB" w:rsidRPr="004A68AC" w:rsidRDefault="00EC0454" w:rsidP="00E03480">
      <w:pPr>
        <w:rPr>
          <w:noProof/>
          <w:lang w:val="en-US"/>
        </w:rPr>
      </w:pPr>
      <w:r w:rsidRPr="004A68AC">
        <w:rPr>
          <w:noProof/>
          <w:szCs w:val="20"/>
          <w:lang w:val="en-US" w:eastAsia="en-GB"/>
        </w:rPr>
        <w:lastRenderedPageBreak/>
        <mc:AlternateContent>
          <mc:Choice Requires="wps">
            <w:drawing>
              <wp:anchor distT="0" distB="0" distL="114300" distR="114300" simplePos="0" relativeHeight="251708416" behindDoc="0" locked="0" layoutInCell="1" allowOverlap="1" wp14:anchorId="2A320ED3" wp14:editId="74F77E0A">
                <wp:simplePos x="0" y="0"/>
                <wp:positionH relativeFrom="column">
                  <wp:posOffset>1354455</wp:posOffset>
                </wp:positionH>
                <wp:positionV relativeFrom="paragraph">
                  <wp:posOffset>3390265</wp:posOffset>
                </wp:positionV>
                <wp:extent cx="470535" cy="300355"/>
                <wp:effectExtent l="0" t="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BB22" w14:textId="468F98A2" w:rsidR="00F534F9" w:rsidRPr="006D02BE" w:rsidRDefault="00F534F9" w:rsidP="0051734F">
                            <w:pPr>
                              <w:jc w:val="center"/>
                              <w:rPr>
                                <w:rFonts w:cs="Lato"/>
                                <w:b/>
                                <w:lang w:val="it-IT"/>
                              </w:rPr>
                            </w:pPr>
                            <w:r w:rsidRPr="006D02BE">
                              <w:rPr>
                                <w:rFonts w:cs="Lato"/>
                                <w:b/>
                                <w:lang w:val="it-IT"/>
                              </w:rPr>
                              <w:t>(</w:t>
                            </w:r>
                            <w:r>
                              <w:rPr>
                                <w:rFonts w:cs="Lato"/>
                                <w:b/>
                                <w:lang w:val="it-IT"/>
                              </w:rPr>
                              <w:t>c</w:t>
                            </w:r>
                            <w:r w:rsidRPr="006D02BE">
                              <w:rPr>
                                <w:rFonts w:cs="Lato"/>
                                <w:b/>
                                <w:lang w:val="it-I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20ED3" id="_x0000_t202" coordsize="21600,21600" o:spt="202" path="m,l,21600r21600,l21600,xe">
                <v:stroke joinstyle="miter"/>
                <v:path gradientshapeok="t" o:connecttype="rect"/>
              </v:shapetype>
              <v:shape id="Text Box 30" o:spid="_x0000_s1035" type="#_x0000_t202" style="position:absolute;left:0;text-align:left;margin-left:106.65pt;margin-top:266.95pt;width:37.05pt;height:2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" filled="f" stroked="f">
                <v:textbox inset="5.85pt,.7pt,5.85pt,.7pt">
                  <w:txbxContent>
                    <w:p w14:paraId="3D2CBB22" w14:textId="468F98A2" w:rsidR="00F534F9" w:rsidRPr="006D02BE" w:rsidRDefault="00F534F9" w:rsidP="0051734F">
                      <w:pPr>
                        <w:jc w:val="center"/>
                        <w:rPr>
                          <w:rFonts w:cs="Lato"/>
                          <w:b/>
                          <w:lang w:val="it-IT"/>
                        </w:rPr>
                      </w:pPr>
                      <w:r w:rsidRPr="006D02BE">
                        <w:rPr>
                          <w:rFonts w:cs="Lato"/>
                          <w:b/>
                          <w:lang w:val="it-IT"/>
                        </w:rPr>
                        <w:t>(</w:t>
                      </w:r>
                      <w:r>
                        <w:rPr>
                          <w:rFonts w:cs="Lato"/>
                          <w:b/>
                          <w:lang w:val="it-IT"/>
                        </w:rPr>
                        <w:t>c</w:t>
                      </w:r>
                      <w:r w:rsidRPr="006D02BE">
                        <w:rPr>
                          <w:rFonts w:cs="Lato"/>
                          <w:b/>
                          <w:lang w:val="it-IT"/>
                        </w:rPr>
                        <w:t>)</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10464" behindDoc="0" locked="0" layoutInCell="1" allowOverlap="1" wp14:anchorId="5803ED41" wp14:editId="16F2A02C">
                <wp:simplePos x="0" y="0"/>
                <wp:positionH relativeFrom="column">
                  <wp:posOffset>4279265</wp:posOffset>
                </wp:positionH>
                <wp:positionV relativeFrom="paragraph">
                  <wp:posOffset>3390265</wp:posOffset>
                </wp:positionV>
                <wp:extent cx="470535" cy="3003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F61B0" w14:textId="38F1D243" w:rsidR="00F534F9" w:rsidRPr="006D02BE" w:rsidRDefault="00F534F9" w:rsidP="0051734F">
                            <w:pPr>
                              <w:jc w:val="center"/>
                              <w:rPr>
                                <w:rFonts w:cs="Lato"/>
                                <w:b/>
                                <w:lang w:val="it-IT"/>
                              </w:rPr>
                            </w:pPr>
                            <w:r w:rsidRPr="006D02BE">
                              <w:rPr>
                                <w:rFonts w:cs="Lato"/>
                                <w:b/>
                                <w:lang w:val="it-IT"/>
                              </w:rPr>
                              <w:t>(</w:t>
                            </w:r>
                            <w:r>
                              <w:rPr>
                                <w:rFonts w:cs="Lato"/>
                                <w:b/>
                                <w:lang w:val="it-IT"/>
                              </w:rPr>
                              <w:t>d</w:t>
                            </w:r>
                            <w:r w:rsidRPr="006D02BE">
                              <w:rPr>
                                <w:rFonts w:cs="Lato"/>
                                <w:b/>
                                <w:lang w:val="it-I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ED41" id="Text Box 31" o:spid="_x0000_s1036" type="#_x0000_t202" style="position:absolute;left:0;text-align:left;margin-left:336.95pt;margin-top:266.95pt;width:37.05pt;height:2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" filled="f" stroked="f">
                <v:textbox inset="5.85pt,.7pt,5.85pt,.7pt">
                  <w:txbxContent>
                    <w:p w14:paraId="4F5F61B0" w14:textId="38F1D243" w:rsidR="00F534F9" w:rsidRPr="006D02BE" w:rsidRDefault="00F534F9" w:rsidP="0051734F">
                      <w:pPr>
                        <w:jc w:val="center"/>
                        <w:rPr>
                          <w:rFonts w:cs="Lato"/>
                          <w:b/>
                          <w:lang w:val="it-IT"/>
                        </w:rPr>
                      </w:pPr>
                      <w:r w:rsidRPr="006D02BE">
                        <w:rPr>
                          <w:rFonts w:cs="Lato"/>
                          <w:b/>
                          <w:lang w:val="it-IT"/>
                        </w:rPr>
                        <w:t>(</w:t>
                      </w:r>
                      <w:r>
                        <w:rPr>
                          <w:rFonts w:cs="Lato"/>
                          <w:b/>
                          <w:lang w:val="it-IT"/>
                        </w:rPr>
                        <w:t>d</w:t>
                      </w:r>
                      <w:r w:rsidRPr="006D02BE">
                        <w:rPr>
                          <w:rFonts w:cs="Lato"/>
                          <w:b/>
                          <w:lang w:val="it-IT"/>
                        </w:rPr>
                        <w:t>)</w:t>
                      </w:r>
                    </w:p>
                  </w:txbxContent>
                </v:textbox>
              </v:shape>
            </w:pict>
          </mc:Fallback>
        </mc:AlternateContent>
      </w:r>
      <w:r w:rsidR="00A505F7" w:rsidRPr="004A68AC">
        <w:rPr>
          <w:noProof/>
          <w:lang w:val="en-US"/>
        </w:rPr>
        <w:drawing>
          <wp:inline distT="0" distB="0" distL="0" distR="0" wp14:anchorId="17F8F4C7" wp14:editId="257450AC">
            <wp:extent cx="6120130" cy="3432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32810"/>
                    </a:xfrm>
                    <a:prstGeom prst="rect">
                      <a:avLst/>
                    </a:prstGeom>
                  </pic:spPr>
                </pic:pic>
              </a:graphicData>
            </a:graphic>
          </wp:inline>
        </w:drawing>
      </w:r>
      <w:r w:rsidR="00A505F7" w:rsidRPr="004A68AC">
        <w:rPr>
          <w:noProof/>
          <w:szCs w:val="20"/>
          <w:lang w:val="en-US" w:eastAsia="en-GB"/>
        </w:rPr>
        <w:t xml:space="preserve"> </w:t>
      </w:r>
      <w:r w:rsidR="00777B0C" w:rsidRPr="004A68AC">
        <w:rPr>
          <w:noProof/>
          <w:szCs w:val="20"/>
          <w:lang w:val="en-US" w:eastAsia="en-GB"/>
        </w:rPr>
        <mc:AlternateContent>
          <mc:Choice Requires="wps">
            <w:drawing>
              <wp:anchor distT="0" distB="0" distL="114300" distR="114300" simplePos="0" relativeHeight="251682816" behindDoc="0" locked="0" layoutInCell="1" allowOverlap="1" wp14:anchorId="2821AFB2" wp14:editId="7A479CC4">
                <wp:simplePos x="0" y="0"/>
                <wp:positionH relativeFrom="column">
                  <wp:posOffset>2023745</wp:posOffset>
                </wp:positionH>
                <wp:positionV relativeFrom="paragraph">
                  <wp:posOffset>1736090</wp:posOffset>
                </wp:positionV>
                <wp:extent cx="470535" cy="30035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D4FB" w14:textId="3501CE04" w:rsidR="00F534F9" w:rsidRPr="006D02BE" w:rsidRDefault="00F534F9" w:rsidP="00C821C6">
                            <w:pPr>
                              <w:jc w:val="center"/>
                              <w:rPr>
                                <w:rFonts w:cs="Lato"/>
                                <w:b/>
                                <w:lang w:val="it-IT"/>
                              </w:rPr>
                            </w:pPr>
                            <w:r w:rsidRPr="006D02BE">
                              <w:rPr>
                                <w:rFonts w:cs="Lato"/>
                                <w:b/>
                                <w:lang w:val="it-IT"/>
                              </w:rPr>
                              <w:t>(</w:t>
                            </w:r>
                            <w:r>
                              <w:rPr>
                                <w:rFonts w:cs="Lato"/>
                                <w:b/>
                                <w:lang w:val="it-IT"/>
                              </w:rPr>
                              <w:t>b</w:t>
                            </w:r>
                            <w:r w:rsidRPr="006D02BE">
                              <w:rPr>
                                <w:rFonts w:cs="Lato"/>
                                <w:b/>
                                <w:lang w:val="it-I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1AFB2" id="Text Box 13" o:spid="_x0000_s1037" type="#_x0000_t202" style="position:absolute;left:0;text-align:left;margin-left:159.35pt;margin-top:136.7pt;width:37.05pt;height:2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" filled="f" stroked="f">
                <v:textbox inset="5.85pt,.7pt,5.85pt,.7pt">
                  <w:txbxContent>
                    <w:p w14:paraId="401DD4FB" w14:textId="3501CE04" w:rsidR="00F534F9" w:rsidRPr="006D02BE" w:rsidRDefault="00F534F9" w:rsidP="00C821C6">
                      <w:pPr>
                        <w:jc w:val="center"/>
                        <w:rPr>
                          <w:rFonts w:cs="Lato"/>
                          <w:b/>
                          <w:lang w:val="it-IT"/>
                        </w:rPr>
                      </w:pPr>
                      <w:r w:rsidRPr="006D02BE">
                        <w:rPr>
                          <w:rFonts w:cs="Lato"/>
                          <w:b/>
                          <w:lang w:val="it-IT"/>
                        </w:rPr>
                        <w:t>(</w:t>
                      </w:r>
                      <w:r>
                        <w:rPr>
                          <w:rFonts w:cs="Lato"/>
                          <w:b/>
                          <w:lang w:val="it-IT"/>
                        </w:rPr>
                        <w:t>b</w:t>
                      </w:r>
                      <w:r w:rsidRPr="006D02BE">
                        <w:rPr>
                          <w:rFonts w:cs="Lato"/>
                          <w:b/>
                          <w:lang w:val="it-IT"/>
                        </w:rPr>
                        <w:t>)</w:t>
                      </w:r>
                    </w:p>
                  </w:txbxContent>
                </v:textbox>
              </v:shape>
            </w:pict>
          </mc:Fallback>
        </mc:AlternateContent>
      </w:r>
      <w:r w:rsidR="00777B0C" w:rsidRPr="004A68AC">
        <w:rPr>
          <w:noProof/>
          <w:szCs w:val="20"/>
          <w:lang w:val="en-US" w:eastAsia="en-GB"/>
        </w:rPr>
        <mc:AlternateContent>
          <mc:Choice Requires="wps">
            <w:drawing>
              <wp:anchor distT="0" distB="0" distL="114300" distR="114300" simplePos="0" relativeHeight="251680768" behindDoc="0" locked="0" layoutInCell="1" allowOverlap="1" wp14:anchorId="4A48B374" wp14:editId="50488908">
                <wp:simplePos x="0" y="0"/>
                <wp:positionH relativeFrom="column">
                  <wp:posOffset>570865</wp:posOffset>
                </wp:positionH>
                <wp:positionV relativeFrom="paragraph">
                  <wp:posOffset>1736090</wp:posOffset>
                </wp:positionV>
                <wp:extent cx="470535" cy="3003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79CE" w14:textId="68169562" w:rsidR="00F534F9" w:rsidRPr="006D02BE" w:rsidRDefault="00F534F9" w:rsidP="00C821C6">
                            <w:pPr>
                              <w:jc w:val="center"/>
                              <w:rPr>
                                <w:rFonts w:cs="Lato"/>
                                <w:b/>
                                <w:lang w:val="it-IT"/>
                              </w:rPr>
                            </w:pPr>
                            <w:r w:rsidRPr="006D02BE">
                              <w:rPr>
                                <w:rFonts w:cs="Lato"/>
                                <w:b/>
                                <w:lang w:val="it-IT"/>
                              </w:rPr>
                              <w:t>(</w:t>
                            </w:r>
                            <w:r>
                              <w:rPr>
                                <w:rFonts w:cs="Lato"/>
                                <w:b/>
                                <w:lang w:val="it-IT"/>
                              </w:rPr>
                              <w:t>a</w:t>
                            </w:r>
                            <w:r w:rsidRPr="006D02BE">
                              <w:rPr>
                                <w:rFonts w:cs="Lato"/>
                                <w:b/>
                                <w:lang w:val="it-I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8B374" id="Text Box 9" o:spid="_x0000_s1038" type="#_x0000_t202" style="position:absolute;left:0;text-align:left;margin-left:44.95pt;margin-top:136.7pt;width:37.05pt;height:2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" filled="f" stroked="f">
                <v:textbox inset="5.85pt,.7pt,5.85pt,.7pt">
                  <w:txbxContent>
                    <w:p w14:paraId="2FE179CE" w14:textId="68169562" w:rsidR="00F534F9" w:rsidRPr="006D02BE" w:rsidRDefault="00F534F9" w:rsidP="00C821C6">
                      <w:pPr>
                        <w:jc w:val="center"/>
                        <w:rPr>
                          <w:rFonts w:cs="Lato"/>
                          <w:b/>
                          <w:lang w:val="it-IT"/>
                        </w:rPr>
                      </w:pPr>
                      <w:r w:rsidRPr="006D02BE">
                        <w:rPr>
                          <w:rFonts w:cs="Lato"/>
                          <w:b/>
                          <w:lang w:val="it-IT"/>
                        </w:rPr>
                        <w:t>(</w:t>
                      </w:r>
                      <w:r>
                        <w:rPr>
                          <w:rFonts w:cs="Lato"/>
                          <w:b/>
                          <w:lang w:val="it-IT"/>
                        </w:rPr>
                        <w:t>a</w:t>
                      </w:r>
                      <w:r w:rsidRPr="006D02BE">
                        <w:rPr>
                          <w:rFonts w:cs="Lato"/>
                          <w:b/>
                          <w:lang w:val="it-IT"/>
                        </w:rPr>
                        <w:t>)</w:t>
                      </w:r>
                    </w:p>
                  </w:txbxContent>
                </v:textbox>
              </v:shape>
            </w:pict>
          </mc:Fallback>
        </mc:AlternateContent>
      </w:r>
    </w:p>
    <w:p w14:paraId="7CA63729" w14:textId="301C31BD" w:rsidR="0051734F" w:rsidRPr="004A68AC" w:rsidRDefault="0051734F" w:rsidP="00B86008">
      <w:pPr>
        <w:jc w:val="center"/>
        <w:rPr>
          <w:lang w:val="en-US"/>
        </w:rPr>
      </w:pPr>
    </w:p>
    <w:p w14:paraId="2680CB8E" w14:textId="6F29146D" w:rsidR="00A53342" w:rsidRPr="004A68AC" w:rsidRDefault="008860EB" w:rsidP="00B86008">
      <w:pPr>
        <w:pStyle w:val="Caption"/>
        <w:spacing w:after="0"/>
        <w:rPr>
          <w:lang w:val="en-US"/>
        </w:rPr>
      </w:pPr>
      <w:bookmarkStart w:id="24" w:name="_Ref33187702"/>
      <w:r w:rsidRPr="004A68AC">
        <w:rPr>
          <w:b/>
          <w:lang w:val="en-US"/>
        </w:rPr>
        <w:t xml:space="preserve">Figure </w:t>
      </w:r>
      <w:r w:rsidRPr="004A68AC">
        <w:rPr>
          <w:b/>
          <w:lang w:val="en-US"/>
        </w:rPr>
        <w:fldChar w:fldCharType="begin" w:fldLock="1"/>
      </w:r>
      <w:r w:rsidRPr="004A68AC">
        <w:rPr>
          <w:b/>
          <w:lang w:val="en-US"/>
        </w:rPr>
        <w:instrText xml:space="preserve"> SEQ Figure \* ARABIC </w:instrText>
      </w:r>
      <w:r w:rsidRPr="004A68AC">
        <w:rPr>
          <w:b/>
          <w:lang w:val="en-US"/>
        </w:rPr>
        <w:fldChar w:fldCharType="separate"/>
      </w:r>
      <w:r w:rsidR="00292616" w:rsidRPr="004A68AC">
        <w:rPr>
          <w:b/>
          <w:noProof/>
          <w:lang w:val="en-US"/>
        </w:rPr>
        <w:t>7</w:t>
      </w:r>
      <w:r w:rsidRPr="004A68AC">
        <w:rPr>
          <w:b/>
          <w:lang w:val="en-US"/>
        </w:rPr>
        <w:fldChar w:fldCharType="end"/>
      </w:r>
      <w:bookmarkEnd w:id="24"/>
      <w:r w:rsidRPr="004A68AC">
        <w:rPr>
          <w:b/>
          <w:lang w:val="en-US"/>
        </w:rPr>
        <w:t>.</w:t>
      </w:r>
      <w:r w:rsidRPr="004A68AC">
        <w:rPr>
          <w:lang w:val="en-US"/>
        </w:rPr>
        <w:t xml:space="preserve"> </w:t>
      </w:r>
      <w:r w:rsidR="00087DF9" w:rsidRPr="004A68AC">
        <w:rPr>
          <w:lang w:val="en-US"/>
        </w:rPr>
        <w:t>Plan view of</w:t>
      </w:r>
      <w:r w:rsidR="00795288" w:rsidRPr="004A68AC">
        <w:rPr>
          <w:lang w:val="en-US"/>
        </w:rPr>
        <w:t xml:space="preserve"> (a)</w:t>
      </w:r>
      <w:r w:rsidR="00087DF9" w:rsidRPr="004A68AC">
        <w:rPr>
          <w:lang w:val="en-US"/>
        </w:rPr>
        <w:t xml:space="preserve"> building 3B and </w:t>
      </w:r>
      <w:r w:rsidR="00795288" w:rsidRPr="004A68AC">
        <w:rPr>
          <w:lang w:val="en-US"/>
        </w:rPr>
        <w:t xml:space="preserve">(b) </w:t>
      </w:r>
      <w:r w:rsidR="00087DF9" w:rsidRPr="004A68AC">
        <w:rPr>
          <w:lang w:val="en-US"/>
        </w:rPr>
        <w:t>building 9B. Elevation v</w:t>
      </w:r>
      <w:r w:rsidR="00B62DDE" w:rsidRPr="004A68AC">
        <w:rPr>
          <w:lang w:val="en-US"/>
        </w:rPr>
        <w:t>ie</w:t>
      </w:r>
      <w:r w:rsidR="00087DF9" w:rsidRPr="004A68AC">
        <w:rPr>
          <w:lang w:val="en-US"/>
        </w:rPr>
        <w:t>w</w:t>
      </w:r>
      <w:r w:rsidRPr="004A68AC">
        <w:rPr>
          <w:lang w:val="en-US"/>
        </w:rPr>
        <w:t xml:space="preserve"> of N-S perimeter steel MRF for</w:t>
      </w:r>
      <w:r w:rsidR="0040554B" w:rsidRPr="004A68AC">
        <w:rPr>
          <w:lang w:val="en-US"/>
        </w:rPr>
        <w:t>:</w:t>
      </w:r>
      <w:r w:rsidRPr="004A68AC">
        <w:rPr>
          <w:lang w:val="en-US"/>
        </w:rPr>
        <w:t xml:space="preserve"> </w:t>
      </w:r>
      <w:r w:rsidR="00795288" w:rsidRPr="004A68AC">
        <w:rPr>
          <w:lang w:val="en-US"/>
        </w:rPr>
        <w:t xml:space="preserve">(c) </w:t>
      </w:r>
      <w:r w:rsidRPr="004A68AC">
        <w:rPr>
          <w:lang w:val="en-US"/>
        </w:rPr>
        <w:t>building 3B</w:t>
      </w:r>
      <w:r w:rsidR="00087DF9" w:rsidRPr="004A68AC">
        <w:rPr>
          <w:lang w:val="en-US"/>
        </w:rPr>
        <w:t xml:space="preserve"> </w:t>
      </w:r>
      <w:r w:rsidRPr="004A68AC">
        <w:rPr>
          <w:lang w:val="en-US"/>
        </w:rPr>
        <w:t xml:space="preserve">and </w:t>
      </w:r>
      <w:r w:rsidR="00795288" w:rsidRPr="004A68AC">
        <w:rPr>
          <w:lang w:val="en-US"/>
        </w:rPr>
        <w:t xml:space="preserve">(d) </w:t>
      </w:r>
      <w:r w:rsidRPr="004A68AC">
        <w:rPr>
          <w:lang w:val="en-US"/>
        </w:rPr>
        <w:t>building 9B</w:t>
      </w:r>
      <w:r w:rsidR="00795288" w:rsidRPr="004A68AC">
        <w:rPr>
          <w:lang w:val="en-US"/>
        </w:rPr>
        <w:t xml:space="preserve">. (As </w:t>
      </w:r>
      <w:r w:rsidRPr="004A68AC">
        <w:rPr>
          <w:lang w:val="en-US"/>
        </w:rPr>
        <w:t>reported in</w:t>
      </w:r>
      <w:r w:rsidR="00E8049B" w:rsidRPr="004A68AC">
        <w:rPr>
          <w:lang w:val="en-US"/>
        </w:rPr>
        <w:t xml:space="preserve"> Gupta and Krawinkler</w:t>
      </w:r>
      <w:r w:rsidR="002665B9" w:rsidRPr="004A68AC">
        <w:rPr>
          <w:lang w:val="en-US"/>
        </w:rPr>
        <w:t xml:space="preserve"> </w:t>
      </w:r>
      <w:r w:rsidR="00B339CD"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B339CD" w:rsidRPr="004A68AC">
        <w:rPr>
          <w:lang w:val="en-US"/>
        </w:rPr>
        <w:fldChar w:fldCharType="separate"/>
      </w:r>
      <w:r w:rsidR="005E41A8" w:rsidRPr="004A68AC">
        <w:rPr>
          <w:noProof/>
          <w:lang w:val="en-US"/>
        </w:rPr>
        <w:t>[29]</w:t>
      </w:r>
      <w:r w:rsidR="00B339CD" w:rsidRPr="004A68AC">
        <w:rPr>
          <w:lang w:val="en-US"/>
        </w:rPr>
        <w:fldChar w:fldCharType="end"/>
      </w:r>
      <w:r w:rsidR="00795288" w:rsidRPr="004A68AC">
        <w:rPr>
          <w:lang w:val="en-US"/>
        </w:rPr>
        <w:t>)</w:t>
      </w:r>
      <w:r w:rsidR="00B02FE7" w:rsidRPr="004A68AC">
        <w:rPr>
          <w:lang w:val="en-US"/>
        </w:rPr>
        <w:t>.</w:t>
      </w:r>
    </w:p>
    <w:p w14:paraId="7950D0AC" w14:textId="77777777" w:rsidR="00592E25" w:rsidRPr="004A68AC" w:rsidRDefault="00592E25" w:rsidP="00E54A70">
      <w:pPr>
        <w:rPr>
          <w:lang w:val="en-US"/>
        </w:rPr>
      </w:pPr>
    </w:p>
    <w:p w14:paraId="79DF6F39" w14:textId="7FFA4C49" w:rsidR="00C00387" w:rsidRPr="004A68AC" w:rsidRDefault="00C00387" w:rsidP="00C00387">
      <w:pPr>
        <w:jc w:val="center"/>
        <w:rPr>
          <w:szCs w:val="20"/>
          <w:lang w:val="en-US"/>
        </w:rPr>
      </w:pPr>
      <w:r w:rsidRPr="004A68AC">
        <w:rPr>
          <w:b/>
          <w:szCs w:val="20"/>
          <w:lang w:val="en-US"/>
        </w:rPr>
        <w:t xml:space="preserve">Table </w:t>
      </w:r>
      <w:r w:rsidRPr="004A68AC">
        <w:rPr>
          <w:b/>
          <w:szCs w:val="20"/>
          <w:lang w:val="en-US"/>
        </w:rPr>
        <w:fldChar w:fldCharType="begin" w:fldLock="1"/>
      </w:r>
      <w:r w:rsidRPr="004A68AC">
        <w:rPr>
          <w:b/>
          <w:szCs w:val="20"/>
          <w:lang w:val="en-US"/>
        </w:rPr>
        <w:instrText xml:space="preserve"> SEQ Table \* ARABIC </w:instrText>
      </w:r>
      <w:r w:rsidRPr="004A68AC">
        <w:rPr>
          <w:b/>
          <w:szCs w:val="20"/>
          <w:lang w:val="en-US"/>
        </w:rPr>
        <w:fldChar w:fldCharType="separate"/>
      </w:r>
      <w:r w:rsidRPr="004A68AC">
        <w:rPr>
          <w:b/>
          <w:noProof/>
          <w:szCs w:val="20"/>
          <w:lang w:val="en-US"/>
        </w:rPr>
        <w:t>8</w:t>
      </w:r>
      <w:r w:rsidRPr="004A68AC">
        <w:rPr>
          <w:b/>
          <w:szCs w:val="20"/>
          <w:lang w:val="en-US"/>
        </w:rPr>
        <w:fldChar w:fldCharType="end"/>
      </w:r>
      <w:r w:rsidRPr="004A68AC">
        <w:rPr>
          <w:b/>
          <w:szCs w:val="20"/>
          <w:lang w:val="en-US"/>
        </w:rPr>
        <w:t>.</w:t>
      </w:r>
      <w:r w:rsidRPr="004A68AC">
        <w:rPr>
          <w:szCs w:val="20"/>
          <w:lang w:val="en-US"/>
        </w:rPr>
        <w:t xml:space="preserve"> Seismic masses per story for buildings 3B and 9B.</w:t>
      </w:r>
      <w:r w:rsidR="000033BC" w:rsidRPr="004A68AC">
        <w:rPr>
          <w:szCs w:val="20"/>
          <w:lang w:val="en-US"/>
        </w:rPr>
        <w:t xml:space="preserve"> Only the tributary masses </w:t>
      </w:r>
      <w:r w:rsidR="00620403" w:rsidRPr="004A68AC">
        <w:rPr>
          <w:szCs w:val="20"/>
          <w:lang w:val="en-US"/>
        </w:rPr>
        <w:t>are</w:t>
      </w:r>
      <w:r w:rsidR="000033BC" w:rsidRPr="004A68AC">
        <w:rPr>
          <w:szCs w:val="20"/>
          <w:lang w:val="en-US"/>
        </w:rPr>
        <w:t xml:space="preserve"> used for </w:t>
      </w:r>
      <w:r w:rsidR="00CE5D63" w:rsidRPr="004A68AC">
        <w:rPr>
          <w:szCs w:val="20"/>
          <w:lang w:val="en-US"/>
        </w:rPr>
        <w:t>the models (</w:t>
      </w:r>
      <w:r w:rsidR="00CE5D63" w:rsidRPr="004A68AC">
        <w:rPr>
          <w:i/>
          <w:szCs w:val="20"/>
          <w:lang w:val="en-US"/>
        </w:rPr>
        <w:t>i.e.</w:t>
      </w:r>
      <w:r w:rsidR="00CE5D63" w:rsidRPr="004A68AC">
        <w:rPr>
          <w:szCs w:val="20"/>
          <w:lang w:val="en-US"/>
        </w:rPr>
        <w:t>, half of the reported mass).</w:t>
      </w:r>
    </w:p>
    <w:tbl>
      <w:tblPr>
        <w:tblStyle w:val="HelleSchattierung1"/>
        <w:tblW w:w="2941" w:type="pct"/>
        <w:jc w:val="center"/>
        <w:tblLook w:val="04A0" w:firstRow="1" w:lastRow="0" w:firstColumn="1" w:lastColumn="0" w:noHBand="0" w:noVBand="1"/>
      </w:tblPr>
      <w:tblGrid>
        <w:gridCol w:w="1419"/>
        <w:gridCol w:w="1417"/>
        <w:gridCol w:w="1417"/>
        <w:gridCol w:w="1416"/>
      </w:tblGrid>
      <w:tr w:rsidR="00C00387" w:rsidRPr="004A68AC" w14:paraId="1190F9CB" w14:textId="77777777" w:rsidTr="00C0038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00" w:type="pct"/>
            <w:gridSpan w:val="2"/>
            <w:tcBorders>
              <w:bottom w:val="nil"/>
            </w:tcBorders>
            <w:shd w:val="clear" w:color="auto" w:fill="auto"/>
            <w:noWrap/>
            <w:vAlign w:val="center"/>
          </w:tcPr>
          <w:p w14:paraId="0BBAD9A4" w14:textId="77777777" w:rsidR="00C00387" w:rsidRPr="004A68AC" w:rsidRDefault="00C00387" w:rsidP="00C72CA6">
            <w:pPr>
              <w:jc w:val="center"/>
              <w:rPr>
                <w:bCs w:val="0"/>
                <w:color w:val="auto"/>
                <w:sz w:val="18"/>
                <w:szCs w:val="18"/>
                <w:lang w:eastAsia="en-GB"/>
              </w:rPr>
            </w:pPr>
            <w:r w:rsidRPr="004A68AC">
              <w:rPr>
                <w:color w:val="auto"/>
                <w:sz w:val="18"/>
                <w:szCs w:val="18"/>
              </w:rPr>
              <w:t>Building 3B</w:t>
            </w:r>
          </w:p>
        </w:tc>
        <w:tc>
          <w:tcPr>
            <w:tcW w:w="2500" w:type="pct"/>
            <w:gridSpan w:val="2"/>
            <w:tcBorders>
              <w:bottom w:val="nil"/>
            </w:tcBorders>
            <w:shd w:val="clear" w:color="auto" w:fill="auto"/>
            <w:vAlign w:val="center"/>
          </w:tcPr>
          <w:p w14:paraId="1A3C2CD7" w14:textId="77777777" w:rsidR="00C00387" w:rsidRPr="004A68AC" w:rsidRDefault="00C00387" w:rsidP="00C72CA6">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lang w:eastAsia="en-GB"/>
              </w:rPr>
            </w:pPr>
            <w:r w:rsidRPr="004A68AC">
              <w:rPr>
                <w:color w:val="auto"/>
                <w:sz w:val="18"/>
                <w:szCs w:val="18"/>
              </w:rPr>
              <w:t>Building 9B</w:t>
            </w:r>
          </w:p>
        </w:tc>
      </w:tr>
      <w:tr w:rsidR="00C00387" w:rsidRPr="004A68AC" w14:paraId="035DC083" w14:textId="77777777" w:rsidTr="00D55A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51" w:type="pct"/>
            <w:tcBorders>
              <w:top w:val="nil"/>
              <w:bottom w:val="single" w:sz="8" w:space="0" w:color="auto"/>
            </w:tcBorders>
            <w:shd w:val="clear" w:color="auto" w:fill="auto"/>
            <w:noWrap/>
            <w:vAlign w:val="center"/>
            <w:hideMark/>
          </w:tcPr>
          <w:p w14:paraId="01CB9161" w14:textId="77777777" w:rsidR="00C00387" w:rsidRPr="004A68AC" w:rsidRDefault="00C00387" w:rsidP="00C72CA6">
            <w:pPr>
              <w:jc w:val="center"/>
              <w:rPr>
                <w:bCs w:val="0"/>
                <w:color w:val="auto"/>
                <w:sz w:val="18"/>
                <w:szCs w:val="18"/>
                <w:lang w:eastAsia="en-GB"/>
              </w:rPr>
            </w:pPr>
            <w:r w:rsidRPr="004A68AC">
              <w:rPr>
                <w:bCs w:val="0"/>
                <w:color w:val="auto"/>
                <w:sz w:val="18"/>
                <w:szCs w:val="18"/>
                <w:lang w:eastAsia="en-GB"/>
              </w:rPr>
              <w:t>Story</w:t>
            </w:r>
          </w:p>
        </w:tc>
        <w:tc>
          <w:tcPr>
            <w:tcW w:w="1250" w:type="pct"/>
            <w:tcBorders>
              <w:top w:val="nil"/>
              <w:bottom w:val="single" w:sz="8" w:space="0" w:color="auto"/>
            </w:tcBorders>
            <w:shd w:val="clear" w:color="auto" w:fill="auto"/>
            <w:noWrap/>
            <w:vAlign w:val="center"/>
            <w:hideMark/>
          </w:tcPr>
          <w:p w14:paraId="7994E54A" w14:textId="64E0D42A"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 xml:space="preserve">Mass [ </w:t>
            </w:r>
            <w:r w:rsidRPr="004A68AC">
              <w:rPr>
                <w:b/>
                <w:bCs/>
                <w:sz w:val="18"/>
                <w:szCs w:val="18"/>
                <w:lang w:eastAsia="en-GB"/>
              </w:rPr>
              <w:t>t</w:t>
            </w:r>
            <w:r w:rsidR="0027412B" w:rsidRPr="004A68AC">
              <w:rPr>
                <w:b/>
                <w:bCs/>
                <w:sz w:val="18"/>
                <w:szCs w:val="18"/>
                <w:lang w:eastAsia="en-GB"/>
              </w:rPr>
              <w:t>on</w:t>
            </w:r>
            <w:r w:rsidRPr="004A68AC">
              <w:rPr>
                <w:b/>
                <w:bCs/>
                <w:color w:val="auto"/>
                <w:sz w:val="18"/>
                <w:szCs w:val="18"/>
                <w:lang w:eastAsia="en-GB"/>
              </w:rPr>
              <w:t xml:space="preserve"> ]</w:t>
            </w:r>
          </w:p>
        </w:tc>
        <w:tc>
          <w:tcPr>
            <w:tcW w:w="1250" w:type="pct"/>
            <w:tcBorders>
              <w:top w:val="nil"/>
              <w:bottom w:val="single" w:sz="8" w:space="0" w:color="auto"/>
            </w:tcBorders>
            <w:shd w:val="clear" w:color="auto" w:fill="auto"/>
            <w:vAlign w:val="center"/>
          </w:tcPr>
          <w:p w14:paraId="602D4AC9" w14:textId="77777777"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Story</w:t>
            </w:r>
          </w:p>
        </w:tc>
        <w:tc>
          <w:tcPr>
            <w:tcW w:w="1250" w:type="pct"/>
            <w:tcBorders>
              <w:top w:val="nil"/>
              <w:bottom w:val="single" w:sz="8" w:space="0" w:color="auto"/>
            </w:tcBorders>
            <w:shd w:val="clear" w:color="auto" w:fill="auto"/>
            <w:vAlign w:val="center"/>
          </w:tcPr>
          <w:p w14:paraId="449AD803" w14:textId="6AEDF6A1"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 xml:space="preserve">Mass [ </w:t>
            </w:r>
            <w:r w:rsidRPr="004A68AC">
              <w:rPr>
                <w:b/>
                <w:bCs/>
                <w:sz w:val="18"/>
                <w:szCs w:val="18"/>
                <w:lang w:eastAsia="en-GB"/>
              </w:rPr>
              <w:t>t</w:t>
            </w:r>
            <w:r w:rsidR="0027412B" w:rsidRPr="004A68AC">
              <w:rPr>
                <w:b/>
                <w:bCs/>
                <w:sz w:val="18"/>
                <w:szCs w:val="18"/>
                <w:lang w:eastAsia="en-GB"/>
              </w:rPr>
              <w:t>on</w:t>
            </w:r>
            <w:r w:rsidRPr="004A68AC">
              <w:rPr>
                <w:b/>
                <w:bCs/>
                <w:color w:val="auto"/>
                <w:sz w:val="18"/>
                <w:szCs w:val="18"/>
                <w:lang w:eastAsia="en-GB"/>
              </w:rPr>
              <w:t xml:space="preserve"> ]</w:t>
            </w:r>
          </w:p>
        </w:tc>
      </w:tr>
      <w:tr w:rsidR="00C00387" w:rsidRPr="004A68AC" w14:paraId="6FFCA1DC" w14:textId="77777777" w:rsidTr="00D55A2B">
        <w:trPr>
          <w:trHeight w:val="340"/>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8" w:space="0" w:color="auto"/>
            </w:tcBorders>
            <w:shd w:val="clear" w:color="auto" w:fill="auto"/>
            <w:noWrap/>
            <w:vAlign w:val="center"/>
            <w:hideMark/>
          </w:tcPr>
          <w:p w14:paraId="3EAF17C3" w14:textId="77777777" w:rsidR="00C00387" w:rsidRPr="004A68AC" w:rsidRDefault="00C00387" w:rsidP="00C72CA6">
            <w:pPr>
              <w:jc w:val="center"/>
              <w:rPr>
                <w:color w:val="auto"/>
                <w:sz w:val="18"/>
                <w:szCs w:val="18"/>
                <w:lang w:eastAsia="en-GB"/>
              </w:rPr>
            </w:pPr>
            <w:r w:rsidRPr="004A68AC">
              <w:rPr>
                <w:color w:val="auto"/>
                <w:sz w:val="18"/>
                <w:szCs w:val="18"/>
                <w:lang w:eastAsia="en-GB"/>
              </w:rPr>
              <w:t>1</w:t>
            </w:r>
          </w:p>
        </w:tc>
        <w:tc>
          <w:tcPr>
            <w:tcW w:w="1250" w:type="pct"/>
            <w:tcBorders>
              <w:top w:val="single" w:sz="8" w:space="0" w:color="auto"/>
            </w:tcBorders>
            <w:shd w:val="clear" w:color="auto" w:fill="auto"/>
            <w:noWrap/>
            <w:vAlign w:val="center"/>
            <w:hideMark/>
          </w:tcPr>
          <w:p w14:paraId="5E2F7A31"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color w:val="auto"/>
                <w:sz w:val="18"/>
                <w:szCs w:val="18"/>
                <w:lang w:eastAsia="en-GB"/>
              </w:rPr>
              <w:t>956.64</w:t>
            </w:r>
          </w:p>
        </w:tc>
        <w:tc>
          <w:tcPr>
            <w:tcW w:w="1250" w:type="pct"/>
            <w:tcBorders>
              <w:top w:val="single" w:sz="8" w:space="0" w:color="auto"/>
            </w:tcBorders>
            <w:shd w:val="clear" w:color="auto" w:fill="auto"/>
            <w:vAlign w:val="center"/>
          </w:tcPr>
          <w:p w14:paraId="5E6F8849"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1</w:t>
            </w:r>
          </w:p>
        </w:tc>
        <w:tc>
          <w:tcPr>
            <w:tcW w:w="1250" w:type="pct"/>
            <w:tcBorders>
              <w:top w:val="single" w:sz="8" w:space="0" w:color="auto"/>
            </w:tcBorders>
            <w:shd w:val="clear" w:color="auto" w:fill="auto"/>
            <w:vAlign w:val="center"/>
          </w:tcPr>
          <w:p w14:paraId="77CC343B"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color w:val="auto"/>
                <w:sz w:val="18"/>
                <w:szCs w:val="18"/>
                <w:lang w:eastAsia="en-GB"/>
              </w:rPr>
              <w:t>1009.19</w:t>
            </w:r>
          </w:p>
        </w:tc>
      </w:tr>
      <w:tr w:rsidR="00C00387" w:rsidRPr="004A68AC" w14:paraId="506E9EAA" w14:textId="77777777" w:rsidTr="00D55A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noWrap/>
            <w:vAlign w:val="center"/>
            <w:hideMark/>
          </w:tcPr>
          <w:p w14:paraId="49DA5A73" w14:textId="77777777" w:rsidR="00C00387" w:rsidRPr="004A68AC" w:rsidRDefault="00C00387" w:rsidP="00C72CA6">
            <w:pPr>
              <w:jc w:val="center"/>
              <w:rPr>
                <w:color w:val="auto"/>
                <w:sz w:val="18"/>
                <w:szCs w:val="18"/>
                <w:lang w:eastAsia="en-GB"/>
              </w:rPr>
            </w:pPr>
            <w:r w:rsidRPr="004A68AC">
              <w:rPr>
                <w:color w:val="auto"/>
                <w:sz w:val="18"/>
                <w:szCs w:val="18"/>
                <w:lang w:eastAsia="en-GB"/>
              </w:rPr>
              <w:t>2</w:t>
            </w:r>
          </w:p>
        </w:tc>
        <w:tc>
          <w:tcPr>
            <w:tcW w:w="1250" w:type="pct"/>
            <w:shd w:val="clear" w:color="auto" w:fill="auto"/>
            <w:noWrap/>
            <w:vAlign w:val="center"/>
            <w:hideMark/>
          </w:tcPr>
          <w:p w14:paraId="58CCCC69" w14:textId="77777777"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color w:val="auto"/>
                <w:sz w:val="18"/>
                <w:szCs w:val="18"/>
                <w:lang w:eastAsia="en-GB"/>
              </w:rPr>
              <w:t>956.64</w:t>
            </w:r>
          </w:p>
        </w:tc>
        <w:tc>
          <w:tcPr>
            <w:tcW w:w="1250" w:type="pct"/>
            <w:shd w:val="clear" w:color="auto" w:fill="auto"/>
            <w:vAlign w:val="center"/>
          </w:tcPr>
          <w:p w14:paraId="43CAC1CB" w14:textId="77777777"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2 to 8</w:t>
            </w:r>
          </w:p>
        </w:tc>
        <w:tc>
          <w:tcPr>
            <w:tcW w:w="1250" w:type="pct"/>
            <w:shd w:val="clear" w:color="auto" w:fill="auto"/>
            <w:vAlign w:val="center"/>
          </w:tcPr>
          <w:p w14:paraId="547966EE" w14:textId="77777777" w:rsidR="00C00387" w:rsidRPr="004A68AC" w:rsidRDefault="00C00387" w:rsidP="00C72CA6">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color w:val="auto"/>
                <w:sz w:val="18"/>
                <w:szCs w:val="18"/>
                <w:lang w:eastAsia="en-GB"/>
              </w:rPr>
              <w:t>991.73</w:t>
            </w:r>
          </w:p>
        </w:tc>
      </w:tr>
      <w:tr w:rsidR="00C00387" w:rsidRPr="004A68AC" w14:paraId="2E6911DB" w14:textId="77777777" w:rsidTr="00D55A2B">
        <w:trPr>
          <w:trHeight w:val="340"/>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noWrap/>
            <w:vAlign w:val="center"/>
            <w:hideMark/>
          </w:tcPr>
          <w:p w14:paraId="3EC9B04E" w14:textId="77777777" w:rsidR="00C00387" w:rsidRPr="004A68AC" w:rsidRDefault="00C00387" w:rsidP="00C72CA6">
            <w:pPr>
              <w:jc w:val="center"/>
              <w:rPr>
                <w:color w:val="auto"/>
                <w:sz w:val="18"/>
                <w:szCs w:val="18"/>
                <w:lang w:eastAsia="en-GB"/>
              </w:rPr>
            </w:pPr>
            <w:r w:rsidRPr="004A68AC">
              <w:rPr>
                <w:color w:val="auto"/>
                <w:sz w:val="18"/>
                <w:szCs w:val="18"/>
                <w:lang w:eastAsia="en-GB"/>
              </w:rPr>
              <w:t>3</w:t>
            </w:r>
          </w:p>
        </w:tc>
        <w:tc>
          <w:tcPr>
            <w:tcW w:w="1250" w:type="pct"/>
            <w:shd w:val="clear" w:color="auto" w:fill="auto"/>
            <w:noWrap/>
            <w:vAlign w:val="center"/>
            <w:hideMark/>
          </w:tcPr>
          <w:p w14:paraId="5A7D844A"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color w:val="auto"/>
                <w:sz w:val="18"/>
                <w:szCs w:val="18"/>
                <w:lang w:eastAsia="en-GB"/>
              </w:rPr>
              <w:t>1035.41</w:t>
            </w:r>
          </w:p>
        </w:tc>
        <w:tc>
          <w:tcPr>
            <w:tcW w:w="1250" w:type="pct"/>
            <w:shd w:val="clear" w:color="auto" w:fill="auto"/>
            <w:vAlign w:val="center"/>
          </w:tcPr>
          <w:p w14:paraId="1C48F090"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eastAsia="en-GB"/>
              </w:rPr>
            </w:pPr>
            <w:r w:rsidRPr="004A68AC">
              <w:rPr>
                <w:b/>
                <w:bCs/>
                <w:color w:val="auto"/>
                <w:sz w:val="18"/>
                <w:szCs w:val="18"/>
                <w:lang w:eastAsia="en-GB"/>
              </w:rPr>
              <w:t>9</w:t>
            </w:r>
          </w:p>
        </w:tc>
        <w:tc>
          <w:tcPr>
            <w:tcW w:w="1250" w:type="pct"/>
            <w:shd w:val="clear" w:color="auto" w:fill="auto"/>
            <w:vAlign w:val="center"/>
          </w:tcPr>
          <w:p w14:paraId="35418A72" w14:textId="77777777" w:rsidR="00C00387" w:rsidRPr="004A68AC" w:rsidRDefault="00C00387" w:rsidP="00C72CA6">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color w:val="auto"/>
                <w:sz w:val="18"/>
                <w:szCs w:val="18"/>
                <w:lang w:eastAsia="en-GB"/>
              </w:rPr>
              <w:t>1069.29</w:t>
            </w:r>
          </w:p>
        </w:tc>
      </w:tr>
    </w:tbl>
    <w:p w14:paraId="19894E00" w14:textId="4EAD6FD5" w:rsidR="00D55A2B" w:rsidRPr="004A68AC" w:rsidRDefault="00D55A2B" w:rsidP="00B86008">
      <w:pPr>
        <w:rPr>
          <w:lang w:val="en-US"/>
        </w:rPr>
      </w:pPr>
    </w:p>
    <w:p w14:paraId="07AE1805" w14:textId="3CDC30B0" w:rsidR="00F11EC1" w:rsidRPr="004A68AC" w:rsidRDefault="00F11EC1" w:rsidP="004B7EEF">
      <w:pPr>
        <w:rPr>
          <w:lang w:val="en-US"/>
        </w:rPr>
      </w:pPr>
    </w:p>
    <w:p w14:paraId="319C8E45" w14:textId="44E36C79" w:rsidR="00886AEA" w:rsidRPr="004A68AC" w:rsidRDefault="00795288" w:rsidP="006567A0">
      <w:pPr>
        <w:pStyle w:val="Heading3"/>
        <w:spacing w:before="0" w:after="0"/>
        <w:rPr>
          <w:b w:val="0"/>
          <w:i/>
          <w:szCs w:val="20"/>
          <w:lang w:val="en-US"/>
        </w:rPr>
      </w:pPr>
      <w:r w:rsidRPr="004A68AC">
        <w:rPr>
          <w:rFonts w:ascii="Times New Roman" w:hAnsi="Times New Roman"/>
          <w:bCs w:val="0"/>
          <w:i/>
          <w:sz w:val="20"/>
          <w:szCs w:val="20"/>
          <w:lang w:val="en-US"/>
        </w:rPr>
        <w:t>4</w:t>
      </w:r>
      <w:r w:rsidR="00A85B8B" w:rsidRPr="004A68AC">
        <w:rPr>
          <w:rFonts w:ascii="Times New Roman" w:hAnsi="Times New Roman"/>
          <w:bCs w:val="0"/>
          <w:i/>
          <w:sz w:val="20"/>
          <w:szCs w:val="20"/>
          <w:lang w:val="en-US"/>
        </w:rPr>
        <w:t>.</w:t>
      </w:r>
      <w:r w:rsidRPr="004A68AC">
        <w:rPr>
          <w:rFonts w:ascii="Times New Roman" w:hAnsi="Times New Roman"/>
          <w:bCs w:val="0"/>
          <w:i/>
          <w:sz w:val="20"/>
          <w:szCs w:val="20"/>
          <w:lang w:val="en-US"/>
        </w:rPr>
        <w:t xml:space="preserve">3 </w:t>
      </w:r>
      <w:r w:rsidR="00CD3373" w:rsidRPr="004A68AC">
        <w:rPr>
          <w:rFonts w:ascii="Times New Roman" w:hAnsi="Times New Roman"/>
          <w:bCs w:val="0"/>
          <w:i/>
          <w:sz w:val="20"/>
          <w:szCs w:val="20"/>
          <w:lang w:val="en-US"/>
        </w:rPr>
        <w:t>Modal</w:t>
      </w:r>
      <w:r w:rsidR="002A30D5" w:rsidRPr="004A68AC">
        <w:rPr>
          <w:rFonts w:ascii="Times New Roman" w:hAnsi="Times New Roman"/>
          <w:bCs w:val="0"/>
          <w:i/>
          <w:sz w:val="20"/>
          <w:szCs w:val="20"/>
          <w:lang w:val="en-US"/>
        </w:rPr>
        <w:t xml:space="preserve"> and non-linear static analyses</w:t>
      </w:r>
    </w:p>
    <w:p w14:paraId="035A82DE" w14:textId="746BE52C" w:rsidR="0048710E" w:rsidRPr="004A68AC" w:rsidRDefault="00886AEA" w:rsidP="00B86008">
      <w:pPr>
        <w:rPr>
          <w:lang w:val="en-US"/>
        </w:rPr>
      </w:pPr>
      <w:r w:rsidRPr="004A68AC">
        <w:rPr>
          <w:lang w:val="en-US"/>
        </w:rPr>
        <w:t>The first and second periods of vibration are respectively T</w:t>
      </w:r>
      <w:r w:rsidRPr="004A68AC">
        <w:rPr>
          <w:vertAlign w:val="subscript"/>
          <w:lang w:val="en-US"/>
        </w:rPr>
        <w:t>1</w:t>
      </w:r>
      <w:r w:rsidR="003149DF" w:rsidRPr="004A68AC">
        <w:rPr>
          <w:vertAlign w:val="subscript"/>
          <w:lang w:val="en-US"/>
        </w:rPr>
        <w:t>-3B</w:t>
      </w:r>
      <w:r w:rsidR="003149DF" w:rsidRPr="004A68AC">
        <w:rPr>
          <w:lang w:val="en-US"/>
        </w:rPr>
        <w:t xml:space="preserve"> </w:t>
      </w:r>
      <w:r w:rsidRPr="004A68AC">
        <w:rPr>
          <w:lang w:val="en-US"/>
        </w:rPr>
        <w:t>= 1.8</w:t>
      </w:r>
      <w:r w:rsidR="00A85B8B" w:rsidRPr="004A68AC">
        <w:rPr>
          <w:lang w:val="en-US"/>
        </w:rPr>
        <w:t>8</w:t>
      </w:r>
      <w:r w:rsidRPr="004A68AC">
        <w:rPr>
          <w:lang w:val="en-US"/>
        </w:rPr>
        <w:t xml:space="preserve"> sec and T</w:t>
      </w:r>
      <w:r w:rsidRPr="004A68AC">
        <w:rPr>
          <w:vertAlign w:val="subscript"/>
          <w:lang w:val="en-US"/>
        </w:rPr>
        <w:t>2</w:t>
      </w:r>
      <w:r w:rsidR="003149DF" w:rsidRPr="004A68AC">
        <w:rPr>
          <w:vertAlign w:val="subscript"/>
          <w:lang w:val="en-US"/>
        </w:rPr>
        <w:t>-3B</w:t>
      </w:r>
      <w:r w:rsidRPr="004A68AC">
        <w:rPr>
          <w:lang w:val="en-US"/>
        </w:rPr>
        <w:t xml:space="preserve"> = 0.5</w:t>
      </w:r>
      <w:r w:rsidR="00AB6019" w:rsidRPr="004A68AC">
        <w:rPr>
          <w:lang w:val="en-US"/>
        </w:rPr>
        <w:t>2</w:t>
      </w:r>
      <w:r w:rsidRPr="004A68AC">
        <w:rPr>
          <w:lang w:val="en-US"/>
        </w:rPr>
        <w:t xml:space="preserve"> sec for the building 3B and</w:t>
      </w:r>
      <w:r w:rsidR="00C2670E" w:rsidRPr="004A68AC">
        <w:rPr>
          <w:lang w:val="en-US"/>
        </w:rPr>
        <w:br/>
      </w:r>
      <w:r w:rsidRPr="004A68AC">
        <w:rPr>
          <w:lang w:val="en-US"/>
        </w:rPr>
        <w:t>T</w:t>
      </w:r>
      <w:r w:rsidRPr="004A68AC">
        <w:rPr>
          <w:vertAlign w:val="subscript"/>
          <w:lang w:val="en-US"/>
        </w:rPr>
        <w:t>1</w:t>
      </w:r>
      <w:r w:rsidR="003149DF" w:rsidRPr="004A68AC">
        <w:rPr>
          <w:vertAlign w:val="subscript"/>
          <w:lang w:val="en-US"/>
        </w:rPr>
        <w:t>-9B</w:t>
      </w:r>
      <w:r w:rsidR="003149DF" w:rsidRPr="004A68AC">
        <w:rPr>
          <w:lang w:val="en-US"/>
        </w:rPr>
        <w:t xml:space="preserve"> </w:t>
      </w:r>
      <w:r w:rsidRPr="004A68AC">
        <w:rPr>
          <w:lang w:val="en-US"/>
        </w:rPr>
        <w:t>= 3.2</w:t>
      </w:r>
      <w:r w:rsidR="00AB6019" w:rsidRPr="004A68AC">
        <w:rPr>
          <w:lang w:val="en-US"/>
        </w:rPr>
        <w:t>1</w:t>
      </w:r>
      <w:r w:rsidRPr="004A68AC">
        <w:rPr>
          <w:lang w:val="en-US"/>
        </w:rPr>
        <w:t xml:space="preserve"> sec and T</w:t>
      </w:r>
      <w:r w:rsidRPr="004A68AC">
        <w:rPr>
          <w:vertAlign w:val="subscript"/>
          <w:lang w:val="en-US"/>
        </w:rPr>
        <w:t>2</w:t>
      </w:r>
      <w:r w:rsidR="003149DF" w:rsidRPr="004A68AC">
        <w:rPr>
          <w:vertAlign w:val="subscript"/>
          <w:lang w:val="en-US"/>
        </w:rPr>
        <w:t>-9B</w:t>
      </w:r>
      <w:r w:rsidRPr="004A68AC">
        <w:rPr>
          <w:lang w:val="en-US"/>
        </w:rPr>
        <w:t xml:space="preserve"> = 1.</w:t>
      </w:r>
      <w:r w:rsidR="00AB6019" w:rsidRPr="004A68AC">
        <w:rPr>
          <w:lang w:val="en-US"/>
        </w:rPr>
        <w:t>18</w:t>
      </w:r>
      <w:r w:rsidRPr="004A68AC">
        <w:rPr>
          <w:lang w:val="en-US"/>
        </w:rPr>
        <w:t xml:space="preserve"> sec for the building 9B. These periods are in agreement with p</w:t>
      </w:r>
      <w:r w:rsidR="005E5083" w:rsidRPr="004A68AC">
        <w:rPr>
          <w:lang w:val="en-US"/>
        </w:rPr>
        <w:t>revious studies</w:t>
      </w:r>
      <w:r w:rsidR="00C32A2B" w:rsidRPr="004A68AC">
        <w:rPr>
          <w:lang w:val="en-US"/>
        </w:rPr>
        <w:t xml:space="preserve"> (</w:t>
      </w:r>
      <w:r w:rsidRPr="004A68AC">
        <w:rPr>
          <w:i/>
          <w:lang w:val="en-US"/>
        </w:rPr>
        <w:t>i.e.,</w:t>
      </w:r>
      <w:r w:rsidRPr="004A68AC">
        <w:rPr>
          <w:lang w:val="en-US"/>
        </w:rPr>
        <w:t xml:space="preserve"> </w:t>
      </w:r>
      <w:r w:rsidR="00DF0503" w:rsidRPr="004A68AC">
        <w:rPr>
          <w:lang w:val="en-US"/>
        </w:rPr>
        <w:fldChar w:fldCharType="begin" w:fldLock="1"/>
      </w:r>
      <w:r w:rsidR="005C2936" w:rsidRPr="004A68AC">
        <w:rPr>
          <w:lang w:val="en-US"/>
        </w:rPr>
        <w:instrText>ADDIN CSL_CITATION {"citationItems":[{"id":"ITEM-1","itemData":{"author":[{"dropping-particle":"","family":"Gupta","given":"Akshay","non-dropping-particle":"","parse-names":false,"suffix":""},{"dropping-particle":"","family":"Krawinkler","given":"Helmut","non-dropping-particle":"","parse-names":false,"suffix":""}],"container-title":"Journal of Structural Engineering","id":"ITEM-1","issue":"1","issued":{"date-parts":[["2000"]]},"page":"98-107","title":"Behavior of Ductile SMRFs at Various Seismic Hazard Levels","type":"article-journal","volume":"126"},"uris":["http://www.mendeley.com/documents/?uuid=19f1bf8a-cabe-451a-8b65-1de15b3b50e4"]}],"mendeley":{"formattedCitation":"[29]","plainTextFormattedCitation":"[29]","previouslyFormattedCitation":"[29]"},"properties":{"noteIndex":0},"schema":"https://github.com/citation-style-language/schema/raw/master/csl-citation.json"}</w:instrText>
      </w:r>
      <w:r w:rsidR="00DF0503" w:rsidRPr="004A68AC">
        <w:rPr>
          <w:lang w:val="en-US"/>
        </w:rPr>
        <w:fldChar w:fldCharType="separate"/>
      </w:r>
      <w:r w:rsidR="005E41A8" w:rsidRPr="004A68AC">
        <w:rPr>
          <w:noProof/>
          <w:lang w:val="en-US"/>
        </w:rPr>
        <w:t>[29]</w:t>
      </w:r>
      <w:r w:rsidR="00DF0503" w:rsidRPr="004A68AC">
        <w:rPr>
          <w:lang w:val="en-US"/>
        </w:rPr>
        <w:fldChar w:fldCharType="end"/>
      </w:r>
      <w:r w:rsidR="00C32A2B" w:rsidRPr="004A68AC">
        <w:rPr>
          <w:lang w:val="en-US"/>
        </w:rPr>
        <w:t>)</w:t>
      </w:r>
      <w:r w:rsidR="002A30D5" w:rsidRPr="004A68AC">
        <w:rPr>
          <w:lang w:val="en-US"/>
        </w:rPr>
        <w:t>.</w:t>
      </w:r>
    </w:p>
    <w:p w14:paraId="1349A5FB" w14:textId="77777777" w:rsidR="007C1192" w:rsidRPr="004A68AC" w:rsidRDefault="007C1192" w:rsidP="00B86008">
      <w:pPr>
        <w:rPr>
          <w:lang w:val="en-US"/>
        </w:rPr>
      </w:pPr>
    </w:p>
    <w:p w14:paraId="2CCC4DF6" w14:textId="369EA50E" w:rsidR="00CF28BA" w:rsidRPr="004A68AC" w:rsidRDefault="00F470CC" w:rsidP="00CF28BA">
      <w:pPr>
        <w:rPr>
          <w:lang w:val="en-US"/>
        </w:rPr>
      </w:pPr>
      <w:r w:rsidRPr="004A68AC">
        <w:rPr>
          <w:lang w:val="en-US"/>
        </w:rPr>
        <w:t xml:space="preserve">     </w:t>
      </w:r>
      <w:r w:rsidR="00886AEA" w:rsidRPr="004A68AC">
        <w:rPr>
          <w:lang w:val="en-US"/>
        </w:rPr>
        <w:t xml:space="preserve">Non-linear static analyses, with lateral loads proportional to their first mode of vibration and story mass distribution, </w:t>
      </w:r>
      <w:r w:rsidR="00620403" w:rsidRPr="004A68AC">
        <w:rPr>
          <w:lang w:val="en-US"/>
        </w:rPr>
        <w:t>are</w:t>
      </w:r>
      <w:r w:rsidR="00886AEA" w:rsidRPr="004A68AC">
        <w:rPr>
          <w:lang w:val="en-US"/>
        </w:rPr>
        <w:t xml:space="preserve"> performed</w:t>
      </w:r>
      <w:r w:rsidR="00F11EC1" w:rsidRPr="004A68AC">
        <w:rPr>
          <w:lang w:val="en-US"/>
        </w:rPr>
        <w:t xml:space="preserve"> to </w:t>
      </w:r>
      <w:r w:rsidR="00E85862" w:rsidRPr="004A68AC">
        <w:rPr>
          <w:lang w:val="en-US"/>
        </w:rPr>
        <w:t>evaluate</w:t>
      </w:r>
      <w:r w:rsidR="00F11EC1" w:rsidRPr="004A68AC">
        <w:rPr>
          <w:lang w:val="en-US"/>
        </w:rPr>
        <w:t xml:space="preserve"> the capacity hierarchy of the elements, and the uniformity of story drifts along the height, as</w:t>
      </w:r>
      <w:r w:rsidR="00886AEA" w:rsidRPr="004A68AC">
        <w:rPr>
          <w:lang w:val="en-US"/>
        </w:rPr>
        <w:t xml:space="preserve"> </w:t>
      </w:r>
      <w:r w:rsidR="00E7618C" w:rsidRPr="004A68AC">
        <w:rPr>
          <w:szCs w:val="17"/>
          <w:lang w:val="en-US"/>
        </w:rPr>
        <w:t xml:space="preserve">shown in </w:t>
      </w:r>
      <w:r w:rsidR="00E7618C" w:rsidRPr="004A68AC">
        <w:rPr>
          <w:szCs w:val="17"/>
          <w:lang w:val="en-US"/>
        </w:rPr>
        <w:fldChar w:fldCharType="begin" w:fldLock="1"/>
      </w:r>
      <w:r w:rsidR="00E7618C" w:rsidRPr="004A68AC">
        <w:rPr>
          <w:szCs w:val="17"/>
          <w:lang w:val="en-US"/>
        </w:rPr>
        <w:instrText xml:space="preserve"> REF _Ref36507042 \h  \* MERGEFORMAT </w:instrText>
      </w:r>
      <w:r w:rsidR="00E7618C" w:rsidRPr="004A68AC">
        <w:rPr>
          <w:szCs w:val="17"/>
          <w:lang w:val="en-US"/>
        </w:rPr>
      </w:r>
      <w:r w:rsidR="00E7618C" w:rsidRPr="004A68AC">
        <w:rPr>
          <w:szCs w:val="17"/>
          <w:lang w:val="en-US"/>
        </w:rPr>
        <w:fldChar w:fldCharType="separate"/>
      </w:r>
      <w:r w:rsidR="002B107B" w:rsidRPr="004A68AC">
        <w:rPr>
          <w:bCs/>
          <w:lang w:val="en-US"/>
        </w:rPr>
        <w:t xml:space="preserve">Figure </w:t>
      </w:r>
      <w:r w:rsidR="002B107B" w:rsidRPr="004A68AC">
        <w:rPr>
          <w:bCs/>
          <w:noProof/>
          <w:lang w:val="en-US"/>
        </w:rPr>
        <w:t>8</w:t>
      </w:r>
      <w:r w:rsidR="00E7618C" w:rsidRPr="004A68AC">
        <w:rPr>
          <w:szCs w:val="17"/>
          <w:lang w:val="en-US"/>
        </w:rPr>
        <w:fldChar w:fldCharType="end"/>
      </w:r>
      <w:r w:rsidR="00886AEA" w:rsidRPr="004A68AC">
        <w:rPr>
          <w:szCs w:val="17"/>
          <w:lang w:val="en-US"/>
        </w:rPr>
        <w:t>.</w:t>
      </w:r>
      <w:r w:rsidR="0045122E" w:rsidRPr="004A68AC">
        <w:rPr>
          <w:szCs w:val="17"/>
          <w:lang w:val="en-US"/>
        </w:rPr>
        <w:t xml:space="preserve"> </w:t>
      </w:r>
      <w:r w:rsidR="0045122E" w:rsidRPr="004A68AC">
        <w:rPr>
          <w:szCs w:val="17"/>
          <w:lang w:val="en-US"/>
        </w:rPr>
        <w:fldChar w:fldCharType="begin" w:fldLock="1"/>
      </w:r>
      <w:r w:rsidR="0045122E" w:rsidRPr="004A68AC">
        <w:rPr>
          <w:szCs w:val="17"/>
          <w:lang w:val="en-US"/>
        </w:rPr>
        <w:instrText xml:space="preserve"> REF _Ref36507042 \h  \* MERGEFORMAT </w:instrText>
      </w:r>
      <w:r w:rsidR="0045122E" w:rsidRPr="004A68AC">
        <w:rPr>
          <w:szCs w:val="17"/>
          <w:lang w:val="en-US"/>
        </w:rPr>
      </w:r>
      <w:r w:rsidR="0045122E" w:rsidRPr="004A68AC">
        <w:rPr>
          <w:szCs w:val="17"/>
          <w:lang w:val="en-US"/>
        </w:rPr>
        <w:fldChar w:fldCharType="separate"/>
      </w:r>
      <w:r w:rsidR="002B107B" w:rsidRPr="004A68AC">
        <w:rPr>
          <w:bCs/>
          <w:lang w:val="en-US"/>
        </w:rPr>
        <w:t xml:space="preserve">Figure </w:t>
      </w:r>
      <w:r w:rsidR="002B107B" w:rsidRPr="004A68AC">
        <w:rPr>
          <w:bCs/>
          <w:noProof/>
          <w:lang w:val="en-US"/>
        </w:rPr>
        <w:t>8</w:t>
      </w:r>
      <w:r w:rsidR="0045122E" w:rsidRPr="004A68AC">
        <w:rPr>
          <w:szCs w:val="17"/>
          <w:lang w:val="en-US"/>
        </w:rPr>
        <w:fldChar w:fldCharType="end"/>
      </w:r>
      <w:r w:rsidR="005A4C2F" w:rsidRPr="004A68AC">
        <w:rPr>
          <w:szCs w:val="17"/>
          <w:lang w:val="en-US"/>
        </w:rPr>
        <w:t>(a) and (b</w:t>
      </w:r>
      <w:r w:rsidR="00C32A2B" w:rsidRPr="004A68AC">
        <w:rPr>
          <w:szCs w:val="17"/>
          <w:lang w:val="en-US"/>
        </w:rPr>
        <w:t xml:space="preserve">) show </w:t>
      </w:r>
      <w:r w:rsidR="005A4C2F" w:rsidRPr="004A68AC">
        <w:rPr>
          <w:szCs w:val="17"/>
          <w:lang w:val="en-US"/>
        </w:rPr>
        <w:t xml:space="preserve">the </w:t>
      </w:r>
      <w:r w:rsidR="00C32A2B" w:rsidRPr="004A68AC">
        <w:rPr>
          <w:szCs w:val="17"/>
          <w:lang w:val="en-US"/>
        </w:rPr>
        <w:t xml:space="preserve">results of the </w:t>
      </w:r>
      <w:r w:rsidR="005A4C2F" w:rsidRPr="004A68AC">
        <w:rPr>
          <w:szCs w:val="17"/>
          <w:lang w:val="en-US"/>
        </w:rPr>
        <w:t xml:space="preserve">pushover </w:t>
      </w:r>
      <w:r w:rsidR="00C32A2B" w:rsidRPr="004A68AC">
        <w:rPr>
          <w:szCs w:val="17"/>
          <w:lang w:val="en-US"/>
        </w:rPr>
        <w:t>analyses, in terms of IDR vs. story shear, respectively</w:t>
      </w:r>
      <w:r w:rsidR="005A4C2F" w:rsidRPr="004A68AC">
        <w:rPr>
          <w:szCs w:val="17"/>
          <w:lang w:val="en-US"/>
        </w:rPr>
        <w:t xml:space="preserve"> for buildings 3B and 9B. </w:t>
      </w:r>
      <w:r w:rsidR="00C32A2B" w:rsidRPr="004A68AC">
        <w:rPr>
          <w:szCs w:val="17"/>
          <w:lang w:val="en-US"/>
        </w:rPr>
        <w:t>M</w:t>
      </w:r>
      <w:r w:rsidR="005A4C2F" w:rsidRPr="004A68AC">
        <w:rPr>
          <w:szCs w:val="17"/>
          <w:lang w:val="en-US"/>
        </w:rPr>
        <w:t xml:space="preserve">arkers are placed to </w:t>
      </w:r>
      <w:r w:rsidR="00C32A2B" w:rsidRPr="004A68AC">
        <w:rPr>
          <w:szCs w:val="17"/>
          <w:lang w:val="en-US"/>
        </w:rPr>
        <w:t xml:space="preserve">identify </w:t>
      </w:r>
      <w:r w:rsidR="005A4C2F" w:rsidRPr="004A68AC">
        <w:rPr>
          <w:szCs w:val="17"/>
          <w:lang w:val="en-US"/>
        </w:rPr>
        <w:t xml:space="preserve">simultaneous instants of the pushover analysis </w:t>
      </w:r>
      <w:r w:rsidR="00C32A2B" w:rsidRPr="004A68AC">
        <w:rPr>
          <w:szCs w:val="17"/>
          <w:lang w:val="en-US"/>
        </w:rPr>
        <w:t xml:space="preserve">at </w:t>
      </w:r>
      <w:r w:rsidR="005A4C2F" w:rsidRPr="004A68AC">
        <w:rPr>
          <w:szCs w:val="17"/>
          <w:lang w:val="en-US"/>
        </w:rPr>
        <w:t xml:space="preserve">each story. </w:t>
      </w:r>
      <w:r w:rsidR="00886AEA" w:rsidRPr="004A68AC">
        <w:rPr>
          <w:szCs w:val="17"/>
          <w:lang w:val="en-US"/>
        </w:rPr>
        <w:t>The IDR</w:t>
      </w:r>
      <w:r w:rsidR="001E088A" w:rsidRPr="004A68AC">
        <w:rPr>
          <w:szCs w:val="17"/>
          <w:lang w:val="en-US"/>
        </w:rPr>
        <w:t>s</w:t>
      </w:r>
      <w:r w:rsidR="00886AEA" w:rsidRPr="004A68AC">
        <w:rPr>
          <w:szCs w:val="17"/>
          <w:lang w:val="en-US"/>
        </w:rPr>
        <w:t xml:space="preserve"> </w:t>
      </w:r>
      <w:r w:rsidR="001E088A" w:rsidRPr="004A68AC">
        <w:rPr>
          <w:szCs w:val="17"/>
          <w:lang w:val="en-US"/>
        </w:rPr>
        <w:t xml:space="preserve">of </w:t>
      </w:r>
      <w:r w:rsidR="00886AEA" w:rsidRPr="004A68AC">
        <w:rPr>
          <w:szCs w:val="17"/>
          <w:lang w:val="en-US"/>
        </w:rPr>
        <w:t xml:space="preserve">the building 3B </w:t>
      </w:r>
      <w:r w:rsidR="001E088A" w:rsidRPr="004A68AC">
        <w:rPr>
          <w:szCs w:val="17"/>
          <w:lang w:val="en-US"/>
        </w:rPr>
        <w:t xml:space="preserve">is </w:t>
      </w:r>
      <w:r w:rsidR="00886AEA" w:rsidRPr="004A68AC">
        <w:rPr>
          <w:szCs w:val="17"/>
          <w:lang w:val="en-US"/>
        </w:rPr>
        <w:t>similar among its s</w:t>
      </w:r>
      <w:r w:rsidR="005E5083" w:rsidRPr="004A68AC">
        <w:rPr>
          <w:szCs w:val="17"/>
          <w:lang w:val="en-US"/>
        </w:rPr>
        <w:t>tories</w:t>
      </w:r>
      <w:r w:rsidR="00886AEA" w:rsidRPr="004A68AC">
        <w:rPr>
          <w:lang w:val="en-US"/>
        </w:rPr>
        <w:t xml:space="preserve"> at different s</w:t>
      </w:r>
      <w:r w:rsidR="007E6FB5" w:rsidRPr="004A68AC">
        <w:rPr>
          <w:lang w:val="en-US"/>
        </w:rPr>
        <w:t xml:space="preserve">tages of the pushover analysis. The </w:t>
      </w:r>
      <w:r w:rsidR="00D650DA" w:rsidRPr="004A68AC">
        <w:rPr>
          <w:lang w:val="en-US"/>
        </w:rPr>
        <w:t>ductility</w:t>
      </w:r>
      <w:r w:rsidR="007E6FB5" w:rsidRPr="004A68AC">
        <w:rPr>
          <w:lang w:val="en-US"/>
        </w:rPr>
        <w:t xml:space="preserve"> of the structure is provided by the yielding of columns at the base of the structure, and the yielding of either the panel zones </w:t>
      </w:r>
      <w:r w:rsidR="00D650DA" w:rsidRPr="004A68AC">
        <w:rPr>
          <w:lang w:val="en-US"/>
        </w:rPr>
        <w:t>or the beam plastic hinges</w:t>
      </w:r>
      <w:r w:rsidR="002A0B9E" w:rsidRPr="004A68AC">
        <w:rPr>
          <w:lang w:val="en-US"/>
        </w:rPr>
        <w:t>.</w:t>
      </w:r>
      <w:r w:rsidR="00CF28BA" w:rsidRPr="004A68AC">
        <w:rPr>
          <w:lang w:val="en-US"/>
        </w:rPr>
        <w:t xml:space="preserve"> Conversely, the building 9B shows a different distribution of the IDRs among its </w:t>
      </w:r>
      <w:r w:rsidR="00CF28BA" w:rsidRPr="004A68AC">
        <w:rPr>
          <w:lang w:val="en-US"/>
        </w:rPr>
        <w:lastRenderedPageBreak/>
        <w:t>stories, with drift concentrations in the middle levels (</w:t>
      </w:r>
      <w:r w:rsidR="00CF28BA" w:rsidRPr="004A68AC">
        <w:rPr>
          <w:i/>
          <w:lang w:val="en-US"/>
        </w:rPr>
        <w:t>i.e.</w:t>
      </w:r>
      <w:r w:rsidR="00CF28BA" w:rsidRPr="004A68AC">
        <w:rPr>
          <w:lang w:val="en-US"/>
        </w:rPr>
        <w:t>, levels 4, 5 and 6). For this building, the ductility is provided by the yielding in the panel zones and beams’ plastic hinges through the building, and the large elastic and inelastic rotations of the columns in the first few stories.</w:t>
      </w:r>
    </w:p>
    <w:p w14:paraId="096CAE53" w14:textId="77777777" w:rsidR="007C1192" w:rsidRPr="004A68AC" w:rsidRDefault="007C1192" w:rsidP="00CF28BA">
      <w:pPr>
        <w:rPr>
          <w:lang w:val="en-US"/>
        </w:rPr>
      </w:pPr>
    </w:p>
    <w:p w14:paraId="3A1FACFD" w14:textId="2A79B220" w:rsidR="00866C09" w:rsidRPr="004A68AC" w:rsidRDefault="00CF28BA" w:rsidP="00866C09">
      <w:pPr>
        <w:rPr>
          <w:lang w:val="en-US"/>
        </w:rPr>
      </w:pPr>
      <w:r w:rsidRPr="004A68AC">
        <w:rPr>
          <w:lang w:val="en-US"/>
        </w:rPr>
        <w:t xml:space="preserve">     </w:t>
      </w:r>
      <w:r w:rsidRPr="004A68AC">
        <w:rPr>
          <w:lang w:val="en-US"/>
        </w:rPr>
        <w:fldChar w:fldCharType="begin" w:fldLock="1"/>
      </w:r>
      <w:r w:rsidRPr="004A68AC">
        <w:rPr>
          <w:lang w:val="en-US"/>
        </w:rPr>
        <w:instrText xml:space="preserve"> REF _Ref36507042 \h  \* MERGEFORMAT </w:instrText>
      </w:r>
      <w:r w:rsidRPr="004A68AC">
        <w:rPr>
          <w:lang w:val="en-US"/>
        </w:rPr>
      </w:r>
      <w:r w:rsidRPr="004A68AC">
        <w:rPr>
          <w:lang w:val="en-US"/>
        </w:rPr>
        <w:fldChar w:fldCharType="separate"/>
      </w:r>
      <w:r w:rsidRPr="004A68AC">
        <w:rPr>
          <w:bCs/>
          <w:lang w:val="en-US"/>
        </w:rPr>
        <w:t xml:space="preserve">Figure </w:t>
      </w:r>
      <w:r w:rsidRPr="004A68AC">
        <w:rPr>
          <w:bCs/>
          <w:noProof/>
          <w:lang w:val="en-US"/>
        </w:rPr>
        <w:t>8</w:t>
      </w:r>
      <w:r w:rsidRPr="004A68AC">
        <w:rPr>
          <w:lang w:val="en-US"/>
        </w:rPr>
        <w:fldChar w:fldCharType="end"/>
      </w:r>
      <w:r w:rsidRPr="004A68AC">
        <w:rPr>
          <w:lang w:val="en-US"/>
        </w:rPr>
        <w:t xml:space="preserve"> also shows the yielding of the different structural components at different instants of the pushover analysis, represented by same color markers and correlated with </w:t>
      </w:r>
      <w:r w:rsidRPr="004A68AC">
        <w:rPr>
          <w:lang w:val="en-US"/>
        </w:rPr>
        <w:fldChar w:fldCharType="begin" w:fldLock="1"/>
      </w:r>
      <w:r w:rsidRPr="004A68AC">
        <w:rPr>
          <w:lang w:val="en-US"/>
        </w:rPr>
        <w:instrText xml:space="preserve"> REF _Ref36507042 \h  \* MERGEFORMAT </w:instrText>
      </w:r>
      <w:r w:rsidRPr="004A68AC">
        <w:rPr>
          <w:lang w:val="en-US"/>
        </w:rPr>
      </w:r>
      <w:r w:rsidRPr="004A68AC">
        <w:rPr>
          <w:lang w:val="en-US"/>
        </w:rPr>
        <w:fldChar w:fldCharType="separate"/>
      </w:r>
      <w:r w:rsidRPr="004A68AC">
        <w:rPr>
          <w:bCs/>
          <w:lang w:val="en-US"/>
        </w:rPr>
        <w:t xml:space="preserve">Figure </w:t>
      </w:r>
      <w:r w:rsidRPr="004A68AC">
        <w:rPr>
          <w:bCs/>
          <w:noProof/>
          <w:lang w:val="en-US"/>
        </w:rPr>
        <w:t>8</w:t>
      </w:r>
      <w:r w:rsidRPr="004A68AC">
        <w:rPr>
          <w:lang w:val="en-US"/>
        </w:rPr>
        <w:fldChar w:fldCharType="end"/>
      </w:r>
      <w:r w:rsidRPr="004A68AC">
        <w:rPr>
          <w:lang w:val="en-US"/>
        </w:rPr>
        <w:t>(c), (d) and (e) for 3B, and (f), (g) and (h) for 9B. The yellow color represents the instant on which the first element yielding occurs, which corresponds to the panel zones in the first story in 3B, and the panel zones in the fourth story in 9B. At this stage, the rest of the elements in the structure (</w:t>
      </w:r>
      <w:r w:rsidRPr="004A68AC">
        <w:rPr>
          <w:i/>
          <w:lang w:val="en-US"/>
        </w:rPr>
        <w:t>i.e.</w:t>
      </w:r>
      <w:r w:rsidRPr="004A68AC">
        <w:rPr>
          <w:lang w:val="en-US"/>
        </w:rPr>
        <w:t>, not yielded elements) control the IDR at all stories. Successively, the orange color represents the instant on which the first column yields (</w:t>
      </w:r>
      <w:r w:rsidRPr="004A68AC">
        <w:rPr>
          <w:i/>
          <w:lang w:val="en-US"/>
        </w:rPr>
        <w:t>i.e.</w:t>
      </w:r>
      <w:r w:rsidRPr="004A68AC">
        <w:rPr>
          <w:lang w:val="en-US"/>
        </w:rPr>
        <w:t>, the first fiber yields). In the case of 3B, all the column bases yield almost simultaneously, while in the case of 9B, the first column to yield is the most compressed column between the second and third stories, however. At this point, most of the beam-to-column joints have yielded in either the beam’s plastic hinges or the panel</w:t>
      </w:r>
      <w:r w:rsidR="00866C09" w:rsidRPr="004A68AC">
        <w:rPr>
          <w:lang w:val="en-US"/>
        </w:rPr>
        <w:t xml:space="preserve"> zones. Finally, the red color represents the instant at which all beam-to-column joints have yielded in 3B, including joints in the roof</w:t>
      </w:r>
      <w:r w:rsidR="00F11EC1" w:rsidRPr="004A68AC">
        <w:rPr>
          <w:lang w:val="en-US"/>
        </w:rPr>
        <w:t>, and the final yielding mechanism of the structure is developed</w:t>
      </w:r>
      <w:r w:rsidR="00866C09" w:rsidRPr="004A68AC">
        <w:rPr>
          <w:lang w:val="en-US"/>
        </w:rPr>
        <w:t>. In the case of 9B, this stage is characterized by the yielding of most columns between the first and third stories, which enables the final yielding mechanism of the structure.</w:t>
      </w:r>
    </w:p>
    <w:p w14:paraId="75D04A5B" w14:textId="77777777" w:rsidR="002B7EC7" w:rsidRPr="004A68AC" w:rsidRDefault="002B7EC7" w:rsidP="00CF28BA">
      <w:pPr>
        <w:rPr>
          <w:lang w:val="en-US"/>
        </w:rPr>
      </w:pPr>
    </w:p>
    <w:p w14:paraId="413808B7" w14:textId="77777777" w:rsidR="009A7EAA" w:rsidRPr="004A68AC" w:rsidRDefault="009A7EAA" w:rsidP="009A7EAA">
      <w:pPr>
        <w:jc w:val="center"/>
        <w:rPr>
          <w:szCs w:val="20"/>
          <w:lang w:val="en-US"/>
        </w:rPr>
      </w:pPr>
      <w:bookmarkStart w:id="25" w:name="_Hlk45637574"/>
      <w:r w:rsidRPr="004A68AC">
        <w:rPr>
          <w:noProof/>
          <w:szCs w:val="20"/>
          <w:lang w:val="en-US" w:eastAsia="en-GB"/>
        </w:rPr>
        <mc:AlternateContent>
          <mc:Choice Requires="wps">
            <w:drawing>
              <wp:anchor distT="0" distB="0" distL="114300" distR="114300" simplePos="0" relativeHeight="251783168" behindDoc="0" locked="0" layoutInCell="1" allowOverlap="1" wp14:anchorId="6F4A843B" wp14:editId="18BFCFE9">
                <wp:simplePos x="0" y="0"/>
                <wp:positionH relativeFrom="column">
                  <wp:posOffset>4398010</wp:posOffset>
                </wp:positionH>
                <wp:positionV relativeFrom="paragraph">
                  <wp:posOffset>392853</wp:posOffset>
                </wp:positionV>
                <wp:extent cx="698500" cy="308610"/>
                <wp:effectExtent l="0" t="0" r="0" b="0"/>
                <wp:wrapNone/>
                <wp:docPr id="6" name="Text Box 6"/>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11126B02" w14:textId="77777777" w:rsidR="00F534F9" w:rsidRPr="006D7509" w:rsidRDefault="00F534F9" w:rsidP="009A7EAA">
                            <w:pPr>
                              <w:rPr>
                                <w:sz w:val="14"/>
                                <w:szCs w:val="14"/>
                                <w:lang w:val="it-IT"/>
                              </w:rPr>
                            </w:pPr>
                            <w:r>
                              <w:rPr>
                                <w:sz w:val="14"/>
                                <w:szCs w:val="14"/>
                                <w:lang w:val="it-IT"/>
                              </w:rPr>
                              <w:t>3</w:t>
                            </w:r>
                            <w:r>
                              <w:rPr>
                                <w:sz w:val="14"/>
                                <w:szCs w:val="14"/>
                                <w:vertAlign w:val="superscript"/>
                                <w:lang w:val="it-IT"/>
                              </w:rPr>
                              <w:t>rd</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843B" id="Text Box 6" o:spid="_x0000_s1039" type="#_x0000_t202" style="position:absolute;left:0;text-align:left;margin-left:346.3pt;margin-top:30.95pt;width:55pt;height:2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" filled="f" stroked="f" strokeweight=".5pt">
                <v:textbox>
                  <w:txbxContent>
                    <w:p w14:paraId="11126B02" w14:textId="77777777" w:rsidR="00F534F9" w:rsidRPr="006D7509" w:rsidRDefault="00F534F9" w:rsidP="009A7EAA">
                      <w:pPr>
                        <w:rPr>
                          <w:sz w:val="14"/>
                          <w:szCs w:val="14"/>
                          <w:lang w:val="it-IT"/>
                        </w:rPr>
                      </w:pPr>
                      <w:r>
                        <w:rPr>
                          <w:sz w:val="14"/>
                          <w:szCs w:val="14"/>
                          <w:lang w:val="it-IT"/>
                        </w:rPr>
                        <w:t>3</w:t>
                      </w:r>
                      <w:r>
                        <w:rPr>
                          <w:sz w:val="14"/>
                          <w:szCs w:val="14"/>
                          <w:vertAlign w:val="superscript"/>
                          <w:lang w:val="it-IT"/>
                        </w:rPr>
                        <w:t>rd</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2144" behindDoc="0" locked="0" layoutInCell="1" allowOverlap="1" wp14:anchorId="1197D685" wp14:editId="090D5AA0">
                <wp:simplePos x="0" y="0"/>
                <wp:positionH relativeFrom="column">
                  <wp:posOffset>3983355</wp:posOffset>
                </wp:positionH>
                <wp:positionV relativeFrom="paragraph">
                  <wp:posOffset>248497</wp:posOffset>
                </wp:positionV>
                <wp:extent cx="698500" cy="308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0A9FD58A" w14:textId="77777777" w:rsidR="00F534F9" w:rsidRPr="006D7509" w:rsidRDefault="00F534F9" w:rsidP="009A7EAA">
                            <w:pPr>
                              <w:rPr>
                                <w:sz w:val="14"/>
                                <w:szCs w:val="14"/>
                                <w:lang w:val="it-IT"/>
                              </w:rPr>
                            </w:pPr>
                            <w:r>
                              <w:rPr>
                                <w:sz w:val="14"/>
                                <w:szCs w:val="14"/>
                                <w:lang w:val="it-IT"/>
                              </w:rPr>
                              <w:t>2</w:t>
                            </w:r>
                            <w:r>
                              <w:rPr>
                                <w:sz w:val="14"/>
                                <w:szCs w:val="14"/>
                                <w:vertAlign w:val="superscript"/>
                                <w:lang w:val="it-IT"/>
                              </w:rPr>
                              <w:t>nd</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D685" id="Text Box 4" o:spid="_x0000_s1040" type="#_x0000_t202" style="position:absolute;left:0;text-align:left;margin-left:313.65pt;margin-top:19.55pt;width:55pt;height:24.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" filled="f" stroked="f" strokeweight=".5pt">
                <v:textbox>
                  <w:txbxContent>
                    <w:p w14:paraId="0A9FD58A" w14:textId="77777777" w:rsidR="00F534F9" w:rsidRPr="006D7509" w:rsidRDefault="00F534F9" w:rsidP="009A7EAA">
                      <w:pPr>
                        <w:rPr>
                          <w:sz w:val="14"/>
                          <w:szCs w:val="14"/>
                          <w:lang w:val="it-IT"/>
                        </w:rPr>
                      </w:pPr>
                      <w:r>
                        <w:rPr>
                          <w:sz w:val="14"/>
                          <w:szCs w:val="14"/>
                          <w:lang w:val="it-IT"/>
                        </w:rPr>
                        <w:t>2</w:t>
                      </w:r>
                      <w:r>
                        <w:rPr>
                          <w:sz w:val="14"/>
                          <w:szCs w:val="14"/>
                          <w:vertAlign w:val="superscript"/>
                          <w:lang w:val="it-IT"/>
                        </w:rPr>
                        <w:t>nd</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90336" behindDoc="0" locked="0" layoutInCell="1" allowOverlap="1" wp14:anchorId="605A6957" wp14:editId="078817CF">
                <wp:simplePos x="0" y="0"/>
                <wp:positionH relativeFrom="column">
                  <wp:posOffset>2423160</wp:posOffset>
                </wp:positionH>
                <wp:positionV relativeFrom="paragraph">
                  <wp:posOffset>1478768</wp:posOffset>
                </wp:positionV>
                <wp:extent cx="698500" cy="3086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30CFD03F" w14:textId="77777777" w:rsidR="00F534F9" w:rsidRPr="006D7509" w:rsidRDefault="00F534F9" w:rsidP="009A7EAA">
                            <w:pPr>
                              <w:rPr>
                                <w:sz w:val="14"/>
                                <w:szCs w:val="14"/>
                                <w:lang w:val="it-IT"/>
                              </w:rPr>
                            </w:pPr>
                            <w:r w:rsidRPr="006D7509">
                              <w:rPr>
                                <w:sz w:val="14"/>
                                <w:szCs w:val="14"/>
                                <w:lang w:val="it-IT"/>
                              </w:rPr>
                              <w:t>1</w:t>
                            </w:r>
                            <w:r w:rsidRPr="006D7509">
                              <w:rPr>
                                <w:sz w:val="14"/>
                                <w:szCs w:val="14"/>
                                <w:vertAlign w:val="superscript"/>
                                <w:lang w:val="it-IT"/>
                              </w:rPr>
                              <w:t>st</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6957" id="Text Box 21" o:spid="_x0000_s1041" type="#_x0000_t202" style="position:absolute;left:0;text-align:left;margin-left:190.8pt;margin-top:116.45pt;width:55pt;height:24.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" filled="f" stroked="f" strokeweight=".5pt">
                <v:textbox>
                  <w:txbxContent>
                    <w:p w14:paraId="30CFD03F" w14:textId="77777777" w:rsidR="00F534F9" w:rsidRPr="006D7509" w:rsidRDefault="00F534F9" w:rsidP="009A7EAA">
                      <w:pPr>
                        <w:rPr>
                          <w:sz w:val="14"/>
                          <w:szCs w:val="14"/>
                          <w:lang w:val="it-IT"/>
                        </w:rPr>
                      </w:pPr>
                      <w:r w:rsidRPr="006D7509">
                        <w:rPr>
                          <w:sz w:val="14"/>
                          <w:szCs w:val="14"/>
                          <w:lang w:val="it-IT"/>
                        </w:rPr>
                        <w:t>1</w:t>
                      </w:r>
                      <w:r w:rsidRPr="006D7509">
                        <w:rPr>
                          <w:sz w:val="14"/>
                          <w:szCs w:val="14"/>
                          <w:vertAlign w:val="superscript"/>
                          <w:lang w:val="it-IT"/>
                        </w:rPr>
                        <w:t>st</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91360" behindDoc="0" locked="0" layoutInCell="1" allowOverlap="1" wp14:anchorId="0B061494" wp14:editId="035023F9">
                <wp:simplePos x="0" y="0"/>
                <wp:positionH relativeFrom="column">
                  <wp:posOffset>2516358</wp:posOffset>
                </wp:positionH>
                <wp:positionV relativeFrom="paragraph">
                  <wp:posOffset>1597025</wp:posOffset>
                </wp:positionV>
                <wp:extent cx="698500" cy="3086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2F74D4CF" w14:textId="77777777" w:rsidR="00F534F9" w:rsidRPr="006D7509" w:rsidRDefault="00F534F9" w:rsidP="009A7EAA">
                            <w:pPr>
                              <w:rPr>
                                <w:sz w:val="14"/>
                                <w:szCs w:val="14"/>
                                <w:lang w:val="it-IT"/>
                              </w:rPr>
                            </w:pPr>
                            <w:r>
                              <w:rPr>
                                <w:sz w:val="14"/>
                                <w:szCs w:val="14"/>
                                <w:lang w:val="it-IT"/>
                              </w:rPr>
                              <w:t>2</w:t>
                            </w:r>
                            <w:r>
                              <w:rPr>
                                <w:sz w:val="14"/>
                                <w:szCs w:val="14"/>
                                <w:vertAlign w:val="superscript"/>
                                <w:lang w:val="it-IT"/>
                              </w:rPr>
                              <w:t>nd</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1494" id="Text Box 22" o:spid="_x0000_s1042" type="#_x0000_t202" style="position:absolute;left:0;text-align:left;margin-left:198.15pt;margin-top:125.75pt;width:55pt;height:2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sxMQIAAFoEAAAOAAAAZHJzL2Uyb0RvYy54bWysVN9v2jAQfp+0/8Hy+0igwCg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" filled="f" stroked="f" strokeweight=".5pt">
                <v:textbox>
                  <w:txbxContent>
                    <w:p w14:paraId="2F74D4CF" w14:textId="77777777" w:rsidR="00F534F9" w:rsidRPr="006D7509" w:rsidRDefault="00F534F9" w:rsidP="009A7EAA">
                      <w:pPr>
                        <w:rPr>
                          <w:sz w:val="14"/>
                          <w:szCs w:val="14"/>
                          <w:lang w:val="it-IT"/>
                        </w:rPr>
                      </w:pPr>
                      <w:r>
                        <w:rPr>
                          <w:sz w:val="14"/>
                          <w:szCs w:val="14"/>
                          <w:lang w:val="it-IT"/>
                        </w:rPr>
                        <w:t>2</w:t>
                      </w:r>
                      <w:r>
                        <w:rPr>
                          <w:sz w:val="14"/>
                          <w:szCs w:val="14"/>
                          <w:vertAlign w:val="superscript"/>
                          <w:lang w:val="it-IT"/>
                        </w:rPr>
                        <w:t>nd</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5216" behindDoc="0" locked="0" layoutInCell="1" allowOverlap="1" wp14:anchorId="3480AF65" wp14:editId="47D5886A">
                <wp:simplePos x="0" y="0"/>
                <wp:positionH relativeFrom="column">
                  <wp:posOffset>5213838</wp:posOffset>
                </wp:positionH>
                <wp:positionV relativeFrom="paragraph">
                  <wp:posOffset>853440</wp:posOffset>
                </wp:positionV>
                <wp:extent cx="698500" cy="30903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8500" cy="309034"/>
                        </a:xfrm>
                        <a:prstGeom prst="rect">
                          <a:avLst/>
                        </a:prstGeom>
                        <a:noFill/>
                        <a:ln w="6350">
                          <a:noFill/>
                        </a:ln>
                      </wps:spPr>
                      <wps:txbx>
                        <w:txbxContent>
                          <w:p w14:paraId="3014CD76" w14:textId="77777777" w:rsidR="00F534F9" w:rsidRPr="006D7509" w:rsidRDefault="00F534F9" w:rsidP="009A7EAA">
                            <w:pPr>
                              <w:rPr>
                                <w:sz w:val="14"/>
                                <w:szCs w:val="14"/>
                                <w:lang w:val="it-IT"/>
                              </w:rPr>
                            </w:pPr>
                            <w:r>
                              <w:rPr>
                                <w:sz w:val="14"/>
                                <w:szCs w:val="14"/>
                                <w:lang w:val="it-IT"/>
                              </w:rPr>
                              <w:t>5</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0AF65" id="Text Box 15" o:spid="_x0000_s1043" type="#_x0000_t202" style="position:absolute;left:0;text-align:left;margin-left:410.55pt;margin-top:67.2pt;width:55pt;height:2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" filled="f" stroked="f" strokeweight=".5pt">
                <v:textbox>
                  <w:txbxContent>
                    <w:p w14:paraId="3014CD76" w14:textId="77777777" w:rsidR="00F534F9" w:rsidRPr="006D7509" w:rsidRDefault="00F534F9" w:rsidP="009A7EAA">
                      <w:pPr>
                        <w:rPr>
                          <w:sz w:val="14"/>
                          <w:szCs w:val="14"/>
                          <w:lang w:val="it-IT"/>
                        </w:rPr>
                      </w:pPr>
                      <w:r>
                        <w:rPr>
                          <w:sz w:val="14"/>
                          <w:szCs w:val="14"/>
                          <w:lang w:val="it-IT"/>
                        </w:rPr>
                        <w:t>5</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6240" behindDoc="0" locked="0" layoutInCell="1" allowOverlap="1" wp14:anchorId="65DF295D" wp14:editId="3D42D357">
                <wp:simplePos x="0" y="0"/>
                <wp:positionH relativeFrom="column">
                  <wp:posOffset>5238750</wp:posOffset>
                </wp:positionH>
                <wp:positionV relativeFrom="paragraph">
                  <wp:posOffset>1031387</wp:posOffset>
                </wp:positionV>
                <wp:extent cx="698500" cy="3086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291AED8D" w14:textId="77777777" w:rsidR="00F534F9" w:rsidRPr="006D7509" w:rsidRDefault="00F534F9" w:rsidP="009A7EAA">
                            <w:pPr>
                              <w:rPr>
                                <w:sz w:val="14"/>
                                <w:szCs w:val="14"/>
                                <w:lang w:val="it-IT"/>
                              </w:rPr>
                            </w:pPr>
                            <w:r>
                              <w:rPr>
                                <w:sz w:val="14"/>
                                <w:szCs w:val="14"/>
                                <w:lang w:val="it-IT"/>
                              </w:rPr>
                              <w:t>6</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295D" id="Text Box 17" o:spid="_x0000_s1044" type="#_x0000_t202" style="position:absolute;left:0;text-align:left;margin-left:412.5pt;margin-top:81.2pt;width:55pt;height:2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y4MA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" filled="f" stroked="f" strokeweight=".5pt">
                <v:textbox>
                  <w:txbxContent>
                    <w:p w14:paraId="291AED8D" w14:textId="77777777" w:rsidR="00F534F9" w:rsidRPr="006D7509" w:rsidRDefault="00F534F9" w:rsidP="009A7EAA">
                      <w:pPr>
                        <w:rPr>
                          <w:sz w:val="14"/>
                          <w:szCs w:val="14"/>
                          <w:lang w:val="it-IT"/>
                        </w:rPr>
                      </w:pPr>
                      <w:r>
                        <w:rPr>
                          <w:sz w:val="14"/>
                          <w:szCs w:val="14"/>
                          <w:lang w:val="it-IT"/>
                        </w:rPr>
                        <w:t>6</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4192" behindDoc="0" locked="0" layoutInCell="1" allowOverlap="1" wp14:anchorId="47B2826D" wp14:editId="264276ED">
                <wp:simplePos x="0" y="0"/>
                <wp:positionH relativeFrom="column">
                  <wp:posOffset>4853940</wp:posOffset>
                </wp:positionH>
                <wp:positionV relativeFrom="paragraph">
                  <wp:posOffset>608477</wp:posOffset>
                </wp:positionV>
                <wp:extent cx="698500" cy="309034"/>
                <wp:effectExtent l="0" t="0" r="0" b="0"/>
                <wp:wrapNone/>
                <wp:docPr id="7" name="Text Box 7"/>
                <wp:cNvGraphicFramePr/>
                <a:graphic xmlns:a="http://schemas.openxmlformats.org/drawingml/2006/main">
                  <a:graphicData uri="http://schemas.microsoft.com/office/word/2010/wordprocessingShape">
                    <wps:wsp>
                      <wps:cNvSpPr txBox="1"/>
                      <wps:spPr>
                        <a:xfrm>
                          <a:off x="0" y="0"/>
                          <a:ext cx="698500" cy="309034"/>
                        </a:xfrm>
                        <a:prstGeom prst="rect">
                          <a:avLst/>
                        </a:prstGeom>
                        <a:noFill/>
                        <a:ln w="6350">
                          <a:noFill/>
                        </a:ln>
                      </wps:spPr>
                      <wps:txbx>
                        <w:txbxContent>
                          <w:p w14:paraId="09181138" w14:textId="77777777" w:rsidR="00F534F9" w:rsidRPr="006D7509" w:rsidRDefault="00F534F9" w:rsidP="009A7EAA">
                            <w:pPr>
                              <w:rPr>
                                <w:sz w:val="14"/>
                                <w:szCs w:val="14"/>
                                <w:lang w:val="it-IT"/>
                              </w:rPr>
                            </w:pPr>
                            <w:r>
                              <w:rPr>
                                <w:sz w:val="14"/>
                                <w:szCs w:val="14"/>
                                <w:lang w:val="it-IT"/>
                              </w:rPr>
                              <w:t>4</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826D" id="Text Box 7" o:spid="_x0000_s1045" type="#_x0000_t202" style="position:absolute;left:0;text-align:left;margin-left:382.2pt;margin-top:47.9pt;width:55pt;height:2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" filled="f" stroked="f" strokeweight=".5pt">
                <v:textbox>
                  <w:txbxContent>
                    <w:p w14:paraId="09181138" w14:textId="77777777" w:rsidR="00F534F9" w:rsidRPr="006D7509" w:rsidRDefault="00F534F9" w:rsidP="009A7EAA">
                      <w:pPr>
                        <w:rPr>
                          <w:sz w:val="14"/>
                          <w:szCs w:val="14"/>
                          <w:lang w:val="it-IT"/>
                        </w:rPr>
                      </w:pPr>
                      <w:r>
                        <w:rPr>
                          <w:sz w:val="14"/>
                          <w:szCs w:val="14"/>
                          <w:lang w:val="it-IT"/>
                        </w:rPr>
                        <w:t>4</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7264" behindDoc="0" locked="0" layoutInCell="1" allowOverlap="1" wp14:anchorId="5ED92814" wp14:editId="4BE37A21">
                <wp:simplePos x="0" y="0"/>
                <wp:positionH relativeFrom="column">
                  <wp:posOffset>5147310</wp:posOffset>
                </wp:positionH>
                <wp:positionV relativeFrom="paragraph">
                  <wp:posOffset>1216172</wp:posOffset>
                </wp:positionV>
                <wp:extent cx="698500" cy="3086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7B594065" w14:textId="77777777" w:rsidR="00F534F9" w:rsidRPr="006D7509" w:rsidRDefault="00F534F9" w:rsidP="009A7EAA">
                            <w:pPr>
                              <w:rPr>
                                <w:sz w:val="14"/>
                                <w:szCs w:val="14"/>
                                <w:lang w:val="it-IT"/>
                              </w:rPr>
                            </w:pPr>
                            <w:r>
                              <w:rPr>
                                <w:sz w:val="14"/>
                                <w:szCs w:val="14"/>
                                <w:lang w:val="it-IT"/>
                              </w:rPr>
                              <w:t>7</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2814" id="Text Box 18" o:spid="_x0000_s1046" type="#_x0000_t202" style="position:absolute;left:0;text-align:left;margin-left:405.3pt;margin-top:95.75pt;width:55pt;height:24.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" filled="f" stroked="f" strokeweight=".5pt">
                <v:textbox>
                  <w:txbxContent>
                    <w:p w14:paraId="7B594065" w14:textId="77777777" w:rsidR="00F534F9" w:rsidRPr="006D7509" w:rsidRDefault="00F534F9" w:rsidP="009A7EAA">
                      <w:pPr>
                        <w:rPr>
                          <w:sz w:val="14"/>
                          <w:szCs w:val="14"/>
                          <w:lang w:val="it-IT"/>
                        </w:rPr>
                      </w:pPr>
                      <w:r>
                        <w:rPr>
                          <w:sz w:val="14"/>
                          <w:szCs w:val="14"/>
                          <w:lang w:val="it-IT"/>
                        </w:rPr>
                        <w:t>7</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8288" behindDoc="0" locked="0" layoutInCell="1" allowOverlap="1" wp14:anchorId="70D12F48" wp14:editId="240FE18E">
                <wp:simplePos x="0" y="0"/>
                <wp:positionH relativeFrom="column">
                  <wp:posOffset>4998867</wp:posOffset>
                </wp:positionH>
                <wp:positionV relativeFrom="paragraph">
                  <wp:posOffset>1446530</wp:posOffset>
                </wp:positionV>
                <wp:extent cx="698500" cy="3086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2A086598" w14:textId="77777777" w:rsidR="00F534F9" w:rsidRPr="006D7509" w:rsidRDefault="00F534F9" w:rsidP="009A7EAA">
                            <w:pPr>
                              <w:rPr>
                                <w:sz w:val="14"/>
                                <w:szCs w:val="14"/>
                                <w:lang w:val="it-IT"/>
                              </w:rPr>
                            </w:pPr>
                            <w:r>
                              <w:rPr>
                                <w:sz w:val="14"/>
                                <w:szCs w:val="14"/>
                                <w:lang w:val="it-IT"/>
                              </w:rPr>
                              <w:t>8</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2F48" id="Text Box 19" o:spid="_x0000_s1047" type="#_x0000_t202" style="position:absolute;left:0;text-align:left;margin-left:393.6pt;margin-top:113.9pt;width:55pt;height:2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" filled="f" stroked="f" strokeweight=".5pt">
                <v:textbox>
                  <w:txbxContent>
                    <w:p w14:paraId="2A086598" w14:textId="77777777" w:rsidR="00F534F9" w:rsidRPr="006D7509" w:rsidRDefault="00F534F9" w:rsidP="009A7EAA">
                      <w:pPr>
                        <w:rPr>
                          <w:sz w:val="14"/>
                          <w:szCs w:val="14"/>
                          <w:lang w:val="it-IT"/>
                        </w:rPr>
                      </w:pPr>
                      <w:r>
                        <w:rPr>
                          <w:sz w:val="14"/>
                          <w:szCs w:val="14"/>
                          <w:lang w:val="it-IT"/>
                        </w:rPr>
                        <w:t>8</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9312" behindDoc="0" locked="0" layoutInCell="1" allowOverlap="1" wp14:anchorId="104CDCEE" wp14:editId="6FC44FDA">
                <wp:simplePos x="0" y="0"/>
                <wp:positionH relativeFrom="column">
                  <wp:posOffset>4796937</wp:posOffset>
                </wp:positionH>
                <wp:positionV relativeFrom="paragraph">
                  <wp:posOffset>1725295</wp:posOffset>
                </wp:positionV>
                <wp:extent cx="698500" cy="30903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8500" cy="309034"/>
                        </a:xfrm>
                        <a:prstGeom prst="rect">
                          <a:avLst/>
                        </a:prstGeom>
                        <a:noFill/>
                        <a:ln w="6350">
                          <a:noFill/>
                        </a:ln>
                      </wps:spPr>
                      <wps:txbx>
                        <w:txbxContent>
                          <w:p w14:paraId="1F2E3849" w14:textId="77777777" w:rsidR="00F534F9" w:rsidRPr="006D7509" w:rsidRDefault="00F534F9" w:rsidP="009A7EAA">
                            <w:pPr>
                              <w:rPr>
                                <w:sz w:val="14"/>
                                <w:szCs w:val="14"/>
                                <w:lang w:val="it-IT"/>
                              </w:rPr>
                            </w:pPr>
                            <w:r>
                              <w:rPr>
                                <w:sz w:val="14"/>
                                <w:szCs w:val="14"/>
                                <w:lang w:val="it-IT"/>
                              </w:rPr>
                              <w:t>9</w:t>
                            </w:r>
                            <w:r w:rsidRPr="006D7509">
                              <w:rPr>
                                <w:sz w:val="14"/>
                                <w:szCs w:val="14"/>
                                <w:vertAlign w:val="superscript"/>
                                <w:lang w:val="it-IT"/>
                              </w:rPr>
                              <w:t>th</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DCEE" id="Text Box 20" o:spid="_x0000_s1048" type="#_x0000_t202" style="position:absolute;left:0;text-align:left;margin-left:377.7pt;margin-top:135.85pt;width:55pt;height:2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" filled="f" stroked="f" strokeweight=".5pt">
                <v:textbox>
                  <w:txbxContent>
                    <w:p w14:paraId="1F2E3849" w14:textId="77777777" w:rsidR="00F534F9" w:rsidRPr="006D7509" w:rsidRDefault="00F534F9" w:rsidP="009A7EAA">
                      <w:pPr>
                        <w:rPr>
                          <w:sz w:val="14"/>
                          <w:szCs w:val="14"/>
                          <w:lang w:val="it-IT"/>
                        </w:rPr>
                      </w:pPr>
                      <w:r>
                        <w:rPr>
                          <w:sz w:val="14"/>
                          <w:szCs w:val="14"/>
                          <w:lang w:val="it-IT"/>
                        </w:rPr>
                        <w:t>9</w:t>
                      </w:r>
                      <w:r w:rsidRPr="006D7509">
                        <w:rPr>
                          <w:sz w:val="14"/>
                          <w:szCs w:val="14"/>
                          <w:vertAlign w:val="superscript"/>
                          <w:lang w:val="it-IT"/>
                        </w:rPr>
                        <w:t>th</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92384" behindDoc="0" locked="0" layoutInCell="1" allowOverlap="1" wp14:anchorId="593863A4" wp14:editId="635377BF">
                <wp:simplePos x="0" y="0"/>
                <wp:positionH relativeFrom="column">
                  <wp:posOffset>2380615</wp:posOffset>
                </wp:positionH>
                <wp:positionV relativeFrom="paragraph">
                  <wp:posOffset>1750207</wp:posOffset>
                </wp:positionV>
                <wp:extent cx="698500" cy="3086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8500" cy="308610"/>
                        </a:xfrm>
                        <a:prstGeom prst="rect">
                          <a:avLst/>
                        </a:prstGeom>
                        <a:noFill/>
                        <a:ln w="6350">
                          <a:noFill/>
                        </a:ln>
                      </wps:spPr>
                      <wps:txbx>
                        <w:txbxContent>
                          <w:p w14:paraId="4B32079C" w14:textId="77777777" w:rsidR="00F534F9" w:rsidRPr="006D7509" w:rsidRDefault="00F534F9" w:rsidP="009A7EAA">
                            <w:pPr>
                              <w:rPr>
                                <w:sz w:val="14"/>
                                <w:szCs w:val="14"/>
                                <w:lang w:val="it-IT"/>
                              </w:rPr>
                            </w:pPr>
                            <w:r>
                              <w:rPr>
                                <w:sz w:val="14"/>
                                <w:szCs w:val="14"/>
                                <w:lang w:val="it-IT"/>
                              </w:rPr>
                              <w:t>3</w:t>
                            </w:r>
                            <w:r>
                              <w:rPr>
                                <w:sz w:val="14"/>
                                <w:szCs w:val="14"/>
                                <w:vertAlign w:val="superscript"/>
                                <w:lang w:val="it-IT"/>
                              </w:rPr>
                              <w:t>rd</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63A4" id="Text Box 23" o:spid="_x0000_s1049" type="#_x0000_t202" style="position:absolute;left:0;text-align:left;margin-left:187.45pt;margin-top:137.8pt;width:55pt;height:2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" filled="f" stroked="f" strokeweight=".5pt">
                <v:textbox>
                  <w:txbxContent>
                    <w:p w14:paraId="4B32079C" w14:textId="77777777" w:rsidR="00F534F9" w:rsidRPr="006D7509" w:rsidRDefault="00F534F9" w:rsidP="009A7EAA">
                      <w:pPr>
                        <w:rPr>
                          <w:sz w:val="14"/>
                          <w:szCs w:val="14"/>
                          <w:lang w:val="it-IT"/>
                        </w:rPr>
                      </w:pPr>
                      <w:r>
                        <w:rPr>
                          <w:sz w:val="14"/>
                          <w:szCs w:val="14"/>
                          <w:lang w:val="it-IT"/>
                        </w:rPr>
                        <w:t>3</w:t>
                      </w:r>
                      <w:r>
                        <w:rPr>
                          <w:sz w:val="14"/>
                          <w:szCs w:val="14"/>
                          <w:vertAlign w:val="superscript"/>
                          <w:lang w:val="it-IT"/>
                        </w:rPr>
                        <w:t>rd</w:t>
                      </w:r>
                      <w:r w:rsidRPr="006D7509">
                        <w:rPr>
                          <w:sz w:val="14"/>
                          <w:szCs w:val="14"/>
                          <w:lang w:val="it-IT"/>
                        </w:rPr>
                        <w:t xml:space="preserve"> story</w:t>
                      </w:r>
                    </w:p>
                  </w:txbxContent>
                </v:textbox>
              </v:shape>
            </w:pict>
          </mc:Fallback>
        </mc:AlternateContent>
      </w:r>
      <w:r w:rsidRPr="004A68AC">
        <w:rPr>
          <w:noProof/>
          <w:szCs w:val="20"/>
          <w:lang w:val="en-US" w:eastAsia="en-GB"/>
        </w:rPr>
        <mc:AlternateContent>
          <mc:Choice Requires="wps">
            <w:drawing>
              <wp:anchor distT="0" distB="0" distL="114300" distR="114300" simplePos="0" relativeHeight="251781120" behindDoc="0" locked="0" layoutInCell="1" allowOverlap="1" wp14:anchorId="1425CD2E" wp14:editId="093D1BAE">
                <wp:simplePos x="0" y="0"/>
                <wp:positionH relativeFrom="column">
                  <wp:posOffset>3577590</wp:posOffset>
                </wp:positionH>
                <wp:positionV relativeFrom="paragraph">
                  <wp:posOffset>210185</wp:posOffset>
                </wp:positionV>
                <wp:extent cx="698500" cy="309034"/>
                <wp:effectExtent l="0" t="0" r="0" b="0"/>
                <wp:wrapNone/>
                <wp:docPr id="2" name="Text Box 2"/>
                <wp:cNvGraphicFramePr/>
                <a:graphic xmlns:a="http://schemas.openxmlformats.org/drawingml/2006/main">
                  <a:graphicData uri="http://schemas.microsoft.com/office/word/2010/wordprocessingShape">
                    <wps:wsp>
                      <wps:cNvSpPr txBox="1"/>
                      <wps:spPr>
                        <a:xfrm>
                          <a:off x="0" y="0"/>
                          <a:ext cx="698500" cy="309034"/>
                        </a:xfrm>
                        <a:prstGeom prst="rect">
                          <a:avLst/>
                        </a:prstGeom>
                        <a:noFill/>
                        <a:ln w="6350">
                          <a:noFill/>
                        </a:ln>
                      </wps:spPr>
                      <wps:txbx>
                        <w:txbxContent>
                          <w:p w14:paraId="595AC343" w14:textId="77777777" w:rsidR="00F534F9" w:rsidRPr="006D7509" w:rsidRDefault="00F534F9" w:rsidP="009A7EAA">
                            <w:pPr>
                              <w:rPr>
                                <w:sz w:val="14"/>
                                <w:szCs w:val="14"/>
                                <w:lang w:val="it-IT"/>
                              </w:rPr>
                            </w:pPr>
                            <w:r w:rsidRPr="006D7509">
                              <w:rPr>
                                <w:sz w:val="14"/>
                                <w:szCs w:val="14"/>
                                <w:lang w:val="it-IT"/>
                              </w:rPr>
                              <w:t>1</w:t>
                            </w:r>
                            <w:r w:rsidRPr="006D7509">
                              <w:rPr>
                                <w:sz w:val="14"/>
                                <w:szCs w:val="14"/>
                                <w:vertAlign w:val="superscript"/>
                                <w:lang w:val="it-IT"/>
                              </w:rPr>
                              <w:t>st</w:t>
                            </w:r>
                            <w:r w:rsidRPr="006D7509">
                              <w:rPr>
                                <w:sz w:val="14"/>
                                <w:szCs w:val="14"/>
                                <w:lang w:val="it-IT"/>
                              </w:rPr>
                              <w:t xml:space="preserv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CD2E" id="Text Box 2" o:spid="_x0000_s1050" type="#_x0000_t202" style="position:absolute;left:0;text-align:left;margin-left:281.7pt;margin-top:16.55pt;width:55pt;height:2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" filled="f" stroked="f" strokeweight=".5pt">
                <v:textbox>
                  <w:txbxContent>
                    <w:p w14:paraId="595AC343" w14:textId="77777777" w:rsidR="00F534F9" w:rsidRPr="006D7509" w:rsidRDefault="00F534F9" w:rsidP="009A7EAA">
                      <w:pPr>
                        <w:rPr>
                          <w:sz w:val="14"/>
                          <w:szCs w:val="14"/>
                          <w:lang w:val="it-IT"/>
                        </w:rPr>
                      </w:pPr>
                      <w:r w:rsidRPr="006D7509">
                        <w:rPr>
                          <w:sz w:val="14"/>
                          <w:szCs w:val="14"/>
                          <w:lang w:val="it-IT"/>
                        </w:rPr>
                        <w:t>1</w:t>
                      </w:r>
                      <w:r w:rsidRPr="006D7509">
                        <w:rPr>
                          <w:sz w:val="14"/>
                          <w:szCs w:val="14"/>
                          <w:vertAlign w:val="superscript"/>
                          <w:lang w:val="it-IT"/>
                        </w:rPr>
                        <w:t>st</w:t>
                      </w:r>
                      <w:r w:rsidRPr="006D7509">
                        <w:rPr>
                          <w:sz w:val="14"/>
                          <w:szCs w:val="14"/>
                          <w:lang w:val="it-IT"/>
                        </w:rPr>
                        <w:t xml:space="preserve"> story</w:t>
                      </w:r>
                    </w:p>
                  </w:txbxContent>
                </v:textbox>
              </v:shape>
            </w:pict>
          </mc:Fallback>
        </mc:AlternateContent>
      </w:r>
      <w:bookmarkEnd w:id="25"/>
      <w:r w:rsidRPr="004A68AC">
        <w:rPr>
          <w:noProof/>
          <w:szCs w:val="20"/>
          <w:lang w:val="en-US" w:eastAsia="en-GB"/>
        </w:rPr>
        <w:drawing>
          <wp:inline distT="0" distB="0" distL="0" distR="0" wp14:anchorId="085B9E02" wp14:editId="3DC96441">
            <wp:extent cx="5384800" cy="2514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800" cy="2514600"/>
                    </a:xfrm>
                    <a:prstGeom prst="rect">
                      <a:avLst/>
                    </a:prstGeom>
                    <a:noFill/>
                    <a:ln>
                      <a:noFill/>
                    </a:ln>
                  </pic:spPr>
                </pic:pic>
              </a:graphicData>
            </a:graphic>
          </wp:inline>
        </w:drawing>
      </w:r>
    </w:p>
    <w:p w14:paraId="1DB31CF0" w14:textId="77777777" w:rsidR="009A7EAA" w:rsidRPr="004A68AC" w:rsidRDefault="009A7EAA" w:rsidP="009A7EAA">
      <w:pPr>
        <w:pStyle w:val="Caption"/>
        <w:spacing w:after="0"/>
        <w:rPr>
          <w:lang w:val="en-US"/>
        </w:rPr>
      </w:pPr>
      <w:bookmarkStart w:id="26" w:name="_Ref33192949"/>
      <w:r w:rsidRPr="004A68AC">
        <w:rPr>
          <w:noProof/>
          <w:lang w:val="en-US"/>
        </w:rPr>
        <w:drawing>
          <wp:anchor distT="0" distB="0" distL="114300" distR="114300" simplePos="0" relativeHeight="251795456" behindDoc="0" locked="0" layoutInCell="1" allowOverlap="1" wp14:anchorId="7217EDEC" wp14:editId="1B0F6E8C">
            <wp:simplePos x="0" y="0"/>
            <wp:positionH relativeFrom="column">
              <wp:posOffset>1521460</wp:posOffset>
            </wp:positionH>
            <wp:positionV relativeFrom="paragraph">
              <wp:posOffset>995045</wp:posOffset>
            </wp:positionV>
            <wp:extent cx="116840" cy="1079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333"/>
                    <a:stretch/>
                  </pic:blipFill>
                  <pic:spPr bwMode="auto">
                    <a:xfrm>
                      <a:off x="0" y="0"/>
                      <a:ext cx="116840" cy="10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8AC">
        <w:rPr>
          <w:noProof/>
          <w:lang w:val="en-US" w:eastAsia="en-GB"/>
        </w:rPr>
        <mc:AlternateContent>
          <mc:Choice Requires="wps">
            <w:drawing>
              <wp:anchor distT="0" distB="0" distL="114300" distR="114300" simplePos="0" relativeHeight="251776000" behindDoc="0" locked="0" layoutInCell="1" allowOverlap="1" wp14:anchorId="3A10B56B" wp14:editId="2E0CAB6E">
                <wp:simplePos x="0" y="0"/>
                <wp:positionH relativeFrom="margin">
                  <wp:posOffset>1146175</wp:posOffset>
                </wp:positionH>
                <wp:positionV relativeFrom="paragraph">
                  <wp:posOffset>957580</wp:posOffset>
                </wp:positionV>
                <wp:extent cx="470535" cy="300355"/>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C825" w14:textId="77777777" w:rsidR="00F534F9" w:rsidRPr="006D02BE" w:rsidRDefault="00F534F9" w:rsidP="009A7EAA">
                            <w:pPr>
                              <w:jc w:val="center"/>
                              <w:rPr>
                                <w:rFonts w:cs="Lato"/>
                                <w:b/>
                                <w:lang w:val="it-IT"/>
                              </w:rPr>
                            </w:pPr>
                            <w:r w:rsidRPr="006D02BE">
                              <w:rPr>
                                <w:rFonts w:cs="Lato"/>
                                <w:b/>
                                <w:lang w:val="it-IT"/>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0B56B" id="Text Box 10" o:spid="_x0000_s1051" type="#_x0000_t202" style="position:absolute;left:0;text-align:left;margin-left:90.25pt;margin-top:75.4pt;width:37.05pt;height:23.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" filled="f" stroked="f">
                <v:textbox inset="5.85pt,.7pt,5.85pt,.7pt">
                  <w:txbxContent>
                    <w:p w14:paraId="0A01C825" w14:textId="77777777" w:rsidR="00F534F9" w:rsidRPr="006D02BE" w:rsidRDefault="00F534F9" w:rsidP="009A7EAA">
                      <w:pPr>
                        <w:jc w:val="center"/>
                        <w:rPr>
                          <w:rFonts w:cs="Lato"/>
                          <w:b/>
                          <w:lang w:val="it-IT"/>
                        </w:rPr>
                      </w:pPr>
                      <w:r w:rsidRPr="006D02BE">
                        <w:rPr>
                          <w:rFonts w:cs="Lato"/>
                          <w:b/>
                          <w:lang w:val="it-IT"/>
                        </w:rPr>
                        <w:t>(d)</w:t>
                      </w:r>
                    </w:p>
                  </w:txbxContent>
                </v:textbox>
                <w10:wrap anchorx="margin"/>
              </v:shape>
            </w:pict>
          </mc:Fallback>
        </mc:AlternateContent>
      </w:r>
      <w:r w:rsidRPr="004A68AC">
        <w:rPr>
          <w:noProof/>
          <w:lang w:val="en-US" w:eastAsia="en-GB"/>
        </w:rPr>
        <mc:AlternateContent>
          <mc:Choice Requires="wps">
            <w:drawing>
              <wp:anchor distT="0" distB="0" distL="114300" distR="114300" simplePos="0" relativeHeight="251777024" behindDoc="0" locked="0" layoutInCell="1" allowOverlap="1" wp14:anchorId="37196178" wp14:editId="63BD0F82">
                <wp:simplePos x="0" y="0"/>
                <wp:positionH relativeFrom="column">
                  <wp:posOffset>2102485</wp:posOffset>
                </wp:positionH>
                <wp:positionV relativeFrom="paragraph">
                  <wp:posOffset>956310</wp:posOffset>
                </wp:positionV>
                <wp:extent cx="470535" cy="300355"/>
                <wp:effectExtent l="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EF03" w14:textId="77777777" w:rsidR="00F534F9" w:rsidRPr="006D02BE" w:rsidRDefault="00F534F9" w:rsidP="009A7EAA">
                            <w:pPr>
                              <w:jc w:val="center"/>
                              <w:rPr>
                                <w:rFonts w:cs="Lato"/>
                                <w:b/>
                                <w:lang w:val="it-IT"/>
                              </w:rPr>
                            </w:pPr>
                            <w:r w:rsidRPr="006D02BE">
                              <w:rPr>
                                <w:rFonts w:cs="Lato"/>
                                <w:b/>
                                <w:lang w:val="it-IT"/>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6178" id="Text Box 11" o:spid="_x0000_s1052" type="#_x0000_t202" style="position:absolute;left:0;text-align:left;margin-left:165.55pt;margin-top:75.3pt;width:37.05pt;height:2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" filled="f" stroked="f">
                <v:textbox inset="5.85pt,.7pt,5.85pt,.7pt">
                  <w:txbxContent>
                    <w:p w14:paraId="0167EF03" w14:textId="77777777" w:rsidR="00F534F9" w:rsidRPr="006D02BE" w:rsidRDefault="00F534F9" w:rsidP="009A7EAA">
                      <w:pPr>
                        <w:jc w:val="center"/>
                        <w:rPr>
                          <w:rFonts w:cs="Lato"/>
                          <w:b/>
                          <w:lang w:val="it-IT"/>
                        </w:rPr>
                      </w:pPr>
                      <w:r w:rsidRPr="006D02BE">
                        <w:rPr>
                          <w:rFonts w:cs="Lato"/>
                          <w:b/>
                          <w:lang w:val="it-IT"/>
                        </w:rPr>
                        <w:t>(e)</w:t>
                      </w:r>
                    </w:p>
                  </w:txbxContent>
                </v:textbox>
              </v:shape>
            </w:pict>
          </mc:Fallback>
        </mc:AlternateContent>
      </w:r>
      <w:r w:rsidRPr="004A68AC">
        <w:rPr>
          <w:noProof/>
          <w:lang w:val="en-US" w:eastAsia="en-GB"/>
        </w:rPr>
        <mc:AlternateContent>
          <mc:Choice Requires="wps">
            <w:drawing>
              <wp:anchor distT="0" distB="0" distL="114300" distR="114300" simplePos="0" relativeHeight="251780096" behindDoc="0" locked="0" layoutInCell="1" allowOverlap="1" wp14:anchorId="6708E30A" wp14:editId="5AFAD74A">
                <wp:simplePos x="0" y="0"/>
                <wp:positionH relativeFrom="margin">
                  <wp:posOffset>5295900</wp:posOffset>
                </wp:positionH>
                <wp:positionV relativeFrom="paragraph">
                  <wp:posOffset>954405</wp:posOffset>
                </wp:positionV>
                <wp:extent cx="470535" cy="3003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0914" w14:textId="77777777" w:rsidR="00F534F9" w:rsidRPr="006D02BE" w:rsidRDefault="00F534F9" w:rsidP="009A7EAA">
                            <w:pPr>
                              <w:jc w:val="center"/>
                              <w:rPr>
                                <w:rFonts w:cs="Lato"/>
                                <w:b/>
                                <w:lang w:val="it-IT"/>
                              </w:rPr>
                            </w:pPr>
                            <w:r w:rsidRPr="006D02BE">
                              <w:rPr>
                                <w:rFonts w:cs="Lato"/>
                                <w:b/>
                                <w:lang w:val="it-IT"/>
                              </w:rPr>
                              <w: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E30A" id="Text Box 3" o:spid="_x0000_s1053" type="#_x0000_t202" style="position:absolute;left:0;text-align:left;margin-left:417pt;margin-top:75.15pt;width:37.05pt;height:23.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" filled="f" stroked="f">
                <v:textbox inset="5.85pt,.7pt,5.85pt,.7pt">
                  <w:txbxContent>
                    <w:p w14:paraId="0B490914" w14:textId="77777777" w:rsidR="00F534F9" w:rsidRPr="006D02BE" w:rsidRDefault="00F534F9" w:rsidP="009A7EAA">
                      <w:pPr>
                        <w:jc w:val="center"/>
                        <w:rPr>
                          <w:rFonts w:cs="Lato"/>
                          <w:b/>
                          <w:lang w:val="it-IT"/>
                        </w:rPr>
                      </w:pPr>
                      <w:r w:rsidRPr="006D02BE">
                        <w:rPr>
                          <w:rFonts w:cs="Lato"/>
                          <w:b/>
                          <w:lang w:val="it-IT"/>
                        </w:rPr>
                        <w:t>(h)</w:t>
                      </w:r>
                    </w:p>
                  </w:txbxContent>
                </v:textbox>
                <w10:wrap anchorx="margin"/>
              </v:shape>
            </w:pict>
          </mc:Fallback>
        </mc:AlternateContent>
      </w:r>
      <w:r w:rsidRPr="004A68AC">
        <w:rPr>
          <w:noProof/>
          <w:lang w:val="en-US" w:eastAsia="en-GB"/>
        </w:rPr>
        <mc:AlternateContent>
          <mc:Choice Requires="wps">
            <w:drawing>
              <wp:anchor distT="0" distB="0" distL="114300" distR="114300" simplePos="0" relativeHeight="251779072" behindDoc="0" locked="0" layoutInCell="1" allowOverlap="1" wp14:anchorId="642217DC" wp14:editId="0AFA34EF">
                <wp:simplePos x="0" y="0"/>
                <wp:positionH relativeFrom="margin">
                  <wp:posOffset>4312285</wp:posOffset>
                </wp:positionH>
                <wp:positionV relativeFrom="paragraph">
                  <wp:posOffset>956310</wp:posOffset>
                </wp:positionV>
                <wp:extent cx="470535" cy="300355"/>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0695" w14:textId="77777777" w:rsidR="00F534F9" w:rsidRPr="006D02BE" w:rsidRDefault="00F534F9" w:rsidP="009A7EAA">
                            <w:pPr>
                              <w:jc w:val="center"/>
                              <w:rPr>
                                <w:rFonts w:cs="Lato"/>
                                <w:b/>
                                <w:lang w:val="it-IT"/>
                              </w:rPr>
                            </w:pPr>
                            <w:r w:rsidRPr="006D02BE">
                              <w:rPr>
                                <w:rFonts w:cs="Lato"/>
                                <w:b/>
                                <w:lang w:val="it-IT"/>
                              </w:rPr>
                              <w:t>(g)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17DC" id="Text Box 16" o:spid="_x0000_s1054" type="#_x0000_t202" style="position:absolute;left:0;text-align:left;margin-left:339.55pt;margin-top:75.3pt;width:37.05pt;height:23.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" filled="f" stroked="f">
                <v:textbox inset="5.85pt,.7pt,5.85pt,.7pt">
                  <w:txbxContent>
                    <w:p w14:paraId="0BEE0695" w14:textId="77777777" w:rsidR="00F534F9" w:rsidRPr="006D02BE" w:rsidRDefault="00F534F9" w:rsidP="009A7EAA">
                      <w:pPr>
                        <w:jc w:val="center"/>
                        <w:rPr>
                          <w:rFonts w:cs="Lato"/>
                          <w:b/>
                          <w:lang w:val="it-IT"/>
                        </w:rPr>
                      </w:pPr>
                      <w:r w:rsidRPr="006D02BE">
                        <w:rPr>
                          <w:rFonts w:cs="Lato"/>
                          <w:b/>
                          <w:lang w:val="it-IT"/>
                        </w:rPr>
                        <w:t>(g)</w:t>
                      </w:r>
                    </w:p>
                  </w:txbxContent>
                </v:textbox>
                <w10:wrap anchorx="margin"/>
              </v:shape>
            </w:pict>
          </mc:Fallback>
        </mc:AlternateContent>
      </w:r>
      <w:r w:rsidRPr="004A68AC">
        <w:rPr>
          <w:noProof/>
          <w:lang w:val="en-US" w:eastAsia="en-GB"/>
        </w:rPr>
        <mc:AlternateContent>
          <mc:Choice Requires="wps">
            <w:drawing>
              <wp:anchor distT="0" distB="0" distL="114300" distR="114300" simplePos="0" relativeHeight="251778048" behindDoc="0" locked="0" layoutInCell="1" allowOverlap="1" wp14:anchorId="3BCD586A" wp14:editId="4FC5BF10">
                <wp:simplePos x="0" y="0"/>
                <wp:positionH relativeFrom="column">
                  <wp:posOffset>3325495</wp:posOffset>
                </wp:positionH>
                <wp:positionV relativeFrom="paragraph">
                  <wp:posOffset>952500</wp:posOffset>
                </wp:positionV>
                <wp:extent cx="470535" cy="30035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3797" w14:textId="77777777" w:rsidR="00F534F9" w:rsidRPr="006D02BE" w:rsidRDefault="00F534F9" w:rsidP="009A7EAA">
                            <w:pPr>
                              <w:jc w:val="center"/>
                              <w:rPr>
                                <w:rFonts w:cs="Lato"/>
                                <w:b/>
                                <w:lang w:val="it-IT"/>
                              </w:rPr>
                            </w:pPr>
                            <w:r w:rsidRPr="006D02BE">
                              <w:rPr>
                                <w:rFonts w:cs="Lato"/>
                                <w:b/>
                                <w:lang w:val="it-IT"/>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D586A" id="Text Box 12" o:spid="_x0000_s1055" type="#_x0000_t202" style="position:absolute;left:0;text-align:left;margin-left:261.85pt;margin-top:75pt;width:37.05pt;height:23.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" filled="f" stroked="f">
                <v:textbox inset="5.85pt,.7pt,5.85pt,.7pt">
                  <w:txbxContent>
                    <w:p w14:paraId="457F3797" w14:textId="77777777" w:rsidR="00F534F9" w:rsidRPr="006D02BE" w:rsidRDefault="00F534F9" w:rsidP="009A7EAA">
                      <w:pPr>
                        <w:jc w:val="center"/>
                        <w:rPr>
                          <w:rFonts w:cs="Lato"/>
                          <w:b/>
                          <w:lang w:val="it-IT"/>
                        </w:rPr>
                      </w:pPr>
                      <w:r w:rsidRPr="006D02BE">
                        <w:rPr>
                          <w:rFonts w:cs="Lato"/>
                          <w:b/>
                          <w:lang w:val="it-IT"/>
                        </w:rPr>
                        <w:t>(f)</w:t>
                      </w:r>
                    </w:p>
                  </w:txbxContent>
                </v:textbox>
              </v:shape>
            </w:pict>
          </mc:Fallback>
        </mc:AlternateContent>
      </w:r>
      <w:r w:rsidRPr="004A68AC">
        <w:rPr>
          <w:noProof/>
          <w:lang w:val="en-US"/>
        </w:rPr>
        <w:drawing>
          <wp:anchor distT="0" distB="0" distL="114300" distR="114300" simplePos="0" relativeHeight="251794432" behindDoc="0" locked="0" layoutInCell="1" allowOverlap="1" wp14:anchorId="703F9982" wp14:editId="52F1021E">
            <wp:simplePos x="0" y="0"/>
            <wp:positionH relativeFrom="column">
              <wp:posOffset>3723640</wp:posOffset>
            </wp:positionH>
            <wp:positionV relativeFrom="paragraph">
              <wp:posOffset>987425</wp:posOffset>
            </wp:positionV>
            <wp:extent cx="120015" cy="11049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 cy="110490"/>
                    </a:xfrm>
                    <a:prstGeom prst="rect">
                      <a:avLst/>
                    </a:prstGeom>
                  </pic:spPr>
                </pic:pic>
              </a:graphicData>
            </a:graphic>
            <wp14:sizeRelH relativeFrom="page">
              <wp14:pctWidth>0</wp14:pctWidth>
            </wp14:sizeRelH>
            <wp14:sizeRelV relativeFrom="page">
              <wp14:pctHeight>0</wp14:pctHeight>
            </wp14:sizeRelV>
          </wp:anchor>
        </w:drawing>
      </w:r>
      <w:r w:rsidRPr="004A68AC">
        <w:rPr>
          <w:noProof/>
          <w:lang w:val="en-US"/>
        </w:rPr>
        <w:drawing>
          <wp:anchor distT="0" distB="0" distL="114300" distR="114300" simplePos="0" relativeHeight="251796480" behindDoc="0" locked="0" layoutInCell="1" allowOverlap="1" wp14:anchorId="02EB1657" wp14:editId="0FC4A821">
            <wp:simplePos x="0" y="0"/>
            <wp:positionH relativeFrom="column">
              <wp:posOffset>4702175</wp:posOffset>
            </wp:positionH>
            <wp:positionV relativeFrom="paragraph">
              <wp:posOffset>995680</wp:posOffset>
            </wp:positionV>
            <wp:extent cx="116840" cy="10795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333"/>
                    <a:stretch/>
                  </pic:blipFill>
                  <pic:spPr bwMode="auto">
                    <a:xfrm>
                      <a:off x="0" y="0"/>
                      <a:ext cx="116840" cy="10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8AC">
        <w:rPr>
          <w:noProof/>
          <w:lang w:val="en-US"/>
        </w:rPr>
        <w:drawing>
          <wp:anchor distT="0" distB="0" distL="114300" distR="114300" simplePos="0" relativeHeight="251798528" behindDoc="0" locked="0" layoutInCell="1" allowOverlap="1" wp14:anchorId="0672A707" wp14:editId="777E6206">
            <wp:simplePos x="0" y="0"/>
            <wp:positionH relativeFrom="column">
              <wp:posOffset>5683250</wp:posOffset>
            </wp:positionH>
            <wp:positionV relativeFrom="paragraph">
              <wp:posOffset>989330</wp:posOffset>
            </wp:positionV>
            <wp:extent cx="120015" cy="10668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015" cy="106680"/>
                    </a:xfrm>
                    <a:prstGeom prst="rect">
                      <a:avLst/>
                    </a:prstGeom>
                  </pic:spPr>
                </pic:pic>
              </a:graphicData>
            </a:graphic>
            <wp14:sizeRelH relativeFrom="page">
              <wp14:pctWidth>0</wp14:pctWidth>
            </wp14:sizeRelH>
            <wp14:sizeRelV relativeFrom="page">
              <wp14:pctHeight>0</wp14:pctHeight>
            </wp14:sizeRelV>
          </wp:anchor>
        </w:drawing>
      </w:r>
      <w:r w:rsidRPr="004A68AC">
        <w:rPr>
          <w:noProof/>
          <w:lang w:val="en-US"/>
        </w:rPr>
        <w:drawing>
          <wp:anchor distT="0" distB="0" distL="114300" distR="114300" simplePos="0" relativeHeight="251793408" behindDoc="0" locked="0" layoutInCell="1" allowOverlap="1" wp14:anchorId="46838002" wp14:editId="3DD2A212">
            <wp:simplePos x="0" y="0"/>
            <wp:positionH relativeFrom="column">
              <wp:posOffset>513080</wp:posOffset>
            </wp:positionH>
            <wp:positionV relativeFrom="paragraph">
              <wp:posOffset>987425</wp:posOffset>
            </wp:positionV>
            <wp:extent cx="120015" cy="11049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 cy="110490"/>
                    </a:xfrm>
                    <a:prstGeom prst="rect">
                      <a:avLst/>
                    </a:prstGeom>
                  </pic:spPr>
                </pic:pic>
              </a:graphicData>
            </a:graphic>
            <wp14:sizeRelH relativeFrom="page">
              <wp14:pctWidth>0</wp14:pctWidth>
            </wp14:sizeRelH>
            <wp14:sizeRelV relativeFrom="page">
              <wp14:pctHeight>0</wp14:pctHeight>
            </wp14:sizeRelV>
          </wp:anchor>
        </w:drawing>
      </w:r>
      <w:r w:rsidRPr="004A68AC">
        <w:rPr>
          <w:noProof/>
          <w:lang w:val="en-US" w:eastAsia="en-GB"/>
        </w:rPr>
        <mc:AlternateContent>
          <mc:Choice Requires="wps">
            <w:drawing>
              <wp:anchor distT="0" distB="0" distL="114300" distR="114300" simplePos="0" relativeHeight="251774976" behindDoc="0" locked="0" layoutInCell="1" allowOverlap="1" wp14:anchorId="54A0621B" wp14:editId="27E09049">
                <wp:simplePos x="0" y="0"/>
                <wp:positionH relativeFrom="column">
                  <wp:posOffset>134620</wp:posOffset>
                </wp:positionH>
                <wp:positionV relativeFrom="paragraph">
                  <wp:posOffset>947420</wp:posOffset>
                </wp:positionV>
                <wp:extent cx="470535" cy="3003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798E" w14:textId="77777777" w:rsidR="00F534F9" w:rsidRPr="006D02BE" w:rsidRDefault="00F534F9" w:rsidP="009A7EAA">
                            <w:pPr>
                              <w:jc w:val="center"/>
                              <w:rPr>
                                <w:rFonts w:cs="Lato"/>
                                <w:b/>
                                <w:lang w:val="it-IT"/>
                              </w:rPr>
                            </w:pPr>
                            <w:r w:rsidRPr="006D02BE">
                              <w:rPr>
                                <w:rFonts w:cs="Lato"/>
                                <w:b/>
                                <w:lang w:val="it-IT"/>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621B" id="Text Box 5" o:spid="_x0000_s1056" type="#_x0000_t202" style="position:absolute;left:0;text-align:left;margin-left:10.6pt;margin-top:74.6pt;width:37.05pt;height:2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" filled="f" stroked="f">
                <v:textbox inset="5.85pt,.7pt,5.85pt,.7pt">
                  <w:txbxContent>
                    <w:p w14:paraId="3C84798E" w14:textId="77777777" w:rsidR="00F534F9" w:rsidRPr="006D02BE" w:rsidRDefault="00F534F9" w:rsidP="009A7EAA">
                      <w:pPr>
                        <w:jc w:val="center"/>
                        <w:rPr>
                          <w:rFonts w:cs="Lato"/>
                          <w:b/>
                          <w:lang w:val="it-IT"/>
                        </w:rPr>
                      </w:pPr>
                      <w:r w:rsidRPr="006D02BE">
                        <w:rPr>
                          <w:rFonts w:cs="Lato"/>
                          <w:b/>
                          <w:lang w:val="it-IT"/>
                        </w:rPr>
                        <w:t>(c)</w:t>
                      </w:r>
                    </w:p>
                  </w:txbxContent>
                </v:textbox>
              </v:shape>
            </w:pict>
          </mc:Fallback>
        </mc:AlternateContent>
      </w:r>
      <w:r w:rsidRPr="004A68AC">
        <w:rPr>
          <w:noProof/>
          <w:lang w:val="en-US"/>
        </w:rPr>
        <w:drawing>
          <wp:anchor distT="0" distB="0" distL="114300" distR="114300" simplePos="0" relativeHeight="251797504" behindDoc="0" locked="0" layoutInCell="1" allowOverlap="1" wp14:anchorId="6D0BF844" wp14:editId="7F4027EF">
            <wp:simplePos x="0" y="0"/>
            <wp:positionH relativeFrom="column">
              <wp:posOffset>2498090</wp:posOffset>
            </wp:positionH>
            <wp:positionV relativeFrom="paragraph">
              <wp:posOffset>991074</wp:posOffset>
            </wp:positionV>
            <wp:extent cx="120015" cy="1066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015" cy="106680"/>
                    </a:xfrm>
                    <a:prstGeom prst="rect">
                      <a:avLst/>
                    </a:prstGeom>
                  </pic:spPr>
                </pic:pic>
              </a:graphicData>
            </a:graphic>
            <wp14:sizeRelH relativeFrom="page">
              <wp14:pctWidth>0</wp14:pctWidth>
            </wp14:sizeRelH>
            <wp14:sizeRelV relativeFrom="page">
              <wp14:pctHeight>0</wp14:pctHeight>
            </wp14:sizeRelV>
          </wp:anchor>
        </w:drawing>
      </w:r>
      <w:bookmarkEnd w:id="26"/>
      <w:r w:rsidRPr="004A68AC">
        <w:rPr>
          <w:noProof/>
          <w:lang w:val="en-US"/>
        </w:rPr>
        <w:drawing>
          <wp:inline distT="0" distB="0" distL="0" distR="0" wp14:anchorId="5B48F6EE" wp14:editId="1935F316">
            <wp:extent cx="6120130" cy="10167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239" b="5453"/>
                    <a:stretch/>
                  </pic:blipFill>
                  <pic:spPr bwMode="auto">
                    <a:xfrm>
                      <a:off x="0" y="0"/>
                      <a:ext cx="6120130" cy="1016759"/>
                    </a:xfrm>
                    <a:prstGeom prst="rect">
                      <a:avLst/>
                    </a:prstGeom>
                    <a:ln>
                      <a:noFill/>
                    </a:ln>
                    <a:extLst>
                      <a:ext uri="{53640926-AAD7-44D8-BBD7-CCE9431645EC}">
                        <a14:shadowObscured xmlns:a14="http://schemas.microsoft.com/office/drawing/2010/main"/>
                      </a:ext>
                    </a:extLst>
                  </pic:spPr>
                </pic:pic>
              </a:graphicData>
            </a:graphic>
          </wp:inline>
        </w:drawing>
      </w:r>
    </w:p>
    <w:p w14:paraId="7B69EF76" w14:textId="77777777" w:rsidR="009A7EAA" w:rsidRPr="004A68AC" w:rsidRDefault="009A7EAA" w:rsidP="009A7EAA">
      <w:pPr>
        <w:rPr>
          <w:lang w:val="en-US" w:eastAsia="it-IT"/>
        </w:rPr>
      </w:pPr>
    </w:p>
    <w:p w14:paraId="2A147EA0" w14:textId="3D33651B" w:rsidR="009A7EAA" w:rsidRPr="004A68AC" w:rsidRDefault="009A7EAA" w:rsidP="001927E1">
      <w:pPr>
        <w:pStyle w:val="Caption"/>
        <w:rPr>
          <w:lang w:val="en-GB"/>
        </w:rPr>
      </w:pPr>
      <w:bookmarkStart w:id="27" w:name="_Ref36507042"/>
      <w:r w:rsidRPr="004A68AC">
        <w:rPr>
          <w:lang w:val="en-GB"/>
        </w:rPr>
        <w:t xml:space="preserve">Figure </w:t>
      </w:r>
      <w:r w:rsidRPr="004A68AC">
        <w:fldChar w:fldCharType="begin" w:fldLock="1"/>
      </w:r>
      <w:r w:rsidRPr="004A68AC">
        <w:rPr>
          <w:lang w:val="en-GB"/>
        </w:rPr>
        <w:instrText xml:space="preserve"> SEQ Figure \* ARABIC </w:instrText>
      </w:r>
      <w:r w:rsidRPr="004A68AC">
        <w:fldChar w:fldCharType="separate"/>
      </w:r>
      <w:r w:rsidRPr="004A68AC">
        <w:rPr>
          <w:lang w:val="en-GB"/>
        </w:rPr>
        <w:t>8</w:t>
      </w:r>
      <w:r w:rsidRPr="004A68AC">
        <w:fldChar w:fldCharType="end"/>
      </w:r>
      <w:bookmarkEnd w:id="27"/>
      <w:r w:rsidRPr="004A68AC">
        <w:rPr>
          <w:lang w:val="en-GB"/>
        </w:rPr>
        <w:t>. Pushover curves for: (a) building 3B; and (b) building 9B. (c), (d) and (e) show the progressive yielding of the structural elements for the building 3B, at the instants indicated in (a). (f), (g) and (h) show the progressive yielding of the structural elements for the building 9B, at the instants indicated in (b). Magenta circles represent yielding in columns; purple circles represent yielding in beams; cyan circles represent yielding in panel zones.</w:t>
      </w:r>
    </w:p>
    <w:p w14:paraId="524FEE2E" w14:textId="77777777" w:rsidR="00925CB2" w:rsidRPr="004A68AC" w:rsidRDefault="00925CB2" w:rsidP="00925CB2">
      <w:pPr>
        <w:rPr>
          <w:lang w:val="en-US"/>
        </w:rPr>
      </w:pPr>
    </w:p>
    <w:p w14:paraId="5F713872" w14:textId="369CDAC2" w:rsidR="00925CB2" w:rsidRPr="004A68AC" w:rsidRDefault="00925CB2" w:rsidP="00925CB2">
      <w:pPr>
        <w:rPr>
          <w:lang w:val="en-US"/>
        </w:rPr>
      </w:pPr>
      <w:r w:rsidRPr="004A68AC">
        <w:rPr>
          <w:lang w:val="en-US"/>
        </w:rPr>
        <w:lastRenderedPageBreak/>
        <w:t xml:space="preserve">     Although these curves are not intended to predict partial or total collapse of the structure, they provide a better understanding of the deformation mechanisms that these structures will likely follow. For 3B, the IDR is similar along the stories through the pushover analysis. However, for 9B, the IDR reflects only a partial picture of the overall deformation state in the structure. As it can be observed, middle stories (4</w:t>
      </w:r>
      <w:r w:rsidRPr="004A68AC">
        <w:rPr>
          <w:vertAlign w:val="superscript"/>
          <w:lang w:val="en-US"/>
        </w:rPr>
        <w:t>th</w:t>
      </w:r>
      <w:r w:rsidRPr="004A68AC">
        <w:rPr>
          <w:lang w:val="en-US"/>
        </w:rPr>
        <w:t>, 5</w:t>
      </w:r>
      <w:r w:rsidRPr="004A68AC">
        <w:rPr>
          <w:vertAlign w:val="superscript"/>
          <w:lang w:val="en-US"/>
        </w:rPr>
        <w:t>th</w:t>
      </w:r>
      <w:r w:rsidRPr="004A68AC">
        <w:rPr>
          <w:lang w:val="en-US"/>
        </w:rPr>
        <w:t xml:space="preserve"> and 6</w:t>
      </w:r>
      <w:r w:rsidRPr="004A68AC">
        <w:rPr>
          <w:vertAlign w:val="superscript"/>
          <w:lang w:val="en-US"/>
        </w:rPr>
        <w:t>th</w:t>
      </w:r>
      <w:r w:rsidRPr="004A68AC">
        <w:rPr>
          <w:lang w:val="en-US"/>
        </w:rPr>
        <w:t>) show the highest IDR during the analysis due to the low capacity of the beam-to-column joints, which reduce the framing capacity of these levels. However, column yielding in 9B is concentrated in lower levels, which enables the middle levels to have higher IDR without being reflected in the chord rotation of the columns at this height, as the inclination angle is dragged from the bottom stories. Although the bottom columns (</w:t>
      </w:r>
      <w:r w:rsidRPr="004A68AC">
        <w:rPr>
          <w:i/>
          <w:iCs/>
          <w:lang w:val="en-US"/>
        </w:rPr>
        <w:t>i.e.</w:t>
      </w:r>
      <w:r w:rsidRPr="004A68AC">
        <w:rPr>
          <w:lang w:val="en-US"/>
        </w:rPr>
        <w:t xml:space="preserve">, between stories 0 and 1 in </w:t>
      </w:r>
      <w:r w:rsidRPr="004A68AC">
        <w:rPr>
          <w:lang w:val="en-US"/>
        </w:rPr>
        <w:fldChar w:fldCharType="begin"/>
      </w:r>
      <w:r w:rsidRPr="004A68AC">
        <w:rPr>
          <w:lang w:val="en-US"/>
        </w:rPr>
        <w:instrText xml:space="preserve"> REF _Ref33187702 \h  \* MERGEFORMAT </w:instrText>
      </w:r>
      <w:r w:rsidRPr="004A68AC">
        <w:rPr>
          <w:lang w:val="en-US"/>
        </w:rPr>
      </w:r>
      <w:r w:rsidRPr="004A68AC">
        <w:rPr>
          <w:lang w:val="en-US"/>
        </w:rPr>
        <w:fldChar w:fldCharType="separate"/>
      </w:r>
      <w:r w:rsidR="009E3681" w:rsidRPr="004A68AC">
        <w:rPr>
          <w:lang w:val="en-US"/>
        </w:rPr>
        <w:t xml:space="preserve">Figure </w:t>
      </w:r>
      <w:r w:rsidR="009E3681" w:rsidRPr="004A68AC">
        <w:rPr>
          <w:noProof/>
          <w:lang w:val="en-US"/>
        </w:rPr>
        <w:t>7</w:t>
      </w:r>
      <w:r w:rsidRPr="004A68AC">
        <w:rPr>
          <w:lang w:val="en-US"/>
        </w:rPr>
        <w:fldChar w:fldCharType="end"/>
      </w:r>
      <w:r w:rsidRPr="004A68AC">
        <w:rPr>
          <w:lang w:val="en-US"/>
        </w:rPr>
        <w:t xml:space="preserve">) allow significant rotations, they do not necessarily develop large plastic deformation, since they are connected to relatively flexible panel zone springs at story 0, which provide a pinned-like support, as observed in </w:t>
      </w:r>
      <w:r w:rsidRPr="004A68AC">
        <w:rPr>
          <w:lang w:val="en-US"/>
        </w:rPr>
        <w:fldChar w:fldCharType="begin" w:fldLock="1"/>
      </w:r>
      <w:r w:rsidRPr="004A68AC">
        <w:rPr>
          <w:lang w:val="en-US"/>
        </w:rPr>
        <w:instrText xml:space="preserve"> REF _Ref36507042 \h  \* MERGEFORMAT </w:instrText>
      </w:r>
      <w:r w:rsidRPr="004A68AC">
        <w:rPr>
          <w:lang w:val="en-US"/>
        </w:rPr>
      </w:r>
      <w:r w:rsidRPr="004A68AC">
        <w:rPr>
          <w:lang w:val="en-US"/>
        </w:rPr>
        <w:fldChar w:fldCharType="separate"/>
      </w:r>
      <w:r w:rsidRPr="004A68AC">
        <w:rPr>
          <w:bCs/>
          <w:lang w:val="en-US"/>
        </w:rPr>
        <w:t xml:space="preserve">Figure </w:t>
      </w:r>
      <w:r w:rsidRPr="004A68AC">
        <w:rPr>
          <w:bCs/>
          <w:noProof/>
          <w:lang w:val="en-US"/>
        </w:rPr>
        <w:t>8</w:t>
      </w:r>
      <w:r w:rsidRPr="004A68AC">
        <w:rPr>
          <w:lang w:val="en-US"/>
        </w:rPr>
        <w:fldChar w:fldCharType="end"/>
      </w:r>
      <w:r w:rsidRPr="004A68AC">
        <w:rPr>
          <w:lang w:val="en-US"/>
        </w:rPr>
        <w:t>(h).</w:t>
      </w:r>
    </w:p>
    <w:p w14:paraId="77BA8BA1" w14:textId="77777777" w:rsidR="00F11EC1" w:rsidRPr="004A68AC" w:rsidRDefault="00F11EC1" w:rsidP="00AE4BE2">
      <w:pPr>
        <w:rPr>
          <w:lang w:val="en-US"/>
        </w:rPr>
      </w:pPr>
    </w:p>
    <w:p w14:paraId="76788A2F" w14:textId="0DA61481" w:rsidR="00CF28BA" w:rsidRPr="004A68AC" w:rsidRDefault="00CF28BA" w:rsidP="006567A0">
      <w:pPr>
        <w:pStyle w:val="Heading3"/>
        <w:spacing w:before="0" w:after="0"/>
        <w:rPr>
          <w:b w:val="0"/>
          <w:i/>
          <w:szCs w:val="20"/>
          <w:lang w:val="en-US"/>
        </w:rPr>
      </w:pPr>
      <w:r w:rsidRPr="004A68AC">
        <w:rPr>
          <w:rFonts w:ascii="Times New Roman" w:hAnsi="Times New Roman"/>
          <w:bCs w:val="0"/>
          <w:i/>
          <w:sz w:val="20"/>
          <w:szCs w:val="20"/>
          <w:lang w:val="en-US"/>
        </w:rPr>
        <w:t>4.4 Ground motion input</w:t>
      </w:r>
      <w:r w:rsidR="00D2777A" w:rsidRPr="004A68AC">
        <w:rPr>
          <w:rFonts w:ascii="Times New Roman" w:hAnsi="Times New Roman"/>
          <w:bCs w:val="0"/>
          <w:i/>
          <w:sz w:val="20"/>
          <w:szCs w:val="20"/>
          <w:lang w:val="en-US"/>
        </w:rPr>
        <w:t xml:space="preserve"> for the IDA</w:t>
      </w:r>
    </w:p>
    <w:p w14:paraId="14DB0D81" w14:textId="3100BC17" w:rsidR="0067756E" w:rsidRPr="004A68AC" w:rsidRDefault="00CF28BA" w:rsidP="0067756E">
      <w:pPr>
        <w:rPr>
          <w:lang w:val="en-US"/>
        </w:rPr>
      </w:pPr>
      <w:r w:rsidRPr="004A68AC">
        <w:rPr>
          <w:lang w:val="en-US"/>
        </w:rPr>
        <w:t xml:space="preserve">A set of 22 recorded far-field ground motions (GMs) developed in the ATC-63 project </w:t>
      </w:r>
      <w:r w:rsidRPr="004A68AC">
        <w:rPr>
          <w:lang w:val="en-US"/>
        </w:rPr>
        <w:fldChar w:fldCharType="begin" w:fldLock="1"/>
      </w:r>
      <w:r w:rsidR="00F534F9" w:rsidRPr="004A68AC">
        <w:rPr>
          <w:lang w:val="en-US"/>
        </w:rPr>
        <w:instrText>ADDIN CSL_CITATION {"citationItems":[{"id":"ITEM-1","itemData":{"ISBN":"FEMA P-695","abstract":"This report describes a recommended methodology for reliably quantifying building system performance and response parameters for use in seismic design. The recommended methodology (referred to herein as the Methodology) provides a rational basis for establishing global seismic performance factors (SPFs), including the response modification coefficient (R factor), the system overstrength factor (W0), and deflection amplification factor (Cd), of new seismic-force-resisting systems proposed for inclusion in model building codes.","author":[{"dropping-particle":"","family":"Federal Emergency Management Agency","given":"","non-dropping-particle":"","parse-names":false,"suffix":""}],"container-title":"FEMA P-695 ATC-63 Project","id":"ITEM-1","issue":"June","issued":{"date-parts":[["2009"]]},"page":"421","publisher-place":"California","title":"Quantification of building seismic performance factors","type":"article"},"uris":["http://www.mendeley.com/documents/?uuid=41a13d96-5b2a-4689-a605-91da98b556f9"]}],"mendeley":{"formattedCitation":"[59]","plainTextFormattedCitation":"[59]","previouslyFormattedCitation":"[59]"},"properties":{"noteIndex":0},"schema":"https://github.com/citation-style-language/schema/raw/master/csl-citation.json"}</w:instrText>
      </w:r>
      <w:r w:rsidRPr="004A68AC">
        <w:rPr>
          <w:lang w:val="en-US"/>
        </w:rPr>
        <w:fldChar w:fldCharType="separate"/>
      </w:r>
      <w:r w:rsidR="00B653D2" w:rsidRPr="004A68AC">
        <w:rPr>
          <w:noProof/>
          <w:lang w:val="en-US"/>
        </w:rPr>
        <w:t>[59]</w:t>
      </w:r>
      <w:r w:rsidRPr="004A68AC">
        <w:rPr>
          <w:lang w:val="en-US"/>
        </w:rPr>
        <w:fldChar w:fldCharType="end"/>
      </w:r>
      <w:r w:rsidRPr="004A68AC">
        <w:rPr>
          <w:lang w:val="en-US"/>
        </w:rPr>
        <w:t xml:space="preserve"> is used for the non-linear time history analyses and to perform IDAs </w:t>
      </w:r>
      <w:r w:rsidRPr="004A68AC">
        <w:rPr>
          <w:lang w:val="en-US"/>
        </w:rPr>
        <w:fldChar w:fldCharType="begin" w:fldLock="1"/>
      </w:r>
      <w:r w:rsidR="00F534F9" w:rsidRPr="004A68AC">
        <w:rPr>
          <w:lang w:val="en-US"/>
        </w:rPr>
        <w:instrText>ADDIN CSL_CITATION {"citationItems":[{"id":"ITEM-1","itemData":{"ISBN":"FEMA P-695","abstract":"This report describes a recommended methodology for reliably quantifying building system performance and response parameters for use in seismic design. The recommended methodology (referred to herein as the Methodology) provides a rational basis for establishing global seismic performance factors (SPFs), including the response modification coefficient (R factor), the system overstrength factor (W0), and deflection amplification factor (Cd), of new seismic-force-resisting systems proposed for inclusion in model building codes.","author":[{"dropping-particle":"","family":"Federal Emergency Management Agency","given":"","non-dropping-particle":"","parse-names":false,"suffix":""}],"container-title":"FEMA P-695 ATC-63 Project","id":"ITEM-1","issue":"June","issued":{"date-parts":[["2009"]]},"page":"421","publisher-place":"California","title":"Quantification of building seismic performance factors","type":"article"},"uris":["http://www.mendeley.com/documents/?uuid=41a13d96-5b2a-4689-a605-91da98b556f9"]}],"mendeley":{"formattedCitation":"[59]","plainTextFormattedCitation":"[59]","previouslyFormattedCitation":"[59]"},"properties":{"noteIndex":0},"schema":"https://github.com/citation-style-language/schema/raw/master/csl-citation.json"}</w:instrText>
      </w:r>
      <w:r w:rsidRPr="004A68AC">
        <w:rPr>
          <w:lang w:val="en-US"/>
        </w:rPr>
        <w:fldChar w:fldCharType="separate"/>
      </w:r>
      <w:r w:rsidR="00B653D2" w:rsidRPr="004A68AC">
        <w:rPr>
          <w:noProof/>
          <w:lang w:val="en-US"/>
        </w:rPr>
        <w:t>[59]</w:t>
      </w:r>
      <w:r w:rsidRPr="004A68AC">
        <w:rPr>
          <w:lang w:val="en-US"/>
        </w:rPr>
        <w:fldChar w:fldCharType="end"/>
      </w:r>
      <w:r w:rsidRPr="004A68AC">
        <w:rPr>
          <w:lang w:val="en-US"/>
        </w:rPr>
        <w:t>. The GMs were recorded on stiff soil and do not exhibit pulse-type characteristics (</w:t>
      </w:r>
      <w:r w:rsidRPr="004A68AC">
        <w:rPr>
          <w:i/>
          <w:lang w:val="en-US"/>
        </w:rPr>
        <w:t>i.e.</w:t>
      </w:r>
      <w:r w:rsidRPr="004A68AC">
        <w:rPr>
          <w:lang w:val="en-US"/>
        </w:rPr>
        <w:t>, source-to-site distance higher than 10 km).</w:t>
      </w:r>
      <w:r w:rsidR="000464B8" w:rsidRPr="004A68AC">
        <w:rPr>
          <w:lang w:val="en-US"/>
        </w:rPr>
        <w:t xml:space="preserve"> This non-site-specific set of ground motions </w:t>
      </w:r>
      <w:r w:rsidR="00DF3BB3" w:rsidRPr="004A68AC">
        <w:rPr>
          <w:lang w:val="en-US"/>
        </w:rPr>
        <w:t xml:space="preserve">is selected in order to </w:t>
      </w:r>
      <w:r w:rsidR="000464B8" w:rsidRPr="004A68AC">
        <w:rPr>
          <w:lang w:val="en-US"/>
        </w:rPr>
        <w:t>provide a test</w:t>
      </w:r>
      <w:r w:rsidR="00DF3BB3" w:rsidRPr="004A68AC">
        <w:rPr>
          <w:lang w:val="en-US"/>
        </w:rPr>
        <w:t>-</w:t>
      </w:r>
      <w:r w:rsidR="000464B8" w:rsidRPr="004A68AC">
        <w:rPr>
          <w:lang w:val="en-US"/>
        </w:rPr>
        <w:t>bed for the comparison of the assessment codes applied on low-code structures, therefore, the study is not intended to describe the performance of a specific structure nor to assess for specific site demands.</w:t>
      </w:r>
      <w:r w:rsidRPr="004A68AC">
        <w:rPr>
          <w:lang w:val="en-US"/>
        </w:rPr>
        <w:t xml:space="preserve"> The average spectral acceleration (avgS</w:t>
      </w:r>
      <w:r w:rsidRPr="004A68AC">
        <w:rPr>
          <w:vertAlign w:val="subscript"/>
          <w:lang w:val="en-US"/>
        </w:rPr>
        <w:t>a</w:t>
      </w:r>
      <w:r w:rsidRPr="004A68AC">
        <w:rPr>
          <w:lang w:val="en-US"/>
        </w:rPr>
        <w:t xml:space="preserve">) </w:t>
      </w:r>
      <w:r w:rsidRPr="004A68AC">
        <w:rPr>
          <w:lang w:val="en-US"/>
        </w:rPr>
        <w:fldChar w:fldCharType="begin" w:fldLock="1"/>
      </w:r>
      <w:r w:rsidR="00022E9D" w:rsidRPr="004A68AC">
        <w:rPr>
          <w:lang w:val="en-US"/>
        </w:rPr>
        <w:instrText>ADDIN CSL_CITATION {"citationItems":[{"id":"ITEM-1","itemData":{"DOI":"10.1193/042418EQS101O","ISSN":"87552930","abstract":"The lack of empirical data regarding earthquake damage or losses has propelled the development of dozens of analytical methodologies for the derivation of fragility and vulnerability functions. Each method will naturally have its strengths and weaknesses, which will consequently affect the associated risk estimates. With the purpose of sharing knowledge on vulnerability modeling, identifying shortcomings in the existing methods, and recommending improvements to the current practice, a group of vulnerability experts met in Pavia (Italy) in April 2017. Critical topics related to the selection of ground motion records, modeling of complex real structures through simplified approaches, propagation of aleatory and epistemic uncertainties, and validation of vulnerability results were discussed, and suggestions were proposed to improve the reliability and accuracy in vulnerability modeling.","author":[{"dropping-particle":"","family":"Silva","given":"Vitor","non-dropping-particle":"","parse-names":false,"suffix":""},{"dropping-particle":"","family":"Akkar","given":"Sinan","non-dropping-particle":"","parse-names":false,"suffix":""},{"dropping-particle":"","family":"Baker","given":"Jack","non-dropping-particle":"","parse-names":false,"suffix":""},{"dropping-particle":"","family":"Bazzurro","given":"Paolo","non-dropping-particle":"","parse-names":false,"suffix":""},{"dropping-particle":"","family":"Castro","given":"José Miguel","non-dropping-particle":"","parse-names":false,"suffix":""},{"dropping-particle":"","family":"Crowley","given":"Helen","non-dropping-particle":"","parse-names":false,"suffix":""},{"dropping-particle":"","family":"Dolsek","given":"Matjaz","non-dropping-particle":"","parse-names":false,"suffix":""},{"dropping-particle":"","family":"Galasso","given":"Carmine","non-dropping-particle":"","parse-names":false,"suffix":""},{"dropping-particle":"","family":"Lagomarsino","given":"Sergio","non-dropping-particle":"","parse-names":false,"suffix":""},{"dropping-particle":"","family":"Monteiro","given":"Ricardo","non-dropping-particle":"","parse-names":false,"suffix":""},{"dropping-particle":"","family":"Perrone","given":"Daniele","non-dropping-particle":"","parse-names":false,"suffix":""},{"dropping-particle":"","family":"Pitilakis","given":"Kyriazis","non-dropping-particle":"","parse-names":false,"suffix":""},{"dropping-particle":"","family":"Vamvatsikos","given":"Dimitrios","non-dropping-particle":"","parse-names":false,"suffix":""}],"container-title":"Earthquake Spectra","id":"ITEM-1","issue":"4","issued":{"date-parts":[["2019"]]},"page":"1927-1952","title":"Current challenges and future trends in analytical fragility and vulnerability modeling","type":"article-journal","volume":"35"},"uris":["http://www.mendeley.com/documents/?uuid=1959b58c-f817-4ee3-99a9-58fbcb603417"]}],"mendeley":{"formattedCitation":"[60]","plainTextFormattedCitation":"[60]","previouslyFormattedCitation":"[60]"},"properties":{"noteIndex":0},"schema":"https://github.com/citation-style-language/schema/raw/master/csl-citation.json"}</w:instrText>
      </w:r>
      <w:r w:rsidRPr="004A68AC">
        <w:rPr>
          <w:lang w:val="en-US"/>
        </w:rPr>
        <w:fldChar w:fldCharType="separate"/>
      </w:r>
      <w:r w:rsidR="00B653D2" w:rsidRPr="004A68AC">
        <w:rPr>
          <w:noProof/>
          <w:lang w:val="en-US"/>
        </w:rPr>
        <w:t>[60]</w:t>
      </w:r>
      <w:r w:rsidRPr="004A68AC">
        <w:rPr>
          <w:lang w:val="en-US"/>
        </w:rPr>
        <w:fldChar w:fldCharType="end"/>
      </w:r>
      <w:r w:rsidRPr="004A68AC">
        <w:rPr>
          <w:lang w:val="en-US"/>
        </w:rPr>
        <w:t xml:space="preserve"> for periods </w:t>
      </w:r>
      <w:r w:rsidR="00222CB5" w:rsidRPr="004A68AC">
        <w:rPr>
          <w:lang w:val="en-US"/>
        </w:rPr>
        <w:t>between 0.2T</w:t>
      </w:r>
      <w:r w:rsidR="00222CB5" w:rsidRPr="004A68AC">
        <w:rPr>
          <w:vertAlign w:val="subscript"/>
          <w:lang w:val="en-US"/>
        </w:rPr>
        <w:t>1-3B</w:t>
      </w:r>
      <w:r w:rsidR="00222CB5" w:rsidRPr="004A68AC">
        <w:rPr>
          <w:lang w:val="en-US"/>
        </w:rPr>
        <w:t xml:space="preserve"> and 1.5T</w:t>
      </w:r>
      <w:r w:rsidR="00222CB5" w:rsidRPr="004A68AC">
        <w:rPr>
          <w:vertAlign w:val="subscript"/>
          <w:lang w:val="en-US"/>
        </w:rPr>
        <w:t>1-9B</w:t>
      </w:r>
      <w:r w:rsidR="00222CB5" w:rsidRPr="004A68AC">
        <w:rPr>
          <w:lang w:val="en-US"/>
        </w:rPr>
        <w:t xml:space="preserve"> is used as IM. This choice was driven by the following considerations: (1) it is a structure-</w:t>
      </w:r>
      <w:r w:rsidR="00BB7D29" w:rsidRPr="004A68AC">
        <w:rPr>
          <w:lang w:val="en-US"/>
        </w:rPr>
        <w:t>dependent IM</w:t>
      </w:r>
      <w:r w:rsidR="00144257" w:rsidRPr="004A68AC">
        <w:rPr>
          <w:lang w:val="en-US"/>
        </w:rPr>
        <w:t>;</w:t>
      </w:r>
      <w:r w:rsidR="002A30D5" w:rsidRPr="004A68AC">
        <w:rPr>
          <w:lang w:val="en-US"/>
        </w:rPr>
        <w:t xml:space="preserve"> (</w:t>
      </w:r>
      <w:r w:rsidR="00BB7D29" w:rsidRPr="004A68AC">
        <w:rPr>
          <w:lang w:val="en-US"/>
        </w:rPr>
        <w:t>2</w:t>
      </w:r>
      <w:r w:rsidR="002A30D5" w:rsidRPr="004A68AC">
        <w:rPr>
          <w:lang w:val="en-US"/>
        </w:rPr>
        <w:t xml:space="preserve">) </w:t>
      </w:r>
      <w:r w:rsidR="00BB7D29" w:rsidRPr="004A68AC">
        <w:rPr>
          <w:lang w:val="en-US"/>
        </w:rPr>
        <w:t>it</w:t>
      </w:r>
      <w:r w:rsidR="002A30D5" w:rsidRPr="004A68AC">
        <w:rPr>
          <w:lang w:val="en-US"/>
        </w:rPr>
        <w:t xml:space="preserve"> avoid</w:t>
      </w:r>
      <w:r w:rsidR="00BB7D29" w:rsidRPr="004A68AC">
        <w:rPr>
          <w:lang w:val="en-US"/>
        </w:rPr>
        <w:t>s</w:t>
      </w:r>
      <w:r w:rsidR="002A30D5" w:rsidRPr="004A68AC">
        <w:rPr>
          <w:lang w:val="en-US"/>
        </w:rPr>
        <w:t xml:space="preserve"> the sensitivity caused by using scales based on high periods such as T</w:t>
      </w:r>
      <w:r w:rsidR="002A30D5" w:rsidRPr="004A68AC">
        <w:rPr>
          <w:vertAlign w:val="subscript"/>
          <w:lang w:val="en-US"/>
        </w:rPr>
        <w:t>1-9B</w:t>
      </w:r>
      <w:r w:rsidR="002A30D5" w:rsidRPr="004A68AC">
        <w:rPr>
          <w:lang w:val="en-US"/>
        </w:rPr>
        <w:t xml:space="preserve"> (</w:t>
      </w:r>
      <w:r w:rsidR="002A30D5" w:rsidRPr="004A68AC">
        <w:rPr>
          <w:i/>
          <w:lang w:val="en-US"/>
        </w:rPr>
        <w:t>i.e.</w:t>
      </w:r>
      <w:r w:rsidR="002A30D5" w:rsidRPr="004A68AC">
        <w:rPr>
          <w:lang w:val="en-US"/>
        </w:rPr>
        <w:t xml:space="preserve">, to avoid that small variations in the scale factor result on unrealistically spectral acceleration values in higher modes </w:t>
      </w:r>
      <w:r w:rsidR="002A30D5" w:rsidRPr="004A68AC">
        <w:rPr>
          <w:lang w:val="en-US"/>
        </w:rPr>
        <w:fldChar w:fldCharType="begin" w:fldLock="1"/>
      </w:r>
      <w:r w:rsidR="00022E9D" w:rsidRPr="004A68AC">
        <w:rPr>
          <w:lang w:val="en-US"/>
        </w:rPr>
        <w:instrText>ADDIN CSL_CITATION {"citationItems":[{"id":"ITEM-1","itemData":{"DOI":"10.1193/042418EQS101O","ISSN":"87552930","abstract":"The lack of empirical data regarding earthquake damage or losses has propelled the development of dozens of analytical methodologies for the derivation of fragility and vulnerability functions. Each method will naturally have its strengths and weaknesses, which will consequently affect the associated risk estimates. With the purpose of sharing knowledge on vulnerability modeling, identifying shortcomings in the existing methods, and recommending improvements to the current practice, a group of vulnerability experts met in Pavia (Italy) in April 2017. Critical topics related to the selection of ground motion records, modeling of complex real structures through simplified approaches, propagation of aleatory and epistemic uncertainties, and validation of vulnerability results were discussed, and suggestions were proposed to improve the reliability and accuracy in vulnerability modeling.","author":[{"dropping-particle":"","family":"Silva","given":"Vitor","non-dropping-particle":"","parse-names":false,"suffix":""},{"dropping-particle":"","family":"Akkar","given":"Sinan","non-dropping-particle":"","parse-names":false,"suffix":""},{"dropping-particle":"","family":"Baker","given":"Jack","non-dropping-particle":"","parse-names":false,"suffix":""},{"dropping-particle":"","family":"Bazzurro","given":"Paolo","non-dropping-particle":"","parse-names":false,"suffix":""},{"dropping-particle":"","family":"Castro","given":"José Miguel","non-dropping-particle":"","parse-names":false,"suffix":""},{"dropping-particle":"","family":"Crowley","given":"Helen","non-dropping-particle":"","parse-names":false,"suffix":""},{"dropping-particle":"","family":"Dolsek","given":"Matjaz","non-dropping-particle":"","parse-names":false,"suffix":""},{"dropping-particle":"","family":"Galasso","given":"Carmine","non-dropping-particle":"","parse-names":false,"suffix":""},{"dropping-particle":"","family":"Lagomarsino","given":"Sergio","non-dropping-particle":"","parse-names":false,"suffix":""},{"dropping-particle":"","family":"Monteiro","given":"Ricardo","non-dropping-particle":"","parse-names":false,"suffix":""},{"dropping-particle":"","family":"Perrone","given":"Daniele","non-dropping-particle":"","parse-names":false,"suffix":""},{"dropping-particle":"","family":"Pitilakis","given":"Kyriazis","non-dropping-particle":"","parse-names":false,"suffix":""},{"dropping-particle":"","family":"Vamvatsikos","given":"Dimitrios","non-dropping-particle":"","parse-names":false,"suffix":""}],"container-title":"Earthquake Spectra","id":"ITEM-1","issue":"4","issued":{"date-parts":[["2019"]]},"page":"1927-1952","title":"Current challenges and future trends in analytical fragility and vulnerability modeling","type":"article-journal","volume":"35"},"uris":["http://www.mendeley.com/documents/?uuid=1959b58c-f817-4ee3-99a9-58fbcb603417"]}],"mendeley":{"formattedCitation":"[60]","plainTextFormattedCitation":"[60]","previouslyFormattedCitation":"[60]"},"properties":{"noteIndex":0},"schema":"https://github.com/citation-style-language/schema/raw/master/csl-citation.json"}</w:instrText>
      </w:r>
      <w:r w:rsidR="002A30D5" w:rsidRPr="004A68AC">
        <w:rPr>
          <w:lang w:val="en-US"/>
        </w:rPr>
        <w:fldChar w:fldCharType="separate"/>
      </w:r>
      <w:r w:rsidR="00B653D2" w:rsidRPr="004A68AC">
        <w:rPr>
          <w:noProof/>
          <w:lang w:val="en-US"/>
        </w:rPr>
        <w:t>[60]</w:t>
      </w:r>
      <w:r w:rsidR="002A30D5" w:rsidRPr="004A68AC">
        <w:rPr>
          <w:lang w:val="en-US"/>
        </w:rPr>
        <w:fldChar w:fldCharType="end"/>
      </w:r>
      <w:r w:rsidR="002A30D5" w:rsidRPr="004A68AC">
        <w:rPr>
          <w:lang w:val="en-US"/>
        </w:rPr>
        <w:t>)</w:t>
      </w:r>
      <w:r w:rsidR="00144257" w:rsidRPr="004A68AC">
        <w:rPr>
          <w:lang w:val="en-US"/>
        </w:rPr>
        <w:t>; and (3) it allows the direct comparison of the fragility curves between the two structures</w:t>
      </w:r>
      <w:r w:rsidR="002A30D5" w:rsidRPr="004A68AC">
        <w:rPr>
          <w:lang w:val="en-US"/>
        </w:rPr>
        <w:t xml:space="preserve">. </w:t>
      </w:r>
      <w:r w:rsidR="00B34708" w:rsidRPr="004A68AC">
        <w:rPr>
          <w:lang w:val="en-US"/>
        </w:rPr>
        <w:t>The GMs were further scaled to different values of IM, from avgS</w:t>
      </w:r>
      <w:r w:rsidR="00B34708" w:rsidRPr="004A68AC">
        <w:rPr>
          <w:vertAlign w:val="subscript"/>
          <w:lang w:val="en-US"/>
        </w:rPr>
        <w:t xml:space="preserve">a </w:t>
      </w:r>
      <w:r w:rsidR="00B34708" w:rsidRPr="004A68AC">
        <w:rPr>
          <w:lang w:val="en-US"/>
        </w:rPr>
        <w:t xml:space="preserve">equal to 0.02g to 1.0g, for a total of 1100 analyses for each case study structure. </w:t>
      </w:r>
      <w:r w:rsidR="00B34708" w:rsidRPr="004A68AC">
        <w:rPr>
          <w:lang w:val="en-US"/>
        </w:rPr>
        <w:fldChar w:fldCharType="begin" w:fldLock="1"/>
      </w:r>
      <w:r w:rsidR="00B34708" w:rsidRPr="004A68AC">
        <w:rPr>
          <w:lang w:val="en-US"/>
        </w:rPr>
        <w:instrText xml:space="preserve"> REF _Ref41345681 \h  \* MERGEFORMAT </w:instrText>
      </w:r>
      <w:r w:rsidR="00B34708" w:rsidRPr="004A68AC">
        <w:rPr>
          <w:lang w:val="en-US"/>
        </w:rPr>
      </w:r>
      <w:r w:rsidR="00B34708" w:rsidRPr="004A68AC">
        <w:rPr>
          <w:lang w:val="en-US"/>
        </w:rPr>
        <w:fldChar w:fldCharType="separate"/>
      </w:r>
      <w:r w:rsidR="00B34708" w:rsidRPr="004A68AC">
        <w:rPr>
          <w:bCs/>
          <w:lang w:val="en-US"/>
        </w:rPr>
        <w:t xml:space="preserve">Figure </w:t>
      </w:r>
      <w:r w:rsidR="00B34708" w:rsidRPr="004A68AC">
        <w:rPr>
          <w:bCs/>
          <w:noProof/>
          <w:lang w:val="en-US"/>
        </w:rPr>
        <w:t>9</w:t>
      </w:r>
      <w:r w:rsidR="00B34708" w:rsidRPr="004A68AC">
        <w:rPr>
          <w:lang w:val="en-US"/>
        </w:rPr>
        <w:fldChar w:fldCharType="end"/>
      </w:r>
      <w:r w:rsidR="00B34708" w:rsidRPr="004A68AC">
        <w:rPr>
          <w:lang w:val="en-US"/>
        </w:rPr>
        <w:t xml:space="preserve"> shows the 3% damping response spectra for the 22 GMs, scaled to match an avgS</w:t>
      </w:r>
      <w:r w:rsidR="00B34708" w:rsidRPr="004A68AC">
        <w:rPr>
          <w:vertAlign w:val="subscript"/>
          <w:lang w:val="en-US"/>
        </w:rPr>
        <w:t>a</w:t>
      </w:r>
      <w:r w:rsidR="00B34708" w:rsidRPr="004A68AC">
        <w:rPr>
          <w:lang w:val="en-US"/>
        </w:rPr>
        <w:t xml:space="preserve"> equal to 1.0g.</w:t>
      </w:r>
    </w:p>
    <w:p w14:paraId="338154C0" w14:textId="77777777" w:rsidR="0064152E" w:rsidRPr="004A68AC" w:rsidRDefault="0064152E" w:rsidP="0067756E">
      <w:pPr>
        <w:rPr>
          <w:lang w:val="en-US"/>
        </w:rPr>
      </w:pPr>
    </w:p>
    <w:p w14:paraId="0C758F4C" w14:textId="0FD99C98" w:rsidR="00496325" w:rsidRPr="004A68AC" w:rsidRDefault="00496325" w:rsidP="00496325">
      <w:pPr>
        <w:pStyle w:val="Caption"/>
        <w:spacing w:after="0"/>
        <w:rPr>
          <w:sz w:val="14"/>
          <w:szCs w:val="14"/>
          <w:lang w:val="en-US"/>
        </w:rPr>
      </w:pPr>
      <w:r w:rsidRPr="004A68AC">
        <w:rPr>
          <w:noProof/>
          <w:lang w:val="en-US" w:eastAsia="en-GB"/>
        </w:rPr>
        <mc:AlternateContent>
          <mc:Choice Requires="wps">
            <w:drawing>
              <wp:anchor distT="0" distB="0" distL="114300" distR="114300" simplePos="0" relativeHeight="251800576" behindDoc="0" locked="0" layoutInCell="1" allowOverlap="1" wp14:anchorId="4A799B65" wp14:editId="364B5C8A">
                <wp:simplePos x="0" y="0"/>
                <wp:positionH relativeFrom="column">
                  <wp:posOffset>2557018</wp:posOffset>
                </wp:positionH>
                <wp:positionV relativeFrom="paragraph">
                  <wp:posOffset>1125093</wp:posOffset>
                </wp:positionV>
                <wp:extent cx="698500" cy="308610"/>
                <wp:effectExtent l="4445" t="0" r="0" b="0"/>
                <wp:wrapNone/>
                <wp:docPr id="47" name="Text Box 47"/>
                <wp:cNvGraphicFramePr/>
                <a:graphic xmlns:a="http://schemas.openxmlformats.org/drawingml/2006/main">
                  <a:graphicData uri="http://schemas.microsoft.com/office/word/2010/wordprocessingShape">
                    <wps:wsp>
                      <wps:cNvSpPr txBox="1"/>
                      <wps:spPr>
                        <a:xfrm rot="16200000">
                          <a:off x="0" y="0"/>
                          <a:ext cx="698500" cy="308610"/>
                        </a:xfrm>
                        <a:prstGeom prst="rect">
                          <a:avLst/>
                        </a:prstGeom>
                        <a:noFill/>
                        <a:ln w="6350">
                          <a:noFill/>
                        </a:ln>
                      </wps:spPr>
                      <wps:txbx>
                        <w:txbxContent>
                          <w:p w14:paraId="7703DEA9" w14:textId="77777777" w:rsidR="00F534F9" w:rsidRPr="006D7509" w:rsidRDefault="00F534F9" w:rsidP="00496325">
                            <w:pPr>
                              <w:rPr>
                                <w:sz w:val="14"/>
                                <w:szCs w:val="14"/>
                                <w:lang w:val="it-IT"/>
                              </w:rPr>
                            </w:pPr>
                            <w:r>
                              <w:rPr>
                                <w:sz w:val="14"/>
                                <w:szCs w:val="14"/>
                                <w:lang w:val="it-IT"/>
                              </w:rPr>
                              <w:t>0.2T</w:t>
                            </w:r>
                            <w:r w:rsidRPr="00A50BBB">
                              <w:rPr>
                                <w:sz w:val="14"/>
                                <w:szCs w:val="14"/>
                                <w:vertAlign w:val="subscript"/>
                                <w:lang w:val="it-IT"/>
                              </w:rPr>
                              <w:t>1-</w:t>
                            </w:r>
                            <w:r>
                              <w:rPr>
                                <w:sz w:val="14"/>
                                <w:szCs w:val="14"/>
                                <w:vertAlign w:val="subscript"/>
                                <w:lang w:val="it-IT"/>
                              </w:rPr>
                              <w:t>3</w:t>
                            </w:r>
                            <w:r w:rsidRPr="00A50BBB">
                              <w:rPr>
                                <w:sz w:val="14"/>
                                <w:szCs w:val="14"/>
                                <w:vertAlign w:val="subscript"/>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9B65" id="Text Box 47" o:spid="_x0000_s1057" type="#_x0000_t202" style="position:absolute;left:0;text-align:left;margin-left:201.35pt;margin-top:88.6pt;width:55pt;height:24.3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" filled="f" stroked="f" strokeweight=".5pt">
                <v:textbox>
                  <w:txbxContent>
                    <w:p w14:paraId="7703DEA9" w14:textId="77777777" w:rsidR="00F534F9" w:rsidRPr="006D7509" w:rsidRDefault="00F534F9" w:rsidP="00496325">
                      <w:pPr>
                        <w:rPr>
                          <w:sz w:val="14"/>
                          <w:szCs w:val="14"/>
                          <w:lang w:val="it-IT"/>
                        </w:rPr>
                      </w:pPr>
                      <w:r>
                        <w:rPr>
                          <w:sz w:val="14"/>
                          <w:szCs w:val="14"/>
                          <w:lang w:val="it-IT"/>
                        </w:rPr>
                        <w:t>0.2T</w:t>
                      </w:r>
                      <w:r w:rsidRPr="00A50BBB">
                        <w:rPr>
                          <w:sz w:val="14"/>
                          <w:szCs w:val="14"/>
                          <w:vertAlign w:val="subscript"/>
                          <w:lang w:val="it-IT"/>
                        </w:rPr>
                        <w:t>1-</w:t>
                      </w:r>
                      <w:r>
                        <w:rPr>
                          <w:sz w:val="14"/>
                          <w:szCs w:val="14"/>
                          <w:vertAlign w:val="subscript"/>
                          <w:lang w:val="it-IT"/>
                        </w:rPr>
                        <w:t>3</w:t>
                      </w:r>
                      <w:r w:rsidRPr="00A50BBB">
                        <w:rPr>
                          <w:sz w:val="14"/>
                          <w:szCs w:val="14"/>
                          <w:vertAlign w:val="subscript"/>
                          <w:lang w:val="it-IT"/>
                        </w:rPr>
                        <w:t>B</w:t>
                      </w:r>
                    </w:p>
                  </w:txbxContent>
                </v:textbox>
              </v:shape>
            </w:pict>
          </mc:Fallback>
        </mc:AlternateContent>
      </w:r>
      <w:r w:rsidRPr="004A68AC">
        <w:rPr>
          <w:noProof/>
          <w:lang w:val="en-US" w:eastAsia="en-GB"/>
        </w:rPr>
        <mc:AlternateContent>
          <mc:Choice Requires="wps">
            <w:drawing>
              <wp:anchor distT="0" distB="0" distL="114300" distR="114300" simplePos="0" relativeHeight="251803648" behindDoc="0" locked="0" layoutInCell="1" allowOverlap="1" wp14:anchorId="0429F4BA" wp14:editId="589E27D6">
                <wp:simplePos x="0" y="0"/>
                <wp:positionH relativeFrom="column">
                  <wp:posOffset>3094038</wp:posOffset>
                </wp:positionH>
                <wp:positionV relativeFrom="paragraph">
                  <wp:posOffset>71437</wp:posOffset>
                </wp:positionV>
                <wp:extent cx="1303655" cy="308610"/>
                <wp:effectExtent l="2223" t="0" r="0" b="0"/>
                <wp:wrapNone/>
                <wp:docPr id="50" name="Text Box 50"/>
                <wp:cNvGraphicFramePr/>
                <a:graphic xmlns:a="http://schemas.openxmlformats.org/drawingml/2006/main">
                  <a:graphicData uri="http://schemas.microsoft.com/office/word/2010/wordprocessingShape">
                    <wps:wsp>
                      <wps:cNvSpPr txBox="1"/>
                      <wps:spPr>
                        <a:xfrm rot="16200000">
                          <a:off x="0" y="0"/>
                          <a:ext cx="1303655" cy="308610"/>
                        </a:xfrm>
                        <a:prstGeom prst="rect">
                          <a:avLst/>
                        </a:prstGeom>
                        <a:noFill/>
                        <a:ln w="6350">
                          <a:noFill/>
                        </a:ln>
                      </wps:spPr>
                      <wps:txbx>
                        <w:txbxContent>
                          <w:p w14:paraId="6A81EC2F" w14:textId="77777777" w:rsidR="00F534F9" w:rsidRPr="006D7509" w:rsidRDefault="00F534F9" w:rsidP="00496325">
                            <w:pPr>
                              <w:rPr>
                                <w:sz w:val="14"/>
                                <w:szCs w:val="14"/>
                                <w:lang w:val="it-IT"/>
                              </w:rPr>
                            </w:pPr>
                            <w:r>
                              <w:rPr>
                                <w:sz w:val="14"/>
                                <w:szCs w:val="14"/>
                                <w:lang w:val="it-IT"/>
                              </w:rPr>
                              <w:t>T</w:t>
                            </w:r>
                            <w:r w:rsidRPr="00A50BBB">
                              <w:rPr>
                                <w:sz w:val="14"/>
                                <w:szCs w:val="14"/>
                                <w:vertAlign w:val="subscript"/>
                                <w:lang w:val="it-IT"/>
                              </w:rPr>
                              <w:t>1-</w:t>
                            </w:r>
                            <w:r>
                              <w:rPr>
                                <w:sz w:val="14"/>
                                <w:szCs w:val="14"/>
                                <w:vertAlign w:val="subscript"/>
                                <w:lang w:val="it-IT"/>
                              </w:rPr>
                              <w:t>3</w:t>
                            </w:r>
                            <w:r w:rsidRPr="00A50BBB">
                              <w:rPr>
                                <w:sz w:val="14"/>
                                <w:szCs w:val="14"/>
                                <w:vertAlign w:val="subscript"/>
                                <w:lang w:val="it-IT"/>
                              </w:rPr>
                              <w:t>B</w:t>
                            </w:r>
                            <w:r>
                              <w:rPr>
                                <w:sz w:val="14"/>
                                <w:szCs w:val="14"/>
                                <w:lang w:val="it-IT"/>
                              </w:rPr>
                              <w:t xml:space="preserve"> = 1.88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F4BA" id="Text Box 50" o:spid="_x0000_s1058" type="#_x0000_t202" style="position:absolute;left:0;text-align:left;margin-left:243.65pt;margin-top:5.6pt;width:102.65pt;height:24.3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" filled="f" stroked="f" strokeweight=".5pt">
                <v:textbox>
                  <w:txbxContent>
                    <w:p w14:paraId="6A81EC2F" w14:textId="77777777" w:rsidR="00F534F9" w:rsidRPr="006D7509" w:rsidRDefault="00F534F9" w:rsidP="00496325">
                      <w:pPr>
                        <w:rPr>
                          <w:sz w:val="14"/>
                          <w:szCs w:val="14"/>
                          <w:lang w:val="it-IT"/>
                        </w:rPr>
                      </w:pPr>
                      <w:r>
                        <w:rPr>
                          <w:sz w:val="14"/>
                          <w:szCs w:val="14"/>
                          <w:lang w:val="it-IT"/>
                        </w:rPr>
                        <w:t>T</w:t>
                      </w:r>
                      <w:r w:rsidRPr="00A50BBB">
                        <w:rPr>
                          <w:sz w:val="14"/>
                          <w:szCs w:val="14"/>
                          <w:vertAlign w:val="subscript"/>
                          <w:lang w:val="it-IT"/>
                        </w:rPr>
                        <w:t>1-</w:t>
                      </w:r>
                      <w:r>
                        <w:rPr>
                          <w:sz w:val="14"/>
                          <w:szCs w:val="14"/>
                          <w:vertAlign w:val="subscript"/>
                          <w:lang w:val="it-IT"/>
                        </w:rPr>
                        <w:t>3</w:t>
                      </w:r>
                      <w:r w:rsidRPr="00A50BBB">
                        <w:rPr>
                          <w:sz w:val="14"/>
                          <w:szCs w:val="14"/>
                          <w:vertAlign w:val="subscript"/>
                          <w:lang w:val="it-IT"/>
                        </w:rPr>
                        <w:t>B</w:t>
                      </w:r>
                      <w:r>
                        <w:rPr>
                          <w:sz w:val="14"/>
                          <w:szCs w:val="14"/>
                          <w:lang w:val="it-IT"/>
                        </w:rPr>
                        <w:t xml:space="preserve"> = 1.88 sec</w:t>
                      </w:r>
                    </w:p>
                  </w:txbxContent>
                </v:textbox>
              </v:shape>
            </w:pict>
          </mc:Fallback>
        </mc:AlternateContent>
      </w:r>
      <w:r w:rsidRPr="004A68AC">
        <w:rPr>
          <w:noProof/>
          <w:lang w:val="en-US" w:eastAsia="en-GB"/>
        </w:rPr>
        <mc:AlternateContent>
          <mc:Choice Requires="wps">
            <w:drawing>
              <wp:anchor distT="0" distB="0" distL="114300" distR="114300" simplePos="0" relativeHeight="251801600" behindDoc="0" locked="0" layoutInCell="1" allowOverlap="1" wp14:anchorId="466B1349" wp14:editId="14CFA97E">
                <wp:simplePos x="0" y="0"/>
                <wp:positionH relativeFrom="column">
                  <wp:posOffset>3890010</wp:posOffset>
                </wp:positionH>
                <wp:positionV relativeFrom="paragraph">
                  <wp:posOffset>94488</wp:posOffset>
                </wp:positionV>
                <wp:extent cx="698500" cy="308610"/>
                <wp:effectExtent l="4445" t="0" r="0" b="0"/>
                <wp:wrapNone/>
                <wp:docPr id="48" name="Text Box 48"/>
                <wp:cNvGraphicFramePr/>
                <a:graphic xmlns:a="http://schemas.openxmlformats.org/drawingml/2006/main">
                  <a:graphicData uri="http://schemas.microsoft.com/office/word/2010/wordprocessingShape">
                    <wps:wsp>
                      <wps:cNvSpPr txBox="1"/>
                      <wps:spPr>
                        <a:xfrm rot="16200000">
                          <a:off x="0" y="0"/>
                          <a:ext cx="698500" cy="308610"/>
                        </a:xfrm>
                        <a:prstGeom prst="rect">
                          <a:avLst/>
                        </a:prstGeom>
                        <a:noFill/>
                        <a:ln w="6350">
                          <a:noFill/>
                        </a:ln>
                      </wps:spPr>
                      <wps:txbx>
                        <w:txbxContent>
                          <w:p w14:paraId="154EAB68" w14:textId="77777777" w:rsidR="00F534F9" w:rsidRPr="006D7509" w:rsidRDefault="00F534F9" w:rsidP="00496325">
                            <w:pPr>
                              <w:rPr>
                                <w:sz w:val="14"/>
                                <w:szCs w:val="14"/>
                                <w:lang w:val="it-IT"/>
                              </w:rPr>
                            </w:pPr>
                            <w:r>
                              <w:rPr>
                                <w:sz w:val="14"/>
                                <w:szCs w:val="14"/>
                                <w:lang w:val="it-IT"/>
                              </w:rPr>
                              <w:t>1.5T</w:t>
                            </w:r>
                            <w:r w:rsidRPr="00A50BBB">
                              <w:rPr>
                                <w:sz w:val="14"/>
                                <w:szCs w:val="14"/>
                                <w:vertAlign w:val="subscript"/>
                                <w:lang w:val="it-IT"/>
                              </w:rPr>
                              <w:t>1-9B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1349" id="Text Box 48" o:spid="_x0000_s1059" type="#_x0000_t202" style="position:absolute;left:0;text-align:left;margin-left:306.3pt;margin-top:7.45pt;width:55pt;height:24.3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" filled="f" stroked="f" strokeweight=".5pt">
                <v:textbox>
                  <w:txbxContent>
                    <w:p w14:paraId="154EAB68" w14:textId="77777777" w:rsidR="00F534F9" w:rsidRPr="006D7509" w:rsidRDefault="00F534F9" w:rsidP="00496325">
                      <w:pPr>
                        <w:rPr>
                          <w:sz w:val="14"/>
                          <w:szCs w:val="14"/>
                          <w:lang w:val="it-IT"/>
                        </w:rPr>
                      </w:pPr>
                      <w:r>
                        <w:rPr>
                          <w:sz w:val="14"/>
                          <w:szCs w:val="14"/>
                          <w:lang w:val="it-IT"/>
                        </w:rPr>
                        <w:t>1.5T</w:t>
                      </w:r>
                      <w:r w:rsidRPr="00A50BBB">
                        <w:rPr>
                          <w:sz w:val="14"/>
                          <w:szCs w:val="14"/>
                          <w:vertAlign w:val="subscript"/>
                          <w:lang w:val="it-IT"/>
                        </w:rPr>
                        <w:t>1-9B</w:t>
                      </w:r>
                    </w:p>
                  </w:txbxContent>
                </v:textbox>
              </v:shape>
            </w:pict>
          </mc:Fallback>
        </mc:AlternateContent>
      </w:r>
      <w:r w:rsidRPr="004A68AC">
        <w:rPr>
          <w:noProof/>
          <w:lang w:val="en-US" w:eastAsia="en-GB"/>
        </w:rPr>
        <mc:AlternateContent>
          <mc:Choice Requires="wps">
            <w:drawing>
              <wp:anchor distT="0" distB="0" distL="114300" distR="114300" simplePos="0" relativeHeight="251802624" behindDoc="0" locked="0" layoutInCell="1" allowOverlap="1" wp14:anchorId="7DA615AB" wp14:editId="679A4B96">
                <wp:simplePos x="0" y="0"/>
                <wp:positionH relativeFrom="column">
                  <wp:posOffset>3368992</wp:posOffset>
                </wp:positionH>
                <wp:positionV relativeFrom="paragraph">
                  <wp:posOffset>69879</wp:posOffset>
                </wp:positionV>
                <wp:extent cx="1303655" cy="308610"/>
                <wp:effectExtent l="2223" t="0" r="0" b="0"/>
                <wp:wrapNone/>
                <wp:docPr id="49" name="Text Box 49"/>
                <wp:cNvGraphicFramePr/>
                <a:graphic xmlns:a="http://schemas.openxmlformats.org/drawingml/2006/main">
                  <a:graphicData uri="http://schemas.microsoft.com/office/word/2010/wordprocessingShape">
                    <wps:wsp>
                      <wps:cNvSpPr txBox="1"/>
                      <wps:spPr>
                        <a:xfrm rot="16200000">
                          <a:off x="0" y="0"/>
                          <a:ext cx="1303655" cy="308610"/>
                        </a:xfrm>
                        <a:prstGeom prst="rect">
                          <a:avLst/>
                        </a:prstGeom>
                        <a:noFill/>
                        <a:ln w="6350">
                          <a:noFill/>
                        </a:ln>
                      </wps:spPr>
                      <wps:txbx>
                        <w:txbxContent>
                          <w:p w14:paraId="06127094" w14:textId="77777777" w:rsidR="00F534F9" w:rsidRPr="006D7509" w:rsidRDefault="00F534F9" w:rsidP="00496325">
                            <w:pPr>
                              <w:rPr>
                                <w:sz w:val="14"/>
                                <w:szCs w:val="14"/>
                                <w:lang w:val="it-IT"/>
                              </w:rPr>
                            </w:pPr>
                            <w:r>
                              <w:rPr>
                                <w:sz w:val="14"/>
                                <w:szCs w:val="14"/>
                                <w:lang w:val="it-IT"/>
                              </w:rPr>
                              <w:t>T</w:t>
                            </w:r>
                            <w:r w:rsidRPr="00A50BBB">
                              <w:rPr>
                                <w:sz w:val="14"/>
                                <w:szCs w:val="14"/>
                                <w:vertAlign w:val="subscript"/>
                                <w:lang w:val="it-IT"/>
                              </w:rPr>
                              <w:t>1-9B</w:t>
                            </w:r>
                            <w:r>
                              <w:rPr>
                                <w:sz w:val="14"/>
                                <w:szCs w:val="14"/>
                                <w:lang w:val="it-IT"/>
                              </w:rPr>
                              <w:t xml:space="preserve"> = 3.21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15AB" id="Text Box 49" o:spid="_x0000_s1060" type="#_x0000_t202" style="position:absolute;left:0;text-align:left;margin-left:265.25pt;margin-top:5.5pt;width:102.65pt;height:24.3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" filled="f" stroked="f" strokeweight=".5pt">
                <v:textbox>
                  <w:txbxContent>
                    <w:p w14:paraId="06127094" w14:textId="77777777" w:rsidR="00F534F9" w:rsidRPr="006D7509" w:rsidRDefault="00F534F9" w:rsidP="00496325">
                      <w:pPr>
                        <w:rPr>
                          <w:sz w:val="14"/>
                          <w:szCs w:val="14"/>
                          <w:lang w:val="it-IT"/>
                        </w:rPr>
                      </w:pPr>
                      <w:r>
                        <w:rPr>
                          <w:sz w:val="14"/>
                          <w:szCs w:val="14"/>
                          <w:lang w:val="it-IT"/>
                        </w:rPr>
                        <w:t>T</w:t>
                      </w:r>
                      <w:r w:rsidRPr="00A50BBB">
                        <w:rPr>
                          <w:sz w:val="14"/>
                          <w:szCs w:val="14"/>
                          <w:vertAlign w:val="subscript"/>
                          <w:lang w:val="it-IT"/>
                        </w:rPr>
                        <w:t>1-9B</w:t>
                      </w:r>
                      <w:r>
                        <w:rPr>
                          <w:sz w:val="14"/>
                          <w:szCs w:val="14"/>
                          <w:lang w:val="it-IT"/>
                        </w:rPr>
                        <w:t xml:space="preserve"> = 3.21 sec</w:t>
                      </w:r>
                    </w:p>
                  </w:txbxContent>
                </v:textbox>
              </v:shape>
            </w:pict>
          </mc:Fallback>
        </mc:AlternateContent>
      </w:r>
      <w:r w:rsidRPr="004A68AC">
        <w:rPr>
          <w:sz w:val="14"/>
          <w:szCs w:val="14"/>
          <w:lang w:val="en-US"/>
        </w:rPr>
        <w:t xml:space="preserve"> </w:t>
      </w:r>
      <w:r w:rsidR="00022E9D" w:rsidRPr="004A68AC">
        <w:rPr>
          <w:noProof/>
          <w:sz w:val="14"/>
          <w:szCs w:val="14"/>
          <w:lang w:val="en-US"/>
        </w:rPr>
        <w:drawing>
          <wp:inline distT="0" distB="0" distL="0" distR="0" wp14:anchorId="021F00AE" wp14:editId="794A6419">
            <wp:extent cx="2867660" cy="25165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660" cy="2516505"/>
                    </a:xfrm>
                    <a:prstGeom prst="rect">
                      <a:avLst/>
                    </a:prstGeom>
                    <a:noFill/>
                    <a:ln>
                      <a:noFill/>
                    </a:ln>
                  </pic:spPr>
                </pic:pic>
              </a:graphicData>
            </a:graphic>
          </wp:inline>
        </w:drawing>
      </w:r>
    </w:p>
    <w:p w14:paraId="15070C90" w14:textId="77777777" w:rsidR="00496325" w:rsidRPr="004A68AC" w:rsidRDefault="00496325" w:rsidP="00496325">
      <w:pPr>
        <w:pStyle w:val="Caption"/>
        <w:spacing w:after="0"/>
        <w:rPr>
          <w:lang w:val="en-US"/>
        </w:rPr>
      </w:pPr>
      <w:bookmarkStart w:id="28" w:name="_Ref41345681"/>
      <w:r w:rsidRPr="004A68AC">
        <w:rPr>
          <w:b/>
          <w:bCs w:val="0"/>
          <w:lang w:val="en-US"/>
        </w:rPr>
        <w:t xml:space="preserve">Figure </w:t>
      </w:r>
      <w:r w:rsidRPr="004A68AC">
        <w:rPr>
          <w:b/>
          <w:bCs w:val="0"/>
          <w:lang w:val="en-US"/>
        </w:rPr>
        <w:fldChar w:fldCharType="begin" w:fldLock="1"/>
      </w:r>
      <w:r w:rsidRPr="004A68AC">
        <w:rPr>
          <w:b/>
          <w:bCs w:val="0"/>
          <w:lang w:val="en-US"/>
        </w:rPr>
        <w:instrText xml:space="preserve"> SEQ Figure \* ARABIC </w:instrText>
      </w:r>
      <w:r w:rsidRPr="004A68AC">
        <w:rPr>
          <w:b/>
          <w:bCs w:val="0"/>
          <w:lang w:val="en-US"/>
        </w:rPr>
        <w:fldChar w:fldCharType="separate"/>
      </w:r>
      <w:r w:rsidRPr="004A68AC">
        <w:rPr>
          <w:b/>
          <w:bCs w:val="0"/>
          <w:noProof/>
          <w:lang w:val="en-US"/>
        </w:rPr>
        <w:t>9</w:t>
      </w:r>
      <w:r w:rsidRPr="004A68AC">
        <w:rPr>
          <w:b/>
          <w:bCs w:val="0"/>
          <w:lang w:val="en-US"/>
        </w:rPr>
        <w:fldChar w:fldCharType="end"/>
      </w:r>
      <w:bookmarkEnd w:id="28"/>
      <w:r w:rsidRPr="004A68AC">
        <w:rPr>
          <w:b/>
          <w:bCs w:val="0"/>
          <w:lang w:val="en-US"/>
        </w:rPr>
        <w:t>.</w:t>
      </w:r>
      <w:r w:rsidRPr="004A68AC">
        <w:rPr>
          <w:bCs w:val="0"/>
          <w:lang w:val="en-US"/>
        </w:rPr>
        <w:t xml:space="preserve"> Response spectra for the 22 ground motions considering 3% damping.</w:t>
      </w:r>
    </w:p>
    <w:p w14:paraId="6D7DB706" w14:textId="77777777" w:rsidR="009A70C1" w:rsidRPr="004A68AC" w:rsidRDefault="009A70C1" w:rsidP="0067756E">
      <w:pPr>
        <w:rPr>
          <w:lang w:val="en-US"/>
        </w:rPr>
      </w:pPr>
    </w:p>
    <w:p w14:paraId="28ADBEE1" w14:textId="77777777" w:rsidR="009A70C1" w:rsidRPr="004A68AC" w:rsidRDefault="009A70C1" w:rsidP="00022E9D">
      <w:pPr>
        <w:pStyle w:val="Heading3"/>
        <w:spacing w:before="0" w:after="0"/>
        <w:rPr>
          <w:b w:val="0"/>
          <w:i/>
          <w:szCs w:val="20"/>
          <w:lang w:val="en-US"/>
        </w:rPr>
      </w:pPr>
      <w:r w:rsidRPr="004A68AC">
        <w:rPr>
          <w:rFonts w:ascii="Times New Roman" w:hAnsi="Times New Roman"/>
          <w:bCs w:val="0"/>
          <w:i/>
          <w:sz w:val="20"/>
          <w:szCs w:val="20"/>
          <w:lang w:val="en-US"/>
        </w:rPr>
        <w:lastRenderedPageBreak/>
        <w:t>4.5 Influence of the overturning axial loads in the yield rotation capacity of fiber-based modelled columns</w:t>
      </w:r>
    </w:p>
    <w:p w14:paraId="51AC25EB" w14:textId="204F4BFE" w:rsidR="0045551D" w:rsidRPr="004A68AC" w:rsidRDefault="009A70C1" w:rsidP="0045551D">
      <w:pPr>
        <w:rPr>
          <w:szCs w:val="20"/>
          <w:lang w:val="en-US" w:eastAsia="it-IT"/>
        </w:rPr>
      </w:pPr>
      <w:r w:rsidRPr="004A68AC">
        <w:rPr>
          <w:lang w:val="en-US" w:eastAsia="it-IT"/>
        </w:rPr>
        <w:t xml:space="preserve">As the capacity values are often established in terms of the yield capacity of the members, the calculation of </w:t>
      </w:r>
      <w:r w:rsidRPr="004A68AC">
        <w:rPr>
          <w:lang w:val="en-US"/>
        </w:rPr>
        <w:t>θ</w:t>
      </w:r>
      <w:r w:rsidRPr="004A68AC">
        <w:rPr>
          <w:vertAlign w:val="subscript"/>
          <w:lang w:val="en-US"/>
        </w:rPr>
        <w:t>y</w:t>
      </w:r>
      <w:r w:rsidRPr="004A68AC">
        <w:rPr>
          <w:lang w:val="en-US" w:eastAsia="it-IT"/>
        </w:rPr>
        <w:t xml:space="preserve"> plays a crucial role in the assessment of structural elements, particularly those in which the yield capacity is function of the demand, such as the columns. In order to allow the comparison of these code-based parameters, a probabilistic approach is required to account for the record-to-record variability in the yield rotation capacity of the columns. Therefore, a set of</w:t>
      </w:r>
      <w:r w:rsidRPr="004A68AC">
        <w:rPr>
          <w:szCs w:val="20"/>
          <w:lang w:val="en-US" w:eastAsia="it-IT"/>
        </w:rPr>
        <w:t xml:space="preserve"> fragility curves, fitted by analytical lognormal curves obtained through least-square minimization, is derived to represent </w:t>
      </w:r>
      <w:r w:rsidR="0045551D" w:rsidRPr="004A68AC">
        <w:rPr>
          <w:szCs w:val="20"/>
          <w:lang w:val="en-US" w:eastAsia="it-IT"/>
        </w:rPr>
        <w:t>the probability of failure (</w:t>
      </w:r>
      <w:r w:rsidR="0045551D" w:rsidRPr="004A68AC">
        <w:rPr>
          <w:i/>
          <w:szCs w:val="20"/>
          <w:lang w:val="en-US" w:eastAsia="it-IT"/>
        </w:rPr>
        <w:t>i.e.</w:t>
      </w:r>
      <w:r w:rsidR="0045551D" w:rsidRPr="004A68AC">
        <w:rPr>
          <w:szCs w:val="20"/>
          <w:lang w:val="en-US" w:eastAsia="it-IT"/>
        </w:rPr>
        <w:t xml:space="preserve">, demand rotation &gt; yielding rotation) conditioned to the IM, </w:t>
      </w:r>
      <w:r w:rsidR="0045551D" w:rsidRPr="004A68AC">
        <w:rPr>
          <w:i/>
          <w:szCs w:val="20"/>
          <w:lang w:val="en-US"/>
        </w:rPr>
        <w:t>P</w:t>
      </w:r>
      <w:r w:rsidR="0045551D" w:rsidRPr="004A68AC">
        <w:rPr>
          <w:szCs w:val="20"/>
          <w:lang w:val="en-US"/>
        </w:rPr>
        <w:t xml:space="preserve"> (θ ≥ θ</w:t>
      </w:r>
      <w:r w:rsidR="0045551D" w:rsidRPr="004A68AC">
        <w:rPr>
          <w:szCs w:val="20"/>
          <w:vertAlign w:val="subscript"/>
          <w:lang w:val="en-US"/>
        </w:rPr>
        <w:t>y</w:t>
      </w:r>
      <w:r w:rsidR="0045551D" w:rsidRPr="004A68AC">
        <w:rPr>
          <w:szCs w:val="20"/>
          <w:lang w:val="en-US"/>
        </w:rPr>
        <w:t xml:space="preserve"> | IM), as observed in </w:t>
      </w:r>
      <w:r w:rsidR="0045551D" w:rsidRPr="004A68AC">
        <w:rPr>
          <w:szCs w:val="20"/>
          <w:lang w:val="en-US" w:eastAsia="it-IT"/>
        </w:rPr>
        <w:fldChar w:fldCharType="begin" w:fldLock="1"/>
      </w:r>
      <w:r w:rsidR="0045551D" w:rsidRPr="004A68AC">
        <w:rPr>
          <w:szCs w:val="20"/>
          <w:lang w:val="en-US" w:eastAsia="it-IT"/>
        </w:rPr>
        <w:instrText xml:space="preserve"> REF _Ref41655268 \h  \* MERGEFORMAT </w:instrText>
      </w:r>
      <w:r w:rsidR="0045551D" w:rsidRPr="004A68AC">
        <w:rPr>
          <w:szCs w:val="20"/>
          <w:lang w:val="en-US" w:eastAsia="it-IT"/>
        </w:rPr>
      </w:r>
      <w:r w:rsidR="0045551D" w:rsidRPr="004A68AC">
        <w:rPr>
          <w:szCs w:val="20"/>
          <w:lang w:val="en-US" w:eastAsia="it-IT"/>
        </w:rPr>
        <w:fldChar w:fldCharType="separate"/>
      </w:r>
      <w:r w:rsidR="0045551D" w:rsidRPr="004A68AC">
        <w:rPr>
          <w:bCs/>
          <w:szCs w:val="20"/>
          <w:lang w:val="en-US"/>
        </w:rPr>
        <w:t xml:space="preserve">Figure </w:t>
      </w:r>
      <w:r w:rsidR="0045551D" w:rsidRPr="004A68AC">
        <w:rPr>
          <w:bCs/>
          <w:noProof/>
          <w:szCs w:val="20"/>
          <w:lang w:val="en-US"/>
        </w:rPr>
        <w:t>10</w:t>
      </w:r>
      <w:r w:rsidR="0045551D" w:rsidRPr="004A68AC">
        <w:rPr>
          <w:szCs w:val="20"/>
          <w:lang w:val="en-US" w:eastAsia="it-IT"/>
        </w:rPr>
        <w:fldChar w:fldCharType="end"/>
      </w:r>
      <w:r w:rsidR="0045551D" w:rsidRPr="004A68AC">
        <w:rPr>
          <w:szCs w:val="20"/>
          <w:lang w:val="en-US" w:eastAsia="it-IT"/>
        </w:rPr>
        <w:t>. The assumption of lognormality simplifies the analysis of the results and allows the description of the fragility functions in two synthetic parameters: the median fragility capacity IM</w:t>
      </w:r>
      <w:r w:rsidR="0045551D" w:rsidRPr="004A68AC">
        <w:rPr>
          <w:szCs w:val="20"/>
          <w:vertAlign w:val="subscript"/>
          <w:lang w:val="en-US" w:eastAsia="it-IT"/>
        </w:rPr>
        <w:t>50</w:t>
      </w:r>
      <w:r w:rsidR="0045551D" w:rsidRPr="004A68AC">
        <w:rPr>
          <w:szCs w:val="20"/>
          <w:lang w:val="en-US" w:eastAsia="it-IT"/>
        </w:rPr>
        <w:t xml:space="preserve"> (</w:t>
      </w:r>
      <w:r w:rsidR="0045551D" w:rsidRPr="004A68AC">
        <w:rPr>
          <w:i/>
          <w:szCs w:val="20"/>
          <w:lang w:val="en-US" w:eastAsia="it-IT"/>
        </w:rPr>
        <w:t>i.e.</w:t>
      </w:r>
      <w:r w:rsidR="0045551D" w:rsidRPr="004A68AC">
        <w:rPr>
          <w:szCs w:val="20"/>
          <w:lang w:val="en-US" w:eastAsia="it-IT"/>
        </w:rPr>
        <w:t xml:space="preserve">, the IM corresponding to 50% probability of exceedance), and the standard deviation </w:t>
      </w:r>
      <w:r w:rsidR="0045551D" w:rsidRPr="004A68AC">
        <w:rPr>
          <w:szCs w:val="20"/>
        </w:rPr>
        <w:t xml:space="preserve">β </w:t>
      </w:r>
      <w:r w:rsidR="0045551D" w:rsidRPr="004A68AC">
        <w:rPr>
          <w:szCs w:val="20"/>
        </w:rPr>
        <w:fldChar w:fldCharType="begin" w:fldLock="1"/>
      </w:r>
      <w:r w:rsidR="005C2936" w:rsidRPr="004A68AC">
        <w:rPr>
          <w:szCs w:val="20"/>
        </w:rPr>
        <w:instrText>ADDIN CSL_CITATION {"citationItems":[{"id":"ITEM-1","itemData":{"DOI":"10.1002/eqe.2255","author":[{"dropping-particle":"","family":"Freddi","given":"Fabio","non-dropping-particle":"","parse-names":false,"suffix":""},{"dropping-particle":"","family":"Tubaldi","given":"Enrico","non-dropping-particle":"","parse-names":false,"suffix":""},{"dropping-particle":"","family":"Ragni","given":"Laura","non-dropping-particle":"","parse-names":false,"suffix":""},{"dropping-particle":"","family":"Dall'Asta","given":"Andrea","non-dropping-particle":"","parse-names":false,"suffix":""}],"container-title":"Earthquake Engineering and Structural Dynamics","id":"ITEM-1","issued":{"date-parts":[["2013"]]},"page":"993-1011","title":"Probabilistic performance assessment of low-ductility reinforced concrete frames retrofitted with dissipative braces","type":"article-journal","volume":"42"},"uris":["http://www.mendeley.com/documents/?uuid=a02259b7-0d93-4523-8009-03140a8161f5"]}],"mendeley":{"formattedCitation":"[33]","plainTextFormattedCitation":"[33]","previouslyFormattedCitation":"[33]"},"properties":{"noteIndex":0},"schema":"https://github.com/citation-style-language/schema/raw/master/csl-citation.json"}</w:instrText>
      </w:r>
      <w:r w:rsidR="0045551D" w:rsidRPr="004A68AC">
        <w:rPr>
          <w:szCs w:val="20"/>
        </w:rPr>
        <w:fldChar w:fldCharType="separate"/>
      </w:r>
      <w:r w:rsidR="005E41A8" w:rsidRPr="004A68AC">
        <w:rPr>
          <w:noProof/>
          <w:szCs w:val="20"/>
        </w:rPr>
        <w:t>[33]</w:t>
      </w:r>
      <w:r w:rsidR="0045551D" w:rsidRPr="004A68AC">
        <w:rPr>
          <w:szCs w:val="20"/>
        </w:rPr>
        <w:fldChar w:fldCharType="end"/>
      </w:r>
      <w:r w:rsidR="0045551D" w:rsidRPr="004A68AC">
        <w:rPr>
          <w:szCs w:val="20"/>
        </w:rPr>
        <w:t xml:space="preserve">, which are reported in </w:t>
      </w:r>
      <w:r w:rsidR="0045551D" w:rsidRPr="004A68AC">
        <w:rPr>
          <w:szCs w:val="20"/>
          <w:lang w:val="en-US" w:eastAsia="it-IT"/>
        </w:rPr>
        <w:fldChar w:fldCharType="begin" w:fldLock="1"/>
      </w:r>
      <w:r w:rsidR="0045551D" w:rsidRPr="004A68AC">
        <w:rPr>
          <w:szCs w:val="20"/>
          <w:lang w:val="en-US" w:eastAsia="it-IT"/>
        </w:rPr>
        <w:instrText xml:space="preserve"> REF _Ref47999877 \h  \* MERGEFORMAT </w:instrText>
      </w:r>
      <w:r w:rsidR="0045551D" w:rsidRPr="004A68AC">
        <w:rPr>
          <w:szCs w:val="20"/>
          <w:lang w:val="en-US" w:eastAsia="it-IT"/>
        </w:rPr>
      </w:r>
      <w:r w:rsidR="0045551D" w:rsidRPr="004A68AC">
        <w:rPr>
          <w:szCs w:val="20"/>
          <w:lang w:val="en-US" w:eastAsia="it-IT"/>
        </w:rPr>
        <w:fldChar w:fldCharType="separate"/>
      </w:r>
      <w:r w:rsidR="0045551D" w:rsidRPr="004A68AC">
        <w:rPr>
          <w:szCs w:val="20"/>
          <w:lang w:val="en-US"/>
        </w:rPr>
        <w:t xml:space="preserve">Table </w:t>
      </w:r>
      <w:r w:rsidR="0045551D" w:rsidRPr="004A68AC">
        <w:rPr>
          <w:noProof/>
          <w:szCs w:val="20"/>
          <w:lang w:val="en-US"/>
        </w:rPr>
        <w:t>9</w:t>
      </w:r>
      <w:r w:rsidR="0045551D" w:rsidRPr="004A68AC">
        <w:rPr>
          <w:szCs w:val="20"/>
          <w:lang w:val="en-US" w:eastAsia="it-IT"/>
        </w:rPr>
        <w:fldChar w:fldCharType="end"/>
      </w:r>
      <w:r w:rsidR="0045551D" w:rsidRPr="004A68AC">
        <w:rPr>
          <w:szCs w:val="20"/>
        </w:rPr>
        <w:t xml:space="preserve">. </w:t>
      </w:r>
      <w:r w:rsidR="0045551D" w:rsidRPr="004A68AC">
        <w:rPr>
          <w:szCs w:val="20"/>
          <w:lang w:val="en-US" w:eastAsia="it-IT"/>
        </w:rPr>
        <w:t xml:space="preserve">In addition to the fragility curves parameters, </w:t>
      </w:r>
      <w:r w:rsidR="0045551D" w:rsidRPr="004A68AC">
        <w:rPr>
          <w:szCs w:val="20"/>
          <w:lang w:val="en-US" w:eastAsia="it-IT"/>
        </w:rPr>
        <w:fldChar w:fldCharType="begin" w:fldLock="1"/>
      </w:r>
      <w:r w:rsidR="0045551D" w:rsidRPr="004A68AC">
        <w:rPr>
          <w:szCs w:val="20"/>
          <w:lang w:val="en-US" w:eastAsia="it-IT"/>
        </w:rPr>
        <w:instrText xml:space="preserve"> REF _Ref47999877 \h  \* MERGEFORMAT </w:instrText>
      </w:r>
      <w:r w:rsidR="0045551D" w:rsidRPr="004A68AC">
        <w:rPr>
          <w:szCs w:val="20"/>
          <w:lang w:val="en-US" w:eastAsia="it-IT"/>
        </w:rPr>
      </w:r>
      <w:r w:rsidR="0045551D" w:rsidRPr="004A68AC">
        <w:rPr>
          <w:szCs w:val="20"/>
          <w:lang w:val="en-US" w:eastAsia="it-IT"/>
        </w:rPr>
        <w:fldChar w:fldCharType="separate"/>
      </w:r>
      <w:r w:rsidR="0045551D" w:rsidRPr="004A68AC">
        <w:rPr>
          <w:szCs w:val="20"/>
          <w:lang w:val="en-US"/>
        </w:rPr>
        <w:t xml:space="preserve">Table </w:t>
      </w:r>
      <w:r w:rsidR="0045551D" w:rsidRPr="004A68AC">
        <w:rPr>
          <w:noProof/>
          <w:szCs w:val="20"/>
          <w:lang w:val="en-US"/>
        </w:rPr>
        <w:t>9</w:t>
      </w:r>
      <w:r w:rsidR="0045551D" w:rsidRPr="004A68AC">
        <w:rPr>
          <w:szCs w:val="20"/>
          <w:lang w:val="en-US" w:eastAsia="it-IT"/>
        </w:rPr>
        <w:fldChar w:fldCharType="end"/>
      </w:r>
      <w:r w:rsidR="0045551D" w:rsidRPr="004A68AC">
        <w:rPr>
          <w:szCs w:val="20"/>
          <w:lang w:val="en-US" w:eastAsia="it-IT"/>
        </w:rPr>
        <w:t xml:space="preserve"> shows a comparison between IM</w:t>
      </w:r>
      <w:r w:rsidR="0045551D" w:rsidRPr="004A68AC">
        <w:rPr>
          <w:szCs w:val="20"/>
          <w:vertAlign w:val="subscript"/>
          <w:lang w:val="en-US" w:eastAsia="it-IT"/>
        </w:rPr>
        <w:t>50</w:t>
      </w:r>
      <w:r w:rsidR="0045551D" w:rsidRPr="004A68AC">
        <w:rPr>
          <w:szCs w:val="20"/>
          <w:lang w:val="en-US" w:eastAsia="it-IT"/>
        </w:rPr>
        <w:t xml:space="preserve"> with respect to the fiber-based model.</w:t>
      </w:r>
    </w:p>
    <w:p w14:paraId="236B5A01" w14:textId="77777777" w:rsidR="001927E1" w:rsidRPr="004A68AC" w:rsidRDefault="001927E1" w:rsidP="0045551D">
      <w:pPr>
        <w:rPr>
          <w:szCs w:val="20"/>
          <w:lang w:val="en-US" w:eastAsia="it-IT"/>
        </w:rPr>
      </w:pPr>
    </w:p>
    <w:p w14:paraId="54377E50" w14:textId="3DE39866" w:rsidR="0045551D" w:rsidRPr="004A68AC" w:rsidRDefault="0045551D" w:rsidP="0045551D">
      <w:pPr>
        <w:rPr>
          <w:szCs w:val="20"/>
          <w:lang w:val="en-US" w:eastAsia="it-IT"/>
        </w:rPr>
      </w:pPr>
      <w:r w:rsidRPr="004A68AC">
        <w:rPr>
          <w:szCs w:val="20"/>
          <w:lang w:val="en-US" w:eastAsia="it-IT"/>
        </w:rPr>
        <w:t xml:space="preserve">     </w:t>
      </w:r>
      <w:r w:rsidR="00E41018" w:rsidRPr="004A68AC">
        <w:rPr>
          <w:szCs w:val="20"/>
          <w:lang w:val="en-US" w:eastAsia="it-IT"/>
        </w:rPr>
        <w:t>F</w:t>
      </w:r>
      <w:r w:rsidRPr="004A68AC">
        <w:rPr>
          <w:szCs w:val="20"/>
          <w:lang w:val="en-US" w:eastAsia="it-IT"/>
        </w:rPr>
        <w:t xml:space="preserve">ragility curves to represent the </w:t>
      </w:r>
      <w:r w:rsidRPr="004A68AC">
        <w:rPr>
          <w:i/>
          <w:szCs w:val="20"/>
          <w:lang w:val="en-US"/>
        </w:rPr>
        <w:t>P</w:t>
      </w:r>
      <w:r w:rsidRPr="004A68AC">
        <w:rPr>
          <w:szCs w:val="20"/>
          <w:lang w:val="en-US"/>
        </w:rPr>
        <w:t xml:space="preserve"> (θ ≥ θ</w:t>
      </w:r>
      <w:r w:rsidRPr="004A68AC">
        <w:rPr>
          <w:szCs w:val="20"/>
          <w:vertAlign w:val="subscript"/>
          <w:lang w:val="en-US"/>
        </w:rPr>
        <w:t>y</w:t>
      </w:r>
      <w:r w:rsidRPr="004A68AC">
        <w:rPr>
          <w:szCs w:val="20"/>
          <w:lang w:val="en-US"/>
        </w:rPr>
        <w:t xml:space="preserve"> | IM) for each individual column ends are derived to identify the most fragile fiber-based column elements. The value of θ</w:t>
      </w:r>
      <w:r w:rsidRPr="004A68AC">
        <w:rPr>
          <w:szCs w:val="20"/>
          <w:vertAlign w:val="subscript"/>
          <w:lang w:val="en-US"/>
        </w:rPr>
        <w:t>y</w:t>
      </w:r>
      <w:r w:rsidRPr="004A68AC">
        <w:rPr>
          <w:szCs w:val="20"/>
          <w:lang w:val="en-US"/>
        </w:rPr>
        <w:t xml:space="preserve"> is established as</w:t>
      </w:r>
      <w:r w:rsidRPr="004A68AC">
        <w:rPr>
          <w:szCs w:val="20"/>
          <w:lang w:val="en-US" w:eastAsia="it-IT"/>
        </w:rPr>
        <w:t xml:space="preserve"> the chord rotation when the first column fiber yields. As it can be observed in </w:t>
      </w:r>
      <w:r w:rsidRPr="004A68AC">
        <w:rPr>
          <w:szCs w:val="20"/>
          <w:lang w:val="en-US" w:eastAsia="it-IT"/>
        </w:rPr>
        <w:fldChar w:fldCharType="begin" w:fldLock="1"/>
      </w:r>
      <w:r w:rsidRPr="004A68AC">
        <w:rPr>
          <w:szCs w:val="20"/>
          <w:lang w:val="en-US" w:eastAsia="it-IT"/>
        </w:rPr>
        <w:instrText xml:space="preserve"> REF _Ref41655268 \h  \* MERGEFORMAT </w:instrText>
      </w:r>
      <w:r w:rsidRPr="004A68AC">
        <w:rPr>
          <w:szCs w:val="20"/>
          <w:lang w:val="en-US" w:eastAsia="it-IT"/>
        </w:rPr>
      </w:r>
      <w:r w:rsidRPr="004A68AC">
        <w:rPr>
          <w:szCs w:val="20"/>
          <w:lang w:val="en-US" w:eastAsia="it-IT"/>
        </w:rPr>
        <w:fldChar w:fldCharType="separate"/>
      </w:r>
      <w:r w:rsidRPr="004A68AC">
        <w:rPr>
          <w:bCs/>
          <w:szCs w:val="20"/>
          <w:lang w:val="en-US"/>
        </w:rPr>
        <w:t xml:space="preserve">Figure </w:t>
      </w:r>
      <w:r w:rsidRPr="004A68AC">
        <w:rPr>
          <w:bCs/>
          <w:noProof/>
          <w:szCs w:val="20"/>
          <w:lang w:val="en-US"/>
        </w:rPr>
        <w:t>10</w:t>
      </w:r>
      <w:r w:rsidRPr="004A68AC">
        <w:rPr>
          <w:szCs w:val="20"/>
          <w:lang w:val="en-US" w:eastAsia="it-IT"/>
        </w:rPr>
        <w:fldChar w:fldCharType="end"/>
      </w:r>
      <w:r w:rsidRPr="004A68AC">
        <w:rPr>
          <w:szCs w:val="20"/>
          <w:lang w:val="en-US" w:eastAsia="it-IT"/>
        </w:rPr>
        <w:t xml:space="preserve">(a), the columns in the base of 3B are the most fragile. In a similar way, </w:t>
      </w:r>
      <w:r w:rsidRPr="004A68AC">
        <w:rPr>
          <w:szCs w:val="20"/>
          <w:lang w:val="en-US" w:eastAsia="it-IT"/>
        </w:rPr>
        <w:fldChar w:fldCharType="begin" w:fldLock="1"/>
      </w:r>
      <w:r w:rsidRPr="004A68AC">
        <w:rPr>
          <w:szCs w:val="20"/>
          <w:lang w:val="en-US" w:eastAsia="it-IT"/>
        </w:rPr>
        <w:instrText xml:space="preserve"> REF _Ref41655268 \h  \* MERGEFORMAT </w:instrText>
      </w:r>
      <w:r w:rsidRPr="004A68AC">
        <w:rPr>
          <w:szCs w:val="20"/>
          <w:lang w:val="en-US" w:eastAsia="it-IT"/>
        </w:rPr>
      </w:r>
      <w:r w:rsidRPr="004A68AC">
        <w:rPr>
          <w:szCs w:val="20"/>
          <w:lang w:val="en-US" w:eastAsia="it-IT"/>
        </w:rPr>
        <w:fldChar w:fldCharType="separate"/>
      </w:r>
      <w:r w:rsidRPr="004A68AC">
        <w:rPr>
          <w:bCs/>
          <w:szCs w:val="20"/>
          <w:lang w:val="en-US"/>
        </w:rPr>
        <w:t xml:space="preserve">Figure </w:t>
      </w:r>
      <w:r w:rsidRPr="004A68AC">
        <w:rPr>
          <w:bCs/>
          <w:noProof/>
          <w:szCs w:val="20"/>
          <w:lang w:val="en-US"/>
        </w:rPr>
        <w:t>10</w:t>
      </w:r>
      <w:r w:rsidRPr="004A68AC">
        <w:rPr>
          <w:szCs w:val="20"/>
          <w:lang w:val="en-US" w:eastAsia="it-IT"/>
        </w:rPr>
        <w:fldChar w:fldCharType="end"/>
      </w:r>
      <w:r w:rsidRPr="004A68AC">
        <w:rPr>
          <w:szCs w:val="20"/>
          <w:lang w:val="en-US" w:eastAsia="it-IT"/>
        </w:rPr>
        <w:t>(b) shows that the columns above the base of 9B (</w:t>
      </w:r>
      <w:r w:rsidRPr="004A68AC">
        <w:rPr>
          <w:i/>
          <w:szCs w:val="20"/>
          <w:lang w:val="en-US" w:eastAsia="it-IT"/>
        </w:rPr>
        <w:t>i.e.</w:t>
      </w:r>
      <w:r w:rsidRPr="004A68AC">
        <w:rPr>
          <w:szCs w:val="20"/>
          <w:lang w:val="en-US" w:eastAsia="it-IT"/>
        </w:rPr>
        <w:t xml:space="preserve">, columns between stories 0 and 1) are the most fragile, however, unlike 3B, </w:t>
      </w:r>
      <w:r w:rsidR="00E41018" w:rsidRPr="004A68AC">
        <w:rPr>
          <w:szCs w:val="20"/>
          <w:lang w:val="en-US" w:eastAsia="it-IT"/>
        </w:rPr>
        <w:t>they exhibit a similar probability of yielding as other columns, due to their lack of fixed supports at the base</w:t>
      </w:r>
      <w:r w:rsidRPr="004A68AC">
        <w:rPr>
          <w:szCs w:val="20"/>
          <w:lang w:val="en-US" w:eastAsia="it-IT"/>
        </w:rPr>
        <w:t>.</w:t>
      </w:r>
    </w:p>
    <w:p w14:paraId="38F034F1" w14:textId="77777777" w:rsidR="00AB73B2" w:rsidRPr="004A68AC" w:rsidRDefault="00AB73B2" w:rsidP="0045551D">
      <w:pPr>
        <w:rPr>
          <w:szCs w:val="20"/>
          <w:lang w:val="en-US"/>
        </w:rPr>
      </w:pPr>
    </w:p>
    <w:p w14:paraId="25B01187" w14:textId="24C8D049" w:rsidR="00286CD1" w:rsidRPr="004A68AC" w:rsidRDefault="008D08BA" w:rsidP="00A34510">
      <w:pPr>
        <w:rPr>
          <w:szCs w:val="20"/>
          <w:lang w:val="en-US" w:eastAsia="it-IT"/>
        </w:rPr>
      </w:pPr>
      <w:r w:rsidRPr="004A68AC">
        <w:rPr>
          <w:szCs w:val="20"/>
          <w:lang w:val="en-US" w:eastAsia="it-IT"/>
        </w:rPr>
        <w:t xml:space="preserve">     </w:t>
      </w:r>
      <w:r w:rsidR="009C3471" w:rsidRPr="004A68AC">
        <w:rPr>
          <w:szCs w:val="20"/>
          <w:lang w:val="en-US" w:eastAsia="it-IT"/>
        </w:rPr>
        <w:t>F</w:t>
      </w:r>
      <w:r w:rsidRPr="004A68AC">
        <w:rPr>
          <w:szCs w:val="20"/>
          <w:lang w:val="en-US" w:eastAsia="it-IT"/>
        </w:rPr>
        <w:t xml:space="preserve">ragility curves to represent </w:t>
      </w:r>
      <w:r w:rsidR="00286CD1" w:rsidRPr="004A68AC">
        <w:rPr>
          <w:szCs w:val="20"/>
          <w:lang w:val="en-US" w:eastAsia="it-IT"/>
        </w:rPr>
        <w:t xml:space="preserve">all the </w:t>
      </w:r>
      <w:r w:rsidR="00286CD1" w:rsidRPr="004A68AC">
        <w:rPr>
          <w:i/>
          <w:szCs w:val="20"/>
          <w:lang w:val="en-US"/>
        </w:rPr>
        <w:t>P</w:t>
      </w:r>
      <w:r w:rsidR="00286CD1" w:rsidRPr="004A68AC">
        <w:rPr>
          <w:szCs w:val="20"/>
          <w:lang w:val="en-US"/>
        </w:rPr>
        <w:t xml:space="preserve"> (θ ≥ θ</w:t>
      </w:r>
      <w:r w:rsidR="00286CD1" w:rsidRPr="004A68AC">
        <w:rPr>
          <w:szCs w:val="20"/>
          <w:vertAlign w:val="subscript"/>
          <w:lang w:val="en-US"/>
        </w:rPr>
        <w:t>y</w:t>
      </w:r>
      <w:r w:rsidR="00286CD1" w:rsidRPr="004A68AC">
        <w:rPr>
          <w:szCs w:val="20"/>
          <w:lang w:val="en-US"/>
        </w:rPr>
        <w:t xml:space="preserve"> | IM) in all the columns </w:t>
      </w:r>
      <w:r w:rsidR="00192819" w:rsidRPr="004A68AC">
        <w:rPr>
          <w:szCs w:val="20"/>
          <w:lang w:val="en-US"/>
        </w:rPr>
        <w:t>are</w:t>
      </w:r>
      <w:r w:rsidR="00286CD1" w:rsidRPr="004A68AC">
        <w:rPr>
          <w:szCs w:val="20"/>
          <w:lang w:val="en-US"/>
        </w:rPr>
        <w:t xml:space="preserve"> derived</w:t>
      </w:r>
      <w:r w:rsidR="00CF098A" w:rsidRPr="004A68AC">
        <w:rPr>
          <w:szCs w:val="20"/>
          <w:lang w:val="en-US"/>
        </w:rPr>
        <w:t xml:space="preserve"> (</w:t>
      </w:r>
      <w:r w:rsidR="00CF098A" w:rsidRPr="004A68AC">
        <w:rPr>
          <w:i/>
          <w:szCs w:val="20"/>
          <w:lang w:val="en-US"/>
        </w:rPr>
        <w:t>i.e.</w:t>
      </w:r>
      <w:r w:rsidR="00CF098A" w:rsidRPr="004A68AC">
        <w:rPr>
          <w:szCs w:val="20"/>
          <w:lang w:val="en-US"/>
        </w:rPr>
        <w:t xml:space="preserve">, the failure in one component is considered as the </w:t>
      </w:r>
      <w:r w:rsidR="00E41018" w:rsidRPr="004A68AC">
        <w:rPr>
          <w:szCs w:val="20"/>
          <w:lang w:val="en-US"/>
        </w:rPr>
        <w:t xml:space="preserve">column </w:t>
      </w:r>
      <w:r w:rsidR="00CF098A" w:rsidRPr="004A68AC">
        <w:rPr>
          <w:szCs w:val="20"/>
          <w:lang w:val="en-US"/>
        </w:rPr>
        <w:t>system failure)</w:t>
      </w:r>
      <w:r w:rsidR="00286CD1" w:rsidRPr="004A68AC">
        <w:rPr>
          <w:szCs w:val="20"/>
          <w:lang w:val="en-US"/>
        </w:rPr>
        <w:t>. First, similarly to the individual fragility curves, the value of θ</w:t>
      </w:r>
      <w:r w:rsidR="00286CD1" w:rsidRPr="004A68AC">
        <w:rPr>
          <w:szCs w:val="20"/>
          <w:vertAlign w:val="subscript"/>
          <w:lang w:val="en-US"/>
        </w:rPr>
        <w:t>y</w:t>
      </w:r>
      <w:r w:rsidR="00286CD1" w:rsidRPr="004A68AC">
        <w:rPr>
          <w:szCs w:val="20"/>
          <w:lang w:val="en-US" w:eastAsia="it-IT"/>
        </w:rPr>
        <w:t xml:space="preserve"> </w:t>
      </w:r>
      <w:r w:rsidR="00192819" w:rsidRPr="004A68AC">
        <w:rPr>
          <w:szCs w:val="20"/>
          <w:lang w:val="en-US" w:eastAsia="it-IT"/>
        </w:rPr>
        <w:t>is</w:t>
      </w:r>
      <w:r w:rsidR="00286CD1" w:rsidRPr="004A68AC">
        <w:rPr>
          <w:szCs w:val="20"/>
          <w:lang w:val="en-US" w:eastAsia="it-IT"/>
        </w:rPr>
        <w:t xml:space="preserve"> established based on the fiber model. Then, different values of </w:t>
      </w:r>
      <w:r w:rsidR="00286CD1" w:rsidRPr="004A68AC">
        <w:rPr>
          <w:szCs w:val="20"/>
          <w:lang w:val="en-US"/>
        </w:rPr>
        <w:t>θ</w:t>
      </w:r>
      <w:r w:rsidR="00286CD1" w:rsidRPr="004A68AC">
        <w:rPr>
          <w:szCs w:val="20"/>
          <w:vertAlign w:val="subscript"/>
          <w:lang w:val="en-US"/>
        </w:rPr>
        <w:t>y</w:t>
      </w:r>
      <w:r w:rsidR="00286CD1" w:rsidRPr="004A68AC">
        <w:rPr>
          <w:szCs w:val="20"/>
          <w:lang w:val="en-US" w:eastAsia="it-IT"/>
        </w:rPr>
        <w:t xml:space="preserve"> corresponding to Eqs. 1, 2 and 3,</w:t>
      </w:r>
      <w:r w:rsidR="00227125" w:rsidRPr="004A68AC">
        <w:rPr>
          <w:szCs w:val="20"/>
          <w:lang w:val="en-US" w:eastAsia="it-IT"/>
        </w:rPr>
        <w:t xml:space="preserve"> are used to represent</w:t>
      </w:r>
      <w:r w:rsidR="00286CD1" w:rsidRPr="004A68AC">
        <w:rPr>
          <w:szCs w:val="20"/>
          <w:lang w:val="en-US" w:eastAsia="it-IT"/>
        </w:rPr>
        <w:t xml:space="preserve"> the</w:t>
      </w:r>
      <w:r w:rsidR="00227125" w:rsidRPr="004A68AC">
        <w:rPr>
          <w:szCs w:val="20"/>
          <w:lang w:val="en-US" w:eastAsia="it-IT"/>
        </w:rPr>
        <w:t xml:space="preserve"> fragility according to the</w:t>
      </w:r>
      <w:r w:rsidR="00286CD1" w:rsidRPr="004A68AC">
        <w:rPr>
          <w:szCs w:val="20"/>
          <w:lang w:val="en-US" w:eastAsia="it-IT"/>
        </w:rPr>
        <w:t xml:space="preserve"> EC8-3 </w:t>
      </w:r>
      <w:r w:rsidR="00286CD1"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286CD1" w:rsidRPr="004A68AC">
        <w:rPr>
          <w:szCs w:val="20"/>
          <w:lang w:val="en-US" w:eastAsia="it-IT"/>
        </w:rPr>
        <w:fldChar w:fldCharType="separate"/>
      </w:r>
      <w:r w:rsidR="00855F83" w:rsidRPr="004A68AC">
        <w:rPr>
          <w:noProof/>
          <w:szCs w:val="20"/>
          <w:lang w:val="en-US" w:eastAsia="it-IT"/>
        </w:rPr>
        <w:t>[13]</w:t>
      </w:r>
      <w:r w:rsidR="00286CD1" w:rsidRPr="004A68AC">
        <w:rPr>
          <w:szCs w:val="20"/>
          <w:lang w:val="en-US" w:eastAsia="it-IT"/>
        </w:rPr>
        <w:fldChar w:fldCharType="end"/>
      </w:r>
      <w:r w:rsidR="00286CD1" w:rsidRPr="004A68AC">
        <w:rPr>
          <w:szCs w:val="20"/>
          <w:lang w:val="en-US" w:eastAsia="it-IT"/>
        </w:rPr>
        <w:t xml:space="preserve">, the ASCE 41-06/13 </w:t>
      </w:r>
      <w:r w:rsidR="00286CD1"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286CD1" w:rsidRPr="004A68AC">
        <w:rPr>
          <w:szCs w:val="20"/>
          <w:lang w:val="en-US" w:eastAsia="it-IT"/>
        </w:rPr>
        <w:fldChar w:fldCharType="separate"/>
      </w:r>
      <w:r w:rsidR="00286CD1" w:rsidRPr="004A68AC">
        <w:rPr>
          <w:noProof/>
          <w:szCs w:val="20"/>
          <w:lang w:val="en-US" w:eastAsia="it-IT"/>
        </w:rPr>
        <w:t>[15,18]</w:t>
      </w:r>
      <w:r w:rsidR="00286CD1" w:rsidRPr="004A68AC">
        <w:rPr>
          <w:szCs w:val="20"/>
          <w:lang w:val="en-US" w:eastAsia="it-IT"/>
        </w:rPr>
        <w:fldChar w:fldCharType="end"/>
      </w:r>
      <w:r w:rsidR="00286CD1" w:rsidRPr="004A68AC">
        <w:rPr>
          <w:szCs w:val="20"/>
          <w:lang w:val="en-US" w:eastAsia="it-IT"/>
        </w:rPr>
        <w:t xml:space="preserve"> and the ASCE 41-17 </w:t>
      </w:r>
      <w:r w:rsidR="00286CD1" w:rsidRPr="004A68AC">
        <w:rPr>
          <w:szCs w:val="20"/>
          <w:lang w:val="en-US" w:eastAsia="it-IT"/>
        </w:rPr>
        <w:fldChar w:fldCharType="begin" w:fldLock="1"/>
      </w:r>
      <w:r w:rsidR="005C47A3" w:rsidRPr="004A68AC">
        <w:rPr>
          <w:szCs w:val="20"/>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286CD1" w:rsidRPr="004A68AC">
        <w:rPr>
          <w:szCs w:val="20"/>
          <w:lang w:val="en-US" w:eastAsia="it-IT"/>
        </w:rPr>
        <w:fldChar w:fldCharType="separate"/>
      </w:r>
      <w:r w:rsidR="00286CD1" w:rsidRPr="004A68AC">
        <w:rPr>
          <w:noProof/>
          <w:szCs w:val="20"/>
          <w:lang w:val="en-US" w:eastAsia="it-IT"/>
        </w:rPr>
        <w:t>[19]</w:t>
      </w:r>
      <w:r w:rsidR="00286CD1" w:rsidRPr="004A68AC">
        <w:rPr>
          <w:szCs w:val="20"/>
          <w:lang w:val="en-US" w:eastAsia="it-IT"/>
        </w:rPr>
        <w:fldChar w:fldCharType="end"/>
      </w:r>
      <w:r w:rsidR="00286CD1" w:rsidRPr="004A68AC">
        <w:rPr>
          <w:szCs w:val="20"/>
          <w:lang w:val="en-US" w:eastAsia="it-IT"/>
        </w:rPr>
        <w:t>, respectively.</w:t>
      </w:r>
      <w:r w:rsidR="00FF316D" w:rsidRPr="004A68AC">
        <w:rPr>
          <w:szCs w:val="20"/>
          <w:lang w:val="en-US" w:eastAsia="it-IT"/>
        </w:rPr>
        <w:t xml:space="preserve"> </w:t>
      </w:r>
      <w:r w:rsidR="00227125" w:rsidRPr="004A68AC">
        <w:rPr>
          <w:szCs w:val="20"/>
          <w:lang w:val="en-US" w:eastAsia="it-IT"/>
        </w:rPr>
        <w:t xml:space="preserve">Moreover, the definition of </w:t>
      </w:r>
      <w:r w:rsidR="00227125" w:rsidRPr="004A68AC">
        <w:rPr>
          <w:szCs w:val="20"/>
          <w:lang w:val="en-US"/>
        </w:rPr>
        <w:t>θ</w:t>
      </w:r>
      <w:r w:rsidR="00227125" w:rsidRPr="004A68AC">
        <w:rPr>
          <w:szCs w:val="20"/>
          <w:vertAlign w:val="subscript"/>
          <w:lang w:val="en-US"/>
        </w:rPr>
        <w:t>y</w:t>
      </w:r>
      <w:r w:rsidR="00227125" w:rsidRPr="004A68AC">
        <w:rPr>
          <w:szCs w:val="20"/>
          <w:lang w:val="en-US" w:eastAsia="it-IT"/>
        </w:rPr>
        <w:t xml:space="preserve"> proposed by Lignos </w:t>
      </w:r>
      <w:r w:rsidR="00227125" w:rsidRPr="004A68AC">
        <w:rPr>
          <w:i/>
          <w:szCs w:val="20"/>
          <w:lang w:val="en-US" w:eastAsia="it-IT"/>
        </w:rPr>
        <w:t>et al.</w:t>
      </w:r>
      <w:r w:rsidR="00227125" w:rsidRPr="004A68AC">
        <w:rPr>
          <w:szCs w:val="20"/>
          <w:lang w:val="en-US" w:eastAsia="it-IT"/>
        </w:rPr>
        <w:t xml:space="preserve"> </w:t>
      </w:r>
      <w:r w:rsidR="00227125" w:rsidRPr="004A68AC">
        <w:rPr>
          <w:szCs w:val="20"/>
          <w:lang w:val="en-US" w:eastAsia="it-IT"/>
        </w:rPr>
        <w:fldChar w:fldCharType="begin" w:fldLock="1"/>
      </w:r>
      <w:r w:rsidR="000A27F6"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227125" w:rsidRPr="004A68AC">
        <w:rPr>
          <w:szCs w:val="20"/>
          <w:lang w:val="en-US" w:eastAsia="it-IT"/>
        </w:rPr>
        <w:fldChar w:fldCharType="separate"/>
      </w:r>
      <w:r w:rsidR="005C2936" w:rsidRPr="004A68AC">
        <w:rPr>
          <w:noProof/>
          <w:szCs w:val="20"/>
          <w:lang w:val="en-US" w:eastAsia="it-IT"/>
        </w:rPr>
        <w:t>[42]</w:t>
      </w:r>
      <w:r w:rsidR="00227125" w:rsidRPr="004A68AC">
        <w:rPr>
          <w:szCs w:val="20"/>
          <w:lang w:val="en-US" w:eastAsia="it-IT"/>
        </w:rPr>
        <w:fldChar w:fldCharType="end"/>
      </w:r>
      <w:r w:rsidR="00227125" w:rsidRPr="004A68AC">
        <w:rPr>
          <w:szCs w:val="20"/>
          <w:lang w:val="en-US" w:eastAsia="it-IT"/>
        </w:rPr>
        <w:t xml:space="preserve"> is used as an experimental-based reference, </w:t>
      </w:r>
      <w:r w:rsidR="00192819" w:rsidRPr="004A68AC">
        <w:rPr>
          <w:szCs w:val="20"/>
          <w:lang w:val="en-US" w:eastAsia="it-IT"/>
        </w:rPr>
        <w:t>as it is defined</w:t>
      </w:r>
      <w:r w:rsidR="00227125" w:rsidRPr="004A68AC">
        <w:rPr>
          <w:szCs w:val="20"/>
          <w:lang w:val="en-US" w:eastAsia="it-IT"/>
        </w:rPr>
        <w:t xml:space="preserve"> on regression models based on</w:t>
      </w:r>
      <w:r w:rsidR="00192819" w:rsidRPr="004A68AC">
        <w:rPr>
          <w:szCs w:val="20"/>
          <w:lang w:val="en-US" w:eastAsia="it-IT"/>
        </w:rPr>
        <w:t xml:space="preserve"> results from</w:t>
      </w:r>
      <w:r w:rsidR="00227125" w:rsidRPr="004A68AC">
        <w:rPr>
          <w:szCs w:val="20"/>
          <w:lang w:val="en-US" w:eastAsia="it-IT"/>
        </w:rPr>
        <w:t xml:space="preserve"> experimental campaigns and numerical simulations on </w:t>
      </w:r>
      <w:r w:rsidR="0016577E" w:rsidRPr="004A68AC">
        <w:rPr>
          <w:szCs w:val="20"/>
          <w:lang w:val="en-US" w:eastAsia="it-IT"/>
        </w:rPr>
        <w:t xml:space="preserve">W </w:t>
      </w:r>
      <w:r w:rsidR="00E54A70" w:rsidRPr="004A68AC">
        <w:rPr>
          <w:szCs w:val="20"/>
          <w:lang w:val="en-US" w:eastAsia="it-IT"/>
        </w:rPr>
        <w:t xml:space="preserve">steel </w:t>
      </w:r>
      <w:r w:rsidR="00227125" w:rsidRPr="004A68AC">
        <w:rPr>
          <w:szCs w:val="20"/>
          <w:lang w:val="en-US" w:eastAsia="it-IT"/>
        </w:rPr>
        <w:t>sections.</w:t>
      </w:r>
      <w:r w:rsidR="002508F6" w:rsidRPr="004A68AC">
        <w:rPr>
          <w:szCs w:val="20"/>
          <w:lang w:val="en-US" w:eastAsia="it-IT"/>
        </w:rPr>
        <w:t xml:space="preserve"> In addition, a fragility curve to represent the fiber-based yielding of</w:t>
      </w:r>
      <w:r w:rsidR="004731C9" w:rsidRPr="004A68AC">
        <w:rPr>
          <w:szCs w:val="20"/>
          <w:lang w:val="en-US" w:eastAsia="it-IT"/>
        </w:rPr>
        <w:t xml:space="preserve"> columns in</w:t>
      </w:r>
      <w:r w:rsidR="002508F6" w:rsidRPr="004A68AC">
        <w:rPr>
          <w:szCs w:val="20"/>
          <w:lang w:val="en-US" w:eastAsia="it-IT"/>
        </w:rPr>
        <w:t xml:space="preserve"> internal axes (</w:t>
      </w:r>
      <w:r w:rsidR="002508F6" w:rsidRPr="004A68AC">
        <w:rPr>
          <w:i/>
          <w:szCs w:val="20"/>
          <w:lang w:val="en-US" w:eastAsia="it-IT"/>
        </w:rPr>
        <w:t>i.e.</w:t>
      </w:r>
      <w:r w:rsidR="002508F6" w:rsidRPr="004A68AC">
        <w:rPr>
          <w:szCs w:val="20"/>
          <w:lang w:val="en-US" w:eastAsia="it-IT"/>
        </w:rPr>
        <w:t>, first column to yield within axes B, C and D) is derived for 9B, to represent the fragility of those columns that are not significantly affected by overturning effects (</w:t>
      </w:r>
      <w:r w:rsidR="002508F6" w:rsidRPr="004A68AC">
        <w:rPr>
          <w:i/>
          <w:szCs w:val="20"/>
          <w:lang w:val="en-US" w:eastAsia="it-IT"/>
        </w:rPr>
        <w:t>i.e.</w:t>
      </w:r>
      <w:r w:rsidR="002508F6" w:rsidRPr="004A68AC">
        <w:rPr>
          <w:szCs w:val="20"/>
          <w:lang w:val="en-US" w:eastAsia="it-IT"/>
        </w:rPr>
        <w:t>, mostly gravity axial loads considered).</w:t>
      </w:r>
    </w:p>
    <w:p w14:paraId="3A92C470" w14:textId="77777777" w:rsidR="001927E1" w:rsidRPr="004A68AC" w:rsidRDefault="001927E1" w:rsidP="00A34510">
      <w:pPr>
        <w:rPr>
          <w:szCs w:val="20"/>
          <w:lang w:val="en-US" w:eastAsia="it-IT"/>
        </w:rPr>
      </w:pPr>
    </w:p>
    <w:p w14:paraId="7BC4D0D0" w14:textId="1E9DE27C" w:rsidR="00EF76CA" w:rsidRPr="004A68AC" w:rsidRDefault="005110F9" w:rsidP="00A34510">
      <w:pPr>
        <w:rPr>
          <w:szCs w:val="20"/>
          <w:lang w:val="en-US" w:eastAsia="it-IT"/>
        </w:rPr>
      </w:pPr>
      <w:r w:rsidRPr="004A68AC">
        <w:rPr>
          <w:szCs w:val="20"/>
          <w:lang w:val="en-US" w:eastAsia="it-IT"/>
        </w:rPr>
        <w:t xml:space="preserve">     </w:t>
      </w:r>
      <w:r w:rsidR="00B1316E" w:rsidRPr="004A68AC">
        <w:rPr>
          <w:szCs w:val="20"/>
          <w:lang w:val="en-US" w:eastAsia="it-IT"/>
        </w:rPr>
        <w:t xml:space="preserve">As it can be observed in </w:t>
      </w:r>
      <w:r w:rsidR="00B1316E" w:rsidRPr="004A68AC">
        <w:rPr>
          <w:szCs w:val="20"/>
          <w:lang w:val="en-US" w:eastAsia="it-IT"/>
        </w:rPr>
        <w:fldChar w:fldCharType="begin" w:fldLock="1"/>
      </w:r>
      <w:r w:rsidR="00B1316E" w:rsidRPr="004A68AC">
        <w:rPr>
          <w:szCs w:val="20"/>
          <w:lang w:val="en-US" w:eastAsia="it-IT"/>
        </w:rPr>
        <w:instrText xml:space="preserve"> REF _Ref41655268 \h  \* MERGEFORMAT </w:instrText>
      </w:r>
      <w:r w:rsidR="00B1316E" w:rsidRPr="004A68AC">
        <w:rPr>
          <w:szCs w:val="20"/>
          <w:lang w:val="en-US" w:eastAsia="it-IT"/>
        </w:rPr>
      </w:r>
      <w:r w:rsidR="00B1316E" w:rsidRPr="004A68AC">
        <w:rPr>
          <w:szCs w:val="20"/>
          <w:lang w:val="en-US" w:eastAsia="it-IT"/>
        </w:rPr>
        <w:fldChar w:fldCharType="separate"/>
      </w:r>
      <w:r w:rsidR="00B1316E" w:rsidRPr="004A68AC">
        <w:rPr>
          <w:bCs/>
          <w:szCs w:val="20"/>
          <w:lang w:val="en-US"/>
        </w:rPr>
        <w:t xml:space="preserve">Figure </w:t>
      </w:r>
      <w:r w:rsidR="00B1316E" w:rsidRPr="004A68AC">
        <w:rPr>
          <w:bCs/>
          <w:noProof/>
          <w:szCs w:val="20"/>
          <w:lang w:val="en-US"/>
        </w:rPr>
        <w:t>10</w:t>
      </w:r>
      <w:r w:rsidR="00B1316E" w:rsidRPr="004A68AC">
        <w:rPr>
          <w:szCs w:val="20"/>
          <w:lang w:val="en-US" w:eastAsia="it-IT"/>
        </w:rPr>
        <w:fldChar w:fldCharType="end"/>
      </w:r>
      <w:r w:rsidR="00B1316E" w:rsidRPr="004A68AC">
        <w:rPr>
          <w:szCs w:val="20"/>
          <w:lang w:val="en-US" w:eastAsia="it-IT"/>
        </w:rPr>
        <w:t>(a),</w:t>
      </w:r>
      <w:r w:rsidR="0090320D" w:rsidRPr="004A68AC">
        <w:rPr>
          <w:szCs w:val="20"/>
          <w:lang w:val="en-US" w:eastAsia="it-IT"/>
        </w:rPr>
        <w:t xml:space="preserve"> for building 3B,</w:t>
      </w:r>
      <w:r w:rsidR="00B1316E" w:rsidRPr="004A68AC">
        <w:rPr>
          <w:szCs w:val="20"/>
          <w:lang w:val="en-US" w:eastAsia="it-IT"/>
        </w:rPr>
        <w:t xml:space="preserve"> the fragility curve derived </w:t>
      </w:r>
      <w:r w:rsidR="0090320D" w:rsidRPr="004A68AC">
        <w:rPr>
          <w:szCs w:val="20"/>
          <w:lang w:val="en-US" w:eastAsia="it-IT"/>
        </w:rPr>
        <w:t>from</w:t>
      </w:r>
      <w:r w:rsidR="00B1316E" w:rsidRPr="004A68AC">
        <w:rPr>
          <w:szCs w:val="20"/>
          <w:lang w:val="en-US" w:eastAsia="it-IT"/>
        </w:rPr>
        <w:t xml:space="preserve"> the fiber-based </w:t>
      </w:r>
      <w:r w:rsidR="00B1316E" w:rsidRPr="004A68AC">
        <w:rPr>
          <w:szCs w:val="20"/>
          <w:lang w:val="en-US"/>
        </w:rPr>
        <w:t>θ</w:t>
      </w:r>
      <w:r w:rsidR="00B1316E" w:rsidRPr="004A68AC">
        <w:rPr>
          <w:szCs w:val="20"/>
          <w:vertAlign w:val="subscript"/>
          <w:lang w:val="en-US"/>
        </w:rPr>
        <w:t>y</w:t>
      </w:r>
      <w:r w:rsidR="0090320D" w:rsidRPr="004A68AC">
        <w:rPr>
          <w:szCs w:val="20"/>
          <w:lang w:val="en-US"/>
        </w:rPr>
        <w:t xml:space="preserve">, is </w:t>
      </w:r>
      <w:r w:rsidR="00DC689E" w:rsidRPr="004A68AC">
        <w:rPr>
          <w:szCs w:val="20"/>
          <w:lang w:val="en-US"/>
        </w:rPr>
        <w:t>similar to</w:t>
      </w:r>
      <w:r w:rsidR="0090320D" w:rsidRPr="004A68AC">
        <w:rPr>
          <w:szCs w:val="20"/>
          <w:lang w:val="en-US"/>
        </w:rPr>
        <w:t xml:space="preserve"> the fragility curve derived by using</w:t>
      </w:r>
      <w:r w:rsidR="00EF76CA" w:rsidRPr="004A68AC">
        <w:rPr>
          <w:szCs w:val="20"/>
          <w:lang w:val="en-US"/>
        </w:rPr>
        <w:t xml:space="preserve"> the parameters proposed by</w:t>
      </w:r>
      <w:r w:rsidR="0090320D" w:rsidRPr="004A68AC">
        <w:rPr>
          <w:szCs w:val="20"/>
          <w:lang w:val="en-US"/>
        </w:rPr>
        <w:t xml:space="preserve"> </w:t>
      </w:r>
      <w:r w:rsidR="0090320D" w:rsidRPr="004A68AC">
        <w:rPr>
          <w:szCs w:val="20"/>
          <w:lang w:val="en-US" w:eastAsia="it-IT"/>
        </w:rPr>
        <w:t xml:space="preserve">Lignos </w:t>
      </w:r>
      <w:r w:rsidR="0090320D" w:rsidRPr="004A68AC">
        <w:rPr>
          <w:i/>
          <w:szCs w:val="20"/>
          <w:lang w:val="en-US" w:eastAsia="it-IT"/>
        </w:rPr>
        <w:t>et al.</w:t>
      </w:r>
      <w:r w:rsidR="0090320D" w:rsidRPr="004A68AC">
        <w:rPr>
          <w:szCs w:val="20"/>
          <w:lang w:val="en-US" w:eastAsia="it-IT"/>
        </w:rPr>
        <w:t xml:space="preserve"> </w:t>
      </w:r>
      <w:r w:rsidR="0090320D" w:rsidRPr="004A68AC">
        <w:rPr>
          <w:szCs w:val="20"/>
          <w:lang w:val="en-US" w:eastAsia="it-IT"/>
        </w:rPr>
        <w:fldChar w:fldCharType="begin" w:fldLock="1"/>
      </w:r>
      <w:r w:rsidR="000A27F6"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90320D" w:rsidRPr="004A68AC">
        <w:rPr>
          <w:szCs w:val="20"/>
          <w:lang w:val="en-US" w:eastAsia="it-IT"/>
        </w:rPr>
        <w:fldChar w:fldCharType="separate"/>
      </w:r>
      <w:r w:rsidR="005C2936" w:rsidRPr="004A68AC">
        <w:rPr>
          <w:noProof/>
          <w:szCs w:val="20"/>
          <w:lang w:val="en-US" w:eastAsia="it-IT"/>
        </w:rPr>
        <w:t>[42]</w:t>
      </w:r>
      <w:r w:rsidR="0090320D" w:rsidRPr="004A68AC">
        <w:rPr>
          <w:szCs w:val="20"/>
          <w:lang w:val="en-US" w:eastAsia="it-IT"/>
        </w:rPr>
        <w:fldChar w:fldCharType="end"/>
      </w:r>
      <w:r w:rsidR="005032A3" w:rsidRPr="004A68AC">
        <w:rPr>
          <w:szCs w:val="20"/>
          <w:lang w:val="en-US" w:eastAsia="it-IT"/>
        </w:rPr>
        <w:t xml:space="preserve"> (only </w:t>
      </w:r>
      <w:r w:rsidR="00DC689E" w:rsidRPr="004A68AC">
        <w:rPr>
          <w:szCs w:val="20"/>
          <w:lang w:val="en-US" w:eastAsia="it-IT"/>
        </w:rPr>
        <w:t>11</w:t>
      </w:r>
      <w:r w:rsidR="005032A3" w:rsidRPr="004A68AC">
        <w:rPr>
          <w:szCs w:val="20"/>
          <w:lang w:val="en-US" w:eastAsia="it-IT"/>
        </w:rPr>
        <w:t>% difference in IM</w:t>
      </w:r>
      <w:r w:rsidR="005032A3" w:rsidRPr="004A68AC">
        <w:rPr>
          <w:szCs w:val="20"/>
          <w:vertAlign w:val="subscript"/>
          <w:lang w:val="en-US" w:eastAsia="it-IT"/>
        </w:rPr>
        <w:t>50</w:t>
      </w:r>
      <w:r w:rsidR="005032A3" w:rsidRPr="004A68AC">
        <w:rPr>
          <w:szCs w:val="20"/>
          <w:lang w:val="en-US" w:eastAsia="it-IT"/>
        </w:rPr>
        <w:t xml:space="preserve"> with respect to the fiber-based model)</w:t>
      </w:r>
      <w:r w:rsidR="0090320D" w:rsidRPr="004A68AC">
        <w:rPr>
          <w:szCs w:val="20"/>
          <w:lang w:val="en-US" w:eastAsia="it-IT"/>
        </w:rPr>
        <w:t xml:space="preserve">. However, </w:t>
      </w:r>
      <w:r w:rsidR="00DC689E" w:rsidRPr="004A68AC">
        <w:rPr>
          <w:szCs w:val="20"/>
          <w:lang w:val="en-US" w:eastAsia="it-IT"/>
        </w:rPr>
        <w:t>the difference becomes larger in the</w:t>
      </w:r>
      <w:r w:rsidR="0090320D" w:rsidRPr="004A68AC">
        <w:rPr>
          <w:szCs w:val="20"/>
          <w:lang w:val="en-US" w:eastAsia="it-IT"/>
        </w:rPr>
        <w:t xml:space="preserve"> case </w:t>
      </w:r>
      <w:r w:rsidR="00DC689E" w:rsidRPr="004A68AC">
        <w:rPr>
          <w:szCs w:val="20"/>
          <w:lang w:val="en-US" w:eastAsia="it-IT"/>
        </w:rPr>
        <w:t xml:space="preserve">of </w:t>
      </w:r>
      <w:r w:rsidR="0081309A" w:rsidRPr="004A68AC">
        <w:rPr>
          <w:szCs w:val="20"/>
          <w:lang w:val="en-US" w:eastAsia="it-IT"/>
        </w:rPr>
        <w:t>building 9B in</w:t>
      </w:r>
      <w:r w:rsidR="0090320D" w:rsidRPr="004A68AC">
        <w:rPr>
          <w:szCs w:val="20"/>
          <w:lang w:val="en-US" w:eastAsia="it-IT"/>
        </w:rPr>
        <w:t xml:space="preserve"> </w:t>
      </w:r>
      <w:r w:rsidR="0090320D" w:rsidRPr="004A68AC">
        <w:rPr>
          <w:szCs w:val="20"/>
          <w:lang w:val="en-US" w:eastAsia="it-IT"/>
        </w:rPr>
        <w:fldChar w:fldCharType="begin" w:fldLock="1"/>
      </w:r>
      <w:r w:rsidR="0090320D" w:rsidRPr="004A68AC">
        <w:rPr>
          <w:szCs w:val="20"/>
          <w:lang w:val="en-US" w:eastAsia="it-IT"/>
        </w:rPr>
        <w:instrText xml:space="preserve"> REF _Ref41655268 \h  \* MERGEFORMAT </w:instrText>
      </w:r>
      <w:r w:rsidR="0090320D" w:rsidRPr="004A68AC">
        <w:rPr>
          <w:szCs w:val="20"/>
          <w:lang w:val="en-US" w:eastAsia="it-IT"/>
        </w:rPr>
      </w:r>
      <w:r w:rsidR="0090320D" w:rsidRPr="004A68AC">
        <w:rPr>
          <w:szCs w:val="20"/>
          <w:lang w:val="en-US" w:eastAsia="it-IT"/>
        </w:rPr>
        <w:fldChar w:fldCharType="separate"/>
      </w:r>
      <w:r w:rsidR="0090320D" w:rsidRPr="004A68AC">
        <w:rPr>
          <w:bCs/>
          <w:szCs w:val="20"/>
          <w:lang w:val="en-US"/>
        </w:rPr>
        <w:t xml:space="preserve">Figure </w:t>
      </w:r>
      <w:r w:rsidR="0090320D" w:rsidRPr="004A68AC">
        <w:rPr>
          <w:bCs/>
          <w:noProof/>
          <w:szCs w:val="20"/>
          <w:lang w:val="en-US"/>
        </w:rPr>
        <w:t>10</w:t>
      </w:r>
      <w:r w:rsidR="0090320D" w:rsidRPr="004A68AC">
        <w:rPr>
          <w:szCs w:val="20"/>
          <w:lang w:val="en-US" w:eastAsia="it-IT"/>
        </w:rPr>
        <w:fldChar w:fldCharType="end"/>
      </w:r>
      <w:r w:rsidR="0090320D" w:rsidRPr="004A68AC">
        <w:rPr>
          <w:szCs w:val="20"/>
          <w:lang w:val="en-US" w:eastAsia="it-IT"/>
        </w:rPr>
        <w:t>(b),</w:t>
      </w:r>
      <w:r w:rsidR="00A34510" w:rsidRPr="004A68AC">
        <w:rPr>
          <w:szCs w:val="20"/>
          <w:lang w:val="en-US" w:eastAsia="it-IT"/>
        </w:rPr>
        <w:t xml:space="preserve"> </w:t>
      </w:r>
      <w:r w:rsidR="0090320D" w:rsidRPr="004A68AC">
        <w:rPr>
          <w:szCs w:val="20"/>
          <w:lang w:val="en-US" w:eastAsia="it-IT"/>
        </w:rPr>
        <w:t>for which the fiber-based fragility curve</w:t>
      </w:r>
      <w:r w:rsidR="00DC1469" w:rsidRPr="004A68AC">
        <w:rPr>
          <w:szCs w:val="20"/>
          <w:lang w:val="en-US" w:eastAsia="it-IT"/>
        </w:rPr>
        <w:t xml:space="preserve"> derived for all columns</w:t>
      </w:r>
      <w:r w:rsidR="0090320D" w:rsidRPr="004A68AC">
        <w:rPr>
          <w:szCs w:val="20"/>
          <w:lang w:val="en-US" w:eastAsia="it-IT"/>
        </w:rPr>
        <w:t xml:space="preserve"> differ</w:t>
      </w:r>
      <w:r w:rsidR="00DC1469" w:rsidRPr="004A68AC">
        <w:rPr>
          <w:szCs w:val="20"/>
          <w:lang w:val="en-US" w:eastAsia="it-IT"/>
        </w:rPr>
        <w:t>s</w:t>
      </w:r>
      <w:r w:rsidR="0090320D" w:rsidRPr="004A68AC">
        <w:rPr>
          <w:szCs w:val="20"/>
          <w:lang w:val="en-US" w:eastAsia="it-IT"/>
        </w:rPr>
        <w:t xml:space="preserve"> significantly from </w:t>
      </w:r>
      <w:r w:rsidR="00DC1469" w:rsidRPr="004A68AC">
        <w:rPr>
          <w:szCs w:val="20"/>
          <w:lang w:val="en-US" w:eastAsia="it-IT"/>
        </w:rPr>
        <w:t>the fragility curve</w:t>
      </w:r>
      <w:r w:rsidR="0090320D" w:rsidRPr="004A68AC">
        <w:rPr>
          <w:szCs w:val="20"/>
          <w:lang w:val="en-US" w:eastAsia="it-IT"/>
        </w:rPr>
        <w:t xml:space="preserve"> derived by using the parameters</w:t>
      </w:r>
      <w:r w:rsidR="00EF76CA" w:rsidRPr="004A68AC">
        <w:rPr>
          <w:szCs w:val="20"/>
          <w:lang w:val="en-US" w:eastAsia="it-IT"/>
        </w:rPr>
        <w:t xml:space="preserve"> proposed by Lignos </w:t>
      </w:r>
      <w:r w:rsidR="00EF76CA" w:rsidRPr="004A68AC">
        <w:rPr>
          <w:i/>
          <w:szCs w:val="20"/>
          <w:lang w:val="en-US" w:eastAsia="it-IT"/>
        </w:rPr>
        <w:t>et al.</w:t>
      </w:r>
      <w:r w:rsidR="00EF76CA" w:rsidRPr="004A68AC">
        <w:rPr>
          <w:szCs w:val="20"/>
          <w:lang w:val="en-US" w:eastAsia="it-IT"/>
        </w:rPr>
        <w:t xml:space="preserve"> </w:t>
      </w:r>
      <w:r w:rsidR="00EF76CA" w:rsidRPr="004A68AC">
        <w:rPr>
          <w:szCs w:val="20"/>
          <w:lang w:val="en-US" w:eastAsia="it-IT"/>
        </w:rPr>
        <w:fldChar w:fldCharType="begin" w:fldLock="1"/>
      </w:r>
      <w:r w:rsidR="000A27F6"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EF76CA" w:rsidRPr="004A68AC">
        <w:rPr>
          <w:szCs w:val="20"/>
          <w:lang w:val="en-US" w:eastAsia="it-IT"/>
        </w:rPr>
        <w:fldChar w:fldCharType="separate"/>
      </w:r>
      <w:r w:rsidR="005C2936" w:rsidRPr="004A68AC">
        <w:rPr>
          <w:noProof/>
          <w:szCs w:val="20"/>
          <w:lang w:val="en-US" w:eastAsia="it-IT"/>
        </w:rPr>
        <w:t>[42]</w:t>
      </w:r>
      <w:r w:rsidR="00EF76CA" w:rsidRPr="004A68AC">
        <w:rPr>
          <w:szCs w:val="20"/>
          <w:lang w:val="en-US" w:eastAsia="it-IT"/>
        </w:rPr>
        <w:fldChar w:fldCharType="end"/>
      </w:r>
      <w:r w:rsidR="005032A3" w:rsidRPr="004A68AC">
        <w:rPr>
          <w:szCs w:val="20"/>
          <w:lang w:val="en-US" w:eastAsia="it-IT"/>
        </w:rPr>
        <w:t xml:space="preserve"> </w:t>
      </w:r>
      <w:r w:rsidR="002B1056" w:rsidRPr="004A68AC">
        <w:rPr>
          <w:szCs w:val="20"/>
          <w:lang w:val="en-US" w:eastAsia="it-IT"/>
        </w:rPr>
        <w:t>(</w:t>
      </w:r>
      <w:r w:rsidR="00DC689E" w:rsidRPr="004A68AC">
        <w:rPr>
          <w:szCs w:val="20"/>
          <w:lang w:val="en-US" w:eastAsia="it-IT"/>
        </w:rPr>
        <w:t>21</w:t>
      </w:r>
      <w:r w:rsidR="002B1056" w:rsidRPr="004A68AC">
        <w:rPr>
          <w:szCs w:val="20"/>
          <w:lang w:val="en-US" w:eastAsia="it-IT"/>
        </w:rPr>
        <w:t>% difference in IM</w:t>
      </w:r>
      <w:r w:rsidR="002B1056" w:rsidRPr="004A68AC">
        <w:rPr>
          <w:szCs w:val="20"/>
          <w:vertAlign w:val="subscript"/>
          <w:lang w:val="en-US" w:eastAsia="it-IT"/>
        </w:rPr>
        <w:t>50</w:t>
      </w:r>
      <w:r w:rsidR="002B1056" w:rsidRPr="004A68AC">
        <w:rPr>
          <w:szCs w:val="20"/>
          <w:lang w:val="en-US" w:eastAsia="it-IT"/>
        </w:rPr>
        <w:t xml:space="preserve"> with respect to the fiber-based model)</w:t>
      </w:r>
      <w:r w:rsidR="00EF76CA" w:rsidRPr="004A68AC">
        <w:rPr>
          <w:szCs w:val="20"/>
          <w:lang w:val="en-US" w:eastAsia="it-IT"/>
        </w:rPr>
        <w:t>.</w:t>
      </w:r>
      <w:r w:rsidR="00DC1469" w:rsidRPr="004A68AC">
        <w:rPr>
          <w:szCs w:val="20"/>
          <w:lang w:val="en-US" w:eastAsia="it-IT"/>
        </w:rPr>
        <w:t xml:space="preserve"> Nonetheless, when only internal columns are considered</w:t>
      </w:r>
      <w:r w:rsidR="002508F6" w:rsidRPr="004A68AC">
        <w:rPr>
          <w:szCs w:val="20"/>
          <w:lang w:val="en-US" w:eastAsia="it-IT"/>
        </w:rPr>
        <w:t xml:space="preserve">, </w:t>
      </w:r>
      <w:r w:rsidR="00DC1469" w:rsidRPr="004A68AC">
        <w:rPr>
          <w:szCs w:val="20"/>
          <w:lang w:val="en-US" w:eastAsia="it-IT"/>
        </w:rPr>
        <w:t>the correspondence is significantly increased</w:t>
      </w:r>
      <w:r w:rsidR="00DC689E" w:rsidRPr="004A68AC">
        <w:rPr>
          <w:szCs w:val="20"/>
          <w:lang w:val="en-US" w:eastAsia="it-IT"/>
        </w:rPr>
        <w:t xml:space="preserve"> (3% difference in IM</w:t>
      </w:r>
      <w:r w:rsidR="00DC689E" w:rsidRPr="004A68AC">
        <w:rPr>
          <w:szCs w:val="20"/>
          <w:vertAlign w:val="subscript"/>
          <w:lang w:val="en-US" w:eastAsia="it-IT"/>
        </w:rPr>
        <w:t>50</w:t>
      </w:r>
      <w:r w:rsidR="00DC689E" w:rsidRPr="004A68AC">
        <w:rPr>
          <w:szCs w:val="20"/>
          <w:lang w:val="en-US" w:eastAsia="it-IT"/>
        </w:rPr>
        <w:t xml:space="preserve"> in the curves derived based on Lignos </w:t>
      </w:r>
      <w:r w:rsidR="00DC689E" w:rsidRPr="004A68AC">
        <w:rPr>
          <w:i/>
          <w:szCs w:val="20"/>
          <w:lang w:val="en-US" w:eastAsia="it-IT"/>
        </w:rPr>
        <w:t>et al.</w:t>
      </w:r>
      <w:r w:rsidR="00DC689E" w:rsidRPr="004A68AC">
        <w:rPr>
          <w:szCs w:val="20"/>
          <w:lang w:val="en-US" w:eastAsia="it-IT"/>
        </w:rPr>
        <w:t xml:space="preserve"> </w:t>
      </w:r>
      <w:r w:rsidR="00DC689E" w:rsidRPr="004A68AC">
        <w:rPr>
          <w:szCs w:val="20"/>
          <w:lang w:val="en-US" w:eastAsia="it-IT"/>
        </w:rPr>
        <w:fldChar w:fldCharType="begin" w:fldLock="1"/>
      </w:r>
      <w:r w:rsidR="00DC689E"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DC689E" w:rsidRPr="004A68AC">
        <w:rPr>
          <w:szCs w:val="20"/>
          <w:lang w:val="en-US" w:eastAsia="it-IT"/>
        </w:rPr>
        <w:fldChar w:fldCharType="separate"/>
      </w:r>
      <w:r w:rsidR="00DC689E" w:rsidRPr="004A68AC">
        <w:rPr>
          <w:noProof/>
          <w:szCs w:val="20"/>
          <w:lang w:val="en-US" w:eastAsia="it-IT"/>
        </w:rPr>
        <w:t>[42]</w:t>
      </w:r>
      <w:r w:rsidR="00DC689E" w:rsidRPr="004A68AC">
        <w:rPr>
          <w:szCs w:val="20"/>
          <w:lang w:val="en-US" w:eastAsia="it-IT"/>
        </w:rPr>
        <w:fldChar w:fldCharType="end"/>
      </w:r>
      <w:r w:rsidR="00DC689E" w:rsidRPr="004A68AC">
        <w:rPr>
          <w:szCs w:val="20"/>
          <w:lang w:val="en-US" w:eastAsia="it-IT"/>
        </w:rPr>
        <w:t xml:space="preserve"> limits, with respect to the fiber-based internal columns)</w:t>
      </w:r>
      <w:r w:rsidR="00DC1469" w:rsidRPr="004A68AC">
        <w:rPr>
          <w:szCs w:val="20"/>
          <w:lang w:val="en-US" w:eastAsia="it-IT"/>
        </w:rPr>
        <w:t>. This discrepancy may be related to the use of gravity axial loads</w:t>
      </w:r>
      <w:r w:rsidR="004731C9" w:rsidRPr="004A68AC">
        <w:rPr>
          <w:szCs w:val="20"/>
          <w:lang w:val="en-US" w:eastAsia="it-IT"/>
        </w:rPr>
        <w:t xml:space="preserve"> only</w:t>
      </w:r>
      <w:r w:rsidR="00DC1469" w:rsidRPr="004A68AC">
        <w:rPr>
          <w:szCs w:val="20"/>
          <w:lang w:val="en-US" w:eastAsia="it-IT"/>
        </w:rPr>
        <w:t xml:space="preserve"> in the relationship proposed by</w:t>
      </w:r>
      <w:r w:rsidR="00EF76CA" w:rsidRPr="004A68AC">
        <w:rPr>
          <w:szCs w:val="20"/>
          <w:lang w:val="en-US" w:eastAsia="it-IT"/>
        </w:rPr>
        <w:t xml:space="preserve"> Lignos </w:t>
      </w:r>
      <w:r w:rsidR="00EF76CA" w:rsidRPr="004A68AC">
        <w:rPr>
          <w:i/>
          <w:szCs w:val="20"/>
          <w:lang w:val="en-US" w:eastAsia="it-IT"/>
        </w:rPr>
        <w:t>et al.</w:t>
      </w:r>
      <w:r w:rsidR="00EF76CA" w:rsidRPr="004A68AC">
        <w:rPr>
          <w:szCs w:val="20"/>
          <w:lang w:val="en-US" w:eastAsia="it-IT"/>
        </w:rPr>
        <w:t xml:space="preserve"> </w:t>
      </w:r>
      <w:r w:rsidR="00EF76CA" w:rsidRPr="004A68AC">
        <w:rPr>
          <w:szCs w:val="20"/>
          <w:lang w:val="en-US" w:eastAsia="it-IT"/>
        </w:rPr>
        <w:fldChar w:fldCharType="begin" w:fldLock="1"/>
      </w:r>
      <w:r w:rsidR="000A27F6"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EF76CA" w:rsidRPr="004A68AC">
        <w:rPr>
          <w:szCs w:val="20"/>
          <w:lang w:val="en-US" w:eastAsia="it-IT"/>
        </w:rPr>
        <w:fldChar w:fldCharType="separate"/>
      </w:r>
      <w:r w:rsidR="005C2936" w:rsidRPr="004A68AC">
        <w:rPr>
          <w:noProof/>
          <w:szCs w:val="20"/>
          <w:lang w:val="en-US" w:eastAsia="it-IT"/>
        </w:rPr>
        <w:t>[42]</w:t>
      </w:r>
      <w:r w:rsidR="00EF76CA" w:rsidRPr="004A68AC">
        <w:rPr>
          <w:szCs w:val="20"/>
          <w:lang w:val="en-US" w:eastAsia="it-IT"/>
        </w:rPr>
        <w:fldChar w:fldCharType="end"/>
      </w:r>
      <w:r w:rsidR="00EF76CA" w:rsidRPr="004A68AC">
        <w:rPr>
          <w:szCs w:val="20"/>
          <w:lang w:val="en-US" w:eastAsia="it-IT"/>
        </w:rPr>
        <w:t xml:space="preserve"> to establish values for </w:t>
      </w:r>
      <w:r w:rsidR="00EF76CA" w:rsidRPr="004A68AC">
        <w:rPr>
          <w:szCs w:val="20"/>
          <w:lang w:val="en-US"/>
        </w:rPr>
        <w:t>θ</w:t>
      </w:r>
      <w:r w:rsidR="00EF76CA" w:rsidRPr="004A68AC">
        <w:rPr>
          <w:szCs w:val="20"/>
          <w:vertAlign w:val="subscript"/>
          <w:lang w:val="en-US"/>
        </w:rPr>
        <w:t>y</w:t>
      </w:r>
      <w:r w:rsidR="00DC689E" w:rsidRPr="004A68AC">
        <w:rPr>
          <w:szCs w:val="20"/>
          <w:lang w:val="en-US"/>
        </w:rPr>
        <w:t>, which is a similar case to the internal columns as they have a lower affectation from the overturning effects)</w:t>
      </w:r>
      <w:r w:rsidR="00ED084B" w:rsidRPr="004A68AC">
        <w:rPr>
          <w:szCs w:val="20"/>
          <w:lang w:val="en-US"/>
        </w:rPr>
        <w:t>.</w:t>
      </w:r>
      <w:r w:rsidR="004F40C9" w:rsidRPr="004A68AC">
        <w:rPr>
          <w:szCs w:val="20"/>
          <w:lang w:val="en-US"/>
        </w:rPr>
        <w:t xml:space="preserve"> </w:t>
      </w:r>
      <w:r w:rsidR="004F40C9" w:rsidRPr="004A68AC">
        <w:rPr>
          <w:szCs w:val="20"/>
          <w:lang w:val="en-US" w:eastAsia="it-IT"/>
        </w:rPr>
        <w:t>With respect to the</w:t>
      </w:r>
      <w:r w:rsidR="00DC689E" w:rsidRPr="004A68AC">
        <w:rPr>
          <w:szCs w:val="20"/>
          <w:lang w:val="en-US" w:eastAsia="it-IT"/>
        </w:rPr>
        <w:t xml:space="preserve"> </w:t>
      </w:r>
      <w:r w:rsidR="00DC689E" w:rsidRPr="004A68AC">
        <w:rPr>
          <w:szCs w:val="20"/>
          <w:lang w:val="en-US"/>
        </w:rPr>
        <w:t>θ</w:t>
      </w:r>
      <w:r w:rsidR="00DC689E" w:rsidRPr="004A68AC">
        <w:rPr>
          <w:szCs w:val="20"/>
          <w:vertAlign w:val="subscript"/>
          <w:lang w:val="en-US"/>
        </w:rPr>
        <w:t>y</w:t>
      </w:r>
      <w:r w:rsidR="004F40C9" w:rsidRPr="004A68AC">
        <w:rPr>
          <w:szCs w:val="20"/>
          <w:lang w:val="en-US" w:eastAsia="it-IT"/>
        </w:rPr>
        <w:t xml:space="preserve"> </w:t>
      </w:r>
      <w:r w:rsidR="00DC689E" w:rsidRPr="004A68AC">
        <w:rPr>
          <w:szCs w:val="20"/>
          <w:lang w:val="en-US" w:eastAsia="it-IT"/>
        </w:rPr>
        <w:t xml:space="preserve">defined as in the </w:t>
      </w:r>
      <w:r w:rsidR="004F40C9" w:rsidRPr="004A68AC">
        <w:rPr>
          <w:szCs w:val="20"/>
          <w:lang w:val="en-US" w:eastAsia="it-IT"/>
        </w:rPr>
        <w:t xml:space="preserve">codes, none of them are able to match the fragility curves derived based on the fiber-based elements or the parameters proposed by Lignos </w:t>
      </w:r>
      <w:r w:rsidR="004F40C9" w:rsidRPr="004A68AC">
        <w:rPr>
          <w:i/>
          <w:szCs w:val="20"/>
          <w:lang w:val="en-US" w:eastAsia="it-IT"/>
        </w:rPr>
        <w:t>et al.</w:t>
      </w:r>
      <w:r w:rsidR="004F40C9" w:rsidRPr="004A68AC">
        <w:rPr>
          <w:szCs w:val="20"/>
          <w:lang w:val="en-US" w:eastAsia="it-IT"/>
        </w:rPr>
        <w:t xml:space="preserve"> </w:t>
      </w:r>
      <w:r w:rsidR="004F40C9" w:rsidRPr="004A68AC">
        <w:rPr>
          <w:szCs w:val="20"/>
          <w:lang w:val="en-US" w:eastAsia="it-IT"/>
        </w:rPr>
        <w:fldChar w:fldCharType="begin" w:fldLock="1"/>
      </w:r>
      <w:r w:rsidR="000A27F6" w:rsidRPr="004A68AC">
        <w:rPr>
          <w:szCs w:val="20"/>
          <w:lang w:val="en-US" w:eastAsia="it-IT"/>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004F40C9" w:rsidRPr="004A68AC">
        <w:rPr>
          <w:szCs w:val="20"/>
          <w:lang w:val="en-US" w:eastAsia="it-IT"/>
        </w:rPr>
        <w:fldChar w:fldCharType="separate"/>
      </w:r>
      <w:r w:rsidR="005C2936" w:rsidRPr="004A68AC">
        <w:rPr>
          <w:noProof/>
          <w:szCs w:val="20"/>
          <w:lang w:val="en-US" w:eastAsia="it-IT"/>
        </w:rPr>
        <w:t>[42]</w:t>
      </w:r>
      <w:r w:rsidR="004F40C9" w:rsidRPr="004A68AC">
        <w:rPr>
          <w:szCs w:val="20"/>
          <w:lang w:val="en-US" w:eastAsia="it-IT"/>
        </w:rPr>
        <w:fldChar w:fldCharType="end"/>
      </w:r>
      <w:r w:rsidR="004F40C9" w:rsidRPr="004A68AC">
        <w:rPr>
          <w:szCs w:val="20"/>
          <w:lang w:val="en-US" w:eastAsia="it-IT"/>
        </w:rPr>
        <w:t xml:space="preserve">, with the ASCE 41-06 and 13 </w:t>
      </w:r>
      <w:r w:rsidR="004F40C9"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4F40C9" w:rsidRPr="004A68AC">
        <w:rPr>
          <w:szCs w:val="20"/>
          <w:lang w:val="en-US" w:eastAsia="it-IT"/>
        </w:rPr>
        <w:fldChar w:fldCharType="separate"/>
      </w:r>
      <w:r w:rsidR="004F40C9" w:rsidRPr="004A68AC">
        <w:rPr>
          <w:noProof/>
          <w:szCs w:val="20"/>
          <w:lang w:val="en-US" w:eastAsia="it-IT"/>
        </w:rPr>
        <w:t>[15,18]</w:t>
      </w:r>
      <w:r w:rsidR="004F40C9" w:rsidRPr="004A68AC">
        <w:rPr>
          <w:szCs w:val="20"/>
          <w:lang w:val="en-US" w:eastAsia="it-IT"/>
        </w:rPr>
        <w:fldChar w:fldCharType="end"/>
      </w:r>
      <w:r w:rsidR="004F40C9" w:rsidRPr="004A68AC">
        <w:rPr>
          <w:szCs w:val="20"/>
          <w:lang w:val="en-US" w:eastAsia="it-IT"/>
        </w:rPr>
        <w:t xml:space="preserve"> exhibiting more </w:t>
      </w:r>
      <w:r w:rsidR="004F40C9" w:rsidRPr="004A68AC">
        <w:rPr>
          <w:szCs w:val="20"/>
          <w:lang w:val="en-US" w:eastAsia="it-IT"/>
        </w:rPr>
        <w:lastRenderedPageBreak/>
        <w:t>conservative results (</w:t>
      </w:r>
      <w:r w:rsidR="004F40C9" w:rsidRPr="004A68AC">
        <w:rPr>
          <w:i/>
          <w:szCs w:val="20"/>
          <w:lang w:val="en-US" w:eastAsia="it-IT"/>
        </w:rPr>
        <w:t>i.e.</w:t>
      </w:r>
      <w:r w:rsidR="004F40C9" w:rsidRPr="004A68AC">
        <w:rPr>
          <w:szCs w:val="20"/>
          <w:lang w:val="en-US" w:eastAsia="it-IT"/>
        </w:rPr>
        <w:t xml:space="preserve">, higher fragility), while the EC8-3 </w:t>
      </w:r>
      <w:r w:rsidR="004F40C9"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4F40C9" w:rsidRPr="004A68AC">
        <w:rPr>
          <w:szCs w:val="20"/>
          <w:lang w:val="en-US" w:eastAsia="it-IT"/>
        </w:rPr>
        <w:fldChar w:fldCharType="separate"/>
      </w:r>
      <w:r w:rsidR="00855F83" w:rsidRPr="004A68AC">
        <w:rPr>
          <w:noProof/>
          <w:szCs w:val="20"/>
          <w:lang w:val="en-US" w:eastAsia="it-IT"/>
        </w:rPr>
        <w:t>[13]</w:t>
      </w:r>
      <w:r w:rsidR="004F40C9" w:rsidRPr="004A68AC">
        <w:rPr>
          <w:szCs w:val="20"/>
          <w:lang w:val="en-US" w:eastAsia="it-IT"/>
        </w:rPr>
        <w:fldChar w:fldCharType="end"/>
      </w:r>
      <w:r w:rsidR="004F40C9" w:rsidRPr="004A68AC">
        <w:rPr>
          <w:szCs w:val="20"/>
          <w:lang w:val="en-US" w:eastAsia="it-IT"/>
        </w:rPr>
        <w:t xml:space="preserve"> and ASCE 41-17 </w:t>
      </w:r>
      <w:r w:rsidR="004F40C9" w:rsidRPr="004A68AC">
        <w:rPr>
          <w:szCs w:val="20"/>
          <w:lang w:val="en-US" w:eastAsia="it-IT"/>
        </w:rPr>
        <w:fldChar w:fldCharType="begin" w:fldLock="1"/>
      </w:r>
      <w:r w:rsidR="005C47A3" w:rsidRPr="004A68AC">
        <w:rPr>
          <w:szCs w:val="20"/>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4F40C9" w:rsidRPr="004A68AC">
        <w:rPr>
          <w:szCs w:val="20"/>
          <w:lang w:val="en-US" w:eastAsia="it-IT"/>
        </w:rPr>
        <w:fldChar w:fldCharType="separate"/>
      </w:r>
      <w:r w:rsidR="004F40C9" w:rsidRPr="004A68AC">
        <w:rPr>
          <w:noProof/>
          <w:szCs w:val="20"/>
          <w:lang w:val="en-US" w:eastAsia="it-IT"/>
        </w:rPr>
        <w:t>[19]</w:t>
      </w:r>
      <w:r w:rsidR="004F40C9" w:rsidRPr="004A68AC">
        <w:rPr>
          <w:szCs w:val="20"/>
          <w:lang w:val="en-US" w:eastAsia="it-IT"/>
        </w:rPr>
        <w:fldChar w:fldCharType="end"/>
      </w:r>
      <w:r w:rsidR="004F40C9" w:rsidRPr="004A68AC">
        <w:rPr>
          <w:szCs w:val="20"/>
          <w:lang w:val="en-US" w:eastAsia="it-IT"/>
        </w:rPr>
        <w:t xml:space="preserve"> show le</w:t>
      </w:r>
      <w:r w:rsidR="00FC59C0" w:rsidRPr="004A68AC">
        <w:rPr>
          <w:szCs w:val="20"/>
          <w:lang w:val="en-US" w:eastAsia="it-IT"/>
        </w:rPr>
        <w:t>ss</w:t>
      </w:r>
      <w:r w:rsidR="004F40C9" w:rsidRPr="004A68AC">
        <w:rPr>
          <w:szCs w:val="20"/>
          <w:lang w:val="en-US" w:eastAsia="it-IT"/>
        </w:rPr>
        <w:t xml:space="preserve"> conservative values (</w:t>
      </w:r>
      <w:r w:rsidR="004F40C9" w:rsidRPr="004A68AC">
        <w:rPr>
          <w:i/>
          <w:szCs w:val="20"/>
          <w:lang w:val="en-US" w:eastAsia="it-IT"/>
        </w:rPr>
        <w:t>i.e.</w:t>
      </w:r>
      <w:r w:rsidR="004F40C9" w:rsidRPr="004A68AC">
        <w:rPr>
          <w:szCs w:val="20"/>
          <w:lang w:val="en-US" w:eastAsia="it-IT"/>
        </w:rPr>
        <w:t>, lower fragility).</w:t>
      </w:r>
    </w:p>
    <w:p w14:paraId="427C7E03" w14:textId="09DF4C07" w:rsidR="004D0E46" w:rsidRPr="004A68AC" w:rsidRDefault="004D0E46" w:rsidP="004D0E46">
      <w:pPr>
        <w:jc w:val="left"/>
        <w:rPr>
          <w:b/>
          <w:szCs w:val="20"/>
          <w:lang w:val="en-US"/>
        </w:rPr>
      </w:pPr>
    </w:p>
    <w:p w14:paraId="4479FEB6" w14:textId="7BB3F9A1" w:rsidR="004D0E46" w:rsidRPr="004A68AC" w:rsidRDefault="004D0E46" w:rsidP="004D0E46">
      <w:pPr>
        <w:jc w:val="center"/>
        <w:rPr>
          <w:szCs w:val="20"/>
          <w:lang w:val="en-US"/>
        </w:rPr>
      </w:pPr>
      <w:r w:rsidRPr="004A68AC">
        <w:rPr>
          <w:b/>
          <w:szCs w:val="20"/>
          <w:lang w:val="en-US"/>
        </w:rPr>
        <w:t xml:space="preserve">Table </w:t>
      </w:r>
      <w:r w:rsidRPr="004A68AC">
        <w:rPr>
          <w:b/>
          <w:szCs w:val="20"/>
          <w:lang w:val="en-US"/>
        </w:rPr>
        <w:fldChar w:fldCharType="begin" w:fldLock="1"/>
      </w:r>
      <w:r w:rsidRPr="004A68AC">
        <w:rPr>
          <w:b/>
          <w:szCs w:val="20"/>
          <w:lang w:val="en-US"/>
        </w:rPr>
        <w:instrText xml:space="preserve"> SEQ Table \* ARABIC </w:instrText>
      </w:r>
      <w:r w:rsidRPr="004A68AC">
        <w:rPr>
          <w:b/>
          <w:szCs w:val="20"/>
          <w:lang w:val="en-US"/>
        </w:rPr>
        <w:fldChar w:fldCharType="separate"/>
      </w:r>
      <w:r w:rsidRPr="004A68AC">
        <w:rPr>
          <w:b/>
          <w:noProof/>
          <w:szCs w:val="20"/>
          <w:lang w:val="en-US"/>
        </w:rPr>
        <w:t>9</w:t>
      </w:r>
      <w:r w:rsidRPr="004A68AC">
        <w:rPr>
          <w:b/>
          <w:szCs w:val="20"/>
          <w:lang w:val="en-US"/>
        </w:rPr>
        <w:fldChar w:fldCharType="end"/>
      </w:r>
      <w:r w:rsidRPr="004A68AC">
        <w:rPr>
          <w:b/>
          <w:szCs w:val="20"/>
          <w:lang w:val="en-US"/>
        </w:rPr>
        <w:t>.</w:t>
      </w:r>
      <w:r w:rsidRPr="004A68AC">
        <w:rPr>
          <w:szCs w:val="20"/>
          <w:lang w:val="en-US"/>
        </w:rPr>
        <w:t xml:space="preserve"> Fragility curves parameters for </w:t>
      </w:r>
      <w:r w:rsidRPr="004A68AC">
        <w:rPr>
          <w:i/>
          <w:szCs w:val="20"/>
          <w:lang w:val="en-US"/>
        </w:rPr>
        <w:t>P</w:t>
      </w:r>
      <w:r w:rsidRPr="004A68AC">
        <w:rPr>
          <w:szCs w:val="20"/>
          <w:lang w:val="en-US"/>
        </w:rPr>
        <w:t xml:space="preserve"> (</w:t>
      </w:r>
      <w:r w:rsidRPr="004A68AC">
        <w:rPr>
          <w:lang w:val="en-US"/>
        </w:rPr>
        <w:t>θ</w:t>
      </w:r>
      <w:r w:rsidRPr="004A68AC">
        <w:rPr>
          <w:szCs w:val="20"/>
          <w:lang w:val="en-US"/>
        </w:rPr>
        <w:t xml:space="preserve"> ≥ </w:t>
      </w:r>
      <w:r w:rsidRPr="004A68AC">
        <w:rPr>
          <w:lang w:val="en-US"/>
        </w:rPr>
        <w:t>θ</w:t>
      </w:r>
      <w:r w:rsidRPr="004A68AC">
        <w:rPr>
          <w:vertAlign w:val="subscript"/>
          <w:lang w:val="en-US"/>
        </w:rPr>
        <w:t>y</w:t>
      </w:r>
      <w:r w:rsidRPr="004A68AC">
        <w:rPr>
          <w:szCs w:val="20"/>
          <w:lang w:val="en-US"/>
        </w:rPr>
        <w:t xml:space="preserve"> | IM).</w:t>
      </w:r>
    </w:p>
    <w:tbl>
      <w:tblPr>
        <w:tblStyle w:val="HelleSchattierung1"/>
        <w:tblW w:w="5000" w:type="pct"/>
        <w:jc w:val="center"/>
        <w:tblLook w:val="04A0" w:firstRow="1" w:lastRow="0" w:firstColumn="1" w:lastColumn="0" w:noHBand="0" w:noVBand="1"/>
      </w:tblPr>
      <w:tblGrid>
        <w:gridCol w:w="2412"/>
        <w:gridCol w:w="1807"/>
        <w:gridCol w:w="1807"/>
        <w:gridCol w:w="1806"/>
        <w:gridCol w:w="1806"/>
      </w:tblGrid>
      <w:tr w:rsidR="004D0E46" w:rsidRPr="004A68AC" w14:paraId="614780AD" w14:textId="77777777" w:rsidTr="0029011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51" w:type="pct"/>
            <w:vMerge w:val="restart"/>
            <w:vAlign w:val="center"/>
          </w:tcPr>
          <w:p w14:paraId="172D6E47" w14:textId="77777777" w:rsidR="004D0E46" w:rsidRPr="004A68AC" w:rsidRDefault="004D0E46" w:rsidP="00290111">
            <w:pPr>
              <w:jc w:val="center"/>
              <w:rPr>
                <w:b w:val="0"/>
                <w:bCs w:val="0"/>
                <w:sz w:val="18"/>
                <w:szCs w:val="18"/>
              </w:rPr>
            </w:pPr>
            <w:r w:rsidRPr="004A68AC">
              <w:t>θ</w:t>
            </w:r>
            <w:r w:rsidRPr="004A68AC">
              <w:rPr>
                <w:sz w:val="18"/>
                <w:szCs w:val="18"/>
                <w:vertAlign w:val="subscript"/>
              </w:rPr>
              <w:t>y</w:t>
            </w:r>
            <w:r w:rsidRPr="004A68AC">
              <w:rPr>
                <w:sz w:val="18"/>
                <w:szCs w:val="18"/>
              </w:rPr>
              <w:t xml:space="preserve"> calculation</w:t>
            </w:r>
          </w:p>
          <w:p w14:paraId="44EC4B52" w14:textId="77777777" w:rsidR="004D0E46" w:rsidRPr="004A68AC" w:rsidRDefault="004D0E46" w:rsidP="00290111">
            <w:pPr>
              <w:jc w:val="center"/>
              <w:rPr>
                <w:sz w:val="18"/>
                <w:szCs w:val="18"/>
              </w:rPr>
            </w:pPr>
            <w:r w:rsidRPr="004A68AC">
              <w:rPr>
                <w:sz w:val="18"/>
                <w:szCs w:val="18"/>
              </w:rPr>
              <w:t>approach</w:t>
            </w:r>
          </w:p>
        </w:tc>
        <w:tc>
          <w:tcPr>
            <w:tcW w:w="1874" w:type="pct"/>
            <w:gridSpan w:val="2"/>
            <w:tcBorders>
              <w:bottom w:val="nil"/>
            </w:tcBorders>
            <w:shd w:val="clear" w:color="auto" w:fill="auto"/>
            <w:noWrap/>
            <w:vAlign w:val="center"/>
          </w:tcPr>
          <w:p w14:paraId="3812651A" w14:textId="77777777" w:rsidR="004D0E46" w:rsidRPr="004A68AC" w:rsidRDefault="004D0E46" w:rsidP="00290111">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lang w:eastAsia="en-GB"/>
              </w:rPr>
            </w:pPr>
            <w:r w:rsidRPr="004A68AC">
              <w:rPr>
                <w:color w:val="auto"/>
                <w:sz w:val="18"/>
                <w:szCs w:val="18"/>
              </w:rPr>
              <w:t>Building 3B</w:t>
            </w:r>
          </w:p>
        </w:tc>
        <w:tc>
          <w:tcPr>
            <w:tcW w:w="1874" w:type="pct"/>
            <w:gridSpan w:val="2"/>
            <w:tcBorders>
              <w:bottom w:val="nil"/>
            </w:tcBorders>
            <w:shd w:val="clear" w:color="auto" w:fill="auto"/>
            <w:vAlign w:val="center"/>
          </w:tcPr>
          <w:p w14:paraId="34BD67E5" w14:textId="77777777" w:rsidR="004D0E46" w:rsidRPr="004A68AC" w:rsidRDefault="004D0E46" w:rsidP="00290111">
            <w:pPr>
              <w:jc w:val="center"/>
              <w:cnfStyle w:val="100000000000" w:firstRow="1" w:lastRow="0" w:firstColumn="0" w:lastColumn="0" w:oddVBand="0" w:evenVBand="0" w:oddHBand="0" w:evenHBand="0" w:firstRowFirstColumn="0" w:firstRowLastColumn="0" w:lastRowFirstColumn="0" w:lastRowLastColumn="0"/>
              <w:rPr>
                <w:bCs w:val="0"/>
                <w:color w:val="auto"/>
                <w:sz w:val="18"/>
                <w:szCs w:val="18"/>
                <w:lang w:eastAsia="en-GB"/>
              </w:rPr>
            </w:pPr>
            <w:r w:rsidRPr="004A68AC">
              <w:rPr>
                <w:color w:val="auto"/>
                <w:sz w:val="18"/>
                <w:szCs w:val="18"/>
              </w:rPr>
              <w:t>Building 9B</w:t>
            </w:r>
          </w:p>
        </w:tc>
      </w:tr>
      <w:tr w:rsidR="004D0E46" w:rsidRPr="004A68AC" w14:paraId="21C54315" w14:textId="77777777" w:rsidTr="002901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51" w:type="pct"/>
            <w:vMerge/>
            <w:tcBorders>
              <w:bottom w:val="single" w:sz="8" w:space="0" w:color="auto"/>
            </w:tcBorders>
            <w:shd w:val="clear" w:color="auto" w:fill="auto"/>
          </w:tcPr>
          <w:p w14:paraId="0F204770" w14:textId="77777777" w:rsidR="004D0E46" w:rsidRPr="004A68AC" w:rsidRDefault="004D0E46" w:rsidP="00290111">
            <w:pPr>
              <w:jc w:val="center"/>
              <w:rPr>
                <w:bCs w:val="0"/>
                <w:sz w:val="18"/>
                <w:szCs w:val="18"/>
                <w:lang w:eastAsia="en-GB"/>
              </w:rPr>
            </w:pPr>
          </w:p>
        </w:tc>
        <w:tc>
          <w:tcPr>
            <w:tcW w:w="937" w:type="pct"/>
            <w:tcBorders>
              <w:top w:val="nil"/>
              <w:bottom w:val="single" w:sz="8" w:space="0" w:color="auto"/>
            </w:tcBorders>
            <w:shd w:val="clear" w:color="auto" w:fill="auto"/>
            <w:noWrap/>
            <w:vAlign w:val="center"/>
            <w:hideMark/>
          </w:tcPr>
          <w:p w14:paraId="64615E50" w14:textId="77777777"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lang w:eastAsia="it-IT"/>
              </w:rPr>
              <w:t>IM</w:t>
            </w:r>
            <w:r w:rsidRPr="004A68AC">
              <w:rPr>
                <w:b/>
                <w:vertAlign w:val="subscript"/>
                <w:lang w:eastAsia="it-IT"/>
              </w:rPr>
              <w:t>50</w:t>
            </w:r>
            <w:r w:rsidRPr="004A68AC">
              <w:rPr>
                <w:b/>
                <w:sz w:val="18"/>
                <w:szCs w:val="18"/>
              </w:rPr>
              <w:t xml:space="preserve"> [ g ]</w:t>
            </w:r>
          </w:p>
        </w:tc>
        <w:tc>
          <w:tcPr>
            <w:tcW w:w="937" w:type="pct"/>
            <w:tcBorders>
              <w:top w:val="nil"/>
              <w:bottom w:val="single" w:sz="8" w:space="0" w:color="auto"/>
            </w:tcBorders>
            <w:shd w:val="clear" w:color="auto" w:fill="auto"/>
            <w:noWrap/>
            <w:vAlign w:val="center"/>
            <w:hideMark/>
          </w:tcPr>
          <w:p w14:paraId="066C1FF9" w14:textId="77777777"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sz w:val="18"/>
                <w:szCs w:val="18"/>
              </w:rPr>
              <w:t>β [ - ]</w:t>
            </w:r>
          </w:p>
        </w:tc>
        <w:tc>
          <w:tcPr>
            <w:tcW w:w="937" w:type="pct"/>
            <w:tcBorders>
              <w:top w:val="nil"/>
              <w:bottom w:val="single" w:sz="8" w:space="0" w:color="auto"/>
            </w:tcBorders>
            <w:shd w:val="clear" w:color="auto" w:fill="auto"/>
            <w:vAlign w:val="center"/>
          </w:tcPr>
          <w:p w14:paraId="7D133F10" w14:textId="77777777"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lang w:eastAsia="it-IT"/>
              </w:rPr>
              <w:t>IM</w:t>
            </w:r>
            <w:r w:rsidRPr="004A68AC">
              <w:rPr>
                <w:b/>
                <w:vertAlign w:val="subscript"/>
                <w:lang w:eastAsia="it-IT"/>
              </w:rPr>
              <w:t>50</w:t>
            </w:r>
            <w:r w:rsidRPr="004A68AC">
              <w:rPr>
                <w:b/>
                <w:sz w:val="18"/>
                <w:szCs w:val="18"/>
              </w:rPr>
              <w:t xml:space="preserve"> [ g ]</w:t>
            </w:r>
          </w:p>
        </w:tc>
        <w:tc>
          <w:tcPr>
            <w:tcW w:w="937" w:type="pct"/>
            <w:tcBorders>
              <w:top w:val="nil"/>
              <w:bottom w:val="single" w:sz="8" w:space="0" w:color="auto"/>
            </w:tcBorders>
            <w:shd w:val="clear" w:color="auto" w:fill="auto"/>
            <w:vAlign w:val="center"/>
          </w:tcPr>
          <w:p w14:paraId="66673E13" w14:textId="77777777"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b/>
                <w:sz w:val="18"/>
                <w:szCs w:val="18"/>
              </w:rPr>
              <w:t>β [ - ]</w:t>
            </w:r>
          </w:p>
        </w:tc>
      </w:tr>
      <w:tr w:rsidR="004D0E46" w:rsidRPr="004A68AC" w14:paraId="4EA25BE5" w14:textId="77777777" w:rsidTr="00290111">
        <w:trPr>
          <w:trHeight w:val="283"/>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8" w:space="0" w:color="auto"/>
            </w:tcBorders>
            <w:shd w:val="clear" w:color="auto" w:fill="auto"/>
            <w:vAlign w:val="center"/>
          </w:tcPr>
          <w:p w14:paraId="27AB50DA" w14:textId="302988D8" w:rsidR="004D0E46" w:rsidRPr="004A68AC" w:rsidRDefault="004D0E46" w:rsidP="00290111">
            <w:pPr>
              <w:jc w:val="center"/>
              <w:rPr>
                <w:sz w:val="18"/>
                <w:szCs w:val="18"/>
                <w:lang w:eastAsia="en-GB"/>
              </w:rPr>
            </w:pPr>
            <w:r w:rsidRPr="004A68AC">
              <w:rPr>
                <w:sz w:val="18"/>
                <w:szCs w:val="18"/>
                <w:lang w:eastAsia="en-GB"/>
              </w:rPr>
              <w:t>EC8-3</w:t>
            </w:r>
            <w:r w:rsidRPr="004A68AC">
              <w:rPr>
                <w:b w:val="0"/>
                <w:sz w:val="18"/>
                <w:szCs w:val="18"/>
                <w:lang w:eastAsia="en-GB"/>
              </w:rPr>
              <w:t xml:space="preserve"> </w:t>
            </w:r>
            <w:r w:rsidRPr="004A68AC">
              <w:rPr>
                <w:sz w:val="18"/>
                <w:szCs w:val="18"/>
                <w:lang w:eastAsia="en-GB"/>
              </w:rPr>
              <w:fldChar w:fldCharType="begin" w:fldLock="1"/>
            </w:r>
            <w:r w:rsidR="005C47A3" w:rsidRPr="004A68AC">
              <w:rPr>
                <w:sz w:val="18"/>
                <w:szCs w:val="18"/>
                <w:lang w:eastAsia="en-GB"/>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lang w:eastAsia="en-GB"/>
              </w:rPr>
              <w:fldChar w:fldCharType="separate"/>
            </w:r>
            <w:r w:rsidRPr="004A68AC">
              <w:rPr>
                <w:b w:val="0"/>
                <w:noProof/>
                <w:sz w:val="18"/>
                <w:szCs w:val="18"/>
                <w:lang w:eastAsia="en-GB"/>
              </w:rPr>
              <w:t>[13]</w:t>
            </w:r>
            <w:r w:rsidRPr="004A68AC">
              <w:rPr>
                <w:sz w:val="18"/>
                <w:szCs w:val="18"/>
                <w:lang w:eastAsia="en-GB"/>
              </w:rPr>
              <w:fldChar w:fldCharType="end"/>
            </w:r>
          </w:p>
        </w:tc>
        <w:tc>
          <w:tcPr>
            <w:tcW w:w="937" w:type="pct"/>
            <w:tcBorders>
              <w:top w:val="single" w:sz="8" w:space="0" w:color="auto"/>
            </w:tcBorders>
            <w:shd w:val="clear" w:color="auto" w:fill="auto"/>
            <w:noWrap/>
            <w:vAlign w:val="center"/>
            <w:hideMark/>
          </w:tcPr>
          <w:p w14:paraId="724974F6" w14:textId="682038FC"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sz w:val="18"/>
                <w:szCs w:val="18"/>
              </w:rPr>
              <w:t>0.</w:t>
            </w:r>
            <w:r w:rsidR="009B59FF" w:rsidRPr="004A68AC">
              <w:rPr>
                <w:sz w:val="18"/>
                <w:szCs w:val="18"/>
              </w:rPr>
              <w:t xml:space="preserve">220 </w:t>
            </w:r>
            <w:r w:rsidRPr="004A68AC">
              <w:rPr>
                <w:sz w:val="18"/>
                <w:szCs w:val="18"/>
              </w:rPr>
              <w:t>(+</w:t>
            </w:r>
            <w:r w:rsidR="0070039C" w:rsidRPr="004A68AC">
              <w:rPr>
                <w:sz w:val="18"/>
                <w:szCs w:val="18"/>
              </w:rPr>
              <w:t>80</w:t>
            </w:r>
            <w:r w:rsidRPr="004A68AC">
              <w:rPr>
                <w:sz w:val="18"/>
                <w:szCs w:val="18"/>
              </w:rPr>
              <w:t>%)</w:t>
            </w:r>
          </w:p>
        </w:tc>
        <w:tc>
          <w:tcPr>
            <w:tcW w:w="937" w:type="pct"/>
            <w:tcBorders>
              <w:top w:val="single" w:sz="8" w:space="0" w:color="auto"/>
            </w:tcBorders>
            <w:shd w:val="clear" w:color="auto" w:fill="auto"/>
            <w:noWrap/>
            <w:vAlign w:val="center"/>
            <w:hideMark/>
          </w:tcPr>
          <w:p w14:paraId="0719034C" w14:textId="373704AC" w:rsidR="004D0E46" w:rsidRPr="004A68AC" w:rsidRDefault="00EA311A" w:rsidP="00290111">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bCs/>
                <w:color w:val="000000"/>
                <w:sz w:val="18"/>
                <w:szCs w:val="18"/>
              </w:rPr>
              <w:t>0.27</w:t>
            </w:r>
            <w:r w:rsidR="008573C5" w:rsidRPr="004A68AC">
              <w:rPr>
                <w:bCs/>
                <w:color w:val="000000"/>
                <w:sz w:val="18"/>
                <w:szCs w:val="18"/>
              </w:rPr>
              <w:t>6</w:t>
            </w:r>
          </w:p>
        </w:tc>
        <w:tc>
          <w:tcPr>
            <w:tcW w:w="937" w:type="pct"/>
            <w:tcBorders>
              <w:top w:val="single" w:sz="8" w:space="0" w:color="auto"/>
            </w:tcBorders>
            <w:shd w:val="clear" w:color="auto" w:fill="auto"/>
            <w:vAlign w:val="center"/>
          </w:tcPr>
          <w:p w14:paraId="65A02CE2" w14:textId="271EB04D"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eastAsia="en-GB"/>
              </w:rPr>
            </w:pPr>
            <w:r w:rsidRPr="004A68AC">
              <w:rPr>
                <w:sz w:val="18"/>
                <w:szCs w:val="18"/>
              </w:rPr>
              <w:t>0.</w:t>
            </w:r>
            <w:r w:rsidR="008573C5" w:rsidRPr="004A68AC">
              <w:rPr>
                <w:sz w:val="18"/>
                <w:szCs w:val="18"/>
              </w:rPr>
              <w:t xml:space="preserve">805 </w:t>
            </w:r>
            <w:r w:rsidRPr="004A68AC">
              <w:rPr>
                <w:sz w:val="18"/>
                <w:szCs w:val="18"/>
              </w:rPr>
              <w:t>(+</w:t>
            </w:r>
            <w:r w:rsidR="0070039C" w:rsidRPr="004A68AC">
              <w:rPr>
                <w:sz w:val="18"/>
                <w:szCs w:val="18"/>
              </w:rPr>
              <w:t>85</w:t>
            </w:r>
            <w:r w:rsidRPr="004A68AC">
              <w:rPr>
                <w:sz w:val="18"/>
                <w:szCs w:val="18"/>
              </w:rPr>
              <w:t>%)</w:t>
            </w:r>
          </w:p>
        </w:tc>
        <w:tc>
          <w:tcPr>
            <w:tcW w:w="937" w:type="pct"/>
            <w:tcBorders>
              <w:top w:val="single" w:sz="8" w:space="0" w:color="auto"/>
            </w:tcBorders>
            <w:shd w:val="clear" w:color="auto" w:fill="auto"/>
            <w:vAlign w:val="center"/>
          </w:tcPr>
          <w:p w14:paraId="4CE6D5BC" w14:textId="5F5E47E6"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color w:val="auto"/>
                <w:sz w:val="18"/>
                <w:szCs w:val="18"/>
                <w:lang w:eastAsia="en-GB"/>
              </w:rPr>
            </w:pPr>
            <w:r w:rsidRPr="004A68AC">
              <w:rPr>
                <w:sz w:val="18"/>
                <w:szCs w:val="18"/>
              </w:rPr>
              <w:t>0.</w:t>
            </w:r>
            <w:r w:rsidR="008573C5" w:rsidRPr="004A68AC">
              <w:rPr>
                <w:sz w:val="18"/>
                <w:szCs w:val="18"/>
              </w:rPr>
              <w:t>187</w:t>
            </w:r>
          </w:p>
        </w:tc>
      </w:tr>
      <w:tr w:rsidR="004D0E46" w:rsidRPr="004A68AC" w14:paraId="0511A727" w14:textId="77777777" w:rsidTr="002901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45AC4EC9" w14:textId="76F2E89B" w:rsidR="004D0E46" w:rsidRPr="004A68AC" w:rsidRDefault="004D0E46" w:rsidP="00290111">
            <w:pPr>
              <w:jc w:val="center"/>
              <w:rPr>
                <w:sz w:val="18"/>
                <w:szCs w:val="18"/>
                <w:lang w:eastAsia="en-GB"/>
              </w:rPr>
            </w:pPr>
            <w:r w:rsidRPr="004A68AC">
              <w:rPr>
                <w:sz w:val="18"/>
                <w:szCs w:val="18"/>
                <w:lang w:eastAsia="en-GB"/>
              </w:rPr>
              <w:t>ASCE 41-06/13</w:t>
            </w:r>
            <w:r w:rsidRPr="004A68AC">
              <w:rPr>
                <w:b w:val="0"/>
                <w:sz w:val="18"/>
                <w:szCs w:val="18"/>
                <w:lang w:eastAsia="en-GB"/>
              </w:rPr>
              <w:t xml:space="preserve"> </w:t>
            </w:r>
            <w:r w:rsidRPr="004A68AC">
              <w:rPr>
                <w:sz w:val="18"/>
                <w:szCs w:val="18"/>
                <w:lang w:eastAsia="en-GB"/>
              </w:rPr>
              <w:fldChar w:fldCharType="begin" w:fldLock="1"/>
            </w:r>
            <w:r w:rsidR="005C47A3" w:rsidRPr="004A68AC">
              <w:rPr>
                <w:sz w:val="18"/>
                <w:szCs w:val="18"/>
                <w:lang w:eastAsia="en-GB"/>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Pr="004A68AC">
              <w:rPr>
                <w:sz w:val="18"/>
                <w:szCs w:val="18"/>
                <w:lang w:eastAsia="en-GB"/>
              </w:rPr>
              <w:fldChar w:fldCharType="separate"/>
            </w:r>
            <w:r w:rsidRPr="004A68AC">
              <w:rPr>
                <w:b w:val="0"/>
                <w:noProof/>
                <w:sz w:val="18"/>
                <w:szCs w:val="18"/>
                <w:lang w:eastAsia="en-GB"/>
              </w:rPr>
              <w:t>[15,18]</w:t>
            </w:r>
            <w:r w:rsidRPr="004A68AC">
              <w:rPr>
                <w:sz w:val="18"/>
                <w:szCs w:val="18"/>
                <w:lang w:eastAsia="en-GB"/>
              </w:rPr>
              <w:fldChar w:fldCharType="end"/>
            </w:r>
          </w:p>
        </w:tc>
        <w:tc>
          <w:tcPr>
            <w:tcW w:w="937" w:type="pct"/>
            <w:shd w:val="clear" w:color="auto" w:fill="auto"/>
            <w:noWrap/>
            <w:vAlign w:val="center"/>
            <w:hideMark/>
          </w:tcPr>
          <w:p w14:paraId="7E5752C0" w14:textId="75392691"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sz w:val="18"/>
                <w:szCs w:val="18"/>
              </w:rPr>
              <w:t>0.</w:t>
            </w:r>
            <w:r w:rsidR="009B59FF" w:rsidRPr="004A68AC">
              <w:rPr>
                <w:sz w:val="18"/>
                <w:szCs w:val="18"/>
              </w:rPr>
              <w:t>08</w:t>
            </w:r>
            <w:r w:rsidR="008573C5" w:rsidRPr="004A68AC">
              <w:rPr>
                <w:sz w:val="18"/>
                <w:szCs w:val="18"/>
              </w:rPr>
              <w:t>5</w:t>
            </w:r>
            <w:r w:rsidRPr="004A68AC">
              <w:rPr>
                <w:sz w:val="18"/>
                <w:szCs w:val="18"/>
              </w:rPr>
              <w:t xml:space="preserve"> (-</w:t>
            </w:r>
            <w:r w:rsidR="0070039C" w:rsidRPr="004A68AC">
              <w:rPr>
                <w:sz w:val="18"/>
                <w:szCs w:val="18"/>
              </w:rPr>
              <w:t>33</w:t>
            </w:r>
            <w:r w:rsidRPr="004A68AC">
              <w:rPr>
                <w:sz w:val="18"/>
                <w:szCs w:val="18"/>
              </w:rPr>
              <w:t>%)</w:t>
            </w:r>
          </w:p>
        </w:tc>
        <w:tc>
          <w:tcPr>
            <w:tcW w:w="937" w:type="pct"/>
            <w:shd w:val="clear" w:color="auto" w:fill="auto"/>
            <w:noWrap/>
            <w:vAlign w:val="center"/>
            <w:hideMark/>
          </w:tcPr>
          <w:p w14:paraId="770E98DE" w14:textId="2C898E6D"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color w:val="000000"/>
                <w:sz w:val="18"/>
                <w:szCs w:val="18"/>
              </w:rPr>
              <w:t>0.</w:t>
            </w:r>
            <w:r w:rsidR="00EA311A" w:rsidRPr="004A68AC">
              <w:rPr>
                <w:color w:val="000000"/>
                <w:sz w:val="18"/>
                <w:szCs w:val="18"/>
              </w:rPr>
              <w:t>22</w:t>
            </w:r>
            <w:r w:rsidR="008573C5" w:rsidRPr="004A68AC">
              <w:rPr>
                <w:color w:val="000000"/>
                <w:sz w:val="18"/>
                <w:szCs w:val="18"/>
              </w:rPr>
              <w:t>0</w:t>
            </w:r>
          </w:p>
        </w:tc>
        <w:tc>
          <w:tcPr>
            <w:tcW w:w="937" w:type="pct"/>
            <w:shd w:val="clear" w:color="auto" w:fill="auto"/>
            <w:vAlign w:val="center"/>
          </w:tcPr>
          <w:p w14:paraId="060B6614" w14:textId="3D1B9E50"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sz w:val="18"/>
                <w:szCs w:val="18"/>
              </w:rPr>
              <w:t>0.</w:t>
            </w:r>
            <w:r w:rsidR="008573C5" w:rsidRPr="004A68AC">
              <w:rPr>
                <w:sz w:val="18"/>
                <w:szCs w:val="18"/>
              </w:rPr>
              <w:t>269</w:t>
            </w:r>
            <w:r w:rsidRPr="004A68AC">
              <w:rPr>
                <w:sz w:val="18"/>
                <w:szCs w:val="18"/>
              </w:rPr>
              <w:t xml:space="preserve"> (-</w:t>
            </w:r>
            <w:r w:rsidR="0070039C" w:rsidRPr="004A68AC">
              <w:rPr>
                <w:sz w:val="18"/>
                <w:szCs w:val="18"/>
              </w:rPr>
              <w:t>38</w:t>
            </w:r>
            <w:r w:rsidRPr="004A68AC">
              <w:rPr>
                <w:sz w:val="18"/>
                <w:szCs w:val="18"/>
              </w:rPr>
              <w:t>%)</w:t>
            </w:r>
          </w:p>
        </w:tc>
        <w:tc>
          <w:tcPr>
            <w:tcW w:w="937" w:type="pct"/>
            <w:shd w:val="clear" w:color="auto" w:fill="auto"/>
            <w:vAlign w:val="center"/>
          </w:tcPr>
          <w:p w14:paraId="7E57B041" w14:textId="679548E3"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sz w:val="18"/>
                <w:szCs w:val="18"/>
              </w:rPr>
              <w:t>0.</w:t>
            </w:r>
            <w:r w:rsidR="008573C5" w:rsidRPr="004A68AC">
              <w:rPr>
                <w:sz w:val="18"/>
                <w:szCs w:val="18"/>
              </w:rPr>
              <w:t>184</w:t>
            </w:r>
          </w:p>
        </w:tc>
      </w:tr>
      <w:tr w:rsidR="004D0E46" w:rsidRPr="004A68AC" w14:paraId="27F189B9" w14:textId="77777777" w:rsidTr="00290111">
        <w:trPr>
          <w:trHeight w:val="283"/>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11462843" w14:textId="42BA33BF" w:rsidR="004D0E46" w:rsidRPr="004A68AC" w:rsidRDefault="004D0E46" w:rsidP="00290111">
            <w:pPr>
              <w:jc w:val="center"/>
              <w:rPr>
                <w:sz w:val="18"/>
                <w:szCs w:val="18"/>
                <w:lang w:eastAsia="en-GB"/>
              </w:rPr>
            </w:pPr>
            <w:r w:rsidRPr="004A68AC">
              <w:rPr>
                <w:sz w:val="18"/>
                <w:szCs w:val="18"/>
                <w:lang w:eastAsia="en-GB"/>
              </w:rPr>
              <w:t>ASCE 41-17</w:t>
            </w:r>
            <w:r w:rsidRPr="004A68AC">
              <w:rPr>
                <w:b w:val="0"/>
                <w:sz w:val="18"/>
                <w:szCs w:val="18"/>
                <w:lang w:eastAsia="en-GB"/>
              </w:rPr>
              <w:t xml:space="preserve"> </w:t>
            </w:r>
            <w:r w:rsidRPr="004A68AC">
              <w:rPr>
                <w:sz w:val="18"/>
                <w:szCs w:val="18"/>
                <w:lang w:eastAsia="en-GB"/>
              </w:rPr>
              <w:fldChar w:fldCharType="begin" w:fldLock="1"/>
            </w:r>
            <w:r w:rsidR="005C47A3" w:rsidRPr="004A68AC">
              <w:rPr>
                <w:sz w:val="18"/>
                <w:szCs w:val="18"/>
                <w:lang w:eastAsia="en-GB"/>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 w:val="18"/>
                <w:szCs w:val="18"/>
                <w:lang w:eastAsia="en-GB"/>
              </w:rPr>
              <w:fldChar w:fldCharType="separate"/>
            </w:r>
            <w:r w:rsidRPr="004A68AC">
              <w:rPr>
                <w:b w:val="0"/>
                <w:noProof/>
                <w:sz w:val="18"/>
                <w:szCs w:val="18"/>
                <w:lang w:eastAsia="en-GB"/>
              </w:rPr>
              <w:t>[19]</w:t>
            </w:r>
            <w:r w:rsidRPr="004A68AC">
              <w:rPr>
                <w:sz w:val="18"/>
                <w:szCs w:val="18"/>
                <w:lang w:eastAsia="en-GB"/>
              </w:rPr>
              <w:fldChar w:fldCharType="end"/>
            </w:r>
          </w:p>
        </w:tc>
        <w:tc>
          <w:tcPr>
            <w:tcW w:w="937" w:type="pct"/>
            <w:shd w:val="clear" w:color="auto" w:fill="auto"/>
            <w:noWrap/>
            <w:vAlign w:val="center"/>
          </w:tcPr>
          <w:p w14:paraId="4B834272" w14:textId="375317C0"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4A68AC">
              <w:rPr>
                <w:sz w:val="18"/>
                <w:szCs w:val="18"/>
              </w:rPr>
              <w:t>0</w:t>
            </w:r>
            <w:r w:rsidR="009B59FF" w:rsidRPr="004A68AC">
              <w:rPr>
                <w:sz w:val="18"/>
                <w:szCs w:val="18"/>
              </w:rPr>
              <w:t>.</w:t>
            </w:r>
            <w:r w:rsidR="00EA311A" w:rsidRPr="004A68AC">
              <w:rPr>
                <w:sz w:val="18"/>
                <w:szCs w:val="18"/>
              </w:rPr>
              <w:t>31</w:t>
            </w:r>
            <w:r w:rsidR="008573C5" w:rsidRPr="004A68AC">
              <w:rPr>
                <w:sz w:val="18"/>
                <w:szCs w:val="18"/>
              </w:rPr>
              <w:t>3</w:t>
            </w:r>
            <w:r w:rsidRPr="004A68AC">
              <w:rPr>
                <w:sz w:val="18"/>
                <w:szCs w:val="18"/>
              </w:rPr>
              <w:t xml:space="preserve"> (+</w:t>
            </w:r>
            <w:r w:rsidR="0070039C" w:rsidRPr="004A68AC">
              <w:rPr>
                <w:sz w:val="18"/>
                <w:szCs w:val="18"/>
              </w:rPr>
              <w:t>157</w:t>
            </w:r>
            <w:r w:rsidRPr="004A68AC">
              <w:rPr>
                <w:sz w:val="18"/>
                <w:szCs w:val="18"/>
              </w:rPr>
              <w:t>%)</w:t>
            </w:r>
          </w:p>
        </w:tc>
        <w:tc>
          <w:tcPr>
            <w:tcW w:w="937" w:type="pct"/>
            <w:shd w:val="clear" w:color="auto" w:fill="auto"/>
            <w:noWrap/>
            <w:vAlign w:val="center"/>
          </w:tcPr>
          <w:p w14:paraId="0598DA6C" w14:textId="09C3048F"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4A68AC">
              <w:rPr>
                <w:color w:val="000000"/>
                <w:sz w:val="18"/>
                <w:szCs w:val="18"/>
              </w:rPr>
              <w:t>0.</w:t>
            </w:r>
            <w:r w:rsidR="00EA311A" w:rsidRPr="004A68AC">
              <w:rPr>
                <w:color w:val="000000"/>
                <w:sz w:val="18"/>
                <w:szCs w:val="18"/>
              </w:rPr>
              <w:t>25</w:t>
            </w:r>
            <w:r w:rsidR="008573C5" w:rsidRPr="004A68AC">
              <w:rPr>
                <w:color w:val="000000"/>
                <w:sz w:val="18"/>
                <w:szCs w:val="18"/>
              </w:rPr>
              <w:t>6</w:t>
            </w:r>
          </w:p>
        </w:tc>
        <w:tc>
          <w:tcPr>
            <w:tcW w:w="937" w:type="pct"/>
            <w:shd w:val="clear" w:color="auto" w:fill="auto"/>
            <w:vAlign w:val="center"/>
          </w:tcPr>
          <w:p w14:paraId="54000DE4" w14:textId="272ACBE4"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b/>
                <w:bCs/>
                <w:sz w:val="18"/>
                <w:szCs w:val="18"/>
                <w:lang w:eastAsia="en-GB"/>
              </w:rPr>
            </w:pPr>
            <w:r w:rsidRPr="004A68AC">
              <w:rPr>
                <w:sz w:val="18"/>
                <w:szCs w:val="18"/>
              </w:rPr>
              <w:t>0.</w:t>
            </w:r>
            <w:r w:rsidR="008573C5" w:rsidRPr="004A68AC">
              <w:rPr>
                <w:sz w:val="18"/>
                <w:szCs w:val="18"/>
              </w:rPr>
              <w:t>912</w:t>
            </w:r>
            <w:r w:rsidRPr="004A68AC">
              <w:rPr>
                <w:sz w:val="18"/>
                <w:szCs w:val="18"/>
              </w:rPr>
              <w:t xml:space="preserve"> (+</w:t>
            </w:r>
            <w:r w:rsidR="0070039C" w:rsidRPr="004A68AC">
              <w:rPr>
                <w:sz w:val="18"/>
                <w:szCs w:val="18"/>
              </w:rPr>
              <w:t>110</w:t>
            </w:r>
            <w:r w:rsidRPr="004A68AC">
              <w:rPr>
                <w:sz w:val="18"/>
                <w:szCs w:val="18"/>
              </w:rPr>
              <w:t>%)</w:t>
            </w:r>
          </w:p>
        </w:tc>
        <w:tc>
          <w:tcPr>
            <w:tcW w:w="937" w:type="pct"/>
            <w:shd w:val="clear" w:color="auto" w:fill="auto"/>
            <w:vAlign w:val="center"/>
          </w:tcPr>
          <w:p w14:paraId="2121C78F" w14:textId="2FDCC385"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4A68AC">
              <w:rPr>
                <w:sz w:val="18"/>
                <w:szCs w:val="18"/>
              </w:rPr>
              <w:t>0.</w:t>
            </w:r>
            <w:r w:rsidR="008573C5" w:rsidRPr="004A68AC">
              <w:rPr>
                <w:sz w:val="18"/>
                <w:szCs w:val="18"/>
              </w:rPr>
              <w:t>271</w:t>
            </w:r>
          </w:p>
        </w:tc>
      </w:tr>
      <w:tr w:rsidR="004D0E46" w:rsidRPr="004A68AC" w14:paraId="71A7B226" w14:textId="77777777" w:rsidTr="002901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783D50B3" w14:textId="77777777" w:rsidR="004D0E46" w:rsidRPr="004A68AC" w:rsidRDefault="004D0E46" w:rsidP="00290111">
            <w:pPr>
              <w:jc w:val="center"/>
              <w:rPr>
                <w:b w:val="0"/>
                <w:bCs w:val="0"/>
                <w:sz w:val="18"/>
                <w:szCs w:val="18"/>
                <w:lang w:eastAsia="en-GB"/>
              </w:rPr>
            </w:pPr>
            <w:r w:rsidRPr="004A68AC">
              <w:rPr>
                <w:sz w:val="18"/>
                <w:szCs w:val="18"/>
                <w:lang w:eastAsia="en-GB"/>
              </w:rPr>
              <w:t>Fiber-based model</w:t>
            </w:r>
          </w:p>
          <w:p w14:paraId="634DE2B4" w14:textId="77777777" w:rsidR="004D0E46" w:rsidRPr="004A68AC" w:rsidRDefault="004D0E46" w:rsidP="00290111">
            <w:pPr>
              <w:jc w:val="center"/>
              <w:rPr>
                <w:b w:val="0"/>
                <w:bCs w:val="0"/>
                <w:sz w:val="18"/>
                <w:szCs w:val="18"/>
                <w:lang w:eastAsia="en-GB"/>
              </w:rPr>
            </w:pPr>
            <w:r w:rsidRPr="004A68AC">
              <w:rPr>
                <w:b w:val="0"/>
                <w:bCs w:val="0"/>
                <w:sz w:val="18"/>
                <w:szCs w:val="18"/>
                <w:lang w:eastAsia="en-GB"/>
              </w:rPr>
              <w:t>(all columns)</w:t>
            </w:r>
          </w:p>
        </w:tc>
        <w:tc>
          <w:tcPr>
            <w:tcW w:w="937" w:type="pct"/>
            <w:shd w:val="clear" w:color="auto" w:fill="auto"/>
            <w:noWrap/>
            <w:vAlign w:val="center"/>
          </w:tcPr>
          <w:p w14:paraId="3DFF0103" w14:textId="4345890D" w:rsidR="004D0E46" w:rsidRPr="004A68AC" w:rsidRDefault="00EA311A" w:rsidP="00290111">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4A68AC">
              <w:rPr>
                <w:sz w:val="18"/>
                <w:szCs w:val="18"/>
              </w:rPr>
              <w:t>0.12</w:t>
            </w:r>
            <w:r w:rsidR="008573C5" w:rsidRPr="004A68AC">
              <w:rPr>
                <w:sz w:val="18"/>
                <w:szCs w:val="18"/>
              </w:rPr>
              <w:t>2</w:t>
            </w:r>
          </w:p>
        </w:tc>
        <w:tc>
          <w:tcPr>
            <w:tcW w:w="937" w:type="pct"/>
            <w:shd w:val="clear" w:color="auto" w:fill="auto"/>
            <w:noWrap/>
            <w:vAlign w:val="center"/>
          </w:tcPr>
          <w:p w14:paraId="7AD69FF6" w14:textId="5DA7995A"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4A68AC">
              <w:rPr>
                <w:color w:val="000000"/>
                <w:sz w:val="18"/>
                <w:szCs w:val="18"/>
              </w:rPr>
              <w:t>0.</w:t>
            </w:r>
            <w:r w:rsidR="00EA311A" w:rsidRPr="004A68AC">
              <w:rPr>
                <w:color w:val="000000"/>
                <w:sz w:val="18"/>
                <w:szCs w:val="18"/>
              </w:rPr>
              <w:t>14</w:t>
            </w:r>
            <w:r w:rsidR="008573C5" w:rsidRPr="004A68AC">
              <w:rPr>
                <w:color w:val="000000"/>
                <w:sz w:val="18"/>
                <w:szCs w:val="18"/>
              </w:rPr>
              <w:t>6</w:t>
            </w:r>
          </w:p>
        </w:tc>
        <w:tc>
          <w:tcPr>
            <w:tcW w:w="937" w:type="pct"/>
            <w:shd w:val="clear" w:color="auto" w:fill="auto"/>
            <w:vAlign w:val="center"/>
          </w:tcPr>
          <w:p w14:paraId="16C39256" w14:textId="01B3058A"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sz w:val="18"/>
                <w:szCs w:val="18"/>
                <w:lang w:eastAsia="en-GB"/>
              </w:rPr>
            </w:pPr>
            <w:r w:rsidRPr="004A68AC">
              <w:rPr>
                <w:sz w:val="18"/>
                <w:szCs w:val="18"/>
              </w:rPr>
              <w:t>0.</w:t>
            </w:r>
            <w:r w:rsidR="008573C5" w:rsidRPr="004A68AC">
              <w:rPr>
                <w:sz w:val="18"/>
                <w:szCs w:val="18"/>
              </w:rPr>
              <w:t>435</w:t>
            </w:r>
          </w:p>
        </w:tc>
        <w:tc>
          <w:tcPr>
            <w:tcW w:w="937" w:type="pct"/>
            <w:shd w:val="clear" w:color="auto" w:fill="auto"/>
            <w:vAlign w:val="center"/>
          </w:tcPr>
          <w:p w14:paraId="67D1AB5B" w14:textId="4BE82B91"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4A68AC">
              <w:rPr>
                <w:sz w:val="18"/>
                <w:szCs w:val="18"/>
              </w:rPr>
              <w:t>0.</w:t>
            </w:r>
            <w:r w:rsidR="008573C5" w:rsidRPr="004A68AC">
              <w:rPr>
                <w:sz w:val="18"/>
                <w:szCs w:val="18"/>
              </w:rPr>
              <w:t>274</w:t>
            </w:r>
          </w:p>
        </w:tc>
      </w:tr>
      <w:tr w:rsidR="004D0E46" w:rsidRPr="004A68AC" w14:paraId="0C61D258" w14:textId="77777777" w:rsidTr="00290111">
        <w:trPr>
          <w:trHeight w:val="283"/>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496A51D1" w14:textId="77777777" w:rsidR="004D0E46" w:rsidRPr="004A68AC" w:rsidRDefault="004D0E46" w:rsidP="00290111">
            <w:pPr>
              <w:jc w:val="center"/>
              <w:rPr>
                <w:b w:val="0"/>
                <w:bCs w:val="0"/>
                <w:sz w:val="18"/>
                <w:szCs w:val="18"/>
                <w:lang w:eastAsia="en-GB"/>
              </w:rPr>
            </w:pPr>
            <w:r w:rsidRPr="004A68AC">
              <w:rPr>
                <w:sz w:val="18"/>
                <w:szCs w:val="18"/>
                <w:lang w:eastAsia="en-GB"/>
              </w:rPr>
              <w:t>Fiber-based model</w:t>
            </w:r>
          </w:p>
          <w:p w14:paraId="0ED19C11" w14:textId="77777777" w:rsidR="004D0E46" w:rsidRPr="004A68AC" w:rsidRDefault="004D0E46" w:rsidP="00290111">
            <w:pPr>
              <w:jc w:val="center"/>
              <w:rPr>
                <w:b w:val="0"/>
                <w:bCs w:val="0"/>
                <w:sz w:val="18"/>
                <w:szCs w:val="18"/>
                <w:lang w:eastAsia="en-GB"/>
              </w:rPr>
            </w:pPr>
            <w:r w:rsidRPr="004A68AC">
              <w:rPr>
                <w:b w:val="0"/>
                <w:bCs w:val="0"/>
                <w:sz w:val="18"/>
                <w:szCs w:val="18"/>
                <w:lang w:eastAsia="en-GB"/>
              </w:rPr>
              <w:t>(internal columns)</w:t>
            </w:r>
          </w:p>
        </w:tc>
        <w:tc>
          <w:tcPr>
            <w:tcW w:w="937" w:type="pct"/>
            <w:shd w:val="clear" w:color="auto" w:fill="auto"/>
            <w:noWrap/>
            <w:vAlign w:val="center"/>
          </w:tcPr>
          <w:p w14:paraId="1A5CE330" w14:textId="24DC2881" w:rsidR="004D0E46" w:rsidRPr="004A68AC" w:rsidRDefault="00EA311A" w:rsidP="002901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68AC">
              <w:rPr>
                <w:sz w:val="18"/>
                <w:szCs w:val="18"/>
              </w:rPr>
              <w:t>0.12</w:t>
            </w:r>
            <w:r w:rsidR="008573C5" w:rsidRPr="004A68AC">
              <w:rPr>
                <w:sz w:val="18"/>
                <w:szCs w:val="18"/>
              </w:rPr>
              <w:t>2</w:t>
            </w:r>
            <w:r w:rsidR="004D0E46" w:rsidRPr="004A68AC">
              <w:rPr>
                <w:sz w:val="18"/>
                <w:szCs w:val="18"/>
              </w:rPr>
              <w:t xml:space="preserve"> (0%)</w:t>
            </w:r>
          </w:p>
        </w:tc>
        <w:tc>
          <w:tcPr>
            <w:tcW w:w="937" w:type="pct"/>
            <w:shd w:val="clear" w:color="auto" w:fill="auto"/>
            <w:noWrap/>
            <w:vAlign w:val="center"/>
          </w:tcPr>
          <w:p w14:paraId="788465F3" w14:textId="2D0AAAA4"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A68AC">
              <w:rPr>
                <w:color w:val="000000"/>
                <w:sz w:val="18"/>
                <w:szCs w:val="18"/>
              </w:rPr>
              <w:t>0.</w:t>
            </w:r>
            <w:r w:rsidR="00EA311A" w:rsidRPr="004A68AC">
              <w:rPr>
                <w:color w:val="000000"/>
                <w:sz w:val="18"/>
                <w:szCs w:val="18"/>
              </w:rPr>
              <w:t>14</w:t>
            </w:r>
            <w:r w:rsidR="008573C5" w:rsidRPr="004A68AC">
              <w:rPr>
                <w:color w:val="000000"/>
                <w:sz w:val="18"/>
                <w:szCs w:val="18"/>
              </w:rPr>
              <w:t>6</w:t>
            </w:r>
          </w:p>
        </w:tc>
        <w:tc>
          <w:tcPr>
            <w:tcW w:w="937" w:type="pct"/>
            <w:shd w:val="clear" w:color="auto" w:fill="auto"/>
            <w:vAlign w:val="center"/>
          </w:tcPr>
          <w:p w14:paraId="0A48205B" w14:textId="16244BCF"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68AC">
              <w:rPr>
                <w:sz w:val="18"/>
                <w:szCs w:val="18"/>
              </w:rPr>
              <w:t>0.</w:t>
            </w:r>
            <w:r w:rsidR="008573C5" w:rsidRPr="004A68AC">
              <w:rPr>
                <w:sz w:val="18"/>
                <w:szCs w:val="18"/>
              </w:rPr>
              <w:t xml:space="preserve">514 </w:t>
            </w:r>
            <w:r w:rsidRPr="004A68AC">
              <w:rPr>
                <w:sz w:val="18"/>
                <w:szCs w:val="18"/>
              </w:rPr>
              <w:t>(+</w:t>
            </w:r>
            <w:r w:rsidR="0070039C" w:rsidRPr="004A68AC">
              <w:rPr>
                <w:sz w:val="18"/>
                <w:szCs w:val="18"/>
              </w:rPr>
              <w:t>18</w:t>
            </w:r>
            <w:r w:rsidRPr="004A68AC">
              <w:rPr>
                <w:sz w:val="18"/>
                <w:szCs w:val="18"/>
              </w:rPr>
              <w:t>%)</w:t>
            </w:r>
          </w:p>
        </w:tc>
        <w:tc>
          <w:tcPr>
            <w:tcW w:w="937" w:type="pct"/>
            <w:shd w:val="clear" w:color="auto" w:fill="auto"/>
            <w:vAlign w:val="center"/>
          </w:tcPr>
          <w:p w14:paraId="0C0DE6F4" w14:textId="097CFC79" w:rsidR="004D0E46" w:rsidRPr="004A68AC" w:rsidRDefault="004D0E46" w:rsidP="002901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68AC">
              <w:rPr>
                <w:sz w:val="18"/>
                <w:szCs w:val="18"/>
              </w:rPr>
              <w:t>0.</w:t>
            </w:r>
            <w:r w:rsidR="008573C5" w:rsidRPr="004A68AC">
              <w:rPr>
                <w:sz w:val="18"/>
                <w:szCs w:val="18"/>
              </w:rPr>
              <w:t>210</w:t>
            </w:r>
          </w:p>
        </w:tc>
      </w:tr>
      <w:tr w:rsidR="004D0E46" w:rsidRPr="004A68AC" w14:paraId="4D339787" w14:textId="77777777" w:rsidTr="002901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1FCF3A2F" w14:textId="58D14724" w:rsidR="004D0E46" w:rsidRPr="004A68AC" w:rsidRDefault="004D0E46" w:rsidP="00290111">
            <w:pPr>
              <w:jc w:val="center"/>
              <w:rPr>
                <w:sz w:val="18"/>
                <w:szCs w:val="18"/>
                <w:lang w:eastAsia="en-GB"/>
              </w:rPr>
            </w:pPr>
            <w:r w:rsidRPr="004A68AC">
              <w:rPr>
                <w:sz w:val="18"/>
                <w:szCs w:val="18"/>
                <w:lang w:eastAsia="en-GB"/>
              </w:rPr>
              <w:t xml:space="preserve">Lignos </w:t>
            </w:r>
            <w:r w:rsidRPr="004A68AC">
              <w:rPr>
                <w:i/>
                <w:sz w:val="18"/>
                <w:szCs w:val="18"/>
                <w:lang w:eastAsia="en-GB"/>
              </w:rPr>
              <w:t>et al.</w:t>
            </w:r>
            <w:r w:rsidRPr="004A68AC">
              <w:rPr>
                <w:b w:val="0"/>
                <w:sz w:val="18"/>
                <w:szCs w:val="18"/>
                <w:lang w:eastAsia="en-GB"/>
              </w:rPr>
              <w:t xml:space="preserve"> </w:t>
            </w:r>
            <w:r w:rsidRPr="004A68AC">
              <w:rPr>
                <w:sz w:val="18"/>
                <w:szCs w:val="18"/>
                <w:lang w:eastAsia="en-GB"/>
              </w:rPr>
              <w:fldChar w:fldCharType="begin" w:fldLock="1"/>
            </w:r>
            <w:r w:rsidR="000A27F6" w:rsidRPr="004A68AC">
              <w:rPr>
                <w:sz w:val="18"/>
                <w:szCs w:val="18"/>
                <w:lang w:eastAsia="en-GB"/>
              </w:rPr>
              <w:instrText>ADDIN CSL_CITATION {"citationItems":[{"id":"ITEM-1","itemData":{"DOI":"10.1061/(ASCE)ST.1943-541X.0002353","ISSN":"07339445","abstract":"Nonlinear static and dynamic analyses are utilized by engineers for performance-based seismic risk evaluation of new and existing structures. In this context, nonlinear component modeling criteria are typically based on ASCE 41 guidelines. Experiments on wide-flange steel columns suggest that the ASCE 41-13 nonlinear component models do not adequately reflect the expected steel column behavior under cyclic loading. To help bridge the gap between state-of-the-art research and engineering practice, this paper proposes new modeling criteria for the first-cycle envelope and monotonic backbone curves of steel wide-flange columns for use in nonlinear static and dynamic frame analyses. The proposed nonlinear provisions include new parameters for concentrated hinge models to facilitate modeling of strength and stiffness deterioration of steel columns under seismic loading. The associated variability in the model parameters is also quantified to facilitate reliability analyses and development of probabilistic acceptance criteria for design. Recommendations are made to account for the influence of bidirectional lateral loading and varying axial load demands on the steel column's hysteretic behavior. Also proposed is an increase in the compression axial force limit for characterizing columns as force-controlled versus deformation-controlled in line with the new ASCE 41 provisions. The proposed modeling parameters are validated against test data and continuum finite-element analyses, and they are proposed for consideration in future updates to ASCE 41 requirements for nonlinear static and dynamic analyses of steel frame buildings with wide-flange columns.","author":[{"dropping-particle":"","family":"Lignos","given":"Dimitrios G.","non-dropping-particle":"","parse-names":false,"suffix":""},{"dropping-particle":"","family":"Hartloper","given":"Alexander R.","non-dropping-particle":"","parse-names":false,"suffix":""},{"dropping-particle":"","family":"Elkady","given":"Ahmed","non-dropping-particle":"","parse-names":false,"suffix":""},{"dropping-particle":"","family":"Deierlein","given":"Gregory G.","non-dropping-particle":"","parse-names":false,"suffix":""},{"dropping-particle":"","family":"Hamburger","given":"Ronald","non-dropping-particle":"","parse-names":false,"suffix":""}],"container-title":"Journal of Structural Engineering","id":"ITEM-1","issue":"9","issued":{"date-parts":[["2019"]]},"page":"1-13","title":"Proposed Updates to the ASCE 41 Nonlinear Modeling Parameters for Wide-Flange Steel Columns in Support of Performance-Based Seismic Engineering","type":"article-journal","volume":"145"},"uris":["http://www.mendeley.com/documents/?uuid=35167ab5-73c8-442c-8af5-bdaf3bc76c3c"]}],"mendeley":{"formattedCitation":"[42]","plainTextFormattedCitation":"[42]","previouslyFormattedCitation":"[42]"},"properties":{"noteIndex":0},"schema":"https://github.com/citation-style-language/schema/raw/master/csl-citation.json"}</w:instrText>
            </w:r>
            <w:r w:rsidRPr="004A68AC">
              <w:rPr>
                <w:sz w:val="18"/>
                <w:szCs w:val="18"/>
                <w:lang w:eastAsia="en-GB"/>
              </w:rPr>
              <w:fldChar w:fldCharType="separate"/>
            </w:r>
            <w:r w:rsidR="005C2936" w:rsidRPr="004A68AC">
              <w:rPr>
                <w:b w:val="0"/>
                <w:noProof/>
                <w:sz w:val="18"/>
                <w:szCs w:val="18"/>
                <w:lang w:eastAsia="en-GB"/>
              </w:rPr>
              <w:t>[42]</w:t>
            </w:r>
            <w:r w:rsidRPr="004A68AC">
              <w:rPr>
                <w:sz w:val="18"/>
                <w:szCs w:val="18"/>
                <w:lang w:eastAsia="en-GB"/>
              </w:rPr>
              <w:fldChar w:fldCharType="end"/>
            </w:r>
          </w:p>
        </w:tc>
        <w:tc>
          <w:tcPr>
            <w:tcW w:w="937" w:type="pct"/>
            <w:shd w:val="clear" w:color="auto" w:fill="auto"/>
            <w:noWrap/>
            <w:vAlign w:val="center"/>
            <w:hideMark/>
          </w:tcPr>
          <w:p w14:paraId="6BF7EA19" w14:textId="487B35B5" w:rsidR="004D0E46" w:rsidRPr="004A68AC" w:rsidRDefault="00EA311A"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sz w:val="18"/>
                <w:szCs w:val="18"/>
              </w:rPr>
              <w:t>0.13</w:t>
            </w:r>
            <w:r w:rsidR="008573C5" w:rsidRPr="004A68AC">
              <w:rPr>
                <w:sz w:val="18"/>
                <w:szCs w:val="18"/>
              </w:rPr>
              <w:t>6</w:t>
            </w:r>
            <w:r w:rsidR="004D0E46" w:rsidRPr="004A68AC">
              <w:rPr>
                <w:sz w:val="18"/>
                <w:szCs w:val="18"/>
              </w:rPr>
              <w:t xml:space="preserve"> (+</w:t>
            </w:r>
            <w:r w:rsidR="0070039C" w:rsidRPr="004A68AC">
              <w:rPr>
                <w:sz w:val="18"/>
                <w:szCs w:val="18"/>
              </w:rPr>
              <w:t>11</w:t>
            </w:r>
            <w:r w:rsidR="004D0E46" w:rsidRPr="004A68AC">
              <w:rPr>
                <w:sz w:val="18"/>
                <w:szCs w:val="18"/>
              </w:rPr>
              <w:t>%)</w:t>
            </w:r>
          </w:p>
        </w:tc>
        <w:tc>
          <w:tcPr>
            <w:tcW w:w="937" w:type="pct"/>
            <w:shd w:val="clear" w:color="auto" w:fill="auto"/>
            <w:noWrap/>
            <w:vAlign w:val="center"/>
            <w:hideMark/>
          </w:tcPr>
          <w:p w14:paraId="20DCB6CC" w14:textId="39C846F5"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color w:val="000000"/>
                <w:sz w:val="18"/>
                <w:szCs w:val="18"/>
              </w:rPr>
              <w:t>0.</w:t>
            </w:r>
            <w:r w:rsidR="00EA311A" w:rsidRPr="004A68AC">
              <w:rPr>
                <w:color w:val="000000"/>
                <w:sz w:val="18"/>
                <w:szCs w:val="18"/>
              </w:rPr>
              <w:t>229</w:t>
            </w:r>
          </w:p>
        </w:tc>
        <w:tc>
          <w:tcPr>
            <w:tcW w:w="937" w:type="pct"/>
            <w:shd w:val="clear" w:color="auto" w:fill="auto"/>
            <w:vAlign w:val="center"/>
          </w:tcPr>
          <w:p w14:paraId="4E5D715F" w14:textId="4A17062D"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b/>
                <w:bCs/>
                <w:color w:val="auto"/>
                <w:sz w:val="18"/>
                <w:szCs w:val="18"/>
                <w:lang w:eastAsia="en-GB"/>
              </w:rPr>
            </w:pPr>
            <w:r w:rsidRPr="004A68AC">
              <w:rPr>
                <w:sz w:val="18"/>
                <w:szCs w:val="18"/>
              </w:rPr>
              <w:t>0.</w:t>
            </w:r>
            <w:r w:rsidR="008573C5" w:rsidRPr="004A68AC">
              <w:rPr>
                <w:sz w:val="18"/>
                <w:szCs w:val="18"/>
              </w:rPr>
              <w:t xml:space="preserve">528 </w:t>
            </w:r>
            <w:r w:rsidRPr="004A68AC">
              <w:rPr>
                <w:sz w:val="18"/>
                <w:szCs w:val="18"/>
              </w:rPr>
              <w:t>(+</w:t>
            </w:r>
            <w:r w:rsidR="0070039C" w:rsidRPr="004A68AC">
              <w:rPr>
                <w:sz w:val="18"/>
                <w:szCs w:val="18"/>
              </w:rPr>
              <w:t>21</w:t>
            </w:r>
            <w:r w:rsidRPr="004A68AC">
              <w:rPr>
                <w:sz w:val="18"/>
                <w:szCs w:val="18"/>
              </w:rPr>
              <w:t>%)</w:t>
            </w:r>
          </w:p>
        </w:tc>
        <w:tc>
          <w:tcPr>
            <w:tcW w:w="937" w:type="pct"/>
            <w:shd w:val="clear" w:color="auto" w:fill="auto"/>
            <w:vAlign w:val="center"/>
          </w:tcPr>
          <w:p w14:paraId="71D32B5E" w14:textId="7054D206" w:rsidR="004D0E46" w:rsidRPr="004A68AC" w:rsidRDefault="004D0E46" w:rsidP="00290111">
            <w:pPr>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GB"/>
              </w:rPr>
            </w:pPr>
            <w:r w:rsidRPr="004A68AC">
              <w:rPr>
                <w:sz w:val="18"/>
                <w:szCs w:val="18"/>
              </w:rPr>
              <w:t>0.</w:t>
            </w:r>
            <w:r w:rsidR="008573C5" w:rsidRPr="004A68AC">
              <w:rPr>
                <w:sz w:val="18"/>
                <w:szCs w:val="18"/>
              </w:rPr>
              <w:t>260</w:t>
            </w:r>
          </w:p>
        </w:tc>
      </w:tr>
    </w:tbl>
    <w:p w14:paraId="3B661935" w14:textId="2550498E" w:rsidR="00D3455F" w:rsidRPr="004A68AC" w:rsidRDefault="00D3455F" w:rsidP="00574F64">
      <w:pPr>
        <w:rPr>
          <w:lang w:val="en-US"/>
        </w:rPr>
      </w:pPr>
    </w:p>
    <w:p w14:paraId="180A3481" w14:textId="6B8782BF" w:rsidR="00574F64" w:rsidRPr="004A68AC" w:rsidRDefault="00CA78C6" w:rsidP="00574F64">
      <w:pPr>
        <w:jc w:val="center"/>
        <w:rPr>
          <w:szCs w:val="20"/>
          <w:lang w:val="en-US"/>
        </w:rPr>
      </w:pPr>
      <w:r w:rsidRPr="004A68AC">
        <w:rPr>
          <w:noProof/>
          <w:szCs w:val="20"/>
          <w:lang w:val="en-US"/>
        </w:rPr>
        <w:drawing>
          <wp:inline distT="0" distB="0" distL="0" distR="0" wp14:anchorId="109AF8D2" wp14:editId="31157143">
            <wp:extent cx="5391150" cy="25126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512695"/>
                    </a:xfrm>
                    <a:prstGeom prst="rect">
                      <a:avLst/>
                    </a:prstGeom>
                    <a:noFill/>
                    <a:ln>
                      <a:noFill/>
                    </a:ln>
                  </pic:spPr>
                </pic:pic>
              </a:graphicData>
            </a:graphic>
          </wp:inline>
        </w:drawing>
      </w:r>
    </w:p>
    <w:p w14:paraId="5A8D0703" w14:textId="0930964B" w:rsidR="00574F64" w:rsidRPr="004A68AC" w:rsidRDefault="00574F64" w:rsidP="00574F64">
      <w:pPr>
        <w:jc w:val="center"/>
        <w:rPr>
          <w:szCs w:val="20"/>
          <w:lang w:val="en-US"/>
        </w:rPr>
      </w:pPr>
      <w:r w:rsidRPr="004A68AC">
        <w:rPr>
          <w:b/>
          <w:bCs/>
          <w:szCs w:val="20"/>
          <w:lang w:val="en-US"/>
        </w:rPr>
        <w:t xml:space="preserve">Figure </w:t>
      </w:r>
      <w:r w:rsidRPr="004A68AC">
        <w:rPr>
          <w:b/>
          <w:bCs/>
          <w:szCs w:val="20"/>
          <w:lang w:val="en-US"/>
        </w:rPr>
        <w:fldChar w:fldCharType="begin" w:fldLock="1"/>
      </w:r>
      <w:r w:rsidRPr="004A68AC">
        <w:rPr>
          <w:b/>
          <w:bCs/>
          <w:szCs w:val="20"/>
          <w:lang w:val="en-US"/>
        </w:rPr>
        <w:instrText xml:space="preserve"> SEQ Figure \* ARABIC </w:instrText>
      </w:r>
      <w:r w:rsidRPr="004A68AC">
        <w:rPr>
          <w:b/>
          <w:bCs/>
          <w:szCs w:val="20"/>
          <w:lang w:val="en-US"/>
        </w:rPr>
        <w:fldChar w:fldCharType="separate"/>
      </w:r>
      <w:r w:rsidRPr="004A68AC">
        <w:rPr>
          <w:b/>
          <w:bCs/>
          <w:noProof/>
          <w:szCs w:val="20"/>
          <w:lang w:val="en-US"/>
        </w:rPr>
        <w:t>10</w:t>
      </w:r>
      <w:r w:rsidRPr="004A68AC">
        <w:rPr>
          <w:b/>
          <w:bCs/>
          <w:szCs w:val="20"/>
          <w:lang w:val="en-US"/>
        </w:rPr>
        <w:fldChar w:fldCharType="end"/>
      </w:r>
      <w:r w:rsidRPr="004A68AC">
        <w:rPr>
          <w:b/>
          <w:bCs/>
          <w:szCs w:val="20"/>
          <w:lang w:val="en-US"/>
        </w:rPr>
        <w:t>.</w:t>
      </w:r>
      <w:r w:rsidRPr="004A68AC">
        <w:rPr>
          <w:szCs w:val="20"/>
          <w:lang w:val="en-US"/>
        </w:rPr>
        <w:t xml:space="preserve"> Comparison of fragility curves based on the </w:t>
      </w:r>
      <w:r w:rsidRPr="004A68AC">
        <w:rPr>
          <w:i/>
          <w:szCs w:val="20"/>
          <w:lang w:val="en-US"/>
        </w:rPr>
        <w:t>P</w:t>
      </w:r>
      <w:r w:rsidRPr="004A68AC">
        <w:rPr>
          <w:szCs w:val="20"/>
          <w:lang w:val="en-US"/>
        </w:rPr>
        <w:t xml:space="preserve"> (</w:t>
      </w:r>
      <w:r w:rsidRPr="004A68AC">
        <w:rPr>
          <w:lang w:val="en-US"/>
        </w:rPr>
        <w:t>θ</w:t>
      </w:r>
      <w:r w:rsidRPr="004A68AC">
        <w:rPr>
          <w:szCs w:val="20"/>
          <w:lang w:val="en-US"/>
        </w:rPr>
        <w:t xml:space="preserve"> ≥ </w:t>
      </w:r>
      <w:r w:rsidRPr="004A68AC">
        <w:rPr>
          <w:lang w:val="en-US"/>
        </w:rPr>
        <w:t>θ</w:t>
      </w:r>
      <w:r w:rsidRPr="004A68AC">
        <w:rPr>
          <w:vertAlign w:val="subscript"/>
          <w:lang w:val="en-US"/>
        </w:rPr>
        <w:t>y</w:t>
      </w:r>
      <w:r w:rsidRPr="004A68AC">
        <w:rPr>
          <w:szCs w:val="20"/>
          <w:lang w:val="en-US"/>
        </w:rPr>
        <w:t xml:space="preserve"> | IM) for 3B (a) and 9B (b). The solid lines represent the fragility curves for individual fiber-based column elements, while the broken lines represent the fragility curves for all the columns in the building together, according to various definitions of </w:t>
      </w:r>
      <w:r w:rsidRPr="004A68AC">
        <w:rPr>
          <w:lang w:val="en-US"/>
        </w:rPr>
        <w:t>θ</w:t>
      </w:r>
      <w:r w:rsidRPr="004A68AC">
        <w:rPr>
          <w:vertAlign w:val="subscript"/>
          <w:lang w:val="en-US"/>
        </w:rPr>
        <w:t>y</w:t>
      </w:r>
      <w:r w:rsidRPr="004A68AC">
        <w:rPr>
          <w:szCs w:val="20"/>
          <w:lang w:val="en-US"/>
        </w:rPr>
        <w:t>.</w:t>
      </w:r>
    </w:p>
    <w:p w14:paraId="280283C7" w14:textId="77777777" w:rsidR="0064152E" w:rsidRPr="004A68AC" w:rsidRDefault="0064152E" w:rsidP="00574F64">
      <w:pPr>
        <w:jc w:val="center"/>
        <w:rPr>
          <w:szCs w:val="20"/>
          <w:lang w:val="en-US"/>
        </w:rPr>
      </w:pPr>
    </w:p>
    <w:p w14:paraId="4BFDA55E" w14:textId="37364AFB" w:rsidR="00C71366" w:rsidRPr="004A68AC" w:rsidRDefault="00C71366" w:rsidP="00022E9D">
      <w:pPr>
        <w:pStyle w:val="Heading3"/>
        <w:spacing w:before="0" w:after="0"/>
        <w:rPr>
          <w:b w:val="0"/>
          <w:i/>
          <w:szCs w:val="20"/>
          <w:lang w:val="en-US"/>
        </w:rPr>
      </w:pPr>
      <w:r w:rsidRPr="004A68AC">
        <w:rPr>
          <w:rFonts w:ascii="Times New Roman" w:hAnsi="Times New Roman"/>
          <w:bCs w:val="0"/>
          <w:i/>
          <w:sz w:val="20"/>
          <w:szCs w:val="20"/>
          <w:lang w:val="en-US"/>
        </w:rPr>
        <w:t xml:space="preserve">4.6 </w:t>
      </w:r>
      <w:r w:rsidR="00022E9D" w:rsidRPr="004A68AC">
        <w:rPr>
          <w:rFonts w:ascii="Times New Roman" w:hAnsi="Times New Roman"/>
          <w:bCs w:val="0"/>
          <w:i/>
          <w:sz w:val="20"/>
          <w:szCs w:val="20"/>
          <w:lang w:val="en-US"/>
        </w:rPr>
        <w:t>F</w:t>
      </w:r>
      <w:r w:rsidRPr="004A68AC">
        <w:rPr>
          <w:rFonts w:ascii="Times New Roman" w:hAnsi="Times New Roman"/>
          <w:bCs w:val="0"/>
          <w:i/>
          <w:sz w:val="20"/>
          <w:szCs w:val="20"/>
          <w:lang w:val="en-US"/>
        </w:rPr>
        <w:t>ragility based on the code-established limit states</w:t>
      </w:r>
    </w:p>
    <w:p w14:paraId="7F24FFB3" w14:textId="287E8373" w:rsidR="000676F0" w:rsidRPr="004A68AC" w:rsidRDefault="00C71366" w:rsidP="00C71366">
      <w:pPr>
        <w:rPr>
          <w:lang w:val="en-US"/>
        </w:rPr>
      </w:pPr>
      <w:r w:rsidRPr="004A68AC">
        <w:rPr>
          <w:lang w:val="en-US"/>
        </w:rPr>
        <w:t>Fragility curves are derived for each</w:t>
      </w:r>
      <w:r w:rsidR="00A00092" w:rsidRPr="004A68AC">
        <w:rPr>
          <w:lang w:val="en-US"/>
        </w:rPr>
        <w:t xml:space="preserve"> local</w:t>
      </w:r>
      <w:r w:rsidRPr="004A68AC">
        <w:rPr>
          <w:lang w:val="en-US"/>
        </w:rPr>
        <w:t xml:space="preserve"> EDP, code and limit state, </w:t>
      </w:r>
      <w:r w:rsidR="002A4B5C" w:rsidRPr="004A68AC">
        <w:rPr>
          <w:lang w:val="en-US"/>
        </w:rPr>
        <w:t>for</w:t>
      </w:r>
      <w:r w:rsidRPr="004A68AC">
        <w:rPr>
          <w:lang w:val="en-US"/>
        </w:rPr>
        <w:t xml:space="preserve"> comparison</w:t>
      </w:r>
      <w:r w:rsidR="002A4B5C" w:rsidRPr="004A68AC">
        <w:rPr>
          <w:lang w:val="en-US"/>
        </w:rPr>
        <w:t>s</w:t>
      </w:r>
      <w:r w:rsidRPr="004A68AC">
        <w:rPr>
          <w:lang w:val="en-US"/>
        </w:rPr>
        <w:t xml:space="preserve"> between the capacity values established by the codes. </w:t>
      </w:r>
      <w:r w:rsidR="00924A32" w:rsidRPr="004A68AC">
        <w:rPr>
          <w:lang w:val="en-US"/>
        </w:rPr>
        <w:t>While</w:t>
      </w:r>
      <w:r w:rsidRPr="004A68AC">
        <w:rPr>
          <w:lang w:val="en-US"/>
        </w:rPr>
        <w:t xml:space="preserve"> accounting for the uncertainty related to the seismic demand</w:t>
      </w:r>
      <w:r w:rsidR="00924A32" w:rsidRPr="004A68AC">
        <w:rPr>
          <w:lang w:val="en-US"/>
        </w:rPr>
        <w:t xml:space="preserve"> (</w:t>
      </w:r>
      <w:r w:rsidR="00924A32" w:rsidRPr="004A68AC">
        <w:rPr>
          <w:i/>
          <w:iCs/>
          <w:lang w:val="en-US"/>
        </w:rPr>
        <w:t>i.e.</w:t>
      </w:r>
      <w:r w:rsidR="00924A32" w:rsidRPr="004A68AC">
        <w:rPr>
          <w:lang w:val="en-US"/>
        </w:rPr>
        <w:t>,</w:t>
      </w:r>
      <w:r w:rsidRPr="004A68AC">
        <w:rPr>
          <w:lang w:val="en-US"/>
        </w:rPr>
        <w:t xml:space="preserve"> record-to-record variability</w:t>
      </w:r>
      <w:r w:rsidR="00924A32" w:rsidRPr="004A68AC">
        <w:rPr>
          <w:lang w:val="en-US"/>
        </w:rPr>
        <w:t>)</w:t>
      </w:r>
      <w:r w:rsidRPr="004A68AC">
        <w:rPr>
          <w:lang w:val="en-US"/>
        </w:rPr>
        <w:t xml:space="preserve">, the variation of </w:t>
      </w:r>
      <w:r w:rsidR="0041699E" w:rsidRPr="004A68AC">
        <w:rPr>
          <w:lang w:val="en-US"/>
        </w:rPr>
        <w:t xml:space="preserve">demand-dependent </w:t>
      </w:r>
      <w:r w:rsidRPr="004A68AC">
        <w:rPr>
          <w:lang w:val="en-US"/>
        </w:rPr>
        <w:t xml:space="preserve">capacity values </w:t>
      </w:r>
      <w:r w:rsidR="0009706D" w:rsidRPr="004A68AC">
        <w:rPr>
          <w:lang w:val="en-US"/>
        </w:rPr>
        <w:t>is</w:t>
      </w:r>
      <w:r w:rsidR="0041699E" w:rsidRPr="004A68AC">
        <w:rPr>
          <w:lang w:val="en-US"/>
        </w:rPr>
        <w:t xml:space="preserve"> implicitly considered</w:t>
      </w:r>
      <w:r w:rsidRPr="004A68AC">
        <w:rPr>
          <w:lang w:val="en-US"/>
        </w:rPr>
        <w:t xml:space="preserve"> (</w:t>
      </w:r>
      <w:r w:rsidRPr="004A68AC">
        <w:rPr>
          <w:i/>
          <w:iCs/>
          <w:lang w:val="en-US"/>
        </w:rPr>
        <w:t>i.e.,</w:t>
      </w:r>
      <w:r w:rsidRPr="004A68AC">
        <w:rPr>
          <w:lang w:val="en-US"/>
        </w:rPr>
        <w:t xml:space="preserve"> θ</w:t>
      </w:r>
      <w:r w:rsidRPr="004A68AC">
        <w:rPr>
          <w:vertAlign w:val="subscript"/>
          <w:lang w:val="en-US"/>
        </w:rPr>
        <w:t>y</w:t>
      </w:r>
      <w:r w:rsidRPr="004A68AC">
        <w:rPr>
          <w:lang w:val="en-US"/>
        </w:rPr>
        <w:t xml:space="preserve"> in the columns). The seismic demand is monitored for each EDP and each component and compared to the seismic capacity determined by the values described in Section 3. A given limit</w:t>
      </w:r>
      <w:r w:rsidR="00077721" w:rsidRPr="004A68AC">
        <w:rPr>
          <w:lang w:val="en-US"/>
        </w:rPr>
        <w:t xml:space="preserve"> </w:t>
      </w:r>
      <w:r w:rsidRPr="004A68AC">
        <w:rPr>
          <w:lang w:val="en-US"/>
        </w:rPr>
        <w:t xml:space="preserve">state is considered overpassed when one or more elements surpass the deformation capacity limit attained to it, in accordance with the failure criteria established in the assessment codes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Buildings","type":"article"},"uris":["http://www.mendeley.com/documents/?uuid=fba0390a-42c8-4da4-8c99-cd84df5c2e39"]},{"id":"ITEM-2","itemData":{"DOI":"10.1061/9780784408841","ISBN":"9780784408841","author":[{"dropping-particle":"","family":"American Society of Civil Engineers","given":"","non-dropping-particle":"","parse-names":false,"suffix":""}],"container-title":"ASCE/SEI 41-06","id":"ITEM-2","issued":{"date-parts":[["2007"]]},"title":"Seismic Rehabilitation of Existing Buildings","type":"article"},"uris":["http://www.mendeley.com/documents/?uuid=e32cfdb6-620a-411a-a7d6-8e56de32bcc1"]},{"id":"ITEM-3","itemData":{"DOI":"10.1061/9780784412855","ISBN":"9780784412855","author":[{"dropping-particle":"","family":"American Society of Civil Engineers","given":"","non-dropping-particle":"","parse-names":false,"suffix":""}],"container-title":"ASCE/SEI 41-13","id":"ITEM-3","issued":{"date-parts":[["2014","5","29"]]},"publisher":"American Society of Civil Engineers","publisher-place":"Reston, VA","title":"Seismic Evaluation and Retrofit of Existing Buildings","type":"article"},"uris":["http://www.mendeley.com/documents/?uuid=e1e1c9a1-8439-4464-8e57-e6a99a956fd4"]},{"id":"ITEM-4","itemData":{"DOI":"10.1061/9780784414859","ISBN":"9780784412855","author":[{"dropping-particle":"","family":"American Society of Civil Engineers","given":"","non-dropping-particle":"","parse-names":false,"suffix":""}],"container-title":"ASCE/SEI 41-17","id":"ITEM-4","issued":{"date-parts":[["2017"]]},"title":"Seismic Evaluation and Retrofit of Existing Buildings","type":"article"},"uris":["http://www.mendeley.com/documents/?uuid=0dfd1fff-db69-4728-b658-30ff1c502a98"]}],"mendeley":{"formattedCitation":"[13,15,18,19]","plainTextFormattedCitation":"[13,15,18,19]","previouslyFormattedCitation":"[13,15,18,19]"},"properties":{"noteIndex":0},"schema":"https://github.com/citation-style-language/schema/raw/master/csl-citation.json"}</w:instrText>
      </w:r>
      <w:r w:rsidRPr="004A68AC">
        <w:rPr>
          <w:lang w:val="en-US"/>
        </w:rPr>
        <w:fldChar w:fldCharType="separate"/>
      </w:r>
      <w:r w:rsidRPr="004A68AC">
        <w:rPr>
          <w:noProof/>
          <w:lang w:val="en-US"/>
        </w:rPr>
        <w:t>[13,15,18,19]</w:t>
      </w:r>
      <w:r w:rsidRPr="004A68AC">
        <w:rPr>
          <w:lang w:val="en-US"/>
        </w:rPr>
        <w:fldChar w:fldCharType="end"/>
      </w:r>
      <w:r w:rsidRPr="004A68AC">
        <w:rPr>
          <w:lang w:val="en-US"/>
        </w:rPr>
        <w:t xml:space="preserve">. </w:t>
      </w:r>
      <w:r w:rsidRPr="004A68AC">
        <w:rPr>
          <w:szCs w:val="20"/>
          <w:lang w:val="en-US"/>
        </w:rPr>
        <w:t xml:space="preserve">As the W14×61 column in 9B is </w:t>
      </w:r>
      <w:r w:rsidR="00D3455F" w:rsidRPr="004A68AC">
        <w:rPr>
          <w:szCs w:val="20"/>
          <w:lang w:val="en-US"/>
        </w:rPr>
        <w:t xml:space="preserve">considered ‘Class 3’ in the EC3-1-1 </w:t>
      </w:r>
      <w:r w:rsidR="00D3455F"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1993-1-1","id":"ITEM-1","issued":{"date-parts":[["2005"]]},"title":"Eurocode 3: Design of Steel Structures - Part 1-1: General Rules and Rules for Buildings","type":"article"},"uris":["http://www.mendeley.com/documents/?uuid=0fea690d-e9c3-4680-9a5d-7186f9caeed5"]}],"mendeley":{"formattedCitation":"[43]","plainTextFormattedCitation":"[43]","previouslyFormattedCitation":"[43]"},"properties":{"noteIndex":0},"schema":"https://github.com/citation-style-language/schema/raw/master/csl-citation.json"}</w:instrText>
      </w:r>
      <w:r w:rsidR="00D3455F" w:rsidRPr="004A68AC">
        <w:rPr>
          <w:szCs w:val="20"/>
          <w:lang w:val="en-US"/>
        </w:rPr>
        <w:fldChar w:fldCharType="separate"/>
      </w:r>
      <w:r w:rsidR="005C2936" w:rsidRPr="004A68AC">
        <w:rPr>
          <w:noProof/>
          <w:szCs w:val="20"/>
          <w:lang w:val="en-US"/>
        </w:rPr>
        <w:t>[43]</w:t>
      </w:r>
      <w:r w:rsidR="00D3455F" w:rsidRPr="004A68AC">
        <w:rPr>
          <w:szCs w:val="20"/>
          <w:lang w:val="en-US"/>
        </w:rPr>
        <w:fldChar w:fldCharType="end"/>
      </w:r>
      <w:r w:rsidR="00D3455F" w:rsidRPr="004A68AC">
        <w:rPr>
          <w:szCs w:val="20"/>
          <w:lang w:val="en-US"/>
        </w:rPr>
        <w:t>, this column is not considered in the assessment as it should be treated as force-</w:t>
      </w:r>
      <w:r w:rsidR="000676F0" w:rsidRPr="004A68AC">
        <w:rPr>
          <w:szCs w:val="20"/>
          <w:lang w:val="en-US"/>
        </w:rPr>
        <w:t xml:space="preserve">controlled element, which would limit the comparison between codes. </w:t>
      </w:r>
      <w:r w:rsidR="000676F0" w:rsidRPr="004A68AC">
        <w:rPr>
          <w:lang w:val="en-US"/>
        </w:rPr>
        <w:lastRenderedPageBreak/>
        <w:t>In addition, the force-controlled actions, such as shear in beams and columns, are checked a</w:t>
      </w:r>
      <w:r w:rsidR="00077721" w:rsidRPr="004A68AC">
        <w:rPr>
          <w:lang w:val="en-US"/>
        </w:rPr>
        <w:t>-</w:t>
      </w:r>
      <w:r w:rsidR="000676F0" w:rsidRPr="004A68AC">
        <w:rPr>
          <w:lang w:val="en-US"/>
        </w:rPr>
        <w:t>posteriori and none of them rules the capacity of the structure at any point.</w:t>
      </w:r>
    </w:p>
    <w:p w14:paraId="52068A6B" w14:textId="77777777" w:rsidR="001927E1" w:rsidRPr="004A68AC" w:rsidRDefault="001927E1" w:rsidP="00C71366">
      <w:pPr>
        <w:rPr>
          <w:lang w:val="en-US"/>
        </w:rPr>
      </w:pPr>
    </w:p>
    <w:p w14:paraId="4A52DDC8" w14:textId="3EEDF330" w:rsidR="00925CB2" w:rsidRPr="004A68AC" w:rsidRDefault="00A808CA" w:rsidP="00C72B88">
      <w:pPr>
        <w:rPr>
          <w:lang w:val="en-US"/>
        </w:rPr>
      </w:pPr>
      <w:r w:rsidRPr="004A68AC">
        <w:rPr>
          <w:lang w:val="en-US"/>
        </w:rPr>
        <w:t xml:space="preserve">     A comparison of the fragility curves for </w:t>
      </w:r>
      <w:r w:rsidR="00150EE7" w:rsidRPr="004A68AC">
        <w:rPr>
          <w:lang w:val="en-US"/>
        </w:rPr>
        <w:t xml:space="preserve">the </w:t>
      </w:r>
      <w:r w:rsidRPr="004A68AC">
        <w:rPr>
          <w:lang w:val="en-US"/>
        </w:rPr>
        <w:t>different component</w:t>
      </w:r>
      <w:r w:rsidR="00150EE7" w:rsidRPr="004A68AC">
        <w:rPr>
          <w:lang w:val="en-US"/>
        </w:rPr>
        <w:t>s</w:t>
      </w:r>
      <w:r w:rsidRPr="004A68AC">
        <w:rPr>
          <w:lang w:val="en-US"/>
        </w:rPr>
        <w:t xml:space="preserve"> and for the system (</w:t>
      </w:r>
      <w:r w:rsidRPr="004A68AC">
        <w:rPr>
          <w:i/>
          <w:lang w:val="en-US"/>
        </w:rPr>
        <w:t>i.e.</w:t>
      </w:r>
      <w:r w:rsidRPr="004A68AC">
        <w:rPr>
          <w:lang w:val="en-US"/>
        </w:rPr>
        <w:t xml:space="preserve">, the first element, of any kind, to overpass the limit state) for 3B is presented in </w:t>
      </w:r>
      <w:r w:rsidRPr="004A68AC">
        <w:rPr>
          <w:lang w:val="en-US"/>
        </w:rPr>
        <w:fldChar w:fldCharType="begin" w:fldLock="1"/>
      </w:r>
      <w:r w:rsidRPr="004A68AC">
        <w:rPr>
          <w:lang w:val="en-US"/>
        </w:rPr>
        <w:instrText xml:space="preserve"> REF _Ref36492360 \h  \* MERGEFORMAT </w:instrText>
      </w:r>
      <w:r w:rsidRPr="004A68AC">
        <w:rPr>
          <w:lang w:val="en-US"/>
        </w:rPr>
      </w:r>
      <w:r w:rsidRPr="004A68AC">
        <w:rPr>
          <w:lang w:val="en-US"/>
        </w:rPr>
        <w:fldChar w:fldCharType="separate"/>
      </w:r>
      <w:r w:rsidRPr="004A68AC">
        <w:rPr>
          <w:bCs/>
          <w:szCs w:val="20"/>
          <w:lang w:val="en-US"/>
        </w:rPr>
        <w:t xml:space="preserve">Figure </w:t>
      </w:r>
      <w:r w:rsidRPr="004A68AC">
        <w:rPr>
          <w:bCs/>
          <w:noProof/>
          <w:szCs w:val="20"/>
          <w:lang w:val="en-US"/>
        </w:rPr>
        <w:t>11</w:t>
      </w:r>
      <w:r w:rsidRPr="004A68AC">
        <w:rPr>
          <w:lang w:val="en-US"/>
        </w:rPr>
        <w:fldChar w:fldCharType="end"/>
      </w:r>
      <w:r w:rsidRPr="004A68AC">
        <w:rPr>
          <w:lang w:val="en-US"/>
        </w:rPr>
        <w:t xml:space="preserve">(a) to (d), while the fragility curves corresponding to 9B are shown in </w:t>
      </w:r>
      <w:r w:rsidRPr="004A68AC">
        <w:rPr>
          <w:lang w:val="en-US"/>
        </w:rPr>
        <w:fldChar w:fldCharType="begin" w:fldLock="1"/>
      </w:r>
      <w:r w:rsidRPr="004A68AC">
        <w:rPr>
          <w:lang w:val="en-US"/>
        </w:rPr>
        <w:instrText xml:space="preserve"> REF _Ref36492360 \h  \* MERGEFORMAT </w:instrText>
      </w:r>
      <w:r w:rsidRPr="004A68AC">
        <w:rPr>
          <w:lang w:val="en-US"/>
        </w:rPr>
      </w:r>
      <w:r w:rsidRPr="004A68AC">
        <w:rPr>
          <w:lang w:val="en-US"/>
        </w:rPr>
        <w:fldChar w:fldCharType="separate"/>
      </w:r>
      <w:r w:rsidRPr="004A68AC">
        <w:rPr>
          <w:bCs/>
          <w:szCs w:val="20"/>
          <w:lang w:val="en-US"/>
        </w:rPr>
        <w:t xml:space="preserve">Figure </w:t>
      </w:r>
      <w:r w:rsidRPr="004A68AC">
        <w:rPr>
          <w:bCs/>
          <w:noProof/>
          <w:szCs w:val="20"/>
          <w:lang w:val="en-US"/>
        </w:rPr>
        <w:t>11</w:t>
      </w:r>
      <w:r w:rsidRPr="004A68AC">
        <w:rPr>
          <w:lang w:val="en-US"/>
        </w:rPr>
        <w:fldChar w:fldCharType="end"/>
      </w:r>
      <w:r w:rsidRPr="004A68AC">
        <w:rPr>
          <w:lang w:val="en-US"/>
        </w:rPr>
        <w:t>(e) to (h). In addition, a reference set of fragility curves based on the</w:t>
      </w:r>
      <w:r w:rsidR="00980464" w:rsidRPr="004A68AC">
        <w:rPr>
          <w:lang w:val="en-US"/>
        </w:rPr>
        <w:t xml:space="preserve"> MIDR </w:t>
      </w:r>
      <w:r w:rsidRPr="004A68AC">
        <w:rPr>
          <w:lang w:val="en-US"/>
        </w:rPr>
        <w:t xml:space="preserve">limits established </w:t>
      </w:r>
      <w:r w:rsidR="00C72B88" w:rsidRPr="004A68AC">
        <w:rPr>
          <w:lang w:val="en-US" w:eastAsia="it-IT"/>
        </w:rPr>
        <w:t>by A</w:t>
      </w:r>
      <w:r w:rsidR="00C72B88" w:rsidRPr="004A68AC">
        <w:rPr>
          <w:lang w:val="en-US"/>
        </w:rPr>
        <w:t>S</w:t>
      </w:r>
      <w:r w:rsidR="008C0FD3" w:rsidRPr="004A68AC">
        <w:rPr>
          <w:lang w:val="en-US"/>
        </w:rPr>
        <w:t xml:space="preserve">CE 41-06 </w:t>
      </w:r>
      <w:r w:rsidR="008C0FD3"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8C0FD3" w:rsidRPr="004A68AC">
        <w:rPr>
          <w:lang w:val="en-US"/>
        </w:rPr>
        <w:fldChar w:fldCharType="separate"/>
      </w:r>
      <w:r w:rsidR="008C0FD3" w:rsidRPr="004A68AC">
        <w:rPr>
          <w:noProof/>
          <w:lang w:val="en-US"/>
        </w:rPr>
        <w:t>[15]</w:t>
      </w:r>
      <w:r w:rsidR="008C0FD3" w:rsidRPr="004A68AC">
        <w:rPr>
          <w:lang w:val="en-US"/>
        </w:rPr>
        <w:fldChar w:fldCharType="end"/>
      </w:r>
      <w:r w:rsidR="008C0FD3" w:rsidRPr="004A68AC">
        <w:rPr>
          <w:lang w:val="en-US"/>
        </w:rPr>
        <w:t xml:space="preserve"> is included in all the figures to enable the comparison of the local EDPs to a constant global EDP, and </w:t>
      </w:r>
      <w:r w:rsidRPr="004A68AC">
        <w:rPr>
          <w:lang w:val="en-US"/>
        </w:rPr>
        <w:t xml:space="preserve">to facilitate the comparison between different EDPs. These fragility curves are representative of </w:t>
      </w:r>
      <w:r w:rsidR="001742EB" w:rsidRPr="004A68AC">
        <w:rPr>
          <w:lang w:val="en-US"/>
        </w:rPr>
        <w:t>M</w:t>
      </w:r>
      <w:r w:rsidRPr="004A68AC">
        <w:rPr>
          <w:lang w:val="en-US"/>
        </w:rPr>
        <w:t>IDRs</w:t>
      </w:r>
      <w:r w:rsidR="00562DFA" w:rsidRPr="004A68AC">
        <w:rPr>
          <w:lang w:val="en-US"/>
        </w:rPr>
        <w:t xml:space="preserve"> limits</w:t>
      </w:r>
      <w:r w:rsidRPr="004A68AC">
        <w:rPr>
          <w:lang w:val="en-US"/>
        </w:rPr>
        <w:t xml:space="preserve"> of 0.7%, 2.5% and </w:t>
      </w:r>
      <w:r w:rsidR="00E10E38" w:rsidRPr="004A68AC">
        <w:rPr>
          <w:lang w:val="en-US"/>
        </w:rPr>
        <w:t xml:space="preserve">5.0%, for the LS1, LS2 </w:t>
      </w:r>
      <w:r w:rsidR="00E10E38" w:rsidRPr="004A68AC">
        <w:rPr>
          <w:szCs w:val="20"/>
          <w:lang w:val="en-US"/>
        </w:rPr>
        <w:t xml:space="preserve">and LS3, respectively. </w:t>
      </w:r>
      <w:r w:rsidR="00562DFA" w:rsidRPr="004A68AC">
        <w:rPr>
          <w:szCs w:val="20"/>
          <w:lang w:val="en-US"/>
        </w:rPr>
        <w:t>T</w:t>
      </w:r>
      <w:r w:rsidR="007B0EF4" w:rsidRPr="004A68AC">
        <w:rPr>
          <w:szCs w:val="20"/>
          <w:lang w:val="en-US"/>
        </w:rPr>
        <w:t>he m</w:t>
      </w:r>
      <w:r w:rsidR="007B0EF4" w:rsidRPr="004A68AC">
        <w:rPr>
          <w:szCs w:val="20"/>
          <w:lang w:val="en-US" w:eastAsia="it-IT"/>
        </w:rPr>
        <w:t>edian fragility capacity IM</w:t>
      </w:r>
      <w:r w:rsidR="007B0EF4" w:rsidRPr="004A68AC">
        <w:rPr>
          <w:szCs w:val="20"/>
          <w:vertAlign w:val="subscript"/>
          <w:lang w:val="en-US" w:eastAsia="it-IT"/>
        </w:rPr>
        <w:t>50</w:t>
      </w:r>
      <w:r w:rsidR="007B0EF4" w:rsidRPr="004A68AC">
        <w:rPr>
          <w:szCs w:val="20"/>
          <w:lang w:val="en-US"/>
        </w:rPr>
        <w:t xml:space="preserve"> for all EDPs, limit states and assessment codes, for both buildings</w:t>
      </w:r>
      <w:r w:rsidR="00C72B88" w:rsidRPr="004A68AC">
        <w:rPr>
          <w:szCs w:val="20"/>
          <w:lang w:val="en-US"/>
        </w:rPr>
        <w:t xml:space="preserve"> is presented in </w:t>
      </w:r>
      <w:r w:rsidR="00C72B88" w:rsidRPr="004A68AC">
        <w:rPr>
          <w:szCs w:val="20"/>
          <w:lang w:val="en-US"/>
        </w:rPr>
        <w:fldChar w:fldCharType="begin" w:fldLock="1"/>
      </w:r>
      <w:r w:rsidR="00C72B88" w:rsidRPr="004A68AC">
        <w:rPr>
          <w:szCs w:val="20"/>
          <w:lang w:val="en-US"/>
        </w:rPr>
        <w:instrText xml:space="preserve"> REF _Ref48080532 \h  \* MERGEFORMAT </w:instrText>
      </w:r>
      <w:r w:rsidR="00C72B88" w:rsidRPr="004A68AC">
        <w:rPr>
          <w:szCs w:val="20"/>
          <w:lang w:val="en-US"/>
        </w:rPr>
      </w:r>
      <w:r w:rsidR="00C72B88" w:rsidRPr="004A68AC">
        <w:rPr>
          <w:szCs w:val="20"/>
          <w:lang w:val="en-US"/>
        </w:rPr>
        <w:fldChar w:fldCharType="separate"/>
      </w:r>
      <w:r w:rsidR="00C72B88" w:rsidRPr="004A68AC">
        <w:rPr>
          <w:szCs w:val="20"/>
          <w:lang w:val="en-US"/>
        </w:rPr>
        <w:t xml:space="preserve">Table </w:t>
      </w:r>
      <w:r w:rsidR="00C72B88" w:rsidRPr="004A68AC">
        <w:rPr>
          <w:noProof/>
          <w:szCs w:val="20"/>
          <w:lang w:val="en-US"/>
        </w:rPr>
        <w:t>10</w:t>
      </w:r>
      <w:r w:rsidR="00C72B88" w:rsidRPr="004A68AC">
        <w:rPr>
          <w:szCs w:val="20"/>
          <w:lang w:val="en-US"/>
        </w:rPr>
        <w:fldChar w:fldCharType="end"/>
      </w:r>
      <w:r w:rsidR="00C72B88" w:rsidRPr="004A68AC">
        <w:rPr>
          <w:szCs w:val="20"/>
          <w:lang w:val="en-US"/>
        </w:rPr>
        <w:t xml:space="preserve">, as well as a comparison with respect to EC8-3 </w:t>
      </w:r>
      <w:r w:rsidR="00C72B88" w:rsidRPr="004A68AC">
        <w:rPr>
          <w:szCs w:val="20"/>
          <w:lang w:val="en-US"/>
        </w:rPr>
        <w:fldChar w:fldCharType="begin" w:fldLock="1"/>
      </w:r>
      <w:r w:rsidR="005C47A3" w:rsidRPr="004A68AC">
        <w:rPr>
          <w:szCs w:val="20"/>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C72B88" w:rsidRPr="004A68AC">
        <w:rPr>
          <w:szCs w:val="20"/>
          <w:lang w:val="en-US"/>
        </w:rPr>
        <w:fldChar w:fldCharType="separate"/>
      </w:r>
      <w:r w:rsidR="00C72B88" w:rsidRPr="004A68AC">
        <w:rPr>
          <w:noProof/>
          <w:szCs w:val="20"/>
          <w:lang w:val="en-US"/>
        </w:rPr>
        <w:t>[13]</w:t>
      </w:r>
      <w:r w:rsidR="00C72B88" w:rsidRPr="004A68AC">
        <w:rPr>
          <w:szCs w:val="20"/>
          <w:lang w:val="en-US"/>
        </w:rPr>
        <w:fldChar w:fldCharType="end"/>
      </w:r>
      <w:r w:rsidR="007B0EF4" w:rsidRPr="004A68AC">
        <w:rPr>
          <w:szCs w:val="20"/>
          <w:lang w:val="en-US"/>
        </w:rPr>
        <w:t>.</w:t>
      </w:r>
      <w:r w:rsidR="00531BE4" w:rsidRPr="004A68AC">
        <w:rPr>
          <w:szCs w:val="20"/>
          <w:lang w:val="en-US"/>
        </w:rPr>
        <w:t xml:space="preserve"> </w:t>
      </w:r>
      <w:r w:rsidR="00531BE4" w:rsidRPr="004A68AC">
        <w:rPr>
          <w:lang w:val="en-US"/>
        </w:rPr>
        <w:t>Some of the fragility curves seem to be similar in different codes and limit states at higher levels of IM (</w:t>
      </w:r>
      <w:r w:rsidR="00531BE4" w:rsidRPr="004A68AC">
        <w:rPr>
          <w:i/>
          <w:lang w:val="en-US"/>
        </w:rPr>
        <w:t>e.g.</w:t>
      </w:r>
      <w:r w:rsidR="00531BE4" w:rsidRPr="004A68AC">
        <w:rPr>
          <w:lang w:val="en-US"/>
        </w:rPr>
        <w:t>, beams and columns rotation in 9B), however, this is only because the numerical model cannot longer converge and all elements are considered to overpass all limit states (</w:t>
      </w:r>
      <w:r w:rsidR="00531BE4" w:rsidRPr="004A68AC">
        <w:rPr>
          <w:i/>
          <w:lang w:val="en-US"/>
        </w:rPr>
        <w:t>i.e.</w:t>
      </w:r>
      <w:r w:rsidR="00531BE4" w:rsidRPr="004A68AC">
        <w:rPr>
          <w:lang w:val="en-US"/>
        </w:rPr>
        <w:t>, collapse is presumed).</w:t>
      </w:r>
    </w:p>
    <w:p w14:paraId="19BE94D1" w14:textId="4AC94342" w:rsidR="00925CB2" w:rsidRPr="004A68AC" w:rsidRDefault="00925CB2" w:rsidP="00C72B88">
      <w:pPr>
        <w:rPr>
          <w:lang w:val="en-US"/>
        </w:rPr>
      </w:pPr>
    </w:p>
    <w:p w14:paraId="659FF039" w14:textId="77777777" w:rsidR="00925CB2" w:rsidRPr="004A68AC" w:rsidRDefault="00925CB2" w:rsidP="00925CB2">
      <w:pPr>
        <w:pStyle w:val="Tablecaption"/>
      </w:pPr>
      <w:bookmarkStart w:id="29" w:name="_Ref48080532"/>
      <w:r w:rsidRPr="004A68AC">
        <w:t xml:space="preserve">Table </w:t>
      </w:r>
      <w:r w:rsidRPr="004A68AC">
        <w:fldChar w:fldCharType="begin" w:fldLock="1"/>
      </w:r>
      <w:r w:rsidRPr="004A68AC">
        <w:instrText xml:space="preserve"> SEQ Table \* ARABIC </w:instrText>
      </w:r>
      <w:r w:rsidRPr="004A68AC">
        <w:fldChar w:fldCharType="separate"/>
      </w:r>
      <w:r w:rsidRPr="004A68AC">
        <w:rPr>
          <w:noProof/>
        </w:rPr>
        <w:t>10</w:t>
      </w:r>
      <w:r w:rsidRPr="004A68AC">
        <w:fldChar w:fldCharType="end"/>
      </w:r>
      <w:bookmarkEnd w:id="29"/>
      <w:r w:rsidRPr="004A68AC">
        <w:t xml:space="preserve">. </w:t>
      </w:r>
      <w:r w:rsidRPr="004A68AC">
        <w:rPr>
          <w:b w:val="0"/>
          <w:bCs w:val="0"/>
          <w:lang w:eastAsia="it-IT"/>
        </w:rPr>
        <w:t>Median fragility capacity IM</w:t>
      </w:r>
      <w:r w:rsidRPr="004A68AC">
        <w:rPr>
          <w:b w:val="0"/>
          <w:bCs w:val="0"/>
          <w:vertAlign w:val="subscript"/>
          <w:lang w:eastAsia="it-IT"/>
        </w:rPr>
        <w:t>50</w:t>
      </w:r>
      <w:r w:rsidRPr="004A68AC">
        <w:rPr>
          <w:b w:val="0"/>
          <w:bCs w:val="0"/>
        </w:rPr>
        <w:t xml:space="preserve"> for all EDPs, limit states and assessment codes, for buildings 3B and 9B.</w:t>
      </w:r>
      <w:r w:rsidRPr="004A68AC">
        <w:t xml:space="preserve"> </w:t>
      </w:r>
    </w:p>
    <w:tbl>
      <w:tblPr>
        <w:tblW w:w="8897" w:type="dxa"/>
        <w:jc w:val="center"/>
        <w:tblCellMar>
          <w:left w:w="70" w:type="dxa"/>
          <w:right w:w="70" w:type="dxa"/>
        </w:tblCellMar>
        <w:tblLook w:val="04A0" w:firstRow="1" w:lastRow="0" w:firstColumn="1" w:lastColumn="0" w:noHBand="0" w:noVBand="1"/>
      </w:tblPr>
      <w:tblGrid>
        <w:gridCol w:w="964"/>
        <w:gridCol w:w="570"/>
        <w:gridCol w:w="278"/>
        <w:gridCol w:w="850"/>
        <w:gridCol w:w="850"/>
        <w:gridCol w:w="850"/>
        <w:gridCol w:w="852"/>
        <w:gridCol w:w="283"/>
        <w:gridCol w:w="850"/>
        <w:gridCol w:w="850"/>
        <w:gridCol w:w="850"/>
        <w:gridCol w:w="850"/>
      </w:tblGrid>
      <w:tr w:rsidR="00925CB2" w:rsidRPr="004A68AC" w14:paraId="4A006903" w14:textId="77777777" w:rsidTr="00E239F6">
        <w:trPr>
          <w:trHeight w:val="288"/>
          <w:jc w:val="center"/>
        </w:trPr>
        <w:tc>
          <w:tcPr>
            <w:tcW w:w="964" w:type="dxa"/>
            <w:tcBorders>
              <w:top w:val="single" w:sz="8" w:space="0" w:color="auto"/>
              <w:left w:val="nil"/>
              <w:bottom w:val="nil"/>
              <w:right w:val="nil"/>
            </w:tcBorders>
            <w:shd w:val="clear" w:color="auto" w:fill="auto"/>
            <w:noWrap/>
            <w:vAlign w:val="center"/>
            <w:hideMark/>
          </w:tcPr>
          <w:p w14:paraId="43CFA3C2" w14:textId="77777777" w:rsidR="00925CB2" w:rsidRPr="004A68AC" w:rsidRDefault="00925CB2" w:rsidP="00E239F6">
            <w:pPr>
              <w:jc w:val="center"/>
              <w:rPr>
                <w:rFonts w:eastAsia="Times New Roman"/>
                <w:sz w:val="18"/>
                <w:szCs w:val="18"/>
                <w:lang w:eastAsia="es-MX"/>
              </w:rPr>
            </w:pPr>
          </w:p>
        </w:tc>
        <w:tc>
          <w:tcPr>
            <w:tcW w:w="570" w:type="dxa"/>
            <w:tcBorders>
              <w:top w:val="single" w:sz="8" w:space="0" w:color="auto"/>
              <w:left w:val="nil"/>
              <w:bottom w:val="nil"/>
              <w:right w:val="nil"/>
            </w:tcBorders>
            <w:shd w:val="clear" w:color="auto" w:fill="auto"/>
            <w:noWrap/>
            <w:vAlign w:val="center"/>
            <w:hideMark/>
          </w:tcPr>
          <w:p w14:paraId="0FCA1648" w14:textId="77777777" w:rsidR="00925CB2" w:rsidRPr="004A68AC" w:rsidRDefault="00925CB2" w:rsidP="00E239F6">
            <w:pPr>
              <w:jc w:val="center"/>
              <w:rPr>
                <w:rFonts w:eastAsia="Times New Roman"/>
                <w:sz w:val="18"/>
                <w:szCs w:val="18"/>
                <w:lang w:eastAsia="es-MX"/>
              </w:rPr>
            </w:pPr>
          </w:p>
        </w:tc>
        <w:tc>
          <w:tcPr>
            <w:tcW w:w="278" w:type="dxa"/>
            <w:tcBorders>
              <w:top w:val="single" w:sz="8" w:space="0" w:color="auto"/>
              <w:left w:val="nil"/>
              <w:bottom w:val="nil"/>
              <w:right w:val="nil"/>
            </w:tcBorders>
            <w:vAlign w:val="center"/>
          </w:tcPr>
          <w:p w14:paraId="56C58299" w14:textId="77777777" w:rsidR="00925CB2" w:rsidRPr="004A68AC" w:rsidRDefault="00925CB2" w:rsidP="00E239F6">
            <w:pPr>
              <w:jc w:val="center"/>
              <w:rPr>
                <w:rFonts w:eastAsia="Times New Roman"/>
                <w:b/>
                <w:bCs/>
                <w:sz w:val="18"/>
                <w:szCs w:val="18"/>
                <w:lang w:eastAsia="es-MX"/>
              </w:rPr>
            </w:pPr>
          </w:p>
        </w:tc>
        <w:tc>
          <w:tcPr>
            <w:tcW w:w="3402" w:type="dxa"/>
            <w:gridSpan w:val="4"/>
            <w:tcBorders>
              <w:top w:val="single" w:sz="8" w:space="0" w:color="auto"/>
              <w:left w:val="nil"/>
              <w:bottom w:val="nil"/>
              <w:right w:val="nil"/>
            </w:tcBorders>
            <w:shd w:val="clear" w:color="auto" w:fill="auto"/>
            <w:noWrap/>
            <w:vAlign w:val="center"/>
            <w:hideMark/>
          </w:tcPr>
          <w:p w14:paraId="72301B7E" w14:textId="77777777" w:rsidR="00925CB2" w:rsidRPr="004A68AC" w:rsidRDefault="00925CB2" w:rsidP="00E239F6">
            <w:pPr>
              <w:jc w:val="center"/>
              <w:rPr>
                <w:rFonts w:eastAsia="Times New Roman"/>
                <w:b/>
                <w:bCs/>
                <w:sz w:val="18"/>
                <w:szCs w:val="18"/>
                <w:lang w:eastAsia="es-MX"/>
              </w:rPr>
            </w:pPr>
            <w:r w:rsidRPr="004A68AC">
              <w:rPr>
                <w:rFonts w:eastAsia="Times New Roman"/>
                <w:b/>
                <w:bCs/>
                <w:sz w:val="18"/>
                <w:szCs w:val="18"/>
                <w:lang w:eastAsia="es-MX"/>
              </w:rPr>
              <w:t>Building 3B</w:t>
            </w:r>
            <w:r w:rsidRPr="004A68AC">
              <w:rPr>
                <w:rFonts w:eastAsia="Times New Roman"/>
                <w:b/>
                <w:bCs/>
                <w:sz w:val="18"/>
                <w:szCs w:val="18"/>
                <w:vertAlign w:val="superscript"/>
                <w:lang w:eastAsia="es-MX"/>
              </w:rPr>
              <w:t>1,2</w:t>
            </w:r>
          </w:p>
        </w:tc>
        <w:tc>
          <w:tcPr>
            <w:tcW w:w="283" w:type="dxa"/>
            <w:tcBorders>
              <w:top w:val="single" w:sz="8" w:space="0" w:color="auto"/>
              <w:left w:val="nil"/>
              <w:bottom w:val="nil"/>
              <w:right w:val="nil"/>
            </w:tcBorders>
            <w:shd w:val="clear" w:color="auto" w:fill="auto"/>
            <w:noWrap/>
            <w:vAlign w:val="center"/>
            <w:hideMark/>
          </w:tcPr>
          <w:p w14:paraId="3A9BB0E7" w14:textId="77777777" w:rsidR="00925CB2" w:rsidRPr="004A68AC" w:rsidRDefault="00925CB2" w:rsidP="00E239F6">
            <w:pPr>
              <w:jc w:val="center"/>
              <w:rPr>
                <w:rFonts w:eastAsia="Times New Roman"/>
                <w:b/>
                <w:bCs/>
                <w:sz w:val="18"/>
                <w:szCs w:val="18"/>
                <w:lang w:eastAsia="es-MX"/>
              </w:rPr>
            </w:pPr>
          </w:p>
        </w:tc>
        <w:tc>
          <w:tcPr>
            <w:tcW w:w="3400" w:type="dxa"/>
            <w:gridSpan w:val="4"/>
            <w:tcBorders>
              <w:top w:val="single" w:sz="8" w:space="0" w:color="auto"/>
              <w:left w:val="nil"/>
              <w:bottom w:val="nil"/>
              <w:right w:val="nil"/>
            </w:tcBorders>
            <w:shd w:val="clear" w:color="auto" w:fill="auto"/>
            <w:noWrap/>
            <w:vAlign w:val="center"/>
            <w:hideMark/>
          </w:tcPr>
          <w:p w14:paraId="01DE58C7" w14:textId="77777777" w:rsidR="00925CB2" w:rsidRPr="004A68AC" w:rsidRDefault="00925CB2" w:rsidP="00E239F6">
            <w:pPr>
              <w:jc w:val="center"/>
              <w:rPr>
                <w:rFonts w:eastAsia="Times New Roman"/>
                <w:b/>
                <w:bCs/>
                <w:sz w:val="18"/>
                <w:szCs w:val="18"/>
                <w:lang w:eastAsia="es-MX"/>
              </w:rPr>
            </w:pPr>
            <w:r w:rsidRPr="004A68AC">
              <w:rPr>
                <w:rFonts w:eastAsia="Times New Roman"/>
                <w:b/>
                <w:bCs/>
                <w:sz w:val="18"/>
                <w:szCs w:val="18"/>
                <w:lang w:eastAsia="es-MX"/>
              </w:rPr>
              <w:t>Building 9B</w:t>
            </w:r>
            <w:r w:rsidRPr="004A68AC">
              <w:rPr>
                <w:rFonts w:eastAsia="Times New Roman"/>
                <w:b/>
                <w:bCs/>
                <w:sz w:val="18"/>
                <w:szCs w:val="18"/>
                <w:vertAlign w:val="superscript"/>
                <w:lang w:eastAsia="es-MX"/>
              </w:rPr>
              <w:t>1,2</w:t>
            </w:r>
          </w:p>
        </w:tc>
      </w:tr>
      <w:tr w:rsidR="00925CB2" w:rsidRPr="004A68AC" w14:paraId="747996BC" w14:textId="77777777" w:rsidTr="00E239F6">
        <w:trPr>
          <w:trHeight w:val="288"/>
          <w:jc w:val="center"/>
        </w:trPr>
        <w:tc>
          <w:tcPr>
            <w:tcW w:w="964" w:type="dxa"/>
            <w:tcBorders>
              <w:top w:val="nil"/>
              <w:left w:val="nil"/>
              <w:bottom w:val="single" w:sz="8" w:space="0" w:color="auto"/>
              <w:right w:val="nil"/>
            </w:tcBorders>
            <w:shd w:val="clear" w:color="auto" w:fill="auto"/>
            <w:noWrap/>
            <w:vAlign w:val="center"/>
            <w:hideMark/>
          </w:tcPr>
          <w:p w14:paraId="0CC98411" w14:textId="77777777" w:rsidR="00925CB2" w:rsidRPr="004A68AC" w:rsidRDefault="00925CB2" w:rsidP="00E239F6">
            <w:pPr>
              <w:jc w:val="center"/>
              <w:rPr>
                <w:rFonts w:eastAsia="Times New Roman"/>
                <w:b/>
                <w:bCs/>
                <w:sz w:val="18"/>
                <w:szCs w:val="18"/>
                <w:lang w:eastAsia="es-MX"/>
              </w:rPr>
            </w:pPr>
          </w:p>
        </w:tc>
        <w:tc>
          <w:tcPr>
            <w:tcW w:w="570" w:type="dxa"/>
            <w:tcBorders>
              <w:top w:val="nil"/>
              <w:left w:val="nil"/>
              <w:bottom w:val="single" w:sz="8" w:space="0" w:color="auto"/>
              <w:right w:val="nil"/>
            </w:tcBorders>
            <w:shd w:val="clear" w:color="auto" w:fill="auto"/>
            <w:noWrap/>
            <w:vAlign w:val="center"/>
            <w:hideMark/>
          </w:tcPr>
          <w:p w14:paraId="29DC40D7" w14:textId="77777777" w:rsidR="00925CB2" w:rsidRPr="004A68AC" w:rsidRDefault="00925CB2" w:rsidP="00E239F6">
            <w:pPr>
              <w:jc w:val="center"/>
              <w:rPr>
                <w:rFonts w:eastAsia="Times New Roman"/>
                <w:b/>
                <w:sz w:val="18"/>
                <w:szCs w:val="18"/>
                <w:lang w:eastAsia="es-MX"/>
              </w:rPr>
            </w:pPr>
            <w:r w:rsidRPr="004A68AC">
              <w:rPr>
                <w:rFonts w:eastAsia="Times New Roman"/>
                <w:b/>
                <w:sz w:val="18"/>
                <w:szCs w:val="18"/>
                <w:lang w:eastAsia="es-MX"/>
              </w:rPr>
              <w:t>Limit state</w:t>
            </w:r>
          </w:p>
        </w:tc>
        <w:tc>
          <w:tcPr>
            <w:tcW w:w="278" w:type="dxa"/>
            <w:tcBorders>
              <w:top w:val="nil"/>
              <w:left w:val="nil"/>
              <w:bottom w:val="single" w:sz="8" w:space="0" w:color="auto"/>
              <w:right w:val="nil"/>
            </w:tcBorders>
            <w:vAlign w:val="center"/>
          </w:tcPr>
          <w:p w14:paraId="01B04895" w14:textId="77777777" w:rsidR="00925CB2" w:rsidRPr="004A68AC" w:rsidRDefault="00925CB2" w:rsidP="00E239F6">
            <w:pPr>
              <w:jc w:val="center"/>
              <w:rPr>
                <w:rFonts w:eastAsia="Times New Roman"/>
                <w:b/>
                <w:bCs/>
                <w:sz w:val="18"/>
                <w:szCs w:val="18"/>
                <w:lang w:eastAsia="es-MX"/>
              </w:rPr>
            </w:pPr>
          </w:p>
        </w:tc>
        <w:tc>
          <w:tcPr>
            <w:tcW w:w="850" w:type="dxa"/>
            <w:tcBorders>
              <w:top w:val="nil"/>
              <w:left w:val="nil"/>
              <w:bottom w:val="single" w:sz="8" w:space="0" w:color="auto"/>
              <w:right w:val="nil"/>
            </w:tcBorders>
            <w:shd w:val="clear" w:color="auto" w:fill="auto"/>
            <w:noWrap/>
            <w:vAlign w:val="center"/>
            <w:hideMark/>
          </w:tcPr>
          <w:p w14:paraId="62DD32C0" w14:textId="00DDF5D0"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eastAsia="es-MX"/>
              </w:rPr>
              <w:t xml:space="preserve">EC8-3 </w:t>
            </w:r>
            <w:r w:rsidRPr="004A68AC">
              <w:rPr>
                <w:sz w:val="18"/>
                <w:szCs w:val="18"/>
                <w:lang w:val="en-US"/>
              </w:rPr>
              <w:fldChar w:fldCharType="begin" w:fldLock="1"/>
            </w:r>
            <w:r w:rsidR="005C47A3" w:rsidRPr="004A68AC">
              <w:rPr>
                <w:sz w:val="18"/>
                <w:szCs w:val="18"/>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[13]</w:t>
            </w:r>
            <w:r w:rsidRPr="004A68AC">
              <w:rPr>
                <w:sz w:val="18"/>
                <w:szCs w:val="18"/>
                <w:lang w:val="en-US"/>
              </w:rPr>
              <w:fldChar w:fldCharType="end"/>
            </w:r>
          </w:p>
        </w:tc>
        <w:tc>
          <w:tcPr>
            <w:tcW w:w="850" w:type="dxa"/>
            <w:tcBorders>
              <w:top w:val="nil"/>
              <w:left w:val="nil"/>
              <w:bottom w:val="single" w:sz="8" w:space="0" w:color="auto"/>
              <w:right w:val="nil"/>
            </w:tcBorders>
            <w:shd w:val="clear" w:color="auto" w:fill="auto"/>
            <w:noWrap/>
            <w:vAlign w:val="center"/>
            <w:hideMark/>
          </w:tcPr>
          <w:p w14:paraId="5AF0D98D" w14:textId="6AB12620"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41-06 </w:t>
            </w:r>
            <w:r w:rsidRPr="004A68AC">
              <w:rPr>
                <w:sz w:val="18"/>
                <w:szCs w:val="18"/>
                <w:lang w:val="en-US"/>
              </w:rPr>
              <w:fldChar w:fldCharType="begin" w:fldLock="1"/>
            </w:r>
            <w:r w:rsidR="005C47A3" w:rsidRPr="004A68AC">
              <w:rPr>
                <w:sz w:val="18"/>
                <w:szCs w:val="18"/>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[15]</w:t>
            </w:r>
            <w:r w:rsidRPr="004A68AC">
              <w:rPr>
                <w:sz w:val="18"/>
                <w:szCs w:val="18"/>
                <w:lang w:val="en-US"/>
              </w:rPr>
              <w:fldChar w:fldCharType="end"/>
            </w:r>
          </w:p>
        </w:tc>
        <w:tc>
          <w:tcPr>
            <w:tcW w:w="850" w:type="dxa"/>
            <w:tcBorders>
              <w:top w:val="nil"/>
              <w:left w:val="nil"/>
              <w:bottom w:val="single" w:sz="8" w:space="0" w:color="auto"/>
              <w:right w:val="nil"/>
            </w:tcBorders>
            <w:shd w:val="clear" w:color="auto" w:fill="auto"/>
            <w:noWrap/>
            <w:vAlign w:val="center"/>
            <w:hideMark/>
          </w:tcPr>
          <w:p w14:paraId="64D6D2FB" w14:textId="6C472014"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41-13 </w:t>
            </w:r>
            <w:r w:rsidRPr="004A68AC">
              <w:rPr>
                <w:sz w:val="18"/>
                <w:szCs w:val="18"/>
                <w:lang w:val="en-US"/>
              </w:rPr>
              <w:fldChar w:fldCharType="begin" w:fldLock="1"/>
            </w:r>
            <w:r w:rsidR="005C47A3" w:rsidRPr="004A68AC">
              <w:rPr>
                <w:sz w:val="18"/>
                <w:szCs w:val="18"/>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[18]</w:t>
            </w:r>
            <w:r w:rsidRPr="004A68AC">
              <w:rPr>
                <w:sz w:val="18"/>
                <w:szCs w:val="18"/>
                <w:lang w:val="en-US"/>
              </w:rPr>
              <w:fldChar w:fldCharType="end"/>
            </w:r>
          </w:p>
        </w:tc>
        <w:tc>
          <w:tcPr>
            <w:tcW w:w="852" w:type="dxa"/>
            <w:tcBorders>
              <w:top w:val="nil"/>
              <w:left w:val="nil"/>
              <w:bottom w:val="single" w:sz="8" w:space="0" w:color="auto"/>
              <w:right w:val="nil"/>
            </w:tcBorders>
            <w:shd w:val="clear" w:color="auto" w:fill="auto"/>
            <w:noWrap/>
            <w:vAlign w:val="center"/>
            <w:hideMark/>
          </w:tcPr>
          <w:p w14:paraId="2068E271" w14:textId="17423D5D"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41-17 </w:t>
            </w:r>
            <w:r w:rsidRPr="004A68AC">
              <w:rPr>
                <w:sz w:val="18"/>
                <w:szCs w:val="18"/>
                <w:lang w:val="en-US"/>
              </w:rPr>
              <w:fldChar w:fldCharType="begin" w:fldLock="1"/>
            </w:r>
            <w:r w:rsidR="005C47A3" w:rsidRPr="004A68AC">
              <w:rPr>
                <w:sz w:val="18"/>
                <w:szCs w:val="18"/>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[19]</w:t>
            </w:r>
            <w:r w:rsidRPr="004A68AC">
              <w:rPr>
                <w:sz w:val="18"/>
                <w:szCs w:val="18"/>
                <w:lang w:val="en-US"/>
              </w:rPr>
              <w:fldChar w:fldCharType="end"/>
            </w:r>
          </w:p>
        </w:tc>
        <w:tc>
          <w:tcPr>
            <w:tcW w:w="283" w:type="dxa"/>
            <w:tcBorders>
              <w:top w:val="nil"/>
              <w:left w:val="nil"/>
              <w:bottom w:val="single" w:sz="8" w:space="0" w:color="auto"/>
              <w:right w:val="nil"/>
            </w:tcBorders>
            <w:shd w:val="clear" w:color="auto" w:fill="auto"/>
            <w:noWrap/>
            <w:vAlign w:val="center"/>
            <w:hideMark/>
          </w:tcPr>
          <w:p w14:paraId="72C3DB2B" w14:textId="77777777" w:rsidR="00925CB2" w:rsidRPr="004A68AC" w:rsidRDefault="00925CB2" w:rsidP="00E239F6">
            <w:pPr>
              <w:jc w:val="center"/>
              <w:rPr>
                <w:rFonts w:eastAsia="Times New Roman"/>
                <w:b/>
                <w:bCs/>
                <w:sz w:val="18"/>
                <w:szCs w:val="18"/>
                <w:lang w:val="es-MX" w:eastAsia="es-MX"/>
              </w:rPr>
            </w:pPr>
          </w:p>
        </w:tc>
        <w:tc>
          <w:tcPr>
            <w:tcW w:w="850" w:type="dxa"/>
            <w:tcBorders>
              <w:top w:val="nil"/>
              <w:left w:val="nil"/>
              <w:bottom w:val="single" w:sz="8" w:space="0" w:color="auto"/>
              <w:right w:val="nil"/>
            </w:tcBorders>
            <w:shd w:val="clear" w:color="auto" w:fill="auto"/>
            <w:noWrap/>
            <w:vAlign w:val="center"/>
            <w:hideMark/>
          </w:tcPr>
          <w:p w14:paraId="5EBC03D2" w14:textId="2E5B499C"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EC8-3 </w:t>
            </w:r>
            <w:r w:rsidRPr="004A68AC">
              <w:rPr>
                <w:sz w:val="18"/>
                <w:szCs w:val="18"/>
                <w:lang w:val="en-US"/>
              </w:rPr>
              <w:fldChar w:fldCharType="begin" w:fldLock="1"/>
            </w:r>
            <w:r w:rsidR="005C47A3" w:rsidRPr="004A68AC">
              <w:rPr>
                <w:sz w:val="18"/>
                <w:szCs w:val="18"/>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[13]</w:t>
            </w:r>
            <w:r w:rsidRPr="004A68AC">
              <w:rPr>
                <w:sz w:val="18"/>
                <w:szCs w:val="18"/>
                <w:lang w:val="en-US"/>
              </w:rPr>
              <w:fldChar w:fldCharType="end"/>
            </w:r>
          </w:p>
        </w:tc>
        <w:tc>
          <w:tcPr>
            <w:tcW w:w="850" w:type="dxa"/>
            <w:tcBorders>
              <w:top w:val="nil"/>
              <w:left w:val="nil"/>
              <w:bottom w:val="single" w:sz="8" w:space="0" w:color="auto"/>
              <w:right w:val="nil"/>
            </w:tcBorders>
            <w:shd w:val="clear" w:color="auto" w:fill="auto"/>
            <w:noWrap/>
            <w:vAlign w:val="center"/>
            <w:hideMark/>
          </w:tcPr>
          <w:p w14:paraId="6DEB6B39" w14:textId="52F30A69"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41-06 </w:t>
            </w:r>
            <w:r w:rsidRPr="004A68AC">
              <w:rPr>
                <w:sz w:val="18"/>
                <w:szCs w:val="18"/>
                <w:lang w:val="en-US"/>
              </w:rPr>
              <w:fldChar w:fldCharType="begin" w:fldLock="1"/>
            </w:r>
            <w:r w:rsidR="005C47A3" w:rsidRPr="004A68AC">
              <w:rPr>
                <w:sz w:val="18"/>
                <w:szCs w:val="18"/>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[15]</w:t>
            </w:r>
            <w:r w:rsidRPr="004A68AC">
              <w:rPr>
                <w:sz w:val="18"/>
                <w:szCs w:val="18"/>
                <w:lang w:val="en-US"/>
              </w:rPr>
              <w:fldChar w:fldCharType="end"/>
            </w:r>
          </w:p>
        </w:tc>
        <w:tc>
          <w:tcPr>
            <w:tcW w:w="850" w:type="dxa"/>
            <w:tcBorders>
              <w:top w:val="nil"/>
              <w:left w:val="nil"/>
              <w:bottom w:val="single" w:sz="8" w:space="0" w:color="auto"/>
              <w:right w:val="nil"/>
            </w:tcBorders>
            <w:shd w:val="clear" w:color="auto" w:fill="auto"/>
            <w:noWrap/>
            <w:vAlign w:val="center"/>
            <w:hideMark/>
          </w:tcPr>
          <w:p w14:paraId="7B7D6509" w14:textId="69348496"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41-13 </w:t>
            </w:r>
            <w:r w:rsidRPr="004A68AC">
              <w:rPr>
                <w:sz w:val="18"/>
                <w:szCs w:val="18"/>
                <w:lang w:val="en-US"/>
              </w:rPr>
              <w:fldChar w:fldCharType="begin" w:fldLock="1"/>
            </w:r>
            <w:r w:rsidR="005C47A3" w:rsidRPr="004A68AC">
              <w:rPr>
                <w:sz w:val="18"/>
                <w:szCs w:val="18"/>
                <w:lang w:val="en-US"/>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[18]</w:t>
            </w:r>
            <w:r w:rsidRPr="004A68AC">
              <w:rPr>
                <w:sz w:val="18"/>
                <w:szCs w:val="18"/>
                <w:lang w:val="en-US"/>
              </w:rPr>
              <w:fldChar w:fldCharType="end"/>
            </w:r>
          </w:p>
        </w:tc>
        <w:tc>
          <w:tcPr>
            <w:tcW w:w="850" w:type="dxa"/>
            <w:tcBorders>
              <w:top w:val="nil"/>
              <w:left w:val="nil"/>
              <w:bottom w:val="single" w:sz="8" w:space="0" w:color="auto"/>
              <w:right w:val="nil"/>
            </w:tcBorders>
            <w:shd w:val="clear" w:color="auto" w:fill="auto"/>
            <w:noWrap/>
            <w:vAlign w:val="center"/>
            <w:hideMark/>
          </w:tcPr>
          <w:p w14:paraId="149A09E0" w14:textId="50D4F91D"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 xml:space="preserve">ASCE 41-17 </w:t>
            </w:r>
            <w:r w:rsidRPr="004A68AC">
              <w:rPr>
                <w:sz w:val="18"/>
                <w:szCs w:val="18"/>
                <w:lang w:val="en-US"/>
              </w:rPr>
              <w:fldChar w:fldCharType="begin" w:fldLock="1"/>
            </w:r>
            <w:r w:rsidR="005C47A3" w:rsidRPr="004A68AC">
              <w:rPr>
                <w:sz w:val="18"/>
                <w:szCs w:val="18"/>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[19]</w:t>
            </w:r>
            <w:r w:rsidRPr="004A68AC">
              <w:rPr>
                <w:sz w:val="18"/>
                <w:szCs w:val="18"/>
                <w:lang w:val="en-US"/>
              </w:rPr>
              <w:fldChar w:fldCharType="end"/>
            </w:r>
          </w:p>
        </w:tc>
      </w:tr>
      <w:tr w:rsidR="00925CB2" w:rsidRPr="004A68AC" w14:paraId="77C2D4BF" w14:textId="77777777" w:rsidTr="00E239F6">
        <w:trPr>
          <w:trHeight w:val="288"/>
          <w:jc w:val="center"/>
        </w:trPr>
        <w:tc>
          <w:tcPr>
            <w:tcW w:w="964" w:type="dxa"/>
            <w:vMerge w:val="restart"/>
            <w:tcBorders>
              <w:top w:val="single" w:sz="8" w:space="0" w:color="auto"/>
              <w:left w:val="nil"/>
              <w:bottom w:val="nil"/>
              <w:right w:val="nil"/>
            </w:tcBorders>
            <w:shd w:val="clear" w:color="auto" w:fill="auto"/>
            <w:noWrap/>
            <w:vAlign w:val="center"/>
            <w:hideMark/>
          </w:tcPr>
          <w:p w14:paraId="7798AB9F" w14:textId="77777777" w:rsidR="00925CB2" w:rsidRPr="004A68AC" w:rsidRDefault="00925CB2" w:rsidP="00E239F6">
            <w:pPr>
              <w:jc w:val="center"/>
              <w:rPr>
                <w:rFonts w:eastAsia="Times New Roman"/>
                <w:b/>
                <w:bCs/>
                <w:color w:val="000000"/>
                <w:sz w:val="18"/>
                <w:szCs w:val="18"/>
                <w:lang w:val="en-US" w:eastAsia="es-MX"/>
              </w:rPr>
            </w:pPr>
            <w:r w:rsidRPr="004A68AC">
              <w:rPr>
                <w:rFonts w:eastAsia="Times New Roman"/>
                <w:b/>
                <w:bCs/>
                <w:color w:val="000000"/>
                <w:sz w:val="18"/>
                <w:szCs w:val="18"/>
                <w:lang w:val="en-US" w:eastAsia="es-MX"/>
              </w:rPr>
              <w:t>Beams Rotation</w:t>
            </w:r>
          </w:p>
        </w:tc>
        <w:tc>
          <w:tcPr>
            <w:tcW w:w="570" w:type="dxa"/>
            <w:tcBorders>
              <w:top w:val="single" w:sz="8" w:space="0" w:color="auto"/>
              <w:left w:val="nil"/>
              <w:bottom w:val="nil"/>
              <w:right w:val="nil"/>
            </w:tcBorders>
            <w:shd w:val="clear" w:color="auto" w:fill="auto"/>
            <w:noWrap/>
            <w:vAlign w:val="center"/>
            <w:hideMark/>
          </w:tcPr>
          <w:p w14:paraId="36FCE062"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LS1</w:t>
            </w:r>
          </w:p>
        </w:tc>
        <w:tc>
          <w:tcPr>
            <w:tcW w:w="278" w:type="dxa"/>
            <w:tcBorders>
              <w:top w:val="single" w:sz="8" w:space="0" w:color="auto"/>
              <w:left w:val="nil"/>
              <w:bottom w:val="nil"/>
              <w:right w:val="nil"/>
            </w:tcBorders>
            <w:vAlign w:val="center"/>
          </w:tcPr>
          <w:p w14:paraId="1E38DF8D" w14:textId="77777777" w:rsidR="00925CB2" w:rsidRPr="004A68AC" w:rsidRDefault="00925CB2" w:rsidP="00E239F6">
            <w:pPr>
              <w:jc w:val="center"/>
              <w:rPr>
                <w:rFonts w:eastAsia="Times New Roman"/>
                <w:sz w:val="18"/>
                <w:szCs w:val="18"/>
                <w:lang w:val="es-MX" w:eastAsia="es-MX"/>
              </w:rPr>
            </w:pPr>
          </w:p>
        </w:tc>
        <w:tc>
          <w:tcPr>
            <w:tcW w:w="850" w:type="dxa"/>
            <w:tcBorders>
              <w:top w:val="single" w:sz="8" w:space="0" w:color="auto"/>
              <w:left w:val="nil"/>
              <w:bottom w:val="nil"/>
              <w:right w:val="nil"/>
            </w:tcBorders>
            <w:shd w:val="clear" w:color="auto" w:fill="auto"/>
            <w:noWrap/>
            <w:vAlign w:val="center"/>
            <w:hideMark/>
          </w:tcPr>
          <w:p w14:paraId="06E4F6CC"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0.342</w:t>
            </w:r>
          </w:p>
        </w:tc>
        <w:tc>
          <w:tcPr>
            <w:tcW w:w="850" w:type="dxa"/>
            <w:tcBorders>
              <w:top w:val="single" w:sz="8" w:space="0" w:color="auto"/>
              <w:left w:val="nil"/>
              <w:bottom w:val="nil"/>
              <w:right w:val="nil"/>
            </w:tcBorders>
            <w:shd w:val="clear" w:color="auto" w:fill="auto"/>
            <w:noWrap/>
            <w:vAlign w:val="center"/>
            <w:hideMark/>
          </w:tcPr>
          <w:p w14:paraId="18DCAA08"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0.337</w:t>
            </w:r>
          </w:p>
          <w:p w14:paraId="6473B80A" w14:textId="77777777" w:rsidR="00925CB2" w:rsidRPr="004A68AC" w:rsidRDefault="00925CB2" w:rsidP="00E239F6">
            <w:pPr>
              <w:jc w:val="center"/>
              <w:rPr>
                <w:rFonts w:eastAsia="Times New Roman"/>
                <w:bCs/>
                <w:sz w:val="14"/>
                <w:szCs w:val="14"/>
                <w:lang w:val="es-MX" w:eastAsia="es-MX"/>
              </w:rPr>
            </w:pPr>
            <w:r w:rsidRPr="004A68AC">
              <w:rPr>
                <w:rFonts w:eastAsia="Times New Roman"/>
                <w:bCs/>
                <w:sz w:val="14"/>
                <w:szCs w:val="14"/>
                <w:lang w:val="es-MX" w:eastAsia="es-MX"/>
              </w:rPr>
              <w:t>(-1%)</w:t>
            </w:r>
          </w:p>
        </w:tc>
        <w:tc>
          <w:tcPr>
            <w:tcW w:w="850" w:type="dxa"/>
            <w:tcBorders>
              <w:top w:val="single" w:sz="8" w:space="0" w:color="auto"/>
              <w:left w:val="nil"/>
              <w:bottom w:val="nil"/>
              <w:right w:val="nil"/>
            </w:tcBorders>
            <w:shd w:val="clear" w:color="auto" w:fill="auto"/>
            <w:noWrap/>
            <w:vAlign w:val="center"/>
            <w:hideMark/>
          </w:tcPr>
          <w:p w14:paraId="46684E3F"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0.337</w:t>
            </w:r>
          </w:p>
          <w:p w14:paraId="2A8E8EF8"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(-1%)</w:t>
            </w:r>
          </w:p>
        </w:tc>
        <w:tc>
          <w:tcPr>
            <w:tcW w:w="852" w:type="dxa"/>
            <w:tcBorders>
              <w:top w:val="single" w:sz="8" w:space="0" w:color="auto"/>
              <w:left w:val="nil"/>
              <w:bottom w:val="nil"/>
              <w:right w:val="nil"/>
            </w:tcBorders>
            <w:shd w:val="clear" w:color="auto" w:fill="auto"/>
            <w:noWrap/>
            <w:vAlign w:val="center"/>
            <w:hideMark/>
          </w:tcPr>
          <w:p w14:paraId="3A0F8FE5"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0.490</w:t>
            </w:r>
          </w:p>
          <w:p w14:paraId="021008D4"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(+43%)</w:t>
            </w:r>
          </w:p>
        </w:tc>
        <w:tc>
          <w:tcPr>
            <w:tcW w:w="283" w:type="dxa"/>
            <w:tcBorders>
              <w:top w:val="single" w:sz="8" w:space="0" w:color="auto"/>
              <w:left w:val="nil"/>
              <w:bottom w:val="nil"/>
              <w:right w:val="nil"/>
            </w:tcBorders>
            <w:shd w:val="clear" w:color="auto" w:fill="auto"/>
            <w:noWrap/>
            <w:vAlign w:val="center"/>
            <w:hideMark/>
          </w:tcPr>
          <w:p w14:paraId="3C2F6F2E"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single" w:sz="8" w:space="0" w:color="auto"/>
              <w:left w:val="nil"/>
              <w:bottom w:val="nil"/>
              <w:right w:val="nil"/>
            </w:tcBorders>
            <w:shd w:val="clear" w:color="auto" w:fill="auto"/>
            <w:noWrap/>
            <w:vAlign w:val="center"/>
            <w:hideMark/>
          </w:tcPr>
          <w:p w14:paraId="02C8FA1B"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0.407</w:t>
            </w:r>
          </w:p>
        </w:tc>
        <w:tc>
          <w:tcPr>
            <w:tcW w:w="850" w:type="dxa"/>
            <w:tcBorders>
              <w:top w:val="single" w:sz="8" w:space="0" w:color="auto"/>
              <w:left w:val="nil"/>
              <w:bottom w:val="nil"/>
              <w:right w:val="nil"/>
            </w:tcBorders>
            <w:shd w:val="clear" w:color="auto" w:fill="auto"/>
            <w:noWrap/>
            <w:vAlign w:val="center"/>
            <w:hideMark/>
          </w:tcPr>
          <w:p w14:paraId="732F7F60"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0.400</w:t>
            </w:r>
          </w:p>
          <w:p w14:paraId="00366E1B"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(-2%)</w:t>
            </w:r>
          </w:p>
        </w:tc>
        <w:tc>
          <w:tcPr>
            <w:tcW w:w="850" w:type="dxa"/>
            <w:tcBorders>
              <w:top w:val="single" w:sz="8" w:space="0" w:color="auto"/>
              <w:left w:val="nil"/>
              <w:bottom w:val="nil"/>
              <w:right w:val="nil"/>
            </w:tcBorders>
            <w:shd w:val="clear" w:color="auto" w:fill="auto"/>
            <w:noWrap/>
            <w:vAlign w:val="center"/>
            <w:hideMark/>
          </w:tcPr>
          <w:p w14:paraId="432ABF53"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0.400</w:t>
            </w:r>
          </w:p>
          <w:p w14:paraId="59FAB1DD"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(-2%)</w:t>
            </w:r>
          </w:p>
        </w:tc>
        <w:tc>
          <w:tcPr>
            <w:tcW w:w="850" w:type="dxa"/>
            <w:tcBorders>
              <w:top w:val="single" w:sz="8" w:space="0" w:color="auto"/>
              <w:left w:val="nil"/>
              <w:bottom w:val="nil"/>
              <w:right w:val="nil"/>
            </w:tcBorders>
            <w:shd w:val="clear" w:color="auto" w:fill="auto"/>
            <w:noWrap/>
            <w:vAlign w:val="center"/>
            <w:hideMark/>
          </w:tcPr>
          <w:p w14:paraId="018643EE"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0.640</w:t>
            </w:r>
          </w:p>
          <w:p w14:paraId="16E8B05E"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(+57%)</w:t>
            </w:r>
          </w:p>
        </w:tc>
      </w:tr>
      <w:tr w:rsidR="00925CB2" w:rsidRPr="004A68AC" w14:paraId="544AD7A9" w14:textId="77777777" w:rsidTr="00E239F6">
        <w:trPr>
          <w:trHeight w:val="288"/>
          <w:jc w:val="center"/>
        </w:trPr>
        <w:tc>
          <w:tcPr>
            <w:tcW w:w="964" w:type="dxa"/>
            <w:vMerge/>
            <w:tcBorders>
              <w:top w:val="nil"/>
              <w:left w:val="nil"/>
              <w:bottom w:val="nil"/>
              <w:right w:val="nil"/>
            </w:tcBorders>
            <w:vAlign w:val="center"/>
            <w:hideMark/>
          </w:tcPr>
          <w:p w14:paraId="08689D7C"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nil"/>
              <w:right w:val="nil"/>
            </w:tcBorders>
            <w:shd w:val="clear" w:color="auto" w:fill="auto"/>
            <w:noWrap/>
            <w:vAlign w:val="center"/>
            <w:hideMark/>
          </w:tcPr>
          <w:p w14:paraId="306E641B"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LS2</w:t>
            </w:r>
          </w:p>
        </w:tc>
        <w:tc>
          <w:tcPr>
            <w:tcW w:w="278" w:type="dxa"/>
            <w:tcBorders>
              <w:top w:val="nil"/>
              <w:left w:val="nil"/>
              <w:bottom w:val="nil"/>
              <w:right w:val="nil"/>
            </w:tcBorders>
            <w:vAlign w:val="center"/>
          </w:tcPr>
          <w:p w14:paraId="16033348"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nil"/>
              <w:right w:val="nil"/>
            </w:tcBorders>
            <w:shd w:val="clear" w:color="auto" w:fill="auto"/>
            <w:noWrap/>
            <w:vAlign w:val="center"/>
            <w:hideMark/>
          </w:tcPr>
          <w:p w14:paraId="13D311F9"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0.632</w:t>
            </w:r>
          </w:p>
        </w:tc>
        <w:tc>
          <w:tcPr>
            <w:tcW w:w="850" w:type="dxa"/>
            <w:tcBorders>
              <w:top w:val="nil"/>
              <w:left w:val="nil"/>
              <w:bottom w:val="nil"/>
              <w:right w:val="nil"/>
            </w:tcBorders>
            <w:shd w:val="clear" w:color="auto" w:fill="auto"/>
            <w:noWrap/>
            <w:vAlign w:val="center"/>
            <w:hideMark/>
          </w:tcPr>
          <w:p w14:paraId="23653581"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0.625</w:t>
            </w:r>
          </w:p>
          <w:p w14:paraId="7CC26A9B"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(-1%)</w:t>
            </w:r>
          </w:p>
        </w:tc>
        <w:tc>
          <w:tcPr>
            <w:tcW w:w="850" w:type="dxa"/>
            <w:tcBorders>
              <w:top w:val="nil"/>
              <w:left w:val="nil"/>
              <w:bottom w:val="nil"/>
              <w:right w:val="nil"/>
            </w:tcBorders>
            <w:shd w:val="clear" w:color="auto" w:fill="auto"/>
            <w:noWrap/>
            <w:vAlign w:val="center"/>
            <w:hideMark/>
          </w:tcPr>
          <w:p w14:paraId="4980A6DB"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0.680</w:t>
            </w:r>
          </w:p>
          <w:p w14:paraId="678E04C9"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(+8%)</w:t>
            </w:r>
          </w:p>
        </w:tc>
        <w:tc>
          <w:tcPr>
            <w:tcW w:w="852" w:type="dxa"/>
            <w:tcBorders>
              <w:top w:val="nil"/>
              <w:left w:val="nil"/>
              <w:bottom w:val="nil"/>
              <w:right w:val="nil"/>
            </w:tcBorders>
            <w:shd w:val="clear" w:color="auto" w:fill="auto"/>
            <w:noWrap/>
            <w:vAlign w:val="center"/>
            <w:hideMark/>
          </w:tcPr>
          <w:p w14:paraId="4E5A7C12"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0.673</w:t>
            </w:r>
          </w:p>
          <w:p w14:paraId="00568B58"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(+6%)</w:t>
            </w:r>
          </w:p>
        </w:tc>
        <w:tc>
          <w:tcPr>
            <w:tcW w:w="283" w:type="dxa"/>
            <w:tcBorders>
              <w:top w:val="nil"/>
              <w:left w:val="nil"/>
              <w:bottom w:val="nil"/>
              <w:right w:val="nil"/>
            </w:tcBorders>
            <w:shd w:val="clear" w:color="auto" w:fill="auto"/>
            <w:noWrap/>
            <w:vAlign w:val="center"/>
            <w:hideMark/>
          </w:tcPr>
          <w:p w14:paraId="132C696A"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nil"/>
              <w:right w:val="nil"/>
            </w:tcBorders>
            <w:shd w:val="clear" w:color="auto" w:fill="auto"/>
            <w:noWrap/>
            <w:vAlign w:val="center"/>
            <w:hideMark/>
          </w:tcPr>
          <w:p w14:paraId="29D4D510"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0.936</w:t>
            </w:r>
          </w:p>
        </w:tc>
        <w:tc>
          <w:tcPr>
            <w:tcW w:w="850" w:type="dxa"/>
            <w:tcBorders>
              <w:top w:val="nil"/>
              <w:left w:val="nil"/>
              <w:bottom w:val="nil"/>
              <w:right w:val="nil"/>
            </w:tcBorders>
            <w:shd w:val="clear" w:color="auto" w:fill="auto"/>
            <w:noWrap/>
            <w:vAlign w:val="center"/>
            <w:hideMark/>
          </w:tcPr>
          <w:p w14:paraId="64FE8894"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0.931</w:t>
            </w:r>
          </w:p>
          <w:p w14:paraId="13CA89E8"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(-1%)</w:t>
            </w:r>
          </w:p>
        </w:tc>
        <w:tc>
          <w:tcPr>
            <w:tcW w:w="850" w:type="dxa"/>
            <w:tcBorders>
              <w:top w:val="nil"/>
              <w:left w:val="nil"/>
              <w:bottom w:val="nil"/>
              <w:right w:val="nil"/>
            </w:tcBorders>
            <w:shd w:val="clear" w:color="auto" w:fill="auto"/>
            <w:noWrap/>
            <w:vAlign w:val="center"/>
            <w:hideMark/>
          </w:tcPr>
          <w:p w14:paraId="5C195196"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0.947</w:t>
            </w:r>
          </w:p>
          <w:p w14:paraId="525BCC32"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w:t>
            </w:r>
          </w:p>
        </w:tc>
        <w:tc>
          <w:tcPr>
            <w:tcW w:w="850" w:type="dxa"/>
            <w:tcBorders>
              <w:top w:val="nil"/>
              <w:left w:val="nil"/>
              <w:bottom w:val="nil"/>
              <w:right w:val="nil"/>
            </w:tcBorders>
            <w:shd w:val="clear" w:color="auto" w:fill="auto"/>
            <w:noWrap/>
            <w:vAlign w:val="center"/>
            <w:hideMark/>
          </w:tcPr>
          <w:p w14:paraId="26B578CD"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0.947</w:t>
            </w:r>
          </w:p>
          <w:p w14:paraId="1AE813C3"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(+1%)</w:t>
            </w:r>
          </w:p>
        </w:tc>
      </w:tr>
      <w:tr w:rsidR="00925CB2" w:rsidRPr="004A68AC" w14:paraId="678E33C4" w14:textId="77777777" w:rsidTr="00E239F6">
        <w:trPr>
          <w:trHeight w:val="288"/>
          <w:jc w:val="center"/>
        </w:trPr>
        <w:tc>
          <w:tcPr>
            <w:tcW w:w="964" w:type="dxa"/>
            <w:vMerge/>
            <w:tcBorders>
              <w:top w:val="nil"/>
              <w:left w:val="nil"/>
              <w:bottom w:val="single" w:sz="4" w:space="0" w:color="auto"/>
              <w:right w:val="nil"/>
            </w:tcBorders>
            <w:vAlign w:val="center"/>
            <w:hideMark/>
          </w:tcPr>
          <w:p w14:paraId="56405498"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single" w:sz="4" w:space="0" w:color="auto"/>
              <w:right w:val="nil"/>
            </w:tcBorders>
            <w:shd w:val="clear" w:color="auto" w:fill="auto"/>
            <w:noWrap/>
            <w:vAlign w:val="center"/>
            <w:hideMark/>
          </w:tcPr>
          <w:p w14:paraId="7CFA4220"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LS3</w:t>
            </w:r>
          </w:p>
        </w:tc>
        <w:tc>
          <w:tcPr>
            <w:tcW w:w="278" w:type="dxa"/>
            <w:tcBorders>
              <w:top w:val="nil"/>
              <w:left w:val="nil"/>
              <w:bottom w:val="single" w:sz="4" w:space="0" w:color="auto"/>
              <w:right w:val="nil"/>
            </w:tcBorders>
            <w:vAlign w:val="center"/>
          </w:tcPr>
          <w:p w14:paraId="27C7CFF2"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single" w:sz="4" w:space="0" w:color="auto"/>
              <w:right w:val="nil"/>
            </w:tcBorders>
            <w:shd w:val="clear" w:color="auto" w:fill="auto"/>
            <w:noWrap/>
            <w:vAlign w:val="center"/>
            <w:hideMark/>
          </w:tcPr>
          <w:p w14:paraId="37813661"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0.660</w:t>
            </w:r>
          </w:p>
        </w:tc>
        <w:tc>
          <w:tcPr>
            <w:tcW w:w="850" w:type="dxa"/>
            <w:tcBorders>
              <w:top w:val="nil"/>
              <w:left w:val="nil"/>
              <w:bottom w:val="single" w:sz="4" w:space="0" w:color="auto"/>
              <w:right w:val="nil"/>
            </w:tcBorders>
            <w:shd w:val="clear" w:color="auto" w:fill="auto"/>
            <w:noWrap/>
            <w:vAlign w:val="center"/>
            <w:hideMark/>
          </w:tcPr>
          <w:p w14:paraId="730FFB4E"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0.660</w:t>
            </w:r>
          </w:p>
          <w:p w14:paraId="4728D7E5"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(0%)</w:t>
            </w:r>
          </w:p>
        </w:tc>
        <w:tc>
          <w:tcPr>
            <w:tcW w:w="850" w:type="dxa"/>
            <w:tcBorders>
              <w:top w:val="nil"/>
              <w:left w:val="nil"/>
              <w:bottom w:val="single" w:sz="4" w:space="0" w:color="auto"/>
              <w:right w:val="nil"/>
            </w:tcBorders>
            <w:shd w:val="clear" w:color="auto" w:fill="auto"/>
            <w:noWrap/>
            <w:vAlign w:val="center"/>
            <w:hideMark/>
          </w:tcPr>
          <w:p w14:paraId="04EF5013"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0.696</w:t>
            </w:r>
          </w:p>
          <w:p w14:paraId="6BDFA13F"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(+5%)</w:t>
            </w:r>
          </w:p>
        </w:tc>
        <w:tc>
          <w:tcPr>
            <w:tcW w:w="852" w:type="dxa"/>
            <w:tcBorders>
              <w:top w:val="nil"/>
              <w:left w:val="nil"/>
              <w:bottom w:val="single" w:sz="4" w:space="0" w:color="auto"/>
              <w:right w:val="nil"/>
            </w:tcBorders>
            <w:shd w:val="clear" w:color="auto" w:fill="auto"/>
            <w:noWrap/>
            <w:vAlign w:val="center"/>
            <w:hideMark/>
          </w:tcPr>
          <w:p w14:paraId="7D39DE80"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0.696</w:t>
            </w:r>
          </w:p>
          <w:p w14:paraId="3019D501"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(+5%)</w:t>
            </w:r>
          </w:p>
        </w:tc>
        <w:tc>
          <w:tcPr>
            <w:tcW w:w="283" w:type="dxa"/>
            <w:tcBorders>
              <w:top w:val="nil"/>
              <w:left w:val="nil"/>
              <w:bottom w:val="single" w:sz="4" w:space="0" w:color="auto"/>
              <w:right w:val="nil"/>
            </w:tcBorders>
            <w:shd w:val="clear" w:color="auto" w:fill="auto"/>
            <w:noWrap/>
            <w:vAlign w:val="center"/>
            <w:hideMark/>
          </w:tcPr>
          <w:p w14:paraId="6A0D4E9E"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single" w:sz="4" w:space="0" w:color="auto"/>
              <w:right w:val="nil"/>
            </w:tcBorders>
            <w:shd w:val="clear" w:color="auto" w:fill="auto"/>
            <w:noWrap/>
            <w:vAlign w:val="center"/>
            <w:hideMark/>
          </w:tcPr>
          <w:p w14:paraId="1B8DF9A3"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0.947</w:t>
            </w:r>
          </w:p>
        </w:tc>
        <w:tc>
          <w:tcPr>
            <w:tcW w:w="850" w:type="dxa"/>
            <w:tcBorders>
              <w:top w:val="nil"/>
              <w:left w:val="nil"/>
              <w:bottom w:val="single" w:sz="4" w:space="0" w:color="auto"/>
              <w:right w:val="nil"/>
            </w:tcBorders>
            <w:shd w:val="clear" w:color="auto" w:fill="auto"/>
            <w:noWrap/>
            <w:vAlign w:val="center"/>
            <w:hideMark/>
          </w:tcPr>
          <w:p w14:paraId="30AEADD2"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0.947</w:t>
            </w:r>
          </w:p>
          <w:p w14:paraId="384F0F55"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(0%)</w:t>
            </w:r>
          </w:p>
        </w:tc>
        <w:tc>
          <w:tcPr>
            <w:tcW w:w="850" w:type="dxa"/>
            <w:tcBorders>
              <w:top w:val="nil"/>
              <w:left w:val="nil"/>
              <w:bottom w:val="single" w:sz="4" w:space="0" w:color="auto"/>
              <w:right w:val="nil"/>
            </w:tcBorders>
            <w:shd w:val="clear" w:color="auto" w:fill="auto"/>
            <w:noWrap/>
            <w:vAlign w:val="center"/>
            <w:hideMark/>
          </w:tcPr>
          <w:p w14:paraId="4C0BF2A4"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0.951</w:t>
            </w:r>
          </w:p>
          <w:p w14:paraId="0168515A"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(0%)</w:t>
            </w:r>
          </w:p>
        </w:tc>
        <w:tc>
          <w:tcPr>
            <w:tcW w:w="850" w:type="dxa"/>
            <w:tcBorders>
              <w:top w:val="nil"/>
              <w:left w:val="nil"/>
              <w:bottom w:val="single" w:sz="4" w:space="0" w:color="auto"/>
              <w:right w:val="nil"/>
            </w:tcBorders>
            <w:shd w:val="clear" w:color="auto" w:fill="auto"/>
            <w:noWrap/>
            <w:vAlign w:val="center"/>
            <w:hideMark/>
          </w:tcPr>
          <w:p w14:paraId="1A05A005"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0.951</w:t>
            </w:r>
          </w:p>
          <w:p w14:paraId="64D8ADBE"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(0%)</w:t>
            </w:r>
          </w:p>
        </w:tc>
      </w:tr>
      <w:tr w:rsidR="00925CB2" w:rsidRPr="004A68AC" w14:paraId="763F08CD" w14:textId="77777777" w:rsidTr="00E239F6">
        <w:trPr>
          <w:trHeight w:val="288"/>
          <w:jc w:val="center"/>
        </w:trPr>
        <w:tc>
          <w:tcPr>
            <w:tcW w:w="964" w:type="dxa"/>
            <w:vMerge w:val="restart"/>
            <w:tcBorders>
              <w:top w:val="single" w:sz="4" w:space="0" w:color="auto"/>
              <w:left w:val="nil"/>
              <w:bottom w:val="nil"/>
              <w:right w:val="nil"/>
            </w:tcBorders>
            <w:shd w:val="clear" w:color="auto" w:fill="auto"/>
            <w:noWrap/>
            <w:vAlign w:val="center"/>
            <w:hideMark/>
          </w:tcPr>
          <w:p w14:paraId="5564D159" w14:textId="77777777" w:rsidR="00925CB2" w:rsidRPr="004A68AC" w:rsidRDefault="00925CB2" w:rsidP="00E239F6">
            <w:pPr>
              <w:jc w:val="center"/>
              <w:rPr>
                <w:rFonts w:eastAsia="Times New Roman"/>
                <w:b/>
                <w:bCs/>
                <w:color w:val="000000"/>
                <w:sz w:val="18"/>
                <w:szCs w:val="18"/>
                <w:lang w:val="en-US" w:eastAsia="es-MX"/>
              </w:rPr>
            </w:pPr>
            <w:r w:rsidRPr="004A68AC">
              <w:rPr>
                <w:rFonts w:eastAsia="Times New Roman"/>
                <w:b/>
                <w:bCs/>
                <w:color w:val="000000"/>
                <w:sz w:val="18"/>
                <w:szCs w:val="18"/>
                <w:lang w:val="en-US" w:eastAsia="es-MX"/>
              </w:rPr>
              <w:t>Columns Rotation</w:t>
            </w:r>
          </w:p>
        </w:tc>
        <w:tc>
          <w:tcPr>
            <w:tcW w:w="570" w:type="dxa"/>
            <w:tcBorders>
              <w:top w:val="single" w:sz="4" w:space="0" w:color="auto"/>
              <w:left w:val="nil"/>
              <w:bottom w:val="nil"/>
              <w:right w:val="nil"/>
            </w:tcBorders>
            <w:shd w:val="clear" w:color="auto" w:fill="auto"/>
            <w:noWrap/>
            <w:vAlign w:val="center"/>
            <w:hideMark/>
          </w:tcPr>
          <w:p w14:paraId="17C039CC"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LS1</w:t>
            </w:r>
          </w:p>
        </w:tc>
        <w:tc>
          <w:tcPr>
            <w:tcW w:w="278" w:type="dxa"/>
            <w:tcBorders>
              <w:top w:val="single" w:sz="4" w:space="0" w:color="auto"/>
              <w:left w:val="nil"/>
              <w:bottom w:val="nil"/>
              <w:right w:val="nil"/>
            </w:tcBorders>
            <w:vAlign w:val="center"/>
          </w:tcPr>
          <w:p w14:paraId="44760141" w14:textId="77777777" w:rsidR="00925CB2" w:rsidRPr="004A68AC" w:rsidRDefault="00925CB2" w:rsidP="00E239F6">
            <w:pPr>
              <w:jc w:val="center"/>
              <w:rPr>
                <w:rFonts w:eastAsia="Times New Roman"/>
                <w:sz w:val="18"/>
                <w:szCs w:val="18"/>
                <w:lang w:val="es-MX" w:eastAsia="es-MX"/>
              </w:rPr>
            </w:pPr>
          </w:p>
        </w:tc>
        <w:tc>
          <w:tcPr>
            <w:tcW w:w="850" w:type="dxa"/>
            <w:tcBorders>
              <w:top w:val="single" w:sz="4" w:space="0" w:color="auto"/>
              <w:left w:val="nil"/>
              <w:bottom w:val="nil"/>
              <w:right w:val="nil"/>
            </w:tcBorders>
            <w:shd w:val="clear" w:color="auto" w:fill="auto"/>
            <w:noWrap/>
            <w:vAlign w:val="center"/>
            <w:hideMark/>
          </w:tcPr>
          <w:p w14:paraId="7E1AF2A7"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0.311</w:t>
            </w:r>
          </w:p>
        </w:tc>
        <w:tc>
          <w:tcPr>
            <w:tcW w:w="850" w:type="dxa"/>
            <w:tcBorders>
              <w:top w:val="single" w:sz="4" w:space="0" w:color="auto"/>
              <w:left w:val="nil"/>
              <w:bottom w:val="nil"/>
              <w:right w:val="nil"/>
            </w:tcBorders>
            <w:shd w:val="clear" w:color="auto" w:fill="auto"/>
            <w:noWrap/>
            <w:vAlign w:val="center"/>
            <w:hideMark/>
          </w:tcPr>
          <w:p w14:paraId="6ADBDAEA"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0.105</w:t>
            </w:r>
          </w:p>
          <w:p w14:paraId="0F6A32BB"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(-66%)</w:t>
            </w:r>
          </w:p>
        </w:tc>
        <w:tc>
          <w:tcPr>
            <w:tcW w:w="850" w:type="dxa"/>
            <w:tcBorders>
              <w:top w:val="single" w:sz="4" w:space="0" w:color="auto"/>
              <w:left w:val="nil"/>
              <w:bottom w:val="nil"/>
              <w:right w:val="nil"/>
            </w:tcBorders>
            <w:shd w:val="clear" w:color="auto" w:fill="auto"/>
            <w:noWrap/>
            <w:vAlign w:val="center"/>
            <w:hideMark/>
          </w:tcPr>
          <w:p w14:paraId="7828DCD0"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0.105</w:t>
            </w:r>
          </w:p>
          <w:p w14:paraId="52AC1032"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(-66%)</w:t>
            </w:r>
          </w:p>
        </w:tc>
        <w:tc>
          <w:tcPr>
            <w:tcW w:w="852" w:type="dxa"/>
            <w:tcBorders>
              <w:top w:val="single" w:sz="4" w:space="0" w:color="auto"/>
              <w:left w:val="nil"/>
              <w:bottom w:val="nil"/>
              <w:right w:val="nil"/>
            </w:tcBorders>
            <w:shd w:val="clear" w:color="auto" w:fill="auto"/>
            <w:noWrap/>
            <w:vAlign w:val="center"/>
            <w:hideMark/>
          </w:tcPr>
          <w:p w14:paraId="2DF63917"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0.392</w:t>
            </w:r>
          </w:p>
          <w:p w14:paraId="59F8E28C"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(+26%)</w:t>
            </w:r>
          </w:p>
        </w:tc>
        <w:tc>
          <w:tcPr>
            <w:tcW w:w="283" w:type="dxa"/>
            <w:tcBorders>
              <w:top w:val="single" w:sz="4" w:space="0" w:color="auto"/>
              <w:left w:val="nil"/>
              <w:bottom w:val="nil"/>
              <w:right w:val="nil"/>
            </w:tcBorders>
            <w:shd w:val="clear" w:color="auto" w:fill="auto"/>
            <w:noWrap/>
            <w:vAlign w:val="center"/>
            <w:hideMark/>
          </w:tcPr>
          <w:p w14:paraId="3C1801BB"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single" w:sz="4" w:space="0" w:color="auto"/>
              <w:left w:val="nil"/>
              <w:bottom w:val="nil"/>
              <w:right w:val="nil"/>
            </w:tcBorders>
            <w:shd w:val="clear" w:color="auto" w:fill="auto"/>
            <w:noWrap/>
            <w:vAlign w:val="center"/>
            <w:hideMark/>
          </w:tcPr>
          <w:p w14:paraId="000739DB"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0.888</w:t>
            </w:r>
          </w:p>
        </w:tc>
        <w:tc>
          <w:tcPr>
            <w:tcW w:w="850" w:type="dxa"/>
            <w:tcBorders>
              <w:top w:val="single" w:sz="4" w:space="0" w:color="auto"/>
              <w:left w:val="nil"/>
              <w:bottom w:val="nil"/>
              <w:right w:val="nil"/>
            </w:tcBorders>
            <w:shd w:val="clear" w:color="auto" w:fill="auto"/>
            <w:noWrap/>
            <w:vAlign w:val="center"/>
            <w:hideMark/>
          </w:tcPr>
          <w:p w14:paraId="30432EA6"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0.557</w:t>
            </w:r>
          </w:p>
          <w:p w14:paraId="1C61509A"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(-37%)</w:t>
            </w:r>
          </w:p>
        </w:tc>
        <w:tc>
          <w:tcPr>
            <w:tcW w:w="850" w:type="dxa"/>
            <w:tcBorders>
              <w:top w:val="single" w:sz="4" w:space="0" w:color="auto"/>
              <w:left w:val="nil"/>
              <w:bottom w:val="nil"/>
              <w:right w:val="nil"/>
            </w:tcBorders>
            <w:shd w:val="clear" w:color="auto" w:fill="auto"/>
            <w:noWrap/>
            <w:vAlign w:val="center"/>
            <w:hideMark/>
          </w:tcPr>
          <w:p w14:paraId="5C5DF132"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0.557</w:t>
            </w:r>
          </w:p>
          <w:p w14:paraId="1AFAEF6C"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(-37%)</w:t>
            </w:r>
          </w:p>
        </w:tc>
        <w:tc>
          <w:tcPr>
            <w:tcW w:w="850" w:type="dxa"/>
            <w:tcBorders>
              <w:top w:val="single" w:sz="4" w:space="0" w:color="auto"/>
              <w:left w:val="nil"/>
              <w:bottom w:val="nil"/>
              <w:right w:val="nil"/>
            </w:tcBorders>
            <w:shd w:val="clear" w:color="auto" w:fill="auto"/>
            <w:noWrap/>
            <w:vAlign w:val="center"/>
            <w:hideMark/>
          </w:tcPr>
          <w:p w14:paraId="27BFB710"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0.951</w:t>
            </w:r>
          </w:p>
          <w:p w14:paraId="00DE9677"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(+7%)</w:t>
            </w:r>
          </w:p>
        </w:tc>
      </w:tr>
      <w:tr w:rsidR="00925CB2" w:rsidRPr="004A68AC" w14:paraId="488E16D5" w14:textId="77777777" w:rsidTr="00E239F6">
        <w:trPr>
          <w:trHeight w:val="288"/>
          <w:jc w:val="center"/>
        </w:trPr>
        <w:tc>
          <w:tcPr>
            <w:tcW w:w="964" w:type="dxa"/>
            <w:vMerge/>
            <w:tcBorders>
              <w:top w:val="nil"/>
              <w:left w:val="nil"/>
              <w:bottom w:val="nil"/>
              <w:right w:val="nil"/>
            </w:tcBorders>
            <w:vAlign w:val="center"/>
            <w:hideMark/>
          </w:tcPr>
          <w:p w14:paraId="6B419BCE"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nil"/>
              <w:right w:val="nil"/>
            </w:tcBorders>
            <w:shd w:val="clear" w:color="auto" w:fill="auto"/>
            <w:noWrap/>
            <w:vAlign w:val="center"/>
            <w:hideMark/>
          </w:tcPr>
          <w:p w14:paraId="4F031277"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LS2</w:t>
            </w:r>
          </w:p>
        </w:tc>
        <w:tc>
          <w:tcPr>
            <w:tcW w:w="278" w:type="dxa"/>
            <w:tcBorders>
              <w:top w:val="nil"/>
              <w:left w:val="nil"/>
              <w:bottom w:val="nil"/>
              <w:right w:val="nil"/>
            </w:tcBorders>
            <w:vAlign w:val="center"/>
          </w:tcPr>
          <w:p w14:paraId="43E836F9"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nil"/>
              <w:right w:val="nil"/>
            </w:tcBorders>
            <w:shd w:val="clear" w:color="auto" w:fill="auto"/>
            <w:noWrap/>
            <w:vAlign w:val="center"/>
            <w:hideMark/>
          </w:tcPr>
          <w:p w14:paraId="3E91BCD5"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0.546</w:t>
            </w:r>
          </w:p>
        </w:tc>
        <w:tc>
          <w:tcPr>
            <w:tcW w:w="850" w:type="dxa"/>
            <w:tcBorders>
              <w:top w:val="nil"/>
              <w:left w:val="nil"/>
              <w:bottom w:val="nil"/>
              <w:right w:val="nil"/>
            </w:tcBorders>
            <w:shd w:val="clear" w:color="auto" w:fill="auto"/>
            <w:noWrap/>
            <w:vAlign w:val="center"/>
            <w:hideMark/>
          </w:tcPr>
          <w:p w14:paraId="78061111"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0.316</w:t>
            </w:r>
          </w:p>
          <w:p w14:paraId="1BC9A347"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(-42%)</w:t>
            </w:r>
          </w:p>
        </w:tc>
        <w:tc>
          <w:tcPr>
            <w:tcW w:w="850" w:type="dxa"/>
            <w:tcBorders>
              <w:top w:val="nil"/>
              <w:left w:val="nil"/>
              <w:bottom w:val="nil"/>
              <w:right w:val="nil"/>
            </w:tcBorders>
            <w:shd w:val="clear" w:color="auto" w:fill="auto"/>
            <w:noWrap/>
            <w:vAlign w:val="center"/>
            <w:hideMark/>
          </w:tcPr>
          <w:p w14:paraId="21899610"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0.403</w:t>
            </w:r>
          </w:p>
          <w:p w14:paraId="364EB14A"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(-26%)</w:t>
            </w:r>
          </w:p>
        </w:tc>
        <w:tc>
          <w:tcPr>
            <w:tcW w:w="852" w:type="dxa"/>
            <w:tcBorders>
              <w:top w:val="nil"/>
              <w:left w:val="nil"/>
              <w:bottom w:val="nil"/>
              <w:right w:val="nil"/>
            </w:tcBorders>
            <w:shd w:val="clear" w:color="auto" w:fill="auto"/>
            <w:noWrap/>
            <w:vAlign w:val="center"/>
            <w:hideMark/>
          </w:tcPr>
          <w:p w14:paraId="03F436AF"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0.580</w:t>
            </w:r>
          </w:p>
          <w:p w14:paraId="4AE28009"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(+6%)</w:t>
            </w:r>
          </w:p>
        </w:tc>
        <w:tc>
          <w:tcPr>
            <w:tcW w:w="283" w:type="dxa"/>
            <w:tcBorders>
              <w:top w:val="nil"/>
              <w:left w:val="nil"/>
              <w:bottom w:val="nil"/>
              <w:right w:val="nil"/>
            </w:tcBorders>
            <w:shd w:val="clear" w:color="auto" w:fill="auto"/>
            <w:noWrap/>
            <w:vAlign w:val="center"/>
            <w:hideMark/>
          </w:tcPr>
          <w:p w14:paraId="6E56B667"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nil"/>
              <w:right w:val="nil"/>
            </w:tcBorders>
            <w:shd w:val="clear" w:color="auto" w:fill="auto"/>
            <w:noWrap/>
            <w:vAlign w:val="center"/>
            <w:hideMark/>
          </w:tcPr>
          <w:p w14:paraId="0FA08528"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tc>
        <w:tc>
          <w:tcPr>
            <w:tcW w:w="850" w:type="dxa"/>
            <w:tcBorders>
              <w:top w:val="nil"/>
              <w:left w:val="nil"/>
              <w:bottom w:val="nil"/>
              <w:right w:val="nil"/>
            </w:tcBorders>
            <w:shd w:val="clear" w:color="auto" w:fill="auto"/>
            <w:noWrap/>
            <w:vAlign w:val="center"/>
            <w:hideMark/>
          </w:tcPr>
          <w:p w14:paraId="1C210D33"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3B0423D0"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c>
          <w:tcPr>
            <w:tcW w:w="850" w:type="dxa"/>
            <w:tcBorders>
              <w:top w:val="nil"/>
              <w:left w:val="nil"/>
              <w:bottom w:val="nil"/>
              <w:right w:val="nil"/>
            </w:tcBorders>
            <w:shd w:val="clear" w:color="auto" w:fill="auto"/>
            <w:noWrap/>
            <w:vAlign w:val="center"/>
            <w:hideMark/>
          </w:tcPr>
          <w:p w14:paraId="28DEA493"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005C7638"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c>
          <w:tcPr>
            <w:tcW w:w="850" w:type="dxa"/>
            <w:tcBorders>
              <w:top w:val="nil"/>
              <w:left w:val="nil"/>
              <w:bottom w:val="nil"/>
              <w:right w:val="nil"/>
            </w:tcBorders>
            <w:shd w:val="clear" w:color="auto" w:fill="auto"/>
            <w:noWrap/>
            <w:vAlign w:val="center"/>
            <w:hideMark/>
          </w:tcPr>
          <w:p w14:paraId="762FFB83"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29D0C123"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r>
      <w:tr w:rsidR="00925CB2" w:rsidRPr="004A68AC" w14:paraId="07C577B4" w14:textId="77777777" w:rsidTr="00E239F6">
        <w:trPr>
          <w:trHeight w:val="288"/>
          <w:jc w:val="center"/>
        </w:trPr>
        <w:tc>
          <w:tcPr>
            <w:tcW w:w="964" w:type="dxa"/>
            <w:vMerge/>
            <w:tcBorders>
              <w:top w:val="nil"/>
              <w:left w:val="nil"/>
              <w:bottom w:val="single" w:sz="4" w:space="0" w:color="auto"/>
              <w:right w:val="nil"/>
            </w:tcBorders>
            <w:vAlign w:val="center"/>
            <w:hideMark/>
          </w:tcPr>
          <w:p w14:paraId="0E0ECF49"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single" w:sz="4" w:space="0" w:color="auto"/>
              <w:right w:val="nil"/>
            </w:tcBorders>
            <w:shd w:val="clear" w:color="auto" w:fill="auto"/>
            <w:noWrap/>
            <w:vAlign w:val="center"/>
            <w:hideMark/>
          </w:tcPr>
          <w:p w14:paraId="6932D831"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LS3</w:t>
            </w:r>
          </w:p>
        </w:tc>
        <w:tc>
          <w:tcPr>
            <w:tcW w:w="278" w:type="dxa"/>
            <w:tcBorders>
              <w:top w:val="nil"/>
              <w:left w:val="nil"/>
              <w:bottom w:val="single" w:sz="4" w:space="0" w:color="auto"/>
              <w:right w:val="nil"/>
            </w:tcBorders>
            <w:vAlign w:val="center"/>
          </w:tcPr>
          <w:p w14:paraId="5E9CC43D"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single" w:sz="4" w:space="0" w:color="auto"/>
              <w:right w:val="nil"/>
            </w:tcBorders>
            <w:shd w:val="clear" w:color="auto" w:fill="auto"/>
            <w:noWrap/>
            <w:vAlign w:val="center"/>
            <w:hideMark/>
          </w:tcPr>
          <w:p w14:paraId="3F213C57"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0.591</w:t>
            </w:r>
          </w:p>
        </w:tc>
        <w:tc>
          <w:tcPr>
            <w:tcW w:w="850" w:type="dxa"/>
            <w:tcBorders>
              <w:top w:val="nil"/>
              <w:left w:val="nil"/>
              <w:bottom w:val="single" w:sz="4" w:space="0" w:color="auto"/>
              <w:right w:val="nil"/>
            </w:tcBorders>
            <w:shd w:val="clear" w:color="auto" w:fill="auto"/>
            <w:noWrap/>
            <w:vAlign w:val="center"/>
            <w:hideMark/>
          </w:tcPr>
          <w:p w14:paraId="7914A9D2"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0.403</w:t>
            </w:r>
          </w:p>
          <w:p w14:paraId="28C3E3C9"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(-32%)</w:t>
            </w:r>
          </w:p>
        </w:tc>
        <w:tc>
          <w:tcPr>
            <w:tcW w:w="850" w:type="dxa"/>
            <w:tcBorders>
              <w:top w:val="nil"/>
              <w:left w:val="nil"/>
              <w:bottom w:val="single" w:sz="4" w:space="0" w:color="auto"/>
              <w:right w:val="nil"/>
            </w:tcBorders>
            <w:shd w:val="clear" w:color="auto" w:fill="auto"/>
            <w:noWrap/>
            <w:vAlign w:val="center"/>
            <w:hideMark/>
          </w:tcPr>
          <w:p w14:paraId="7E0671A7"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0.448</w:t>
            </w:r>
          </w:p>
          <w:p w14:paraId="5843197D"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(-24%)</w:t>
            </w:r>
          </w:p>
        </w:tc>
        <w:tc>
          <w:tcPr>
            <w:tcW w:w="852" w:type="dxa"/>
            <w:tcBorders>
              <w:top w:val="nil"/>
              <w:left w:val="nil"/>
              <w:bottom w:val="single" w:sz="4" w:space="0" w:color="auto"/>
              <w:right w:val="nil"/>
            </w:tcBorders>
            <w:shd w:val="clear" w:color="auto" w:fill="auto"/>
            <w:noWrap/>
            <w:vAlign w:val="center"/>
            <w:hideMark/>
          </w:tcPr>
          <w:p w14:paraId="2135BA23"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0.601</w:t>
            </w:r>
          </w:p>
          <w:p w14:paraId="25328F82"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(+2%)</w:t>
            </w:r>
          </w:p>
        </w:tc>
        <w:tc>
          <w:tcPr>
            <w:tcW w:w="283" w:type="dxa"/>
            <w:tcBorders>
              <w:top w:val="nil"/>
              <w:left w:val="nil"/>
              <w:bottom w:val="single" w:sz="4" w:space="0" w:color="auto"/>
              <w:right w:val="nil"/>
            </w:tcBorders>
            <w:shd w:val="clear" w:color="auto" w:fill="auto"/>
            <w:noWrap/>
            <w:vAlign w:val="center"/>
            <w:hideMark/>
          </w:tcPr>
          <w:p w14:paraId="1FB829F2"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single" w:sz="4" w:space="0" w:color="auto"/>
              <w:right w:val="nil"/>
            </w:tcBorders>
            <w:shd w:val="clear" w:color="auto" w:fill="auto"/>
            <w:noWrap/>
            <w:vAlign w:val="center"/>
            <w:hideMark/>
          </w:tcPr>
          <w:p w14:paraId="772DF9D5"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tc>
        <w:tc>
          <w:tcPr>
            <w:tcW w:w="850" w:type="dxa"/>
            <w:tcBorders>
              <w:top w:val="nil"/>
              <w:left w:val="nil"/>
              <w:bottom w:val="single" w:sz="4" w:space="0" w:color="auto"/>
              <w:right w:val="nil"/>
            </w:tcBorders>
            <w:shd w:val="clear" w:color="auto" w:fill="auto"/>
            <w:noWrap/>
            <w:vAlign w:val="center"/>
            <w:hideMark/>
          </w:tcPr>
          <w:p w14:paraId="39D6672D"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7140FA7E"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c>
          <w:tcPr>
            <w:tcW w:w="850" w:type="dxa"/>
            <w:tcBorders>
              <w:top w:val="nil"/>
              <w:left w:val="nil"/>
              <w:bottom w:val="single" w:sz="4" w:space="0" w:color="auto"/>
              <w:right w:val="nil"/>
            </w:tcBorders>
            <w:shd w:val="clear" w:color="auto" w:fill="auto"/>
            <w:noWrap/>
            <w:vAlign w:val="center"/>
            <w:hideMark/>
          </w:tcPr>
          <w:p w14:paraId="64D6A91C"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1A228266"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c>
          <w:tcPr>
            <w:tcW w:w="850" w:type="dxa"/>
            <w:tcBorders>
              <w:top w:val="nil"/>
              <w:left w:val="nil"/>
              <w:bottom w:val="single" w:sz="4" w:space="0" w:color="auto"/>
              <w:right w:val="nil"/>
            </w:tcBorders>
            <w:shd w:val="clear" w:color="auto" w:fill="auto"/>
            <w:noWrap/>
            <w:vAlign w:val="center"/>
            <w:hideMark/>
          </w:tcPr>
          <w:p w14:paraId="38F133C2"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0.951</w:t>
            </w:r>
          </w:p>
          <w:p w14:paraId="185B75DE" w14:textId="77777777" w:rsidR="00925CB2" w:rsidRPr="004A68AC" w:rsidRDefault="00925CB2" w:rsidP="00E239F6">
            <w:pPr>
              <w:jc w:val="center"/>
              <w:rPr>
                <w:rFonts w:eastAsia="Times New Roman"/>
                <w:sz w:val="18"/>
                <w:szCs w:val="18"/>
                <w:lang w:val="es-MX" w:eastAsia="es-MX"/>
              </w:rPr>
            </w:pPr>
            <w:r w:rsidRPr="004A68AC">
              <w:rPr>
                <w:rFonts w:eastAsia="Times New Roman"/>
                <w:sz w:val="14"/>
                <w:szCs w:val="14"/>
                <w:lang w:val="es-MX" w:eastAsia="es-MX"/>
              </w:rPr>
              <w:t>(0%)</w:t>
            </w:r>
          </w:p>
        </w:tc>
      </w:tr>
      <w:tr w:rsidR="00925CB2" w:rsidRPr="004A68AC" w14:paraId="30983C92" w14:textId="77777777" w:rsidTr="00E239F6">
        <w:trPr>
          <w:trHeight w:val="288"/>
          <w:jc w:val="center"/>
        </w:trPr>
        <w:tc>
          <w:tcPr>
            <w:tcW w:w="964" w:type="dxa"/>
            <w:vMerge w:val="restart"/>
            <w:tcBorders>
              <w:top w:val="single" w:sz="4" w:space="0" w:color="auto"/>
              <w:left w:val="nil"/>
              <w:bottom w:val="nil"/>
              <w:right w:val="nil"/>
            </w:tcBorders>
            <w:shd w:val="clear" w:color="auto" w:fill="auto"/>
            <w:noWrap/>
            <w:vAlign w:val="center"/>
            <w:hideMark/>
          </w:tcPr>
          <w:p w14:paraId="3D8DF4C1" w14:textId="77777777" w:rsidR="00925CB2" w:rsidRPr="004A68AC" w:rsidRDefault="00925CB2" w:rsidP="00E239F6">
            <w:pPr>
              <w:jc w:val="center"/>
              <w:rPr>
                <w:rFonts w:eastAsia="Times New Roman"/>
                <w:b/>
                <w:bCs/>
                <w:color w:val="000000"/>
                <w:sz w:val="18"/>
                <w:szCs w:val="18"/>
                <w:lang w:val="en-US" w:eastAsia="es-MX"/>
              </w:rPr>
            </w:pPr>
            <w:r w:rsidRPr="004A68AC">
              <w:rPr>
                <w:rFonts w:eastAsia="Times New Roman"/>
                <w:b/>
                <w:bCs/>
                <w:color w:val="000000"/>
                <w:sz w:val="18"/>
                <w:szCs w:val="18"/>
                <w:lang w:val="en-US" w:eastAsia="es-MX"/>
              </w:rPr>
              <w:t>Panel Zones Strain</w:t>
            </w:r>
          </w:p>
        </w:tc>
        <w:tc>
          <w:tcPr>
            <w:tcW w:w="570" w:type="dxa"/>
            <w:tcBorders>
              <w:top w:val="single" w:sz="4" w:space="0" w:color="auto"/>
              <w:left w:val="nil"/>
              <w:bottom w:val="nil"/>
              <w:right w:val="nil"/>
            </w:tcBorders>
            <w:shd w:val="clear" w:color="auto" w:fill="auto"/>
            <w:noWrap/>
            <w:vAlign w:val="center"/>
            <w:hideMark/>
          </w:tcPr>
          <w:p w14:paraId="09F36B14"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LS1</w:t>
            </w:r>
          </w:p>
        </w:tc>
        <w:tc>
          <w:tcPr>
            <w:tcW w:w="278" w:type="dxa"/>
            <w:tcBorders>
              <w:top w:val="single" w:sz="4" w:space="0" w:color="auto"/>
              <w:left w:val="nil"/>
              <w:bottom w:val="nil"/>
              <w:right w:val="nil"/>
            </w:tcBorders>
            <w:vAlign w:val="center"/>
          </w:tcPr>
          <w:p w14:paraId="5A5FA55F" w14:textId="77777777" w:rsidR="00925CB2" w:rsidRPr="004A68AC" w:rsidRDefault="00925CB2" w:rsidP="00E239F6">
            <w:pPr>
              <w:jc w:val="center"/>
              <w:rPr>
                <w:rFonts w:eastAsia="Times New Roman"/>
                <w:b/>
                <w:bCs/>
                <w:sz w:val="18"/>
                <w:szCs w:val="18"/>
                <w:lang w:val="es-MX" w:eastAsia="es-MX"/>
              </w:rPr>
            </w:pPr>
          </w:p>
        </w:tc>
        <w:tc>
          <w:tcPr>
            <w:tcW w:w="850" w:type="dxa"/>
            <w:tcBorders>
              <w:top w:val="single" w:sz="4" w:space="0" w:color="auto"/>
              <w:left w:val="nil"/>
              <w:bottom w:val="nil"/>
              <w:right w:val="nil"/>
            </w:tcBorders>
            <w:shd w:val="clear" w:color="auto" w:fill="auto"/>
            <w:noWrap/>
            <w:vAlign w:val="center"/>
            <w:hideMark/>
          </w:tcPr>
          <w:p w14:paraId="225815D0"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0.086</w:t>
            </w:r>
          </w:p>
        </w:tc>
        <w:tc>
          <w:tcPr>
            <w:tcW w:w="850" w:type="dxa"/>
            <w:tcBorders>
              <w:top w:val="single" w:sz="4" w:space="0" w:color="auto"/>
              <w:left w:val="nil"/>
              <w:bottom w:val="nil"/>
              <w:right w:val="nil"/>
            </w:tcBorders>
            <w:shd w:val="clear" w:color="auto" w:fill="auto"/>
            <w:noWrap/>
            <w:vAlign w:val="center"/>
            <w:hideMark/>
          </w:tcPr>
          <w:p w14:paraId="2849A069"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0.113</w:t>
            </w:r>
          </w:p>
          <w:p w14:paraId="2B9B9970"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(+31%)</w:t>
            </w:r>
          </w:p>
        </w:tc>
        <w:tc>
          <w:tcPr>
            <w:tcW w:w="850" w:type="dxa"/>
            <w:tcBorders>
              <w:top w:val="single" w:sz="4" w:space="0" w:color="auto"/>
              <w:left w:val="nil"/>
              <w:bottom w:val="nil"/>
              <w:right w:val="nil"/>
            </w:tcBorders>
            <w:shd w:val="clear" w:color="auto" w:fill="auto"/>
            <w:noWrap/>
            <w:vAlign w:val="center"/>
            <w:hideMark/>
          </w:tcPr>
          <w:p w14:paraId="0B5A277F"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0.113</w:t>
            </w:r>
          </w:p>
          <w:p w14:paraId="1CA9E365"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(+31%)</w:t>
            </w:r>
          </w:p>
        </w:tc>
        <w:tc>
          <w:tcPr>
            <w:tcW w:w="852" w:type="dxa"/>
            <w:tcBorders>
              <w:top w:val="single" w:sz="4" w:space="0" w:color="auto"/>
              <w:left w:val="nil"/>
              <w:bottom w:val="nil"/>
              <w:right w:val="nil"/>
            </w:tcBorders>
            <w:shd w:val="clear" w:color="auto" w:fill="auto"/>
            <w:noWrap/>
            <w:vAlign w:val="center"/>
            <w:hideMark/>
          </w:tcPr>
          <w:p w14:paraId="3C854C45"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0.118</w:t>
            </w:r>
          </w:p>
          <w:p w14:paraId="60CBBDD8"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(+37%)</w:t>
            </w:r>
          </w:p>
        </w:tc>
        <w:tc>
          <w:tcPr>
            <w:tcW w:w="283" w:type="dxa"/>
            <w:tcBorders>
              <w:top w:val="single" w:sz="4" w:space="0" w:color="auto"/>
              <w:left w:val="nil"/>
              <w:bottom w:val="nil"/>
              <w:right w:val="nil"/>
            </w:tcBorders>
            <w:shd w:val="clear" w:color="auto" w:fill="auto"/>
            <w:noWrap/>
            <w:vAlign w:val="center"/>
            <w:hideMark/>
          </w:tcPr>
          <w:p w14:paraId="033EEBF4"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single" w:sz="4" w:space="0" w:color="auto"/>
              <w:left w:val="nil"/>
              <w:bottom w:val="nil"/>
              <w:right w:val="nil"/>
            </w:tcBorders>
            <w:shd w:val="clear" w:color="auto" w:fill="auto"/>
            <w:noWrap/>
            <w:vAlign w:val="center"/>
            <w:hideMark/>
          </w:tcPr>
          <w:p w14:paraId="1FEE9302"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0.093</w:t>
            </w:r>
          </w:p>
        </w:tc>
        <w:tc>
          <w:tcPr>
            <w:tcW w:w="850" w:type="dxa"/>
            <w:tcBorders>
              <w:top w:val="single" w:sz="4" w:space="0" w:color="auto"/>
              <w:left w:val="nil"/>
              <w:bottom w:val="nil"/>
              <w:right w:val="nil"/>
            </w:tcBorders>
            <w:shd w:val="clear" w:color="auto" w:fill="auto"/>
            <w:noWrap/>
            <w:vAlign w:val="center"/>
            <w:hideMark/>
          </w:tcPr>
          <w:p w14:paraId="1E8A8361"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0.109</w:t>
            </w:r>
          </w:p>
          <w:p w14:paraId="42DEEDF0"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(+17%)</w:t>
            </w:r>
          </w:p>
        </w:tc>
        <w:tc>
          <w:tcPr>
            <w:tcW w:w="850" w:type="dxa"/>
            <w:tcBorders>
              <w:top w:val="single" w:sz="4" w:space="0" w:color="auto"/>
              <w:left w:val="nil"/>
              <w:bottom w:val="nil"/>
              <w:right w:val="nil"/>
            </w:tcBorders>
            <w:shd w:val="clear" w:color="auto" w:fill="auto"/>
            <w:noWrap/>
            <w:vAlign w:val="center"/>
            <w:hideMark/>
          </w:tcPr>
          <w:p w14:paraId="7D5AF7E3"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0.109</w:t>
            </w:r>
          </w:p>
          <w:p w14:paraId="25E4A84B"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(+17%)</w:t>
            </w:r>
          </w:p>
        </w:tc>
        <w:tc>
          <w:tcPr>
            <w:tcW w:w="850" w:type="dxa"/>
            <w:tcBorders>
              <w:top w:val="single" w:sz="4" w:space="0" w:color="auto"/>
              <w:left w:val="nil"/>
              <w:bottom w:val="nil"/>
              <w:right w:val="nil"/>
            </w:tcBorders>
            <w:shd w:val="clear" w:color="auto" w:fill="auto"/>
            <w:noWrap/>
            <w:vAlign w:val="center"/>
            <w:hideMark/>
          </w:tcPr>
          <w:p w14:paraId="5018FD38"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0.136</w:t>
            </w:r>
          </w:p>
          <w:p w14:paraId="69B71B1E"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(+46%)</w:t>
            </w:r>
          </w:p>
        </w:tc>
      </w:tr>
      <w:tr w:rsidR="00925CB2" w:rsidRPr="004A68AC" w14:paraId="63104DBA" w14:textId="77777777" w:rsidTr="00E239F6">
        <w:trPr>
          <w:trHeight w:val="288"/>
          <w:jc w:val="center"/>
        </w:trPr>
        <w:tc>
          <w:tcPr>
            <w:tcW w:w="964" w:type="dxa"/>
            <w:vMerge/>
            <w:tcBorders>
              <w:top w:val="nil"/>
              <w:left w:val="nil"/>
              <w:bottom w:val="nil"/>
              <w:right w:val="nil"/>
            </w:tcBorders>
            <w:vAlign w:val="center"/>
            <w:hideMark/>
          </w:tcPr>
          <w:p w14:paraId="5B586B61"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nil"/>
              <w:right w:val="nil"/>
            </w:tcBorders>
            <w:shd w:val="clear" w:color="auto" w:fill="auto"/>
            <w:noWrap/>
            <w:vAlign w:val="center"/>
            <w:hideMark/>
          </w:tcPr>
          <w:p w14:paraId="6A1C46DF"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LS2</w:t>
            </w:r>
          </w:p>
        </w:tc>
        <w:tc>
          <w:tcPr>
            <w:tcW w:w="278" w:type="dxa"/>
            <w:tcBorders>
              <w:top w:val="nil"/>
              <w:left w:val="nil"/>
              <w:bottom w:val="nil"/>
              <w:right w:val="nil"/>
            </w:tcBorders>
            <w:vAlign w:val="center"/>
          </w:tcPr>
          <w:p w14:paraId="59D7C2A9" w14:textId="77777777" w:rsidR="00925CB2" w:rsidRPr="004A68AC" w:rsidRDefault="00925CB2" w:rsidP="00E239F6">
            <w:pPr>
              <w:jc w:val="center"/>
              <w:rPr>
                <w:rFonts w:eastAsia="Times New Roman"/>
                <w:b/>
                <w:bCs/>
                <w:color w:val="000000"/>
                <w:sz w:val="18"/>
                <w:szCs w:val="18"/>
                <w:lang w:val="es-MX" w:eastAsia="es-MX"/>
              </w:rPr>
            </w:pPr>
          </w:p>
        </w:tc>
        <w:tc>
          <w:tcPr>
            <w:tcW w:w="850" w:type="dxa"/>
            <w:tcBorders>
              <w:top w:val="nil"/>
              <w:left w:val="nil"/>
              <w:bottom w:val="nil"/>
              <w:right w:val="nil"/>
            </w:tcBorders>
            <w:shd w:val="clear" w:color="auto" w:fill="auto"/>
            <w:noWrap/>
            <w:vAlign w:val="center"/>
            <w:hideMark/>
          </w:tcPr>
          <w:p w14:paraId="4553AB94"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w:t>
            </w:r>
          </w:p>
        </w:tc>
        <w:tc>
          <w:tcPr>
            <w:tcW w:w="850" w:type="dxa"/>
            <w:tcBorders>
              <w:top w:val="nil"/>
              <w:left w:val="nil"/>
              <w:bottom w:val="nil"/>
              <w:right w:val="nil"/>
            </w:tcBorders>
            <w:shd w:val="clear" w:color="auto" w:fill="auto"/>
            <w:noWrap/>
            <w:vAlign w:val="center"/>
            <w:hideMark/>
          </w:tcPr>
          <w:p w14:paraId="35EA32F8"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0.346</w:t>
            </w:r>
          </w:p>
        </w:tc>
        <w:tc>
          <w:tcPr>
            <w:tcW w:w="850" w:type="dxa"/>
            <w:tcBorders>
              <w:top w:val="nil"/>
              <w:left w:val="nil"/>
              <w:bottom w:val="nil"/>
              <w:right w:val="nil"/>
            </w:tcBorders>
            <w:shd w:val="clear" w:color="auto" w:fill="auto"/>
            <w:noWrap/>
            <w:vAlign w:val="center"/>
            <w:hideMark/>
          </w:tcPr>
          <w:p w14:paraId="74B224A4"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0.439</w:t>
            </w:r>
          </w:p>
        </w:tc>
        <w:tc>
          <w:tcPr>
            <w:tcW w:w="852" w:type="dxa"/>
            <w:tcBorders>
              <w:top w:val="nil"/>
              <w:left w:val="nil"/>
              <w:bottom w:val="nil"/>
              <w:right w:val="nil"/>
            </w:tcBorders>
            <w:shd w:val="clear" w:color="auto" w:fill="auto"/>
            <w:noWrap/>
            <w:vAlign w:val="center"/>
            <w:hideMark/>
          </w:tcPr>
          <w:p w14:paraId="71348B88"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0.501</w:t>
            </w:r>
          </w:p>
        </w:tc>
        <w:tc>
          <w:tcPr>
            <w:tcW w:w="283" w:type="dxa"/>
            <w:tcBorders>
              <w:top w:val="nil"/>
              <w:left w:val="nil"/>
              <w:bottom w:val="nil"/>
              <w:right w:val="nil"/>
            </w:tcBorders>
            <w:shd w:val="clear" w:color="auto" w:fill="auto"/>
            <w:noWrap/>
            <w:vAlign w:val="center"/>
            <w:hideMark/>
          </w:tcPr>
          <w:p w14:paraId="07D9C63D"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nil"/>
              <w:right w:val="nil"/>
            </w:tcBorders>
            <w:shd w:val="clear" w:color="auto" w:fill="auto"/>
            <w:noWrap/>
            <w:vAlign w:val="center"/>
            <w:hideMark/>
          </w:tcPr>
          <w:p w14:paraId="4896BFF1"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w:t>
            </w:r>
          </w:p>
        </w:tc>
        <w:tc>
          <w:tcPr>
            <w:tcW w:w="850" w:type="dxa"/>
            <w:tcBorders>
              <w:top w:val="nil"/>
              <w:left w:val="nil"/>
              <w:bottom w:val="nil"/>
              <w:right w:val="nil"/>
            </w:tcBorders>
            <w:shd w:val="clear" w:color="auto" w:fill="auto"/>
            <w:noWrap/>
            <w:vAlign w:val="center"/>
            <w:hideMark/>
          </w:tcPr>
          <w:p w14:paraId="5A4E59B7"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0.340</w:t>
            </w:r>
          </w:p>
        </w:tc>
        <w:tc>
          <w:tcPr>
            <w:tcW w:w="850" w:type="dxa"/>
            <w:tcBorders>
              <w:top w:val="nil"/>
              <w:left w:val="nil"/>
              <w:bottom w:val="nil"/>
              <w:right w:val="nil"/>
            </w:tcBorders>
            <w:shd w:val="clear" w:color="auto" w:fill="auto"/>
            <w:noWrap/>
            <w:vAlign w:val="center"/>
            <w:hideMark/>
          </w:tcPr>
          <w:p w14:paraId="0AD4A12B"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0.489</w:t>
            </w:r>
          </w:p>
        </w:tc>
        <w:tc>
          <w:tcPr>
            <w:tcW w:w="850" w:type="dxa"/>
            <w:tcBorders>
              <w:top w:val="nil"/>
              <w:left w:val="nil"/>
              <w:bottom w:val="nil"/>
              <w:right w:val="nil"/>
            </w:tcBorders>
            <w:shd w:val="clear" w:color="auto" w:fill="auto"/>
            <w:noWrap/>
            <w:vAlign w:val="center"/>
            <w:hideMark/>
          </w:tcPr>
          <w:p w14:paraId="1A37A060"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0.574</w:t>
            </w:r>
          </w:p>
        </w:tc>
      </w:tr>
      <w:tr w:rsidR="00925CB2" w:rsidRPr="004A68AC" w14:paraId="62D4CB04" w14:textId="77777777" w:rsidTr="00E239F6">
        <w:trPr>
          <w:trHeight w:val="288"/>
          <w:jc w:val="center"/>
        </w:trPr>
        <w:tc>
          <w:tcPr>
            <w:tcW w:w="964" w:type="dxa"/>
            <w:vMerge/>
            <w:tcBorders>
              <w:top w:val="nil"/>
              <w:left w:val="nil"/>
              <w:bottom w:val="single" w:sz="4" w:space="0" w:color="auto"/>
              <w:right w:val="nil"/>
            </w:tcBorders>
            <w:vAlign w:val="center"/>
            <w:hideMark/>
          </w:tcPr>
          <w:p w14:paraId="0382C406" w14:textId="77777777" w:rsidR="00925CB2" w:rsidRPr="004A68AC" w:rsidRDefault="00925CB2" w:rsidP="00E239F6">
            <w:pPr>
              <w:jc w:val="center"/>
              <w:rPr>
                <w:rFonts w:eastAsia="Times New Roman"/>
                <w:b/>
                <w:bCs/>
                <w:color w:val="000000"/>
                <w:sz w:val="18"/>
                <w:szCs w:val="18"/>
                <w:lang w:val="en-US" w:eastAsia="es-MX"/>
              </w:rPr>
            </w:pPr>
          </w:p>
        </w:tc>
        <w:tc>
          <w:tcPr>
            <w:tcW w:w="570" w:type="dxa"/>
            <w:tcBorders>
              <w:top w:val="nil"/>
              <w:left w:val="nil"/>
              <w:bottom w:val="single" w:sz="4" w:space="0" w:color="auto"/>
              <w:right w:val="nil"/>
            </w:tcBorders>
            <w:shd w:val="clear" w:color="auto" w:fill="auto"/>
            <w:noWrap/>
            <w:vAlign w:val="center"/>
            <w:hideMark/>
          </w:tcPr>
          <w:p w14:paraId="4AA6B96D"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LS3</w:t>
            </w:r>
          </w:p>
        </w:tc>
        <w:tc>
          <w:tcPr>
            <w:tcW w:w="278" w:type="dxa"/>
            <w:tcBorders>
              <w:top w:val="nil"/>
              <w:left w:val="nil"/>
              <w:bottom w:val="single" w:sz="4" w:space="0" w:color="auto"/>
              <w:right w:val="nil"/>
            </w:tcBorders>
            <w:vAlign w:val="center"/>
          </w:tcPr>
          <w:p w14:paraId="79245A9E" w14:textId="77777777" w:rsidR="00925CB2" w:rsidRPr="004A68AC" w:rsidRDefault="00925CB2" w:rsidP="00E239F6">
            <w:pPr>
              <w:jc w:val="center"/>
              <w:rPr>
                <w:rFonts w:eastAsia="Times New Roman"/>
                <w:b/>
                <w:bCs/>
                <w:color w:val="000000"/>
                <w:sz w:val="18"/>
                <w:szCs w:val="18"/>
                <w:lang w:val="es-MX" w:eastAsia="es-MX"/>
              </w:rPr>
            </w:pPr>
          </w:p>
        </w:tc>
        <w:tc>
          <w:tcPr>
            <w:tcW w:w="850" w:type="dxa"/>
            <w:tcBorders>
              <w:top w:val="nil"/>
              <w:left w:val="nil"/>
              <w:bottom w:val="single" w:sz="4" w:space="0" w:color="auto"/>
              <w:right w:val="nil"/>
            </w:tcBorders>
            <w:shd w:val="clear" w:color="auto" w:fill="auto"/>
            <w:noWrap/>
            <w:vAlign w:val="center"/>
            <w:hideMark/>
          </w:tcPr>
          <w:p w14:paraId="02B55F4E"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w:t>
            </w:r>
          </w:p>
        </w:tc>
        <w:tc>
          <w:tcPr>
            <w:tcW w:w="850" w:type="dxa"/>
            <w:tcBorders>
              <w:top w:val="nil"/>
              <w:left w:val="nil"/>
              <w:bottom w:val="single" w:sz="4" w:space="0" w:color="auto"/>
              <w:right w:val="nil"/>
            </w:tcBorders>
            <w:shd w:val="clear" w:color="auto" w:fill="auto"/>
            <w:noWrap/>
            <w:vAlign w:val="center"/>
            <w:hideMark/>
          </w:tcPr>
          <w:p w14:paraId="0315E937"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0.427</w:t>
            </w:r>
          </w:p>
        </w:tc>
        <w:tc>
          <w:tcPr>
            <w:tcW w:w="850" w:type="dxa"/>
            <w:tcBorders>
              <w:top w:val="nil"/>
              <w:left w:val="nil"/>
              <w:bottom w:val="single" w:sz="4" w:space="0" w:color="auto"/>
              <w:right w:val="nil"/>
            </w:tcBorders>
            <w:shd w:val="clear" w:color="auto" w:fill="auto"/>
            <w:noWrap/>
            <w:vAlign w:val="center"/>
            <w:hideMark/>
          </w:tcPr>
          <w:p w14:paraId="7AA08718"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0.439</w:t>
            </w:r>
          </w:p>
        </w:tc>
        <w:tc>
          <w:tcPr>
            <w:tcW w:w="852" w:type="dxa"/>
            <w:tcBorders>
              <w:top w:val="nil"/>
              <w:left w:val="nil"/>
              <w:bottom w:val="single" w:sz="4" w:space="0" w:color="auto"/>
              <w:right w:val="nil"/>
            </w:tcBorders>
            <w:shd w:val="clear" w:color="auto" w:fill="auto"/>
            <w:noWrap/>
            <w:vAlign w:val="center"/>
            <w:hideMark/>
          </w:tcPr>
          <w:p w14:paraId="7B6BA9AF"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0.501</w:t>
            </w:r>
          </w:p>
        </w:tc>
        <w:tc>
          <w:tcPr>
            <w:tcW w:w="283" w:type="dxa"/>
            <w:tcBorders>
              <w:top w:val="nil"/>
              <w:left w:val="nil"/>
              <w:bottom w:val="single" w:sz="4" w:space="0" w:color="auto"/>
              <w:right w:val="nil"/>
            </w:tcBorders>
            <w:shd w:val="clear" w:color="auto" w:fill="auto"/>
            <w:noWrap/>
            <w:vAlign w:val="center"/>
            <w:hideMark/>
          </w:tcPr>
          <w:p w14:paraId="6C598E97"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single" w:sz="4" w:space="0" w:color="auto"/>
              <w:right w:val="nil"/>
            </w:tcBorders>
            <w:shd w:val="clear" w:color="auto" w:fill="auto"/>
            <w:noWrap/>
            <w:vAlign w:val="center"/>
            <w:hideMark/>
          </w:tcPr>
          <w:p w14:paraId="42C025F9"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w:t>
            </w:r>
          </w:p>
        </w:tc>
        <w:tc>
          <w:tcPr>
            <w:tcW w:w="850" w:type="dxa"/>
            <w:tcBorders>
              <w:top w:val="nil"/>
              <w:left w:val="nil"/>
              <w:bottom w:val="single" w:sz="4" w:space="0" w:color="auto"/>
              <w:right w:val="nil"/>
            </w:tcBorders>
            <w:shd w:val="clear" w:color="auto" w:fill="auto"/>
            <w:noWrap/>
            <w:vAlign w:val="center"/>
            <w:hideMark/>
          </w:tcPr>
          <w:p w14:paraId="607DA9AE"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0.445</w:t>
            </w:r>
          </w:p>
        </w:tc>
        <w:tc>
          <w:tcPr>
            <w:tcW w:w="850" w:type="dxa"/>
            <w:tcBorders>
              <w:top w:val="nil"/>
              <w:left w:val="nil"/>
              <w:bottom w:val="single" w:sz="4" w:space="0" w:color="auto"/>
              <w:right w:val="nil"/>
            </w:tcBorders>
            <w:shd w:val="clear" w:color="auto" w:fill="auto"/>
            <w:noWrap/>
            <w:vAlign w:val="center"/>
            <w:hideMark/>
          </w:tcPr>
          <w:p w14:paraId="4FE36B73" w14:textId="77777777" w:rsidR="00925CB2" w:rsidRPr="004A68AC" w:rsidRDefault="00925CB2" w:rsidP="00E239F6">
            <w:pPr>
              <w:jc w:val="center"/>
              <w:rPr>
                <w:rFonts w:eastAsia="Times New Roman"/>
                <w:sz w:val="18"/>
                <w:szCs w:val="18"/>
                <w:lang w:val="es-MX" w:eastAsia="es-MX"/>
              </w:rPr>
            </w:pPr>
            <w:r w:rsidRPr="004A68AC">
              <w:rPr>
                <w:rFonts w:eastAsia="Times New Roman"/>
                <w:sz w:val="18"/>
                <w:szCs w:val="18"/>
                <w:lang w:val="es-MX" w:eastAsia="es-MX"/>
              </w:rPr>
              <w:t>0.489</w:t>
            </w:r>
          </w:p>
        </w:tc>
        <w:tc>
          <w:tcPr>
            <w:tcW w:w="850" w:type="dxa"/>
            <w:tcBorders>
              <w:top w:val="nil"/>
              <w:left w:val="nil"/>
              <w:bottom w:val="single" w:sz="4" w:space="0" w:color="auto"/>
              <w:right w:val="nil"/>
            </w:tcBorders>
            <w:shd w:val="clear" w:color="auto" w:fill="auto"/>
            <w:noWrap/>
            <w:vAlign w:val="center"/>
            <w:hideMark/>
          </w:tcPr>
          <w:p w14:paraId="629E028D"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0.574</w:t>
            </w:r>
          </w:p>
        </w:tc>
      </w:tr>
      <w:tr w:rsidR="00925CB2" w:rsidRPr="004A68AC" w14:paraId="6B57BCF0" w14:textId="77777777" w:rsidTr="00E239F6">
        <w:trPr>
          <w:trHeight w:val="288"/>
          <w:jc w:val="center"/>
        </w:trPr>
        <w:tc>
          <w:tcPr>
            <w:tcW w:w="964" w:type="dxa"/>
            <w:vMerge w:val="restart"/>
            <w:tcBorders>
              <w:top w:val="single" w:sz="4" w:space="0" w:color="auto"/>
              <w:left w:val="nil"/>
              <w:right w:val="nil"/>
            </w:tcBorders>
            <w:shd w:val="clear" w:color="auto" w:fill="auto"/>
            <w:noWrap/>
            <w:vAlign w:val="center"/>
            <w:hideMark/>
          </w:tcPr>
          <w:p w14:paraId="187D3298" w14:textId="77777777" w:rsidR="00925CB2" w:rsidRPr="004A68AC" w:rsidRDefault="00925CB2" w:rsidP="00E239F6">
            <w:pPr>
              <w:jc w:val="center"/>
              <w:rPr>
                <w:rFonts w:eastAsia="Times New Roman"/>
                <w:b/>
                <w:bCs/>
                <w:color w:val="000000"/>
                <w:sz w:val="18"/>
                <w:szCs w:val="18"/>
                <w:lang w:val="en-US" w:eastAsia="es-MX"/>
              </w:rPr>
            </w:pPr>
            <w:r w:rsidRPr="004A68AC">
              <w:rPr>
                <w:rFonts w:eastAsia="Times New Roman"/>
                <w:b/>
                <w:bCs/>
                <w:color w:val="000000"/>
                <w:sz w:val="18"/>
                <w:szCs w:val="18"/>
                <w:lang w:val="en-US" w:eastAsia="es-MX"/>
              </w:rPr>
              <w:t>System</w:t>
            </w:r>
          </w:p>
        </w:tc>
        <w:tc>
          <w:tcPr>
            <w:tcW w:w="570" w:type="dxa"/>
            <w:tcBorders>
              <w:top w:val="single" w:sz="4" w:space="0" w:color="auto"/>
              <w:left w:val="nil"/>
              <w:bottom w:val="nil"/>
              <w:right w:val="nil"/>
            </w:tcBorders>
            <w:shd w:val="clear" w:color="auto" w:fill="auto"/>
            <w:noWrap/>
            <w:vAlign w:val="center"/>
            <w:hideMark/>
          </w:tcPr>
          <w:p w14:paraId="160AB867"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LS1</w:t>
            </w:r>
          </w:p>
        </w:tc>
        <w:tc>
          <w:tcPr>
            <w:tcW w:w="278" w:type="dxa"/>
            <w:tcBorders>
              <w:top w:val="single" w:sz="4" w:space="0" w:color="auto"/>
              <w:left w:val="nil"/>
              <w:bottom w:val="nil"/>
              <w:right w:val="nil"/>
            </w:tcBorders>
            <w:vAlign w:val="center"/>
          </w:tcPr>
          <w:p w14:paraId="34511053" w14:textId="77777777" w:rsidR="00925CB2" w:rsidRPr="004A68AC" w:rsidRDefault="00925CB2" w:rsidP="00E239F6">
            <w:pPr>
              <w:jc w:val="center"/>
              <w:rPr>
                <w:rFonts w:eastAsia="Times New Roman"/>
                <w:b/>
                <w:bCs/>
                <w:sz w:val="18"/>
                <w:szCs w:val="18"/>
                <w:lang w:val="es-MX" w:eastAsia="es-MX"/>
              </w:rPr>
            </w:pPr>
          </w:p>
        </w:tc>
        <w:tc>
          <w:tcPr>
            <w:tcW w:w="850" w:type="dxa"/>
            <w:tcBorders>
              <w:top w:val="single" w:sz="4" w:space="0" w:color="auto"/>
              <w:left w:val="nil"/>
              <w:bottom w:val="nil"/>
              <w:right w:val="nil"/>
            </w:tcBorders>
            <w:shd w:val="clear" w:color="auto" w:fill="auto"/>
            <w:noWrap/>
            <w:vAlign w:val="center"/>
            <w:hideMark/>
          </w:tcPr>
          <w:p w14:paraId="24EC0FE1"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0.086</w:t>
            </w:r>
          </w:p>
        </w:tc>
        <w:tc>
          <w:tcPr>
            <w:tcW w:w="850" w:type="dxa"/>
            <w:tcBorders>
              <w:top w:val="single" w:sz="4" w:space="0" w:color="auto"/>
              <w:left w:val="nil"/>
              <w:bottom w:val="nil"/>
              <w:right w:val="nil"/>
            </w:tcBorders>
            <w:shd w:val="clear" w:color="auto" w:fill="auto"/>
            <w:noWrap/>
            <w:vAlign w:val="center"/>
            <w:hideMark/>
          </w:tcPr>
          <w:p w14:paraId="0F29E868"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0.106</w:t>
            </w:r>
          </w:p>
          <w:p w14:paraId="55C5A410"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(+23%)</w:t>
            </w:r>
          </w:p>
        </w:tc>
        <w:tc>
          <w:tcPr>
            <w:tcW w:w="850" w:type="dxa"/>
            <w:tcBorders>
              <w:top w:val="single" w:sz="4" w:space="0" w:color="auto"/>
              <w:left w:val="nil"/>
              <w:bottom w:val="nil"/>
              <w:right w:val="nil"/>
            </w:tcBorders>
            <w:shd w:val="clear" w:color="auto" w:fill="auto"/>
            <w:noWrap/>
            <w:vAlign w:val="center"/>
            <w:hideMark/>
          </w:tcPr>
          <w:p w14:paraId="1A33E231"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0.106</w:t>
            </w:r>
          </w:p>
          <w:p w14:paraId="53792640"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(+23%)</w:t>
            </w:r>
          </w:p>
        </w:tc>
        <w:tc>
          <w:tcPr>
            <w:tcW w:w="852" w:type="dxa"/>
            <w:tcBorders>
              <w:top w:val="single" w:sz="4" w:space="0" w:color="auto"/>
              <w:left w:val="nil"/>
              <w:bottom w:val="nil"/>
              <w:right w:val="nil"/>
            </w:tcBorders>
            <w:shd w:val="clear" w:color="auto" w:fill="auto"/>
            <w:noWrap/>
            <w:vAlign w:val="center"/>
            <w:hideMark/>
          </w:tcPr>
          <w:p w14:paraId="69BD44C8"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0.118</w:t>
            </w:r>
          </w:p>
          <w:p w14:paraId="1D049D33"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(+37%)</w:t>
            </w:r>
          </w:p>
        </w:tc>
        <w:tc>
          <w:tcPr>
            <w:tcW w:w="283" w:type="dxa"/>
            <w:tcBorders>
              <w:top w:val="single" w:sz="4" w:space="0" w:color="auto"/>
              <w:left w:val="nil"/>
              <w:bottom w:val="nil"/>
              <w:right w:val="nil"/>
            </w:tcBorders>
            <w:shd w:val="clear" w:color="auto" w:fill="auto"/>
            <w:noWrap/>
            <w:vAlign w:val="center"/>
            <w:hideMark/>
          </w:tcPr>
          <w:p w14:paraId="550F809F"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single" w:sz="4" w:space="0" w:color="auto"/>
              <w:left w:val="nil"/>
              <w:bottom w:val="nil"/>
              <w:right w:val="nil"/>
            </w:tcBorders>
            <w:shd w:val="clear" w:color="auto" w:fill="auto"/>
            <w:noWrap/>
            <w:vAlign w:val="center"/>
            <w:hideMark/>
          </w:tcPr>
          <w:p w14:paraId="4EC63E76" w14:textId="77777777" w:rsidR="00925CB2" w:rsidRPr="004A68AC" w:rsidRDefault="00925CB2" w:rsidP="00E239F6">
            <w:pPr>
              <w:jc w:val="center"/>
              <w:rPr>
                <w:rFonts w:eastAsia="Times New Roman"/>
                <w:b/>
                <w:bCs/>
                <w:sz w:val="18"/>
                <w:szCs w:val="18"/>
                <w:lang w:val="es-MX" w:eastAsia="es-MX"/>
              </w:rPr>
            </w:pPr>
            <w:r w:rsidRPr="004A68AC">
              <w:rPr>
                <w:rFonts w:eastAsia="Times New Roman"/>
                <w:b/>
                <w:bCs/>
                <w:sz w:val="18"/>
                <w:szCs w:val="18"/>
                <w:lang w:val="es-MX" w:eastAsia="es-MX"/>
              </w:rPr>
              <w:t>0.093</w:t>
            </w:r>
          </w:p>
        </w:tc>
        <w:tc>
          <w:tcPr>
            <w:tcW w:w="850" w:type="dxa"/>
            <w:tcBorders>
              <w:top w:val="single" w:sz="4" w:space="0" w:color="auto"/>
              <w:left w:val="nil"/>
              <w:bottom w:val="nil"/>
              <w:right w:val="nil"/>
            </w:tcBorders>
            <w:shd w:val="clear" w:color="auto" w:fill="auto"/>
            <w:noWrap/>
            <w:vAlign w:val="center"/>
            <w:hideMark/>
          </w:tcPr>
          <w:p w14:paraId="26570185"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0.109</w:t>
            </w:r>
          </w:p>
          <w:p w14:paraId="72E21E2F"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(+17%)</w:t>
            </w:r>
          </w:p>
        </w:tc>
        <w:tc>
          <w:tcPr>
            <w:tcW w:w="850" w:type="dxa"/>
            <w:tcBorders>
              <w:top w:val="single" w:sz="4" w:space="0" w:color="auto"/>
              <w:left w:val="nil"/>
              <w:bottom w:val="nil"/>
              <w:right w:val="nil"/>
            </w:tcBorders>
            <w:shd w:val="clear" w:color="auto" w:fill="auto"/>
            <w:noWrap/>
            <w:vAlign w:val="center"/>
            <w:hideMark/>
          </w:tcPr>
          <w:p w14:paraId="67ACED3A"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0.109</w:t>
            </w:r>
          </w:p>
          <w:p w14:paraId="7015C985"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(+17%)</w:t>
            </w:r>
          </w:p>
        </w:tc>
        <w:tc>
          <w:tcPr>
            <w:tcW w:w="850" w:type="dxa"/>
            <w:tcBorders>
              <w:top w:val="single" w:sz="4" w:space="0" w:color="auto"/>
              <w:left w:val="nil"/>
              <w:bottom w:val="nil"/>
              <w:right w:val="nil"/>
            </w:tcBorders>
            <w:shd w:val="clear" w:color="auto" w:fill="auto"/>
            <w:noWrap/>
            <w:vAlign w:val="center"/>
            <w:hideMark/>
          </w:tcPr>
          <w:p w14:paraId="0EE0F266"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u w:val="single"/>
                <w:lang w:val="es-MX" w:eastAsia="es-MX"/>
              </w:rPr>
              <w:t>0.136</w:t>
            </w:r>
          </w:p>
          <w:p w14:paraId="66BFE8ED"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bCs/>
                <w:sz w:val="14"/>
                <w:szCs w:val="14"/>
                <w:lang w:val="es-MX" w:eastAsia="es-MX"/>
              </w:rPr>
              <w:t>(+46%)</w:t>
            </w:r>
          </w:p>
        </w:tc>
      </w:tr>
      <w:tr w:rsidR="00925CB2" w:rsidRPr="004A68AC" w14:paraId="2F300ED5" w14:textId="77777777" w:rsidTr="00E239F6">
        <w:trPr>
          <w:trHeight w:val="288"/>
          <w:jc w:val="center"/>
        </w:trPr>
        <w:tc>
          <w:tcPr>
            <w:tcW w:w="964" w:type="dxa"/>
            <w:vMerge/>
            <w:tcBorders>
              <w:left w:val="nil"/>
              <w:right w:val="nil"/>
            </w:tcBorders>
            <w:vAlign w:val="center"/>
            <w:hideMark/>
          </w:tcPr>
          <w:p w14:paraId="1FF83229" w14:textId="77777777" w:rsidR="00925CB2" w:rsidRPr="004A68AC" w:rsidRDefault="00925CB2" w:rsidP="00E239F6">
            <w:pPr>
              <w:jc w:val="center"/>
              <w:rPr>
                <w:rFonts w:eastAsia="Times New Roman"/>
                <w:b/>
                <w:bCs/>
                <w:color w:val="000000"/>
                <w:sz w:val="18"/>
                <w:szCs w:val="18"/>
                <w:lang w:val="es-MX" w:eastAsia="es-MX"/>
              </w:rPr>
            </w:pPr>
          </w:p>
        </w:tc>
        <w:tc>
          <w:tcPr>
            <w:tcW w:w="570" w:type="dxa"/>
            <w:tcBorders>
              <w:top w:val="nil"/>
              <w:left w:val="nil"/>
              <w:bottom w:val="nil"/>
              <w:right w:val="nil"/>
            </w:tcBorders>
            <w:shd w:val="clear" w:color="auto" w:fill="auto"/>
            <w:noWrap/>
            <w:vAlign w:val="center"/>
            <w:hideMark/>
          </w:tcPr>
          <w:p w14:paraId="0FA902D3"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LS2</w:t>
            </w:r>
          </w:p>
        </w:tc>
        <w:tc>
          <w:tcPr>
            <w:tcW w:w="278" w:type="dxa"/>
            <w:tcBorders>
              <w:top w:val="nil"/>
              <w:left w:val="nil"/>
              <w:bottom w:val="nil"/>
              <w:right w:val="nil"/>
            </w:tcBorders>
            <w:vAlign w:val="center"/>
          </w:tcPr>
          <w:p w14:paraId="61DE0768"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nil"/>
              <w:right w:val="nil"/>
            </w:tcBorders>
            <w:shd w:val="clear" w:color="auto" w:fill="auto"/>
            <w:noWrap/>
            <w:vAlign w:val="center"/>
            <w:hideMark/>
          </w:tcPr>
          <w:p w14:paraId="1DCF07CF"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0.546</w:t>
            </w:r>
          </w:p>
        </w:tc>
        <w:tc>
          <w:tcPr>
            <w:tcW w:w="850" w:type="dxa"/>
            <w:tcBorders>
              <w:top w:val="nil"/>
              <w:left w:val="nil"/>
              <w:bottom w:val="nil"/>
              <w:right w:val="nil"/>
            </w:tcBorders>
            <w:shd w:val="clear" w:color="auto" w:fill="auto"/>
            <w:noWrap/>
            <w:vAlign w:val="center"/>
            <w:hideMark/>
          </w:tcPr>
          <w:p w14:paraId="2A6B60AD"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0.312</w:t>
            </w:r>
          </w:p>
          <w:p w14:paraId="74688378"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(-43%)</w:t>
            </w:r>
          </w:p>
        </w:tc>
        <w:tc>
          <w:tcPr>
            <w:tcW w:w="850" w:type="dxa"/>
            <w:tcBorders>
              <w:top w:val="nil"/>
              <w:left w:val="nil"/>
              <w:bottom w:val="nil"/>
              <w:right w:val="nil"/>
            </w:tcBorders>
            <w:shd w:val="clear" w:color="auto" w:fill="auto"/>
            <w:noWrap/>
            <w:vAlign w:val="center"/>
            <w:hideMark/>
          </w:tcPr>
          <w:p w14:paraId="68887C64"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0.398</w:t>
            </w:r>
          </w:p>
          <w:p w14:paraId="5718F473"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(-27%)</w:t>
            </w:r>
          </w:p>
        </w:tc>
        <w:tc>
          <w:tcPr>
            <w:tcW w:w="852" w:type="dxa"/>
            <w:tcBorders>
              <w:top w:val="nil"/>
              <w:left w:val="nil"/>
              <w:bottom w:val="nil"/>
              <w:right w:val="nil"/>
            </w:tcBorders>
            <w:shd w:val="clear" w:color="auto" w:fill="auto"/>
            <w:noWrap/>
            <w:vAlign w:val="center"/>
            <w:hideMark/>
          </w:tcPr>
          <w:p w14:paraId="7366BDBC"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0.501</w:t>
            </w:r>
          </w:p>
          <w:p w14:paraId="4789CCF5"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(-8%)</w:t>
            </w:r>
          </w:p>
        </w:tc>
        <w:tc>
          <w:tcPr>
            <w:tcW w:w="283" w:type="dxa"/>
            <w:tcBorders>
              <w:top w:val="nil"/>
              <w:left w:val="nil"/>
              <w:bottom w:val="nil"/>
              <w:right w:val="nil"/>
            </w:tcBorders>
            <w:shd w:val="clear" w:color="auto" w:fill="auto"/>
            <w:noWrap/>
            <w:vAlign w:val="center"/>
            <w:hideMark/>
          </w:tcPr>
          <w:p w14:paraId="0C88AFFE"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nil"/>
              <w:right w:val="nil"/>
            </w:tcBorders>
            <w:shd w:val="clear" w:color="auto" w:fill="auto"/>
            <w:noWrap/>
            <w:vAlign w:val="center"/>
            <w:hideMark/>
          </w:tcPr>
          <w:p w14:paraId="72D466B5"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0.936</w:t>
            </w:r>
          </w:p>
        </w:tc>
        <w:tc>
          <w:tcPr>
            <w:tcW w:w="850" w:type="dxa"/>
            <w:tcBorders>
              <w:top w:val="nil"/>
              <w:left w:val="nil"/>
              <w:bottom w:val="nil"/>
              <w:right w:val="nil"/>
            </w:tcBorders>
            <w:shd w:val="clear" w:color="auto" w:fill="auto"/>
            <w:noWrap/>
            <w:vAlign w:val="center"/>
            <w:hideMark/>
          </w:tcPr>
          <w:p w14:paraId="597519E0"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0.340</w:t>
            </w:r>
          </w:p>
          <w:p w14:paraId="7C6E8468"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(-64%)</w:t>
            </w:r>
          </w:p>
        </w:tc>
        <w:tc>
          <w:tcPr>
            <w:tcW w:w="850" w:type="dxa"/>
            <w:tcBorders>
              <w:top w:val="nil"/>
              <w:left w:val="nil"/>
              <w:bottom w:val="nil"/>
              <w:right w:val="nil"/>
            </w:tcBorders>
            <w:shd w:val="clear" w:color="auto" w:fill="auto"/>
            <w:noWrap/>
            <w:vAlign w:val="center"/>
            <w:hideMark/>
          </w:tcPr>
          <w:p w14:paraId="36DA8869"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0.489</w:t>
            </w:r>
          </w:p>
          <w:p w14:paraId="78AFFD15"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(-48%)</w:t>
            </w:r>
          </w:p>
        </w:tc>
        <w:tc>
          <w:tcPr>
            <w:tcW w:w="850" w:type="dxa"/>
            <w:tcBorders>
              <w:top w:val="nil"/>
              <w:left w:val="nil"/>
              <w:bottom w:val="nil"/>
              <w:right w:val="nil"/>
            </w:tcBorders>
            <w:shd w:val="clear" w:color="auto" w:fill="auto"/>
            <w:noWrap/>
            <w:vAlign w:val="center"/>
            <w:hideMark/>
          </w:tcPr>
          <w:p w14:paraId="128CFFC6"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0.574</w:t>
            </w:r>
          </w:p>
          <w:p w14:paraId="463D0D32"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(-39%)</w:t>
            </w:r>
          </w:p>
        </w:tc>
      </w:tr>
      <w:tr w:rsidR="00925CB2" w:rsidRPr="004A68AC" w14:paraId="5E9B1DDA" w14:textId="77777777" w:rsidTr="00E239F6">
        <w:trPr>
          <w:trHeight w:val="288"/>
          <w:jc w:val="center"/>
        </w:trPr>
        <w:tc>
          <w:tcPr>
            <w:tcW w:w="964" w:type="dxa"/>
            <w:vMerge/>
            <w:tcBorders>
              <w:left w:val="nil"/>
              <w:bottom w:val="single" w:sz="8" w:space="0" w:color="auto"/>
              <w:right w:val="nil"/>
            </w:tcBorders>
            <w:vAlign w:val="center"/>
            <w:hideMark/>
          </w:tcPr>
          <w:p w14:paraId="61B5C8C9" w14:textId="77777777" w:rsidR="00925CB2" w:rsidRPr="004A68AC" w:rsidRDefault="00925CB2" w:rsidP="00E239F6">
            <w:pPr>
              <w:jc w:val="center"/>
              <w:rPr>
                <w:rFonts w:eastAsia="Times New Roman"/>
                <w:b/>
                <w:bCs/>
                <w:color w:val="000000"/>
                <w:sz w:val="18"/>
                <w:szCs w:val="18"/>
                <w:lang w:val="es-MX" w:eastAsia="es-MX"/>
              </w:rPr>
            </w:pPr>
          </w:p>
        </w:tc>
        <w:tc>
          <w:tcPr>
            <w:tcW w:w="570" w:type="dxa"/>
            <w:tcBorders>
              <w:top w:val="nil"/>
              <w:left w:val="nil"/>
              <w:bottom w:val="single" w:sz="8" w:space="0" w:color="auto"/>
              <w:right w:val="nil"/>
            </w:tcBorders>
            <w:shd w:val="clear" w:color="auto" w:fill="auto"/>
            <w:noWrap/>
            <w:vAlign w:val="center"/>
            <w:hideMark/>
          </w:tcPr>
          <w:p w14:paraId="15E4A4D5" w14:textId="77777777" w:rsidR="00925CB2" w:rsidRPr="004A68AC" w:rsidRDefault="00925CB2" w:rsidP="00E239F6">
            <w:pPr>
              <w:jc w:val="center"/>
              <w:rPr>
                <w:rFonts w:eastAsia="Times New Roman"/>
                <w:b/>
                <w:bCs/>
                <w:color w:val="000000"/>
                <w:sz w:val="18"/>
                <w:szCs w:val="18"/>
                <w:lang w:val="es-MX" w:eastAsia="es-MX"/>
              </w:rPr>
            </w:pPr>
            <w:r w:rsidRPr="004A68AC">
              <w:rPr>
                <w:rFonts w:eastAsia="Times New Roman"/>
                <w:b/>
                <w:bCs/>
                <w:color w:val="000000"/>
                <w:sz w:val="18"/>
                <w:szCs w:val="18"/>
                <w:lang w:val="es-MX" w:eastAsia="es-MX"/>
              </w:rPr>
              <w:t>LS3</w:t>
            </w:r>
          </w:p>
        </w:tc>
        <w:tc>
          <w:tcPr>
            <w:tcW w:w="278" w:type="dxa"/>
            <w:tcBorders>
              <w:top w:val="nil"/>
              <w:left w:val="nil"/>
              <w:bottom w:val="single" w:sz="8" w:space="0" w:color="auto"/>
              <w:right w:val="nil"/>
            </w:tcBorders>
            <w:vAlign w:val="center"/>
          </w:tcPr>
          <w:p w14:paraId="7F9442BC" w14:textId="77777777" w:rsidR="00925CB2" w:rsidRPr="004A68AC" w:rsidRDefault="00925CB2" w:rsidP="00E239F6">
            <w:pPr>
              <w:jc w:val="center"/>
              <w:rPr>
                <w:rFonts w:eastAsia="Times New Roman"/>
                <w:sz w:val="18"/>
                <w:szCs w:val="18"/>
                <w:u w:val="single"/>
                <w:lang w:val="es-MX" w:eastAsia="es-MX"/>
              </w:rPr>
            </w:pPr>
          </w:p>
        </w:tc>
        <w:tc>
          <w:tcPr>
            <w:tcW w:w="850" w:type="dxa"/>
            <w:tcBorders>
              <w:top w:val="nil"/>
              <w:left w:val="nil"/>
              <w:bottom w:val="single" w:sz="8" w:space="0" w:color="auto"/>
              <w:right w:val="nil"/>
            </w:tcBorders>
            <w:shd w:val="clear" w:color="auto" w:fill="auto"/>
            <w:noWrap/>
            <w:vAlign w:val="center"/>
            <w:hideMark/>
          </w:tcPr>
          <w:p w14:paraId="75D131CF"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0.591</w:t>
            </w:r>
          </w:p>
        </w:tc>
        <w:tc>
          <w:tcPr>
            <w:tcW w:w="850" w:type="dxa"/>
            <w:tcBorders>
              <w:top w:val="nil"/>
              <w:left w:val="nil"/>
              <w:bottom w:val="single" w:sz="8" w:space="0" w:color="auto"/>
              <w:right w:val="nil"/>
            </w:tcBorders>
            <w:shd w:val="clear" w:color="auto" w:fill="auto"/>
            <w:noWrap/>
            <w:vAlign w:val="center"/>
            <w:hideMark/>
          </w:tcPr>
          <w:p w14:paraId="7570DACA"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0.398</w:t>
            </w:r>
          </w:p>
          <w:p w14:paraId="05867CAF"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(-33%)</w:t>
            </w:r>
          </w:p>
        </w:tc>
        <w:tc>
          <w:tcPr>
            <w:tcW w:w="850" w:type="dxa"/>
            <w:tcBorders>
              <w:top w:val="nil"/>
              <w:left w:val="nil"/>
              <w:bottom w:val="single" w:sz="8" w:space="0" w:color="auto"/>
              <w:right w:val="nil"/>
            </w:tcBorders>
            <w:shd w:val="clear" w:color="auto" w:fill="auto"/>
            <w:noWrap/>
            <w:vAlign w:val="center"/>
            <w:hideMark/>
          </w:tcPr>
          <w:p w14:paraId="1369FE73"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0.433</w:t>
            </w:r>
          </w:p>
          <w:p w14:paraId="64533015"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(-27%)</w:t>
            </w:r>
          </w:p>
        </w:tc>
        <w:tc>
          <w:tcPr>
            <w:tcW w:w="852" w:type="dxa"/>
            <w:tcBorders>
              <w:top w:val="nil"/>
              <w:left w:val="nil"/>
              <w:bottom w:val="single" w:sz="8" w:space="0" w:color="auto"/>
              <w:right w:val="nil"/>
            </w:tcBorders>
            <w:shd w:val="clear" w:color="auto" w:fill="auto"/>
            <w:noWrap/>
            <w:vAlign w:val="center"/>
            <w:hideMark/>
          </w:tcPr>
          <w:p w14:paraId="66687935"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0.501</w:t>
            </w:r>
          </w:p>
          <w:p w14:paraId="50FECF74"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(-15%)</w:t>
            </w:r>
          </w:p>
        </w:tc>
        <w:tc>
          <w:tcPr>
            <w:tcW w:w="283" w:type="dxa"/>
            <w:tcBorders>
              <w:top w:val="nil"/>
              <w:left w:val="nil"/>
              <w:bottom w:val="single" w:sz="8" w:space="0" w:color="auto"/>
              <w:right w:val="nil"/>
            </w:tcBorders>
            <w:shd w:val="clear" w:color="auto" w:fill="auto"/>
            <w:noWrap/>
            <w:vAlign w:val="center"/>
            <w:hideMark/>
          </w:tcPr>
          <w:p w14:paraId="5A696FE1" w14:textId="77777777" w:rsidR="00925CB2" w:rsidRPr="004A68AC" w:rsidRDefault="00925CB2" w:rsidP="00E239F6">
            <w:pPr>
              <w:jc w:val="center"/>
              <w:rPr>
                <w:rFonts w:eastAsia="Times New Roman"/>
                <w:sz w:val="18"/>
                <w:szCs w:val="18"/>
                <w:lang w:val="es-MX" w:eastAsia="es-MX"/>
              </w:rPr>
            </w:pPr>
          </w:p>
        </w:tc>
        <w:tc>
          <w:tcPr>
            <w:tcW w:w="850" w:type="dxa"/>
            <w:tcBorders>
              <w:top w:val="nil"/>
              <w:left w:val="nil"/>
              <w:bottom w:val="single" w:sz="8" w:space="0" w:color="auto"/>
              <w:right w:val="nil"/>
            </w:tcBorders>
            <w:shd w:val="clear" w:color="auto" w:fill="auto"/>
            <w:noWrap/>
            <w:vAlign w:val="center"/>
            <w:hideMark/>
          </w:tcPr>
          <w:p w14:paraId="19F5E34E" w14:textId="77777777" w:rsidR="00925CB2" w:rsidRPr="004A68AC" w:rsidRDefault="00925CB2" w:rsidP="00E239F6">
            <w:pPr>
              <w:jc w:val="center"/>
              <w:rPr>
                <w:rFonts w:eastAsia="Times New Roman"/>
                <w:sz w:val="18"/>
                <w:szCs w:val="18"/>
                <w:u w:val="single"/>
                <w:lang w:val="es-MX" w:eastAsia="es-MX"/>
              </w:rPr>
            </w:pPr>
            <w:r w:rsidRPr="004A68AC">
              <w:rPr>
                <w:rFonts w:eastAsia="Times New Roman"/>
                <w:sz w:val="18"/>
                <w:szCs w:val="18"/>
                <w:u w:val="single"/>
                <w:lang w:val="es-MX" w:eastAsia="es-MX"/>
              </w:rPr>
              <w:t>0.947</w:t>
            </w:r>
          </w:p>
        </w:tc>
        <w:tc>
          <w:tcPr>
            <w:tcW w:w="850" w:type="dxa"/>
            <w:tcBorders>
              <w:top w:val="nil"/>
              <w:left w:val="nil"/>
              <w:bottom w:val="single" w:sz="8" w:space="0" w:color="auto"/>
              <w:right w:val="nil"/>
            </w:tcBorders>
            <w:shd w:val="clear" w:color="auto" w:fill="auto"/>
            <w:noWrap/>
            <w:vAlign w:val="center"/>
            <w:hideMark/>
          </w:tcPr>
          <w:p w14:paraId="091DF5A4" w14:textId="77777777" w:rsidR="00925CB2" w:rsidRPr="004A68AC" w:rsidRDefault="00925CB2" w:rsidP="00E239F6">
            <w:pPr>
              <w:jc w:val="center"/>
              <w:rPr>
                <w:rFonts w:eastAsia="Times New Roman"/>
                <w:bCs/>
                <w:sz w:val="18"/>
                <w:szCs w:val="18"/>
                <w:lang w:val="es-MX" w:eastAsia="es-MX"/>
              </w:rPr>
            </w:pPr>
            <w:r w:rsidRPr="004A68AC">
              <w:rPr>
                <w:rFonts w:eastAsia="Times New Roman"/>
                <w:b/>
                <w:bCs/>
                <w:sz w:val="18"/>
                <w:szCs w:val="18"/>
                <w:lang w:val="es-MX" w:eastAsia="es-MX"/>
              </w:rPr>
              <w:t>0.445</w:t>
            </w:r>
          </w:p>
          <w:p w14:paraId="5D6540EF" w14:textId="77777777" w:rsidR="00925CB2" w:rsidRPr="004A68AC" w:rsidRDefault="00925CB2" w:rsidP="00E239F6">
            <w:pPr>
              <w:jc w:val="center"/>
              <w:rPr>
                <w:rFonts w:eastAsia="Times New Roman"/>
                <w:b/>
                <w:bCs/>
                <w:sz w:val="18"/>
                <w:szCs w:val="18"/>
                <w:lang w:val="es-MX" w:eastAsia="es-MX"/>
              </w:rPr>
            </w:pPr>
            <w:r w:rsidRPr="004A68AC">
              <w:rPr>
                <w:rFonts w:eastAsia="Times New Roman"/>
                <w:bCs/>
                <w:sz w:val="14"/>
                <w:szCs w:val="14"/>
                <w:lang w:val="es-MX" w:eastAsia="es-MX"/>
              </w:rPr>
              <w:t>(-53%)</w:t>
            </w:r>
          </w:p>
        </w:tc>
        <w:tc>
          <w:tcPr>
            <w:tcW w:w="850" w:type="dxa"/>
            <w:tcBorders>
              <w:top w:val="nil"/>
              <w:left w:val="nil"/>
              <w:bottom w:val="single" w:sz="8" w:space="0" w:color="auto"/>
              <w:right w:val="nil"/>
            </w:tcBorders>
            <w:shd w:val="clear" w:color="auto" w:fill="auto"/>
            <w:noWrap/>
            <w:vAlign w:val="center"/>
            <w:hideMark/>
          </w:tcPr>
          <w:p w14:paraId="1078FF0C"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0.489</w:t>
            </w:r>
          </w:p>
          <w:p w14:paraId="0CDD2A42"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(-48%)</w:t>
            </w:r>
          </w:p>
        </w:tc>
        <w:tc>
          <w:tcPr>
            <w:tcW w:w="850" w:type="dxa"/>
            <w:tcBorders>
              <w:top w:val="nil"/>
              <w:left w:val="nil"/>
              <w:bottom w:val="single" w:sz="8" w:space="0" w:color="auto"/>
              <w:right w:val="nil"/>
            </w:tcBorders>
            <w:shd w:val="clear" w:color="auto" w:fill="auto"/>
            <w:noWrap/>
            <w:vAlign w:val="center"/>
            <w:hideMark/>
          </w:tcPr>
          <w:p w14:paraId="1BAAD09D" w14:textId="77777777" w:rsidR="00925CB2" w:rsidRPr="004A68AC" w:rsidRDefault="00925CB2" w:rsidP="00E239F6">
            <w:pPr>
              <w:jc w:val="center"/>
              <w:rPr>
                <w:rFonts w:eastAsia="Times New Roman"/>
                <w:bCs/>
                <w:sz w:val="18"/>
                <w:szCs w:val="18"/>
                <w:lang w:val="es-MX" w:eastAsia="es-MX"/>
              </w:rPr>
            </w:pPr>
            <w:r w:rsidRPr="004A68AC">
              <w:rPr>
                <w:rFonts w:eastAsia="Times New Roman"/>
                <w:sz w:val="18"/>
                <w:szCs w:val="18"/>
                <w:lang w:val="es-MX" w:eastAsia="es-MX"/>
              </w:rPr>
              <w:t>0.574</w:t>
            </w:r>
          </w:p>
          <w:p w14:paraId="0311D814" w14:textId="77777777" w:rsidR="00925CB2" w:rsidRPr="004A68AC" w:rsidRDefault="00925CB2" w:rsidP="00E239F6">
            <w:pPr>
              <w:jc w:val="center"/>
              <w:rPr>
                <w:rFonts w:eastAsia="Times New Roman"/>
                <w:sz w:val="18"/>
                <w:szCs w:val="18"/>
                <w:lang w:val="es-MX" w:eastAsia="es-MX"/>
              </w:rPr>
            </w:pPr>
            <w:r w:rsidRPr="004A68AC">
              <w:rPr>
                <w:rFonts w:eastAsia="Times New Roman"/>
                <w:bCs/>
                <w:sz w:val="14"/>
                <w:szCs w:val="14"/>
                <w:lang w:val="es-MX" w:eastAsia="es-MX"/>
              </w:rPr>
              <w:t>(-39%)</w:t>
            </w:r>
          </w:p>
        </w:tc>
      </w:tr>
    </w:tbl>
    <w:p w14:paraId="7FD522F0" w14:textId="77777777" w:rsidR="00925CB2" w:rsidRPr="004A68AC" w:rsidRDefault="00925CB2" w:rsidP="00925CB2">
      <w:pPr>
        <w:rPr>
          <w:sz w:val="18"/>
          <w:szCs w:val="18"/>
          <w:lang w:val="en-US"/>
        </w:rPr>
      </w:pPr>
      <w:r w:rsidRPr="004A68AC">
        <w:rPr>
          <w:sz w:val="18"/>
          <w:szCs w:val="18"/>
          <w:vertAlign w:val="superscript"/>
          <w:lang w:val="en-US"/>
        </w:rPr>
        <w:t>1</w:t>
      </w:r>
      <w:r w:rsidRPr="004A68AC">
        <w:rPr>
          <w:sz w:val="18"/>
          <w:szCs w:val="18"/>
          <w:lang w:val="en-US"/>
        </w:rPr>
        <w:t xml:space="preserve"> Bold values represent the most conservative code for that EDP and limit state, underlined values represent the least conservative code.</w:t>
      </w:r>
    </w:p>
    <w:p w14:paraId="2EAA53DD" w14:textId="728055B1" w:rsidR="00925CB2" w:rsidRPr="004A68AC" w:rsidRDefault="00925CB2" w:rsidP="00925CB2">
      <w:pPr>
        <w:rPr>
          <w:sz w:val="18"/>
          <w:szCs w:val="18"/>
          <w:lang w:val="en-US"/>
        </w:rPr>
      </w:pPr>
      <w:r w:rsidRPr="004A68AC">
        <w:rPr>
          <w:sz w:val="18"/>
          <w:szCs w:val="18"/>
          <w:vertAlign w:val="superscript"/>
          <w:lang w:val="en-US"/>
        </w:rPr>
        <w:t>2</w:t>
      </w:r>
      <w:r w:rsidRPr="004A68AC">
        <w:rPr>
          <w:sz w:val="18"/>
          <w:szCs w:val="18"/>
          <w:lang w:val="en-US"/>
        </w:rPr>
        <w:t xml:space="preserve"> The quantities in parenthesis represent the change with respect to the EC8-3 </w:t>
      </w:r>
      <w:r w:rsidRPr="004A68AC">
        <w:rPr>
          <w:sz w:val="18"/>
          <w:szCs w:val="18"/>
          <w:lang w:val="en-US"/>
        </w:rPr>
        <w:fldChar w:fldCharType="begin" w:fldLock="1"/>
      </w:r>
      <w:r w:rsidR="005C47A3" w:rsidRPr="004A68AC">
        <w:rPr>
          <w:sz w:val="18"/>
          <w:szCs w:val="18"/>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 w:val="18"/>
          <w:szCs w:val="18"/>
          <w:lang w:val="en-US"/>
        </w:rPr>
        <w:fldChar w:fldCharType="separate"/>
      </w:r>
      <w:r w:rsidRPr="004A68AC">
        <w:rPr>
          <w:noProof/>
          <w:sz w:val="18"/>
          <w:szCs w:val="18"/>
          <w:lang w:val="en-US"/>
        </w:rPr>
        <w:t>[13]</w:t>
      </w:r>
      <w:r w:rsidRPr="004A68AC">
        <w:rPr>
          <w:sz w:val="18"/>
          <w:szCs w:val="18"/>
          <w:lang w:val="en-US"/>
        </w:rPr>
        <w:fldChar w:fldCharType="end"/>
      </w:r>
      <w:r w:rsidRPr="004A68AC">
        <w:rPr>
          <w:sz w:val="18"/>
          <w:szCs w:val="18"/>
          <w:lang w:val="en-US"/>
        </w:rPr>
        <w:t>.</w:t>
      </w:r>
    </w:p>
    <w:p w14:paraId="448AAA25" w14:textId="77777777" w:rsidR="00925CB2" w:rsidRPr="004A68AC" w:rsidRDefault="00925CB2" w:rsidP="00C72B88">
      <w:pPr>
        <w:rPr>
          <w:szCs w:val="20"/>
          <w:lang w:val="en-US"/>
        </w:rPr>
      </w:pPr>
    </w:p>
    <w:p w14:paraId="23C730D8" w14:textId="2953A587" w:rsidR="007B0EF4" w:rsidRPr="004A68AC" w:rsidRDefault="00925CB2" w:rsidP="00C72B88">
      <w:pPr>
        <w:rPr>
          <w:lang w:val="en-US"/>
        </w:rPr>
      </w:pPr>
      <w:r w:rsidRPr="004A68AC">
        <w:rPr>
          <w:szCs w:val="20"/>
          <w:lang w:val="en-US"/>
        </w:rPr>
        <w:lastRenderedPageBreak/>
        <w:t xml:space="preserve">     </w:t>
      </w:r>
      <w:r w:rsidR="007B0EF4" w:rsidRPr="004A68AC">
        <w:rPr>
          <w:szCs w:val="20"/>
          <w:lang w:val="en-US"/>
        </w:rPr>
        <w:t xml:space="preserve">Based on </w:t>
      </w:r>
      <w:r w:rsidR="007B0EF4" w:rsidRPr="004A68AC">
        <w:rPr>
          <w:szCs w:val="20"/>
          <w:lang w:val="en-US"/>
        </w:rPr>
        <w:fldChar w:fldCharType="begin" w:fldLock="1"/>
      </w:r>
      <w:r w:rsidR="007B0EF4" w:rsidRPr="004A68AC">
        <w:rPr>
          <w:szCs w:val="20"/>
          <w:lang w:val="en-US"/>
        </w:rPr>
        <w:instrText xml:space="preserve"> REF _Ref36492360 \h  \* MERGEFORMAT </w:instrText>
      </w:r>
      <w:r w:rsidR="007B0EF4" w:rsidRPr="004A68AC">
        <w:rPr>
          <w:szCs w:val="20"/>
          <w:lang w:val="en-US"/>
        </w:rPr>
      </w:r>
      <w:r w:rsidR="007B0EF4" w:rsidRPr="004A68AC">
        <w:rPr>
          <w:szCs w:val="20"/>
          <w:lang w:val="en-US"/>
        </w:rPr>
        <w:fldChar w:fldCharType="separate"/>
      </w:r>
      <w:r w:rsidR="007B0EF4" w:rsidRPr="004A68AC">
        <w:rPr>
          <w:bCs/>
          <w:szCs w:val="20"/>
          <w:lang w:val="en-US"/>
        </w:rPr>
        <w:t xml:space="preserve">Figure </w:t>
      </w:r>
      <w:r w:rsidR="007B0EF4" w:rsidRPr="004A68AC">
        <w:rPr>
          <w:bCs/>
          <w:noProof/>
          <w:szCs w:val="20"/>
          <w:lang w:val="en-US"/>
        </w:rPr>
        <w:t>11</w:t>
      </w:r>
      <w:r w:rsidR="007B0EF4" w:rsidRPr="004A68AC">
        <w:rPr>
          <w:szCs w:val="20"/>
          <w:lang w:val="en-US"/>
        </w:rPr>
        <w:fldChar w:fldCharType="end"/>
      </w:r>
      <w:r w:rsidR="007B0EF4" w:rsidRPr="004A68AC">
        <w:rPr>
          <w:szCs w:val="20"/>
          <w:lang w:val="en-US"/>
        </w:rPr>
        <w:t xml:space="preserve"> and </w:t>
      </w:r>
      <w:r w:rsidR="007B0EF4" w:rsidRPr="004A68AC">
        <w:rPr>
          <w:szCs w:val="20"/>
          <w:lang w:val="en-US"/>
        </w:rPr>
        <w:fldChar w:fldCharType="begin" w:fldLock="1"/>
      </w:r>
      <w:r w:rsidR="007B0EF4" w:rsidRPr="004A68AC">
        <w:rPr>
          <w:szCs w:val="20"/>
          <w:lang w:val="en-US"/>
        </w:rPr>
        <w:instrText xml:space="preserve"> REF _Ref48080532 \h  \* MERGEFORMAT </w:instrText>
      </w:r>
      <w:r w:rsidR="007B0EF4" w:rsidRPr="004A68AC">
        <w:rPr>
          <w:szCs w:val="20"/>
          <w:lang w:val="en-US"/>
        </w:rPr>
      </w:r>
      <w:r w:rsidR="007B0EF4" w:rsidRPr="004A68AC">
        <w:rPr>
          <w:szCs w:val="20"/>
          <w:lang w:val="en-US"/>
        </w:rPr>
        <w:fldChar w:fldCharType="separate"/>
      </w:r>
      <w:r w:rsidR="007B0EF4" w:rsidRPr="004A68AC">
        <w:rPr>
          <w:szCs w:val="20"/>
          <w:lang w:val="en-US"/>
        </w:rPr>
        <w:t xml:space="preserve">Table </w:t>
      </w:r>
      <w:r w:rsidR="007B0EF4" w:rsidRPr="004A68AC">
        <w:rPr>
          <w:noProof/>
          <w:szCs w:val="20"/>
          <w:lang w:val="en-US"/>
        </w:rPr>
        <w:t>10</w:t>
      </w:r>
      <w:r w:rsidR="007B0EF4" w:rsidRPr="004A68AC">
        <w:rPr>
          <w:szCs w:val="20"/>
          <w:lang w:val="en-US"/>
        </w:rPr>
        <w:fldChar w:fldCharType="end"/>
      </w:r>
      <w:r w:rsidR="007B0EF4" w:rsidRPr="004A68AC">
        <w:rPr>
          <w:szCs w:val="20"/>
          <w:lang w:val="en-US"/>
        </w:rPr>
        <w:t xml:space="preserve"> the following observations can be made:</w:t>
      </w:r>
    </w:p>
    <w:p w14:paraId="6D8B2FEF" w14:textId="323C20E6" w:rsidR="002E37FA" w:rsidRPr="004A68AC" w:rsidRDefault="00744B5B" w:rsidP="00C94733">
      <w:pPr>
        <w:pStyle w:val="ListParagraph"/>
        <w:numPr>
          <w:ilvl w:val="0"/>
          <w:numId w:val="10"/>
        </w:numPr>
        <w:ind w:left="284" w:hanging="294"/>
        <w:rPr>
          <w:lang w:val="en-US"/>
        </w:rPr>
      </w:pPr>
      <w:r w:rsidRPr="004A68AC">
        <w:rPr>
          <w:lang w:val="en-US"/>
        </w:rPr>
        <w:t>The rotation in beams was not critical in any case, as the flexibility of panel zones avoid the early development of plastic hinges in beams</w:t>
      </w:r>
      <w:r w:rsidR="0075644C" w:rsidRPr="004A68AC">
        <w:rPr>
          <w:lang w:val="en-US"/>
        </w:rPr>
        <w:t xml:space="preserve">, as </w:t>
      </w:r>
      <w:r w:rsidR="002C77E3" w:rsidRPr="004A68AC">
        <w:rPr>
          <w:lang w:val="en-US"/>
        </w:rPr>
        <w:t xml:space="preserve">displayed </w:t>
      </w:r>
      <w:r w:rsidR="0075644C" w:rsidRPr="004A68AC">
        <w:rPr>
          <w:lang w:val="en-US"/>
        </w:rPr>
        <w:t xml:space="preserve">in </w:t>
      </w:r>
      <w:r w:rsidR="0075644C" w:rsidRPr="004A68AC">
        <w:rPr>
          <w:szCs w:val="20"/>
          <w:lang w:val="en-US"/>
        </w:rPr>
        <w:fldChar w:fldCharType="begin" w:fldLock="1"/>
      </w:r>
      <w:r w:rsidR="0075644C" w:rsidRPr="004A68AC">
        <w:rPr>
          <w:szCs w:val="20"/>
          <w:lang w:val="en-US"/>
        </w:rPr>
        <w:instrText xml:space="preserve"> REF _Ref36492360 \h  \* MERGEFORMAT </w:instrText>
      </w:r>
      <w:r w:rsidR="0075644C" w:rsidRPr="004A68AC">
        <w:rPr>
          <w:szCs w:val="20"/>
          <w:lang w:val="en-US"/>
        </w:rPr>
      </w:r>
      <w:r w:rsidR="0075644C" w:rsidRPr="004A68AC">
        <w:rPr>
          <w:szCs w:val="20"/>
          <w:lang w:val="en-US"/>
        </w:rPr>
        <w:fldChar w:fldCharType="separate"/>
      </w:r>
      <w:r w:rsidR="0075644C" w:rsidRPr="004A68AC">
        <w:rPr>
          <w:bCs/>
          <w:szCs w:val="20"/>
          <w:lang w:val="en-US"/>
        </w:rPr>
        <w:t xml:space="preserve">Figure </w:t>
      </w:r>
      <w:r w:rsidR="0075644C" w:rsidRPr="004A68AC">
        <w:rPr>
          <w:bCs/>
          <w:noProof/>
          <w:szCs w:val="20"/>
          <w:lang w:val="en-US"/>
        </w:rPr>
        <w:t>11</w:t>
      </w:r>
      <w:r w:rsidR="0075644C" w:rsidRPr="004A68AC">
        <w:rPr>
          <w:szCs w:val="20"/>
          <w:lang w:val="en-US"/>
        </w:rPr>
        <w:fldChar w:fldCharType="end"/>
      </w:r>
      <w:r w:rsidR="0075644C" w:rsidRPr="004A68AC">
        <w:rPr>
          <w:szCs w:val="20"/>
          <w:lang w:val="en-US"/>
        </w:rPr>
        <w:t>(a) and (e)</w:t>
      </w:r>
      <w:r w:rsidRPr="004A68AC">
        <w:rPr>
          <w:lang w:val="en-US"/>
        </w:rPr>
        <w:t>.</w:t>
      </w:r>
      <w:r w:rsidR="00415D23" w:rsidRPr="004A68AC">
        <w:rPr>
          <w:lang w:val="en-US"/>
        </w:rPr>
        <w:t xml:space="preserve"> This is consistent with frames designed with no capacity design considerations.</w:t>
      </w:r>
    </w:p>
    <w:p w14:paraId="0FBADABD" w14:textId="69755E40" w:rsidR="002E37FA" w:rsidRPr="004A68AC" w:rsidRDefault="002C77E3" w:rsidP="00FD64ED">
      <w:pPr>
        <w:pStyle w:val="ListParagraph"/>
        <w:numPr>
          <w:ilvl w:val="0"/>
          <w:numId w:val="10"/>
        </w:numPr>
        <w:ind w:left="284" w:hanging="294"/>
        <w:rPr>
          <w:lang w:val="en-US"/>
        </w:rPr>
      </w:pPr>
      <w:r w:rsidRPr="004A68AC">
        <w:rPr>
          <w:lang w:val="en-US"/>
        </w:rPr>
        <w:t>The plots of</w:t>
      </w:r>
      <w:r w:rsidR="00F17806" w:rsidRPr="004A68AC">
        <w:rPr>
          <w:lang w:val="en-US"/>
        </w:rPr>
        <w:t xml:space="preserve"> </w:t>
      </w:r>
      <w:r w:rsidR="00F17806" w:rsidRPr="004A68AC">
        <w:rPr>
          <w:szCs w:val="20"/>
          <w:lang w:val="en-US"/>
        </w:rPr>
        <w:fldChar w:fldCharType="begin" w:fldLock="1"/>
      </w:r>
      <w:r w:rsidR="00F17806" w:rsidRPr="004A68AC">
        <w:rPr>
          <w:szCs w:val="20"/>
          <w:lang w:val="en-US"/>
        </w:rPr>
        <w:instrText xml:space="preserve"> REF _Ref36492360 \h  \* MERGEFORMAT </w:instrText>
      </w:r>
      <w:r w:rsidR="00F17806" w:rsidRPr="004A68AC">
        <w:rPr>
          <w:szCs w:val="20"/>
          <w:lang w:val="en-US"/>
        </w:rPr>
      </w:r>
      <w:r w:rsidR="00F17806" w:rsidRPr="004A68AC">
        <w:rPr>
          <w:szCs w:val="20"/>
          <w:lang w:val="en-US"/>
        </w:rPr>
        <w:fldChar w:fldCharType="separate"/>
      </w:r>
      <w:r w:rsidR="00F17806" w:rsidRPr="004A68AC">
        <w:rPr>
          <w:bCs/>
          <w:szCs w:val="20"/>
          <w:lang w:val="en-US"/>
        </w:rPr>
        <w:t xml:space="preserve">Figure </w:t>
      </w:r>
      <w:r w:rsidR="00F17806" w:rsidRPr="004A68AC">
        <w:rPr>
          <w:bCs/>
          <w:noProof/>
          <w:szCs w:val="20"/>
          <w:lang w:val="en-US"/>
        </w:rPr>
        <w:t>11</w:t>
      </w:r>
      <w:r w:rsidR="00F17806" w:rsidRPr="004A68AC">
        <w:rPr>
          <w:szCs w:val="20"/>
          <w:lang w:val="en-US"/>
        </w:rPr>
        <w:fldChar w:fldCharType="end"/>
      </w:r>
      <w:r w:rsidR="00F17806" w:rsidRPr="004A68AC">
        <w:rPr>
          <w:szCs w:val="20"/>
          <w:lang w:val="en-US"/>
        </w:rPr>
        <w:t xml:space="preserve">(b) </w:t>
      </w:r>
      <w:r w:rsidRPr="004A68AC">
        <w:rPr>
          <w:szCs w:val="20"/>
          <w:lang w:val="en-US"/>
        </w:rPr>
        <w:t xml:space="preserve">demonstrate that </w:t>
      </w:r>
      <w:r w:rsidR="00F17806" w:rsidRPr="004A68AC">
        <w:rPr>
          <w:szCs w:val="20"/>
          <w:lang w:val="en-US"/>
        </w:rPr>
        <w:t>t</w:t>
      </w:r>
      <w:r w:rsidR="00F17806" w:rsidRPr="004A68AC">
        <w:rPr>
          <w:lang w:val="en-US"/>
        </w:rPr>
        <w:t xml:space="preserve">he columns in 3B </w:t>
      </w:r>
      <w:r w:rsidRPr="004A68AC">
        <w:rPr>
          <w:lang w:val="en-US"/>
        </w:rPr>
        <w:t>are</w:t>
      </w:r>
      <w:r w:rsidR="00F17806" w:rsidRPr="004A68AC">
        <w:rPr>
          <w:lang w:val="en-US"/>
        </w:rPr>
        <w:t xml:space="preserve"> </w:t>
      </w:r>
      <w:r w:rsidR="00183A91" w:rsidRPr="004A68AC">
        <w:rPr>
          <w:lang w:val="en-US"/>
        </w:rPr>
        <w:t>among</w:t>
      </w:r>
      <w:r w:rsidR="003336E9" w:rsidRPr="004A68AC">
        <w:rPr>
          <w:lang w:val="en-US"/>
        </w:rPr>
        <w:t xml:space="preserve"> </w:t>
      </w:r>
      <w:r w:rsidR="00F17806" w:rsidRPr="004A68AC">
        <w:rPr>
          <w:lang w:val="en-US"/>
        </w:rPr>
        <w:t xml:space="preserve">the most fragile elements in the system, particularly for the ASCE 41-06 and -13 </w:t>
      </w:r>
      <w:r w:rsidR="00F17806"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F17806" w:rsidRPr="004A68AC">
        <w:rPr>
          <w:lang w:val="en-US"/>
        </w:rPr>
        <w:fldChar w:fldCharType="separate"/>
      </w:r>
      <w:r w:rsidR="00F17806" w:rsidRPr="004A68AC">
        <w:rPr>
          <w:noProof/>
          <w:lang w:val="en-US"/>
        </w:rPr>
        <w:t>[15,18]</w:t>
      </w:r>
      <w:r w:rsidR="00F17806" w:rsidRPr="004A68AC">
        <w:rPr>
          <w:lang w:val="en-US"/>
        </w:rPr>
        <w:fldChar w:fldCharType="end"/>
      </w:r>
      <w:r w:rsidR="00F17806" w:rsidRPr="004A68AC">
        <w:rPr>
          <w:lang w:val="en-US"/>
        </w:rPr>
        <w:t>, due to the consideration of the axial loads in the derivation of θ</w:t>
      </w:r>
      <w:r w:rsidR="00F17806" w:rsidRPr="004A68AC">
        <w:rPr>
          <w:vertAlign w:val="subscript"/>
          <w:lang w:val="en-US"/>
        </w:rPr>
        <w:t>y</w:t>
      </w:r>
      <w:r w:rsidR="00F17806" w:rsidRPr="004A68AC">
        <w:rPr>
          <w:lang w:val="en-US"/>
        </w:rPr>
        <w:t xml:space="preserve">. On the other hand, </w:t>
      </w:r>
      <w:r w:rsidR="0075644C" w:rsidRPr="004A68AC">
        <w:rPr>
          <w:lang w:val="en-US"/>
        </w:rPr>
        <w:t xml:space="preserve">as in </w:t>
      </w:r>
      <w:r w:rsidR="0075644C" w:rsidRPr="004A68AC">
        <w:rPr>
          <w:szCs w:val="20"/>
          <w:lang w:val="en-US"/>
        </w:rPr>
        <w:fldChar w:fldCharType="begin" w:fldLock="1"/>
      </w:r>
      <w:r w:rsidR="0075644C" w:rsidRPr="004A68AC">
        <w:rPr>
          <w:szCs w:val="20"/>
          <w:lang w:val="en-US"/>
        </w:rPr>
        <w:instrText xml:space="preserve"> REF _Ref36492360 \h  \* MERGEFORMAT </w:instrText>
      </w:r>
      <w:r w:rsidR="0075644C" w:rsidRPr="004A68AC">
        <w:rPr>
          <w:szCs w:val="20"/>
          <w:lang w:val="en-US"/>
        </w:rPr>
      </w:r>
      <w:r w:rsidR="0075644C" w:rsidRPr="004A68AC">
        <w:rPr>
          <w:szCs w:val="20"/>
          <w:lang w:val="en-US"/>
        </w:rPr>
        <w:fldChar w:fldCharType="separate"/>
      </w:r>
      <w:r w:rsidR="0075644C" w:rsidRPr="004A68AC">
        <w:rPr>
          <w:bCs/>
          <w:szCs w:val="20"/>
          <w:lang w:val="en-US"/>
        </w:rPr>
        <w:t xml:space="preserve">Figure </w:t>
      </w:r>
      <w:r w:rsidR="0075644C" w:rsidRPr="004A68AC">
        <w:rPr>
          <w:bCs/>
          <w:noProof/>
          <w:szCs w:val="20"/>
          <w:lang w:val="en-US"/>
        </w:rPr>
        <w:t>11</w:t>
      </w:r>
      <w:r w:rsidR="0075644C" w:rsidRPr="004A68AC">
        <w:rPr>
          <w:szCs w:val="20"/>
          <w:lang w:val="en-US"/>
        </w:rPr>
        <w:fldChar w:fldCharType="end"/>
      </w:r>
      <w:r w:rsidR="0075644C" w:rsidRPr="004A68AC">
        <w:rPr>
          <w:szCs w:val="20"/>
          <w:lang w:val="en-US"/>
        </w:rPr>
        <w:t>(f),</w:t>
      </w:r>
      <w:r w:rsidR="00744B5B" w:rsidRPr="004A68AC">
        <w:rPr>
          <w:lang w:val="en-US"/>
        </w:rPr>
        <w:t xml:space="preserve"> </w:t>
      </w:r>
      <w:r w:rsidR="00F17806" w:rsidRPr="004A68AC">
        <w:rPr>
          <w:lang w:val="en-US"/>
        </w:rPr>
        <w:t xml:space="preserve">the columns of 9B </w:t>
      </w:r>
      <w:r w:rsidR="00744B5B" w:rsidRPr="004A68AC">
        <w:rPr>
          <w:lang w:val="en-US"/>
        </w:rPr>
        <w:t xml:space="preserve">did not exhibit high levels of demand, except in LS1 </w:t>
      </w:r>
      <w:r w:rsidR="00F17806" w:rsidRPr="004A68AC">
        <w:rPr>
          <w:lang w:val="en-US"/>
        </w:rPr>
        <w:t xml:space="preserve">for the ASCE 41-06 and -13 </w:t>
      </w:r>
      <w:r w:rsidR="00F17806"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F17806" w:rsidRPr="004A68AC">
        <w:rPr>
          <w:lang w:val="en-US"/>
        </w:rPr>
        <w:fldChar w:fldCharType="separate"/>
      </w:r>
      <w:r w:rsidR="00F17806" w:rsidRPr="004A68AC">
        <w:rPr>
          <w:noProof/>
          <w:lang w:val="en-US"/>
        </w:rPr>
        <w:t>[15,18]</w:t>
      </w:r>
      <w:r w:rsidR="00F17806" w:rsidRPr="004A68AC">
        <w:rPr>
          <w:lang w:val="en-US"/>
        </w:rPr>
        <w:fldChar w:fldCharType="end"/>
      </w:r>
      <w:r w:rsidR="00744B5B" w:rsidRPr="004A68AC">
        <w:rPr>
          <w:lang w:val="en-US"/>
        </w:rPr>
        <w:t>. This is due to the larger yield rotation capacity of the columns</w:t>
      </w:r>
      <w:r w:rsidR="003E0912" w:rsidRPr="004A68AC">
        <w:rPr>
          <w:lang w:val="en-US"/>
        </w:rPr>
        <w:t>, as a consequence of the basement level (which acts as a partially-fixed column base)</w:t>
      </w:r>
      <w:r w:rsidR="003328C4" w:rsidRPr="004A68AC">
        <w:rPr>
          <w:lang w:val="en-US"/>
        </w:rPr>
        <w:t>.</w:t>
      </w:r>
    </w:p>
    <w:p w14:paraId="501F37D7" w14:textId="0E5E9E59" w:rsidR="0075644C" w:rsidRPr="004A68AC" w:rsidRDefault="0075644C" w:rsidP="0075644C">
      <w:pPr>
        <w:pStyle w:val="ListParagraph"/>
        <w:numPr>
          <w:ilvl w:val="0"/>
          <w:numId w:val="10"/>
        </w:numPr>
        <w:ind w:left="284" w:hanging="294"/>
        <w:rPr>
          <w:lang w:val="en-US"/>
        </w:rPr>
      </w:pPr>
      <w:r w:rsidRPr="004A68AC">
        <w:rPr>
          <w:lang w:val="en-US"/>
        </w:rPr>
        <w:t xml:space="preserve">As can be observed in </w:t>
      </w:r>
      <w:r w:rsidRPr="004A68AC">
        <w:rPr>
          <w:szCs w:val="20"/>
          <w:lang w:val="en-US"/>
        </w:rPr>
        <w:fldChar w:fldCharType="begin" w:fldLock="1"/>
      </w:r>
      <w:r w:rsidRPr="004A68AC">
        <w:rPr>
          <w:szCs w:val="20"/>
          <w:lang w:val="en-US"/>
        </w:rPr>
        <w:instrText xml:space="preserve"> REF _Ref36492360 \h  \* MERGEFORMAT </w:instrText>
      </w:r>
      <w:r w:rsidRPr="004A68AC">
        <w:rPr>
          <w:szCs w:val="20"/>
          <w:lang w:val="en-US"/>
        </w:rPr>
      </w:r>
      <w:r w:rsidRPr="004A68AC">
        <w:rPr>
          <w:szCs w:val="20"/>
          <w:lang w:val="en-US"/>
        </w:rPr>
        <w:fldChar w:fldCharType="separate"/>
      </w:r>
      <w:r w:rsidRPr="004A68AC">
        <w:rPr>
          <w:bCs/>
          <w:szCs w:val="20"/>
          <w:lang w:val="en-US"/>
        </w:rPr>
        <w:t xml:space="preserve">Figure </w:t>
      </w:r>
      <w:r w:rsidRPr="004A68AC">
        <w:rPr>
          <w:bCs/>
          <w:noProof/>
          <w:szCs w:val="20"/>
          <w:lang w:val="en-US"/>
        </w:rPr>
        <w:t>11</w:t>
      </w:r>
      <w:r w:rsidRPr="004A68AC">
        <w:rPr>
          <w:szCs w:val="20"/>
          <w:lang w:val="en-US"/>
        </w:rPr>
        <w:fldChar w:fldCharType="end"/>
      </w:r>
      <w:r w:rsidRPr="004A68AC">
        <w:rPr>
          <w:szCs w:val="20"/>
          <w:lang w:val="en-US"/>
        </w:rPr>
        <w:t xml:space="preserve">(d) and (h), </w:t>
      </w:r>
      <w:r w:rsidRPr="004A68AC">
        <w:rPr>
          <w:lang w:val="en-US"/>
        </w:rPr>
        <w:t>the system fragility is controlled by the panel zones in most cases for both buildings, except when no capacity limits are provided for panel zones (</w:t>
      </w:r>
      <w:r w:rsidRPr="004A68AC">
        <w:rPr>
          <w:i/>
          <w:lang w:val="en-US"/>
        </w:rPr>
        <w:t>i.e.</w:t>
      </w:r>
      <w:r w:rsidRPr="004A68AC">
        <w:rPr>
          <w:lang w:val="en-US"/>
        </w:rPr>
        <w:t xml:space="preserve">, LS2 and LS3 in EC8-3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rPr>
        <w:fldChar w:fldCharType="separate"/>
      </w:r>
      <w:r w:rsidRPr="004A68AC">
        <w:rPr>
          <w:noProof/>
          <w:lang w:val="en-US"/>
        </w:rPr>
        <w:t>[13]</w:t>
      </w:r>
      <w:r w:rsidRPr="004A68AC">
        <w:rPr>
          <w:lang w:val="en-US"/>
        </w:rPr>
        <w:fldChar w:fldCharType="end"/>
      </w:r>
      <w:r w:rsidRPr="004A68AC">
        <w:rPr>
          <w:lang w:val="en-US"/>
        </w:rPr>
        <w:t>) and in a few cases in which the columns rules the system capacity at some levels of IM (</w:t>
      </w:r>
      <w:r w:rsidRPr="004A68AC">
        <w:rPr>
          <w:i/>
          <w:lang w:val="en-US"/>
        </w:rPr>
        <w:t>i.e.</w:t>
      </w:r>
      <w:r w:rsidRPr="004A68AC">
        <w:rPr>
          <w:lang w:val="en-US"/>
        </w:rPr>
        <w:t xml:space="preserve">, LS2 and LS3 in ASCE 41-06/13 </w:t>
      </w:r>
      <w:r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Pr="004A68AC">
        <w:rPr>
          <w:lang w:val="en-US"/>
        </w:rPr>
        <w:fldChar w:fldCharType="separate"/>
      </w:r>
      <w:r w:rsidRPr="004A68AC">
        <w:rPr>
          <w:noProof/>
          <w:lang w:val="en-US"/>
        </w:rPr>
        <w:t>[15,18]</w:t>
      </w:r>
      <w:r w:rsidRPr="004A68AC">
        <w:rPr>
          <w:lang w:val="en-US"/>
        </w:rPr>
        <w:fldChar w:fldCharType="end"/>
      </w:r>
      <w:r w:rsidRPr="004A68AC">
        <w:rPr>
          <w:lang w:val="en-US"/>
        </w:rPr>
        <w:t xml:space="preserve"> for 3B), mainly due to the different definition of θ</w:t>
      </w:r>
      <w:r w:rsidRPr="004A68AC">
        <w:rPr>
          <w:vertAlign w:val="subscript"/>
          <w:lang w:val="en-US"/>
        </w:rPr>
        <w:t>y</w:t>
      </w:r>
      <w:r w:rsidR="00044787" w:rsidRPr="004A68AC">
        <w:rPr>
          <w:lang w:val="en-US"/>
        </w:rPr>
        <w:t>.</w:t>
      </w:r>
    </w:p>
    <w:p w14:paraId="2FD11C10" w14:textId="30F99386" w:rsidR="009E38BC" w:rsidRPr="004A68AC" w:rsidRDefault="0075644C" w:rsidP="0075644C">
      <w:pPr>
        <w:pStyle w:val="ListParagraph"/>
        <w:numPr>
          <w:ilvl w:val="0"/>
          <w:numId w:val="10"/>
        </w:numPr>
        <w:ind w:left="284" w:hanging="294"/>
        <w:rPr>
          <w:lang w:val="en-US"/>
        </w:rPr>
      </w:pPr>
      <w:r w:rsidRPr="004A68AC">
        <w:rPr>
          <w:lang w:val="en-US"/>
        </w:rPr>
        <w:t xml:space="preserve">If the EC8-3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rPr>
        <w:fldChar w:fldCharType="separate"/>
      </w:r>
      <w:r w:rsidRPr="004A68AC">
        <w:rPr>
          <w:noProof/>
          <w:lang w:val="en-US"/>
        </w:rPr>
        <w:t>[13]</w:t>
      </w:r>
      <w:r w:rsidRPr="004A68AC">
        <w:rPr>
          <w:lang w:val="en-US"/>
        </w:rPr>
        <w:fldChar w:fldCharType="end"/>
      </w:r>
      <w:r w:rsidRPr="004A68AC">
        <w:rPr>
          <w:lang w:val="en-US"/>
        </w:rPr>
        <w:t xml:space="preserve"> restriction of developing plastic deformation in panel zones at LS1 is considered, the most conservative system assessment for LS1 is indeed </w:t>
      </w:r>
      <w:r w:rsidR="00C218E7" w:rsidRPr="004A68AC">
        <w:rPr>
          <w:lang w:val="en-US"/>
        </w:rPr>
        <w:t>found</w:t>
      </w:r>
      <w:r w:rsidRPr="004A68AC">
        <w:rPr>
          <w:lang w:val="en-US"/>
        </w:rPr>
        <w:t xml:space="preserve"> under the EC8-3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rPr>
        <w:fldChar w:fldCharType="separate"/>
      </w:r>
      <w:r w:rsidRPr="004A68AC">
        <w:rPr>
          <w:noProof/>
          <w:lang w:val="en-US"/>
        </w:rPr>
        <w:t>[13]</w:t>
      </w:r>
      <w:r w:rsidRPr="004A68AC">
        <w:rPr>
          <w:lang w:val="en-US"/>
        </w:rPr>
        <w:fldChar w:fldCharType="end"/>
      </w:r>
      <w:r w:rsidRPr="004A68AC">
        <w:rPr>
          <w:lang w:val="en-US"/>
        </w:rPr>
        <w:t xml:space="preserve"> regulations</w:t>
      </w:r>
      <w:r w:rsidR="00C218E7" w:rsidRPr="004A68AC">
        <w:rPr>
          <w:lang w:val="en-US"/>
        </w:rPr>
        <w:t xml:space="preserve">, as observed in </w:t>
      </w:r>
      <w:r w:rsidR="00C218E7" w:rsidRPr="004A68AC">
        <w:rPr>
          <w:szCs w:val="20"/>
          <w:lang w:val="en-US"/>
        </w:rPr>
        <w:fldChar w:fldCharType="begin" w:fldLock="1"/>
      </w:r>
      <w:r w:rsidR="00C218E7" w:rsidRPr="004A68AC">
        <w:rPr>
          <w:szCs w:val="20"/>
          <w:lang w:val="en-US"/>
        </w:rPr>
        <w:instrText xml:space="preserve"> REF _Ref36492360 \h  \* MERGEFORMAT </w:instrText>
      </w:r>
      <w:r w:rsidR="00C218E7" w:rsidRPr="004A68AC">
        <w:rPr>
          <w:szCs w:val="20"/>
          <w:lang w:val="en-US"/>
        </w:rPr>
      </w:r>
      <w:r w:rsidR="00C218E7" w:rsidRPr="004A68AC">
        <w:rPr>
          <w:szCs w:val="20"/>
          <w:lang w:val="en-US"/>
        </w:rPr>
        <w:fldChar w:fldCharType="separate"/>
      </w:r>
      <w:r w:rsidR="00C218E7" w:rsidRPr="004A68AC">
        <w:rPr>
          <w:bCs/>
          <w:szCs w:val="20"/>
          <w:lang w:val="en-US"/>
        </w:rPr>
        <w:t xml:space="preserve">Figure </w:t>
      </w:r>
      <w:r w:rsidR="00C218E7" w:rsidRPr="004A68AC">
        <w:rPr>
          <w:bCs/>
          <w:noProof/>
          <w:szCs w:val="20"/>
          <w:lang w:val="en-US"/>
        </w:rPr>
        <w:t>11</w:t>
      </w:r>
      <w:r w:rsidR="00C218E7" w:rsidRPr="004A68AC">
        <w:rPr>
          <w:szCs w:val="20"/>
          <w:lang w:val="en-US"/>
        </w:rPr>
        <w:fldChar w:fldCharType="end"/>
      </w:r>
      <w:r w:rsidR="00C218E7" w:rsidRPr="004A68AC">
        <w:rPr>
          <w:szCs w:val="20"/>
          <w:lang w:val="en-US"/>
        </w:rPr>
        <w:t>(d) and (h)</w:t>
      </w:r>
      <w:r w:rsidRPr="004A68AC">
        <w:rPr>
          <w:lang w:val="en-US"/>
        </w:rPr>
        <w:t>.</w:t>
      </w:r>
      <w:r w:rsidR="00106318" w:rsidRPr="004A68AC">
        <w:rPr>
          <w:lang w:val="en-US"/>
        </w:rPr>
        <w:t xml:space="preserve"> For this limit state, the</w:t>
      </w:r>
      <w:r w:rsidR="009E38BC" w:rsidRPr="004A68AC">
        <w:rPr>
          <w:lang w:val="en-US"/>
        </w:rPr>
        <w:t xml:space="preserve"> </w:t>
      </w:r>
      <w:r w:rsidR="009E38BC" w:rsidRPr="004A68AC">
        <w:rPr>
          <w:szCs w:val="20"/>
          <w:lang w:val="en-US" w:eastAsia="it-IT"/>
        </w:rPr>
        <w:t>median fragility capacity IM</w:t>
      </w:r>
      <w:r w:rsidR="009E38BC" w:rsidRPr="004A68AC">
        <w:rPr>
          <w:szCs w:val="20"/>
          <w:vertAlign w:val="subscript"/>
          <w:lang w:val="en-US" w:eastAsia="it-IT"/>
        </w:rPr>
        <w:t>50</w:t>
      </w:r>
      <w:r w:rsidR="00106318" w:rsidRPr="004A68AC">
        <w:rPr>
          <w:lang w:val="en-US"/>
        </w:rPr>
        <w:t xml:space="preserve"> </w:t>
      </w:r>
      <w:r w:rsidR="009E38BC" w:rsidRPr="004A68AC">
        <w:rPr>
          <w:lang w:val="en-US"/>
        </w:rPr>
        <w:t xml:space="preserve">of the </w:t>
      </w:r>
      <w:r w:rsidR="00106318" w:rsidRPr="004A68AC">
        <w:rPr>
          <w:lang w:val="en-US"/>
        </w:rPr>
        <w:t>ASCE 41-06, -13 and -17</w:t>
      </w:r>
      <w:r w:rsidR="009E38BC" w:rsidRPr="004A68AC">
        <w:rPr>
          <w:lang w:val="en-US"/>
        </w:rPr>
        <w:t xml:space="preserve"> </w:t>
      </w:r>
      <w:r w:rsidR="009E38BC"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9E38BC" w:rsidRPr="004A68AC">
        <w:rPr>
          <w:lang w:val="en-US"/>
        </w:rPr>
        <w:fldChar w:fldCharType="separate"/>
      </w:r>
      <w:r w:rsidR="009E38BC" w:rsidRPr="004A68AC">
        <w:rPr>
          <w:noProof/>
          <w:lang w:val="en-US"/>
        </w:rPr>
        <w:t>[15,18,19]</w:t>
      </w:r>
      <w:r w:rsidR="009E38BC" w:rsidRPr="004A68AC">
        <w:rPr>
          <w:lang w:val="en-US"/>
        </w:rPr>
        <w:fldChar w:fldCharType="end"/>
      </w:r>
      <w:r w:rsidR="009E38BC" w:rsidRPr="004A68AC">
        <w:rPr>
          <w:lang w:val="en-US"/>
        </w:rPr>
        <w:t xml:space="preserve"> result on differences of </w:t>
      </w:r>
      <w:r w:rsidR="003328C4" w:rsidRPr="004A68AC">
        <w:rPr>
          <w:lang w:val="en-US"/>
        </w:rPr>
        <w:t>31</w:t>
      </w:r>
      <w:r w:rsidR="009E38BC" w:rsidRPr="004A68AC">
        <w:rPr>
          <w:lang w:val="en-US"/>
        </w:rPr>
        <w:t xml:space="preserve">%, </w:t>
      </w:r>
      <w:r w:rsidR="003328C4" w:rsidRPr="004A68AC">
        <w:rPr>
          <w:lang w:val="en-US"/>
        </w:rPr>
        <w:t>31</w:t>
      </w:r>
      <w:r w:rsidR="009E38BC" w:rsidRPr="004A68AC">
        <w:rPr>
          <w:lang w:val="en-US"/>
        </w:rPr>
        <w:t xml:space="preserve">% and </w:t>
      </w:r>
      <w:r w:rsidR="003328C4" w:rsidRPr="004A68AC">
        <w:rPr>
          <w:lang w:val="en-US"/>
        </w:rPr>
        <w:t>37</w:t>
      </w:r>
      <w:r w:rsidR="009E38BC" w:rsidRPr="004A68AC">
        <w:rPr>
          <w:lang w:val="en-US"/>
        </w:rPr>
        <w:t xml:space="preserve">% for 3B, and </w:t>
      </w:r>
      <w:r w:rsidR="006C3237" w:rsidRPr="004A68AC">
        <w:rPr>
          <w:lang w:val="en-US"/>
        </w:rPr>
        <w:t>17</w:t>
      </w:r>
      <w:r w:rsidR="009E38BC" w:rsidRPr="004A68AC">
        <w:rPr>
          <w:lang w:val="en-US"/>
        </w:rPr>
        <w:t xml:space="preserve">%, </w:t>
      </w:r>
      <w:r w:rsidR="006C3237" w:rsidRPr="004A68AC">
        <w:rPr>
          <w:lang w:val="en-US"/>
        </w:rPr>
        <w:t>17</w:t>
      </w:r>
      <w:r w:rsidR="009E38BC" w:rsidRPr="004A68AC">
        <w:rPr>
          <w:lang w:val="en-US"/>
        </w:rPr>
        <w:t xml:space="preserve">% and </w:t>
      </w:r>
      <w:r w:rsidR="006C3237" w:rsidRPr="004A68AC">
        <w:rPr>
          <w:lang w:val="en-US"/>
        </w:rPr>
        <w:t>46</w:t>
      </w:r>
      <w:r w:rsidR="009E38BC" w:rsidRPr="004A68AC">
        <w:rPr>
          <w:lang w:val="en-US"/>
        </w:rPr>
        <w:t xml:space="preserve">% for 9B, with respect to the EC8-3 </w:t>
      </w:r>
      <w:r w:rsidR="009E38BC"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9E38BC" w:rsidRPr="004A68AC">
        <w:rPr>
          <w:lang w:val="en-US"/>
        </w:rPr>
        <w:fldChar w:fldCharType="separate"/>
      </w:r>
      <w:r w:rsidR="009E38BC" w:rsidRPr="004A68AC">
        <w:rPr>
          <w:noProof/>
          <w:lang w:val="en-US"/>
        </w:rPr>
        <w:t>[13]</w:t>
      </w:r>
      <w:r w:rsidR="009E38BC" w:rsidRPr="004A68AC">
        <w:rPr>
          <w:lang w:val="en-US"/>
        </w:rPr>
        <w:fldChar w:fldCharType="end"/>
      </w:r>
      <w:r w:rsidR="009E38BC" w:rsidRPr="004A68AC">
        <w:rPr>
          <w:lang w:val="en-US"/>
        </w:rPr>
        <w:t>.</w:t>
      </w:r>
    </w:p>
    <w:p w14:paraId="53C15309" w14:textId="187A784F" w:rsidR="0075644C" w:rsidRPr="004A68AC" w:rsidRDefault="009E38BC" w:rsidP="002B7EC7">
      <w:pPr>
        <w:pStyle w:val="ListParagraph"/>
        <w:numPr>
          <w:ilvl w:val="0"/>
          <w:numId w:val="10"/>
        </w:numPr>
        <w:ind w:left="284" w:hanging="294"/>
        <w:rPr>
          <w:lang w:val="en-US"/>
        </w:rPr>
      </w:pPr>
      <w:r w:rsidRPr="004A68AC">
        <w:rPr>
          <w:lang w:val="en-US"/>
        </w:rPr>
        <w:t>When</w:t>
      </w:r>
      <w:r w:rsidR="0075644C" w:rsidRPr="004A68AC">
        <w:rPr>
          <w:lang w:val="en-US"/>
        </w:rPr>
        <w:t xml:space="preserve"> the assessment for LS2 and LS3</w:t>
      </w:r>
      <w:r w:rsidRPr="004A68AC">
        <w:rPr>
          <w:lang w:val="en-US"/>
        </w:rPr>
        <w:t xml:space="preserve"> is</w:t>
      </w:r>
      <w:r w:rsidR="0075644C" w:rsidRPr="004A68AC">
        <w:rPr>
          <w:lang w:val="en-US"/>
        </w:rPr>
        <w:t xml:space="preserve"> made under the regulations of the EC8-3 </w:t>
      </w:r>
      <w:r w:rsidR="0075644C"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75644C" w:rsidRPr="004A68AC">
        <w:rPr>
          <w:lang w:val="en-US"/>
        </w:rPr>
        <w:fldChar w:fldCharType="separate"/>
      </w:r>
      <w:r w:rsidR="0075644C" w:rsidRPr="004A68AC">
        <w:rPr>
          <w:noProof/>
          <w:lang w:val="en-US"/>
        </w:rPr>
        <w:t>[13]</w:t>
      </w:r>
      <w:r w:rsidR="0075644C" w:rsidRPr="004A68AC">
        <w:rPr>
          <w:lang w:val="en-US"/>
        </w:rPr>
        <w:fldChar w:fldCharType="end"/>
      </w:r>
      <w:r w:rsidR="0075644C" w:rsidRPr="004A68AC">
        <w:rPr>
          <w:lang w:val="en-US"/>
        </w:rPr>
        <w:t xml:space="preserve"> </w:t>
      </w:r>
      <w:r w:rsidRPr="004A68AC">
        <w:rPr>
          <w:lang w:val="en-US"/>
        </w:rPr>
        <w:t xml:space="preserve">the results are the least conservative in comparison with all the versions of ASCE 41 </w:t>
      </w:r>
      <w:r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[15,18,19]</w:t>
      </w:r>
      <w:r w:rsidRPr="004A68AC">
        <w:rPr>
          <w:szCs w:val="20"/>
          <w:lang w:val="en-US" w:eastAsia="it-IT"/>
        </w:rPr>
        <w:fldChar w:fldCharType="end"/>
      </w:r>
      <w:r w:rsidR="0075644C" w:rsidRPr="004A68AC">
        <w:rPr>
          <w:lang w:val="en-US"/>
        </w:rPr>
        <w:t>, due to the lack of code-established capacity limits for panel zones.</w:t>
      </w:r>
      <w:r w:rsidRPr="004A68AC">
        <w:rPr>
          <w:lang w:val="en-US"/>
        </w:rPr>
        <w:t xml:space="preserve"> With respect to the EC8-3 </w:t>
      </w:r>
      <w:r w:rsidRPr="004A68AC">
        <w:rPr>
          <w:lang w:val="en-US"/>
        </w:rPr>
        <w:fldChar w:fldCharType="begin" w:fldLock="1"/>
      </w:r>
      <w:r w:rsidR="005C47A3" w:rsidRPr="004A68AC">
        <w:rPr>
          <w:lang w:val="en-US"/>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rPr>
        <w:fldChar w:fldCharType="separate"/>
      </w:r>
      <w:r w:rsidRPr="004A68AC">
        <w:rPr>
          <w:noProof/>
          <w:lang w:val="en-US"/>
        </w:rPr>
        <w:t>[13]</w:t>
      </w:r>
      <w:r w:rsidRPr="004A68AC">
        <w:rPr>
          <w:lang w:val="en-US"/>
        </w:rPr>
        <w:fldChar w:fldCharType="end"/>
      </w:r>
      <w:r w:rsidRPr="004A68AC">
        <w:rPr>
          <w:lang w:val="en-US"/>
        </w:rPr>
        <w:t xml:space="preserve">, the median fragility capacity </w:t>
      </w:r>
      <w:r w:rsidRPr="004A68AC">
        <w:rPr>
          <w:szCs w:val="20"/>
          <w:lang w:val="en-US" w:eastAsia="it-IT"/>
        </w:rPr>
        <w:t>IM</w:t>
      </w:r>
      <w:r w:rsidRPr="004A68AC">
        <w:rPr>
          <w:szCs w:val="20"/>
          <w:vertAlign w:val="subscript"/>
          <w:lang w:val="en-US" w:eastAsia="it-IT"/>
        </w:rPr>
        <w:t>50</w:t>
      </w:r>
      <w:r w:rsidRPr="004A68AC">
        <w:rPr>
          <w:lang w:val="en-US"/>
        </w:rPr>
        <w:t xml:space="preserve"> for the ASCE 41-06, -13 and -17 </w:t>
      </w:r>
      <w:r w:rsidRPr="004A68AC">
        <w:rPr>
          <w:lang w:val="en-US"/>
        </w:rPr>
        <w:fldChar w:fldCharType="begin" w:fldLock="1"/>
      </w:r>
      <w:r w:rsidR="005C47A3" w:rsidRPr="004A68AC">
        <w:rPr>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lang w:val="en-US"/>
        </w:rPr>
        <w:fldChar w:fldCharType="separate"/>
      </w:r>
      <w:r w:rsidRPr="004A68AC">
        <w:rPr>
          <w:noProof/>
          <w:lang w:val="en-US"/>
        </w:rPr>
        <w:t>[15,18,19]</w:t>
      </w:r>
      <w:r w:rsidRPr="004A68AC">
        <w:rPr>
          <w:lang w:val="en-US"/>
        </w:rPr>
        <w:fldChar w:fldCharType="end"/>
      </w:r>
      <w:r w:rsidRPr="004A68AC">
        <w:rPr>
          <w:lang w:val="en-US"/>
        </w:rPr>
        <w:t xml:space="preserve"> result on differences</w:t>
      </w:r>
      <w:r w:rsidR="00DC29F6" w:rsidRPr="004A68AC">
        <w:rPr>
          <w:lang w:val="en-US"/>
        </w:rPr>
        <w:t xml:space="preserve"> of </w:t>
      </w:r>
      <w:r w:rsidR="006C3237" w:rsidRPr="004A68AC">
        <w:rPr>
          <w:lang w:val="en-US"/>
        </w:rPr>
        <w:t>43</w:t>
      </w:r>
      <w:r w:rsidR="00DC29F6" w:rsidRPr="004A68AC">
        <w:rPr>
          <w:lang w:val="en-US"/>
        </w:rPr>
        <w:t xml:space="preserve">%, </w:t>
      </w:r>
      <w:r w:rsidR="006C3237" w:rsidRPr="004A68AC">
        <w:rPr>
          <w:lang w:val="en-US"/>
        </w:rPr>
        <w:t>27</w:t>
      </w:r>
      <w:r w:rsidR="00DC29F6" w:rsidRPr="004A68AC">
        <w:rPr>
          <w:lang w:val="en-US"/>
        </w:rPr>
        <w:t xml:space="preserve">% and </w:t>
      </w:r>
      <w:r w:rsidR="006C3237" w:rsidRPr="004A68AC">
        <w:rPr>
          <w:lang w:val="en-US"/>
        </w:rPr>
        <w:t>8</w:t>
      </w:r>
      <w:r w:rsidR="00DC29F6" w:rsidRPr="004A68AC">
        <w:rPr>
          <w:lang w:val="en-US"/>
        </w:rPr>
        <w:t xml:space="preserve">% for LS2 in 3B; </w:t>
      </w:r>
      <w:r w:rsidR="006C3237" w:rsidRPr="004A68AC">
        <w:rPr>
          <w:lang w:val="en-US"/>
        </w:rPr>
        <w:t>33</w:t>
      </w:r>
      <w:r w:rsidR="00DC29F6" w:rsidRPr="004A68AC">
        <w:rPr>
          <w:lang w:val="en-US"/>
        </w:rPr>
        <w:t xml:space="preserve">%, </w:t>
      </w:r>
      <w:r w:rsidR="006C3237" w:rsidRPr="004A68AC">
        <w:rPr>
          <w:lang w:val="en-US"/>
        </w:rPr>
        <w:t>27</w:t>
      </w:r>
      <w:r w:rsidR="00DC29F6" w:rsidRPr="004A68AC">
        <w:rPr>
          <w:lang w:val="en-US"/>
        </w:rPr>
        <w:t xml:space="preserve">% and </w:t>
      </w:r>
      <w:r w:rsidR="006C3237" w:rsidRPr="004A68AC">
        <w:rPr>
          <w:lang w:val="en-US"/>
        </w:rPr>
        <w:t>15</w:t>
      </w:r>
      <w:r w:rsidR="00DC29F6" w:rsidRPr="004A68AC">
        <w:rPr>
          <w:lang w:val="en-US"/>
        </w:rPr>
        <w:t xml:space="preserve">% for LS3 in 3B; 64%, </w:t>
      </w:r>
      <w:r w:rsidR="006C3237" w:rsidRPr="004A68AC">
        <w:rPr>
          <w:lang w:val="en-US"/>
        </w:rPr>
        <w:t>48</w:t>
      </w:r>
      <w:r w:rsidR="00DC29F6" w:rsidRPr="004A68AC">
        <w:rPr>
          <w:lang w:val="en-US"/>
        </w:rPr>
        <w:t xml:space="preserve">% and 39% for LS2 in 9B; and 53%, </w:t>
      </w:r>
      <w:r w:rsidR="006C3237" w:rsidRPr="004A68AC">
        <w:rPr>
          <w:lang w:val="en-US"/>
        </w:rPr>
        <w:t>48</w:t>
      </w:r>
      <w:r w:rsidR="00DC29F6" w:rsidRPr="004A68AC">
        <w:rPr>
          <w:lang w:val="en-US"/>
        </w:rPr>
        <w:t xml:space="preserve">% and </w:t>
      </w:r>
      <w:r w:rsidR="006C3237" w:rsidRPr="004A68AC">
        <w:rPr>
          <w:lang w:val="en-US"/>
        </w:rPr>
        <w:t>39</w:t>
      </w:r>
      <w:r w:rsidR="00DC29F6" w:rsidRPr="004A68AC">
        <w:rPr>
          <w:lang w:val="en-US"/>
        </w:rPr>
        <w:t>% for LS3 in 9B.</w:t>
      </w:r>
    </w:p>
    <w:p w14:paraId="56EC4C53" w14:textId="6729C8B7" w:rsidR="002B7EC7" w:rsidRPr="004A68AC" w:rsidRDefault="002B7EC7" w:rsidP="002B7EC7">
      <w:pPr>
        <w:pStyle w:val="ListParagraph"/>
        <w:numPr>
          <w:ilvl w:val="0"/>
          <w:numId w:val="10"/>
        </w:numPr>
        <w:ind w:left="284" w:hanging="294"/>
        <w:rPr>
          <w:lang w:val="en-US"/>
        </w:rPr>
      </w:pPr>
      <w:r w:rsidRPr="004A68AC">
        <w:rPr>
          <w:lang w:val="en-US"/>
        </w:rPr>
        <w:t xml:space="preserve">When the fragility of 3B in </w:t>
      </w:r>
      <w:r w:rsidRPr="004A68AC">
        <w:rPr>
          <w:szCs w:val="20"/>
          <w:lang w:val="en-US"/>
        </w:rPr>
        <w:fldChar w:fldCharType="begin" w:fldLock="1"/>
      </w:r>
      <w:r w:rsidRPr="004A68AC">
        <w:rPr>
          <w:szCs w:val="20"/>
          <w:lang w:val="en-US"/>
        </w:rPr>
        <w:instrText xml:space="preserve"> REF _Ref36492360 \h  \* MERGEFORMAT </w:instrText>
      </w:r>
      <w:r w:rsidRPr="004A68AC">
        <w:rPr>
          <w:szCs w:val="20"/>
          <w:lang w:val="en-US"/>
        </w:rPr>
      </w:r>
      <w:r w:rsidRPr="004A68AC">
        <w:rPr>
          <w:szCs w:val="20"/>
          <w:lang w:val="en-US"/>
        </w:rPr>
        <w:fldChar w:fldCharType="separate"/>
      </w:r>
      <w:r w:rsidRPr="004A68AC">
        <w:rPr>
          <w:bCs/>
          <w:szCs w:val="20"/>
          <w:lang w:val="en-US"/>
        </w:rPr>
        <w:t xml:space="preserve">Figure </w:t>
      </w:r>
      <w:r w:rsidRPr="004A68AC">
        <w:rPr>
          <w:bCs/>
          <w:noProof/>
          <w:szCs w:val="20"/>
          <w:lang w:val="en-US"/>
        </w:rPr>
        <w:t>11</w:t>
      </w:r>
      <w:r w:rsidRPr="004A68AC">
        <w:rPr>
          <w:szCs w:val="20"/>
          <w:lang w:val="en-US"/>
        </w:rPr>
        <w:fldChar w:fldCharType="end"/>
      </w:r>
      <w:r w:rsidRPr="004A68AC">
        <w:rPr>
          <w:szCs w:val="20"/>
          <w:lang w:val="en-US"/>
        </w:rPr>
        <w:t>(d)</w:t>
      </w:r>
      <w:r w:rsidRPr="004A68AC">
        <w:rPr>
          <w:lang w:val="en-US"/>
        </w:rPr>
        <w:t xml:space="preserve"> is compared to the fragility of 9B in </w:t>
      </w:r>
      <w:r w:rsidRPr="004A68AC">
        <w:rPr>
          <w:szCs w:val="20"/>
          <w:lang w:val="en-US"/>
        </w:rPr>
        <w:fldChar w:fldCharType="begin" w:fldLock="1"/>
      </w:r>
      <w:r w:rsidRPr="004A68AC">
        <w:rPr>
          <w:szCs w:val="20"/>
          <w:lang w:val="en-US"/>
        </w:rPr>
        <w:instrText xml:space="preserve"> REF _Ref36492360 \h  \* MERGEFORMAT </w:instrText>
      </w:r>
      <w:r w:rsidRPr="004A68AC">
        <w:rPr>
          <w:szCs w:val="20"/>
          <w:lang w:val="en-US"/>
        </w:rPr>
      </w:r>
      <w:r w:rsidRPr="004A68AC">
        <w:rPr>
          <w:szCs w:val="20"/>
          <w:lang w:val="en-US"/>
        </w:rPr>
        <w:fldChar w:fldCharType="separate"/>
      </w:r>
      <w:r w:rsidRPr="004A68AC">
        <w:rPr>
          <w:bCs/>
          <w:szCs w:val="20"/>
          <w:lang w:val="en-US"/>
        </w:rPr>
        <w:t xml:space="preserve">Figure </w:t>
      </w:r>
      <w:r w:rsidRPr="004A68AC">
        <w:rPr>
          <w:bCs/>
          <w:noProof/>
          <w:szCs w:val="20"/>
          <w:lang w:val="en-US"/>
        </w:rPr>
        <w:t>11</w:t>
      </w:r>
      <w:r w:rsidRPr="004A68AC">
        <w:rPr>
          <w:szCs w:val="20"/>
          <w:lang w:val="en-US"/>
        </w:rPr>
        <w:fldChar w:fldCharType="end"/>
      </w:r>
      <w:r w:rsidRPr="004A68AC">
        <w:rPr>
          <w:szCs w:val="20"/>
          <w:lang w:val="en-US"/>
        </w:rPr>
        <w:t>(h)</w:t>
      </w:r>
      <w:r w:rsidRPr="004A68AC">
        <w:rPr>
          <w:lang w:val="en-US"/>
        </w:rPr>
        <w:t xml:space="preserve">, 3B results on a more fragile structure, except for LS1, in which both structures exhibit similar levels of fragility. However, this is </w:t>
      </w:r>
      <w:r w:rsidR="00885D18" w:rsidRPr="004A68AC">
        <w:rPr>
          <w:lang w:val="en-US"/>
        </w:rPr>
        <w:t>heavily influenced by the</w:t>
      </w:r>
      <w:r w:rsidRPr="004A68AC">
        <w:rPr>
          <w:lang w:val="en-US"/>
        </w:rPr>
        <w:t xml:space="preserve"> differences in spectral accelerations due to the location of the fundamental period in the spectra.</w:t>
      </w:r>
    </w:p>
    <w:p w14:paraId="4238EF22" w14:textId="77777777" w:rsidR="002B7EC7" w:rsidRPr="004A68AC" w:rsidRDefault="002B7EC7" w:rsidP="002B7EC7">
      <w:pPr>
        <w:pStyle w:val="ListParagraph"/>
        <w:numPr>
          <w:ilvl w:val="0"/>
          <w:numId w:val="10"/>
        </w:numPr>
        <w:ind w:left="284" w:hanging="294"/>
        <w:rPr>
          <w:lang w:val="en-US"/>
        </w:rPr>
      </w:pPr>
      <w:r w:rsidRPr="004A68AC">
        <w:rPr>
          <w:lang w:val="en-US"/>
        </w:rPr>
        <w:t>Among the American codes, the newer versions of the prescription have shifted towards less conservative assessment outcomes in all cases.</w:t>
      </w:r>
    </w:p>
    <w:p w14:paraId="26DFA09B" w14:textId="77777777" w:rsidR="002B7EC7" w:rsidRPr="004A68AC" w:rsidRDefault="002B7EC7" w:rsidP="007F7855">
      <w:pPr>
        <w:rPr>
          <w:sz w:val="18"/>
          <w:szCs w:val="18"/>
          <w:lang w:val="en-US" w:eastAsia="it-IT"/>
        </w:rPr>
      </w:pPr>
    </w:p>
    <w:p w14:paraId="750D2B7B" w14:textId="4C9FDB82" w:rsidR="00C428B4" w:rsidRPr="004A68AC" w:rsidRDefault="0009706D" w:rsidP="00C428B4">
      <w:pPr>
        <w:jc w:val="center"/>
        <w:rPr>
          <w:rStyle w:val="CaptionChar"/>
          <w:rFonts w:eastAsia="SimSun"/>
        </w:rPr>
      </w:pPr>
      <w:r w:rsidRPr="004A68AC">
        <w:rPr>
          <w:rStyle w:val="CaptionChar"/>
          <w:rFonts w:eastAsia="SimSun"/>
          <w:noProof/>
        </w:rPr>
        <w:lastRenderedPageBreak/>
        <w:drawing>
          <wp:inline distT="0" distB="0" distL="0" distR="0" wp14:anchorId="06946159" wp14:editId="5B8B5A02">
            <wp:extent cx="6115050" cy="7677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892"/>
                    <a:stretch/>
                  </pic:blipFill>
                  <pic:spPr bwMode="auto">
                    <a:xfrm>
                      <a:off x="0" y="0"/>
                      <a:ext cx="6115050" cy="7677150"/>
                    </a:xfrm>
                    <a:prstGeom prst="rect">
                      <a:avLst/>
                    </a:prstGeom>
                    <a:noFill/>
                    <a:ln>
                      <a:noFill/>
                    </a:ln>
                    <a:extLst>
                      <a:ext uri="{53640926-AAD7-44D8-BBD7-CCE9431645EC}">
                        <a14:shadowObscured xmlns:a14="http://schemas.microsoft.com/office/drawing/2010/main"/>
                      </a:ext>
                    </a:extLst>
                  </pic:spPr>
                </pic:pic>
              </a:graphicData>
            </a:graphic>
          </wp:inline>
        </w:drawing>
      </w:r>
      <w:bookmarkStart w:id="30" w:name="_Ref36492360"/>
      <w:r w:rsidR="000A1403" w:rsidRPr="004A68AC">
        <w:rPr>
          <w:rStyle w:val="CaptionChar"/>
          <w:rFonts w:eastAsia="SimSun"/>
          <w:noProof/>
        </w:rPr>
        <w:drawing>
          <wp:inline distT="0" distB="0" distL="0" distR="0" wp14:anchorId="245A00DC" wp14:editId="02AC7FC6">
            <wp:extent cx="6113704" cy="588092"/>
            <wp:effectExtent l="0" t="0" r="190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92558"/>
                    <a:stretch/>
                  </pic:blipFill>
                  <pic:spPr bwMode="auto">
                    <a:xfrm>
                      <a:off x="0" y="0"/>
                      <a:ext cx="6114415" cy="588160"/>
                    </a:xfrm>
                    <a:prstGeom prst="rect">
                      <a:avLst/>
                    </a:prstGeom>
                    <a:noFill/>
                    <a:ln>
                      <a:noFill/>
                    </a:ln>
                    <a:extLst>
                      <a:ext uri="{53640926-AAD7-44D8-BBD7-CCE9431645EC}">
                        <a14:shadowObscured xmlns:a14="http://schemas.microsoft.com/office/drawing/2010/main"/>
                      </a:ext>
                    </a:extLst>
                  </pic:spPr>
                </pic:pic>
              </a:graphicData>
            </a:graphic>
          </wp:inline>
        </w:drawing>
      </w:r>
    </w:p>
    <w:p w14:paraId="7F5B1138" w14:textId="4E1A9B56" w:rsidR="006D7509" w:rsidRPr="004A68AC" w:rsidRDefault="006D7509" w:rsidP="00C428B4">
      <w:pPr>
        <w:pStyle w:val="Caption"/>
        <w:rPr>
          <w:rStyle w:val="CaptionChar"/>
          <w:bCs/>
          <w:lang w:val="en-GB"/>
        </w:rPr>
      </w:pPr>
      <w:bookmarkStart w:id="31" w:name="_Ref62921706"/>
      <w:r w:rsidRPr="004A68AC">
        <w:rPr>
          <w:rStyle w:val="CaptionChar"/>
          <w:b/>
          <w:lang w:val="en-GB"/>
        </w:rPr>
        <w:t xml:space="preserve">Figure </w:t>
      </w:r>
      <w:r w:rsidRPr="004A68AC">
        <w:rPr>
          <w:rStyle w:val="CaptionChar"/>
          <w:b/>
        </w:rPr>
        <w:fldChar w:fldCharType="begin" w:fldLock="1"/>
      </w:r>
      <w:r w:rsidRPr="004A68AC">
        <w:rPr>
          <w:rStyle w:val="CaptionChar"/>
          <w:b/>
          <w:lang w:val="en-GB"/>
        </w:rPr>
        <w:instrText xml:space="preserve"> SEQ Figure \* ARABIC </w:instrText>
      </w:r>
      <w:r w:rsidRPr="004A68AC">
        <w:rPr>
          <w:rStyle w:val="CaptionChar"/>
          <w:b/>
        </w:rPr>
        <w:fldChar w:fldCharType="separate"/>
      </w:r>
      <w:r w:rsidR="00292616" w:rsidRPr="004A68AC">
        <w:rPr>
          <w:rStyle w:val="CaptionChar"/>
          <w:b/>
          <w:lang w:val="en-GB"/>
        </w:rPr>
        <w:t>11</w:t>
      </w:r>
      <w:r w:rsidRPr="004A68AC">
        <w:rPr>
          <w:rStyle w:val="CaptionChar"/>
          <w:b/>
        </w:rPr>
        <w:fldChar w:fldCharType="end"/>
      </w:r>
      <w:bookmarkEnd w:id="30"/>
      <w:bookmarkEnd w:id="31"/>
      <w:r w:rsidRPr="004A68AC">
        <w:rPr>
          <w:rStyle w:val="CaptionChar"/>
          <w:b/>
          <w:lang w:val="en-GB"/>
        </w:rPr>
        <w:t>.</w:t>
      </w:r>
      <w:r w:rsidRPr="004A68AC">
        <w:rPr>
          <w:rStyle w:val="CaptionChar"/>
          <w:bCs/>
          <w:lang w:val="en-GB"/>
        </w:rPr>
        <w:t xml:space="preserve"> Comparison of fragility curves for different EDPs for buildings 3B and 9B, based on the procedures of the different considered codes.</w:t>
      </w:r>
    </w:p>
    <w:p w14:paraId="69242756" w14:textId="5E3DF3CB" w:rsidR="00A00092" w:rsidRPr="004A68AC" w:rsidRDefault="00A00092" w:rsidP="00953170">
      <w:pPr>
        <w:pStyle w:val="Heading3"/>
        <w:spacing w:before="0" w:after="0"/>
        <w:rPr>
          <w:b w:val="0"/>
          <w:i/>
          <w:szCs w:val="20"/>
          <w:lang w:val="en-US"/>
        </w:rPr>
      </w:pPr>
      <w:r w:rsidRPr="004A68AC">
        <w:rPr>
          <w:rFonts w:ascii="Times New Roman" w:hAnsi="Times New Roman"/>
          <w:bCs w:val="0"/>
          <w:i/>
          <w:sz w:val="20"/>
          <w:szCs w:val="20"/>
          <w:lang w:val="en-US"/>
        </w:rPr>
        <w:lastRenderedPageBreak/>
        <w:t xml:space="preserve">4.7 </w:t>
      </w:r>
      <w:r w:rsidR="00E20B25" w:rsidRPr="004A68AC">
        <w:rPr>
          <w:rFonts w:ascii="Times New Roman" w:hAnsi="Times New Roman"/>
          <w:bCs w:val="0"/>
          <w:i/>
          <w:sz w:val="20"/>
          <w:szCs w:val="20"/>
          <w:lang w:val="en-US"/>
        </w:rPr>
        <w:t>Global EDPs</w:t>
      </w:r>
    </w:p>
    <w:p w14:paraId="69C90834" w14:textId="7A2416F1" w:rsidR="00073550" w:rsidRPr="004A68AC" w:rsidRDefault="00E20B25" w:rsidP="00A00092">
      <w:pPr>
        <w:rPr>
          <w:lang w:val="en-US" w:eastAsia="it-IT"/>
        </w:rPr>
      </w:pPr>
      <w:r w:rsidRPr="004A68AC">
        <w:rPr>
          <w:lang w:val="en-US" w:eastAsia="it-IT"/>
        </w:rPr>
        <w:t xml:space="preserve">In parallel to the assessment of the local components, </w:t>
      </w:r>
      <w:r w:rsidR="009E4EB5" w:rsidRPr="004A68AC">
        <w:rPr>
          <w:lang w:val="en-US" w:eastAsia="it-IT"/>
        </w:rPr>
        <w:t>fragility curves</w:t>
      </w:r>
      <w:r w:rsidR="00E239F6" w:rsidRPr="004A68AC">
        <w:rPr>
          <w:lang w:val="en-US" w:eastAsia="it-IT"/>
        </w:rPr>
        <w:t xml:space="preserve"> for</w:t>
      </w:r>
      <w:r w:rsidR="009E4EB5" w:rsidRPr="004A68AC">
        <w:rPr>
          <w:lang w:val="en-US" w:eastAsia="it-IT"/>
        </w:rPr>
        <w:t xml:space="preserve"> the</w:t>
      </w:r>
      <w:r w:rsidR="00E239F6" w:rsidRPr="004A68AC">
        <w:rPr>
          <w:lang w:val="en-US" w:eastAsia="it-IT"/>
        </w:rPr>
        <w:t xml:space="preserve"> MIDR, RIDR and MSA are provided</w:t>
      </w:r>
      <w:r w:rsidR="009E4EB5" w:rsidRPr="004A68AC">
        <w:rPr>
          <w:lang w:val="en-US" w:eastAsia="it-IT"/>
        </w:rPr>
        <w:t xml:space="preserve"> and shown in Figure 12</w:t>
      </w:r>
      <w:r w:rsidR="00D245B4" w:rsidRPr="004A68AC">
        <w:rPr>
          <w:lang w:val="en-US" w:eastAsia="it-IT"/>
        </w:rPr>
        <w:t xml:space="preserve">. The </w:t>
      </w:r>
      <w:r w:rsidR="009E4EB5" w:rsidRPr="004A68AC">
        <w:rPr>
          <w:lang w:val="en-US" w:eastAsia="it-IT"/>
        </w:rPr>
        <w:t xml:space="preserve">fragility curves for </w:t>
      </w:r>
      <w:r w:rsidR="00D245B4" w:rsidRPr="004A68AC">
        <w:rPr>
          <w:lang w:val="en-US" w:eastAsia="it-IT"/>
        </w:rPr>
        <w:t>MIDR</w:t>
      </w:r>
      <w:r w:rsidR="00202AB1" w:rsidRPr="004A68AC">
        <w:rPr>
          <w:lang w:val="en-US" w:eastAsia="it-IT"/>
        </w:rPr>
        <w:t>s</w:t>
      </w:r>
      <w:r w:rsidR="009E4EB5" w:rsidRPr="004A68AC">
        <w:rPr>
          <w:lang w:val="en-US" w:eastAsia="it-IT"/>
        </w:rPr>
        <w:t xml:space="preserve"> (shown also in Figure 11)</w:t>
      </w:r>
      <w:r w:rsidR="00D245B4" w:rsidRPr="004A68AC">
        <w:rPr>
          <w:lang w:val="en-US" w:eastAsia="it-IT"/>
        </w:rPr>
        <w:t xml:space="preserve"> </w:t>
      </w:r>
      <w:r w:rsidR="009E4EB5" w:rsidRPr="004A68AC">
        <w:rPr>
          <w:lang w:val="en-US" w:eastAsia="it-IT"/>
        </w:rPr>
        <w:t>are derived for 0.7%, 2.5% and 5%, which correspond with the limits established by the</w:t>
      </w:r>
      <w:r w:rsidR="00864FF6" w:rsidRPr="004A68AC">
        <w:rPr>
          <w:lang w:val="en-US" w:eastAsia="it-IT"/>
        </w:rPr>
        <w:t xml:space="preserve"> ASCE 41-06 </w:t>
      </w:r>
      <w:r w:rsidR="00864FF6"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864FF6" w:rsidRPr="004A68AC">
        <w:rPr>
          <w:lang w:val="en-US" w:eastAsia="it-IT"/>
        </w:rPr>
        <w:fldChar w:fldCharType="separate"/>
      </w:r>
      <w:r w:rsidR="00864FF6" w:rsidRPr="004A68AC">
        <w:rPr>
          <w:noProof/>
          <w:lang w:val="en-US" w:eastAsia="it-IT"/>
        </w:rPr>
        <w:t>[15]</w:t>
      </w:r>
      <w:r w:rsidR="00864FF6" w:rsidRPr="004A68AC">
        <w:rPr>
          <w:lang w:val="en-US" w:eastAsia="it-IT"/>
        </w:rPr>
        <w:fldChar w:fldCharType="end"/>
      </w:r>
      <w:r w:rsidR="009E4EB5" w:rsidRPr="004A68AC">
        <w:rPr>
          <w:lang w:val="en-US" w:eastAsia="it-IT"/>
        </w:rPr>
        <w:t xml:space="preserve"> for the LS1, LS2 and LS3</w:t>
      </w:r>
      <w:r w:rsidR="00D245B4" w:rsidRPr="004A68AC">
        <w:rPr>
          <w:lang w:val="en-US" w:eastAsia="it-IT"/>
        </w:rPr>
        <w:t>.</w:t>
      </w:r>
      <w:r w:rsidR="009E4EB5" w:rsidRPr="004A68AC">
        <w:rPr>
          <w:lang w:val="en-US" w:eastAsia="it-IT"/>
        </w:rPr>
        <w:t xml:space="preserve"> The fragility curve for the RIDR is derived for 0.5%, based on the considerations highlighted by McCormick </w:t>
      </w:r>
      <w:r w:rsidR="009E4EB5" w:rsidRPr="004A68AC">
        <w:rPr>
          <w:lang w:val="en-US" w:eastAsia="it-IT"/>
        </w:rPr>
        <w:fldChar w:fldCharType="begin" w:fldLock="1"/>
      </w:r>
      <w:r w:rsidR="009E4EB5" w:rsidRPr="004A68AC">
        <w:rPr>
          <w:lang w:val="en-US" w:eastAsia="it-IT"/>
        </w:rPr>
        <w:instrText>ADDIN CSL_CITATION {"citationItems":[{"id":"ITEM-1","itemData":{"abstract":"A review of permissible residual deformation levels is undertaken in light of the increased interest in performance-based seismic design and self-centering systems. Permissible residual deformation levels are considered based on functionality, construction tolerances, and safety. Values are defined based on a review of past structural engineering research, post-earthquake reconnaissance, current building codes, and research in the field of psychology. The findings show that there are only a limited number of studies that measured residual drift levels of structures after an earthquake and correlated these to actual damage levels. In general, construction tolerances remain at or below 0.003 rad depending on the type of structural system and material being considered. This value is below the residual drift levels at which non-structural systems start to lose functionality. Research in the field of psychology has also shown that the lower limit at which people can sense an inclination is approximately 0.005 rad above which extended periods of inclination can cause headaches and dizziness. In order to verify these findings and provide further quantitative results, floor inclinations and column tilt of an occupied 40 year old structure are investigated. These results combined with those obtained through the extensive literature review suggest that 0.005 rad is an important engineering index in terms of permissible residual deformation levels.","author":[{"dropping-particle":"","family":"McCormick","given":"Jason","non-dropping-particle":"","parse-names":false,"suffix":""},{"dropping-particle":"","family":"Aburano","given":"Hiroshi","non-dropping-particle":"","parse-names":false,"suffix":""},{"dropping-particle":"","family":"Ikenaga","given":"Masahiro","non-dropping-particle":"","parse-names":false,"suffix":""},{"dropping-particle":"","family":"Nakashima","given":"Masayoshi","non-dropping-particle":"","parse-names":false,"suffix":""}],"container-title":"The 14th World Conference on Earthquake Engineering","id":"ITEM-1","issued":{"date-parts":[["2008"]]},"page":"8","title":"Permissible Residual Deformation Levels for Building Structures Considering both Safety and Human Elements","type":"article-journal"},"uris":["http://www.mendeley.com/documents/?uuid=a99f0b14-7555-4656-b866-8fd39fd518a8"]}],"mendeley":{"formattedCitation":"[48]","plainTextFormattedCitation":"[48]","previouslyFormattedCitation":"[48]"},"properties":{"noteIndex":0},"schema":"https://github.com/citation-style-language/schema/raw/master/csl-citation.json"}</w:instrText>
      </w:r>
      <w:r w:rsidR="009E4EB5" w:rsidRPr="004A68AC">
        <w:rPr>
          <w:lang w:val="en-US" w:eastAsia="it-IT"/>
        </w:rPr>
        <w:fldChar w:fldCharType="separate"/>
      </w:r>
      <w:r w:rsidR="009E4EB5" w:rsidRPr="004A68AC">
        <w:rPr>
          <w:noProof/>
          <w:lang w:val="en-US" w:eastAsia="it-IT"/>
        </w:rPr>
        <w:t>[48]</w:t>
      </w:r>
      <w:r w:rsidR="009E4EB5" w:rsidRPr="004A68AC">
        <w:rPr>
          <w:lang w:val="en-US" w:eastAsia="it-IT"/>
        </w:rPr>
        <w:fldChar w:fldCharType="end"/>
      </w:r>
      <w:r w:rsidR="009E4EB5" w:rsidRPr="004A68AC">
        <w:rPr>
          <w:lang w:val="en-US" w:eastAsia="it-IT"/>
        </w:rPr>
        <w:t>. Finally, fragility curves for MSA are derived based on the four thresholds considered by the H</w:t>
      </w:r>
      <w:r w:rsidR="00073550" w:rsidRPr="004A68AC">
        <w:rPr>
          <w:lang w:val="en-US" w:eastAsia="it-IT"/>
        </w:rPr>
        <w:t>AZUS MR4</w:t>
      </w:r>
      <w:r w:rsidR="009E4EB5" w:rsidRPr="004A68AC">
        <w:rPr>
          <w:lang w:val="en-US" w:eastAsia="it-IT"/>
        </w:rPr>
        <w:t xml:space="preserve"> Manual </w:t>
      </w:r>
      <w:r w:rsidR="009E4EB5" w:rsidRPr="004A68AC">
        <w:rPr>
          <w:lang w:val="en-US" w:eastAsia="it-IT"/>
        </w:rPr>
        <w:fldChar w:fldCharType="begin" w:fldLock="1"/>
      </w:r>
      <w:r w:rsidR="00F534F9" w:rsidRPr="004A68AC">
        <w:rPr>
          <w:lang w:val="en-US" w:eastAsia="it-IT"/>
        </w:rPr>
        <w:instrText>ADDIN CSL_CITATION {"citationItems":[{"id":"ITEM-1","itemData":{"ISBN":"Technical and User's Manual","abstract":"The HAZUS-MH Earthquake Model provides loss estimates of damage and loss to buildings, essential facilities, transportation and utility lifelines, and population based on scenario or probabilistic earthquakes. The model addresses debris generation, fire-following, casualties, and shelter requirements. Direct losses are estimated based on physical damage to structures, contents, inventory, and building interiors. The earthquake model includes the Advanced Engineering Building Module for single- and group-building mitigation analysis","author":[{"dropping-particle":"","family":"Federal Emergency Management Agency","given":"","non-dropping-particle":"","parse-names":false,"suffix":""}],"container-title":"National Institute of Building Sciences and Federal Emergency Management Agency (NIBS and FEMA)","id":"ITEM-1","issued":{"date-parts":[["2003"]]},"page":"712","title":"HAZUS-MH MR4 Technical Manual","type":"article"},"uris":["http://www.mendeley.com/documents/?uuid=6f97d5a1-8a6d-4968-b95d-e315c937457a"]}],"mendeley":{"formattedCitation":"[61]","plainTextFormattedCitation":"[61]","previouslyFormattedCitation":"[61]"},"properties":{"noteIndex":0},"schema":"https://github.com/citation-style-language/schema/raw/master/csl-citation.json"}</w:instrText>
      </w:r>
      <w:r w:rsidR="009E4EB5" w:rsidRPr="004A68AC">
        <w:rPr>
          <w:lang w:val="en-US" w:eastAsia="it-IT"/>
        </w:rPr>
        <w:fldChar w:fldCharType="separate"/>
      </w:r>
      <w:r w:rsidR="009E4EB5" w:rsidRPr="004A68AC">
        <w:rPr>
          <w:noProof/>
          <w:lang w:val="en-US" w:eastAsia="it-IT"/>
        </w:rPr>
        <w:t>[61]</w:t>
      </w:r>
      <w:r w:rsidR="009E4EB5" w:rsidRPr="004A68AC">
        <w:rPr>
          <w:lang w:val="en-US" w:eastAsia="it-IT"/>
        </w:rPr>
        <w:fldChar w:fldCharType="end"/>
      </w:r>
      <w:r w:rsidR="00073550" w:rsidRPr="004A68AC">
        <w:rPr>
          <w:lang w:val="en-US" w:eastAsia="it-IT"/>
        </w:rPr>
        <w:t xml:space="preserve"> for low-code structures: 0.20g (Slight), 0.40g (Moderate), 0.8g (Extensive) and 1.6g (Complete). As observed in Figure 12, fragility curves for the 0.7% MIDR and 0.20g MSA, tend to exhibit similar median and dispersion values. This is also observed in the fragility curves corresponding to the highest global damage levels (</w:t>
      </w:r>
      <w:r w:rsidR="00073550" w:rsidRPr="004A68AC">
        <w:rPr>
          <w:i/>
          <w:iCs/>
          <w:lang w:val="en-US" w:eastAsia="it-IT"/>
        </w:rPr>
        <w:t>i.e.</w:t>
      </w:r>
      <w:r w:rsidR="00073550" w:rsidRPr="004A68AC">
        <w:rPr>
          <w:lang w:val="en-US" w:eastAsia="it-IT"/>
        </w:rPr>
        <w:t>, 5% MIDR and 1.6g MSA). Finally, the fragility curves for the intermediate global damage levels, including the 2.5% MIDR, 0.5% RIDR and 0.8g MSA, exhibit median values</w:t>
      </w:r>
      <w:r w:rsidR="00683C45" w:rsidRPr="004A68AC">
        <w:rPr>
          <w:lang w:val="en-US" w:eastAsia="it-IT"/>
        </w:rPr>
        <w:t xml:space="preserve"> which roughly correspond to an IM = 0.3g in both cases, nonetheless, the 0.5% RIDR and 0.8g MSA fragility curves display a larger dispersion.</w:t>
      </w:r>
    </w:p>
    <w:p w14:paraId="21E8B6CE" w14:textId="110AD295" w:rsidR="002B7EC7" w:rsidRPr="004A68AC" w:rsidRDefault="007E6A8C">
      <w:r w:rsidRPr="004A68AC">
        <w:rPr>
          <w:noProof/>
        </w:rPr>
        <w:drawing>
          <wp:inline distT="0" distB="0" distL="0" distR="0" wp14:anchorId="182D07B1" wp14:editId="1A97680F">
            <wp:extent cx="611505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14:paraId="4A12FA9C" w14:textId="46911604" w:rsidR="0009706D" w:rsidRPr="004A68AC" w:rsidRDefault="0009706D" w:rsidP="0009706D">
      <w:pPr>
        <w:pStyle w:val="Caption"/>
        <w:rPr>
          <w:rStyle w:val="CaptionChar"/>
          <w:bCs/>
          <w:lang w:val="en-GB"/>
        </w:rPr>
      </w:pPr>
      <w:bookmarkStart w:id="32" w:name="_Ref62921704"/>
      <w:r w:rsidRPr="004A68AC">
        <w:rPr>
          <w:rStyle w:val="CaptionChar"/>
          <w:b/>
          <w:lang w:val="en-GB"/>
        </w:rPr>
        <w:t xml:space="preserve">Figure </w:t>
      </w:r>
      <w:r w:rsidRPr="004A68AC">
        <w:rPr>
          <w:rStyle w:val="CaptionChar"/>
          <w:b/>
        </w:rPr>
        <w:fldChar w:fldCharType="begin" w:fldLock="1"/>
      </w:r>
      <w:r w:rsidRPr="004A68AC">
        <w:rPr>
          <w:rStyle w:val="CaptionChar"/>
          <w:b/>
          <w:lang w:val="en-GB"/>
        </w:rPr>
        <w:instrText xml:space="preserve"> SEQ Figure \* ARABIC </w:instrText>
      </w:r>
      <w:r w:rsidRPr="004A68AC">
        <w:rPr>
          <w:rStyle w:val="CaptionChar"/>
          <w:b/>
        </w:rPr>
        <w:fldChar w:fldCharType="separate"/>
      </w:r>
      <w:r w:rsidRPr="004A68AC">
        <w:rPr>
          <w:rStyle w:val="CaptionChar"/>
          <w:b/>
          <w:lang w:val="en-GB"/>
        </w:rPr>
        <w:t>1</w:t>
      </w:r>
      <w:r w:rsidRPr="004A68AC">
        <w:rPr>
          <w:rStyle w:val="CaptionChar"/>
          <w:b/>
        </w:rPr>
        <w:fldChar w:fldCharType="end"/>
      </w:r>
      <w:bookmarkEnd w:id="32"/>
      <w:r w:rsidRPr="004A68AC">
        <w:rPr>
          <w:rStyle w:val="CaptionChar"/>
          <w:b/>
          <w:lang w:val="en-GB"/>
        </w:rPr>
        <w:t>2.</w:t>
      </w:r>
      <w:r w:rsidRPr="004A68AC">
        <w:rPr>
          <w:rStyle w:val="CaptionChar"/>
          <w:bCs/>
          <w:lang w:val="en-GB"/>
        </w:rPr>
        <w:t xml:space="preserve"> Comparison of fragility curves for different </w:t>
      </w:r>
      <w:r w:rsidR="00DB4E3D" w:rsidRPr="004A68AC">
        <w:rPr>
          <w:rStyle w:val="CaptionChar"/>
          <w:bCs/>
          <w:lang w:val="en-GB"/>
        </w:rPr>
        <w:t xml:space="preserve">global </w:t>
      </w:r>
      <w:r w:rsidRPr="004A68AC">
        <w:rPr>
          <w:rStyle w:val="CaptionChar"/>
          <w:bCs/>
          <w:lang w:val="en-GB"/>
        </w:rPr>
        <w:t>EDPs for buildings 3B and 9B</w:t>
      </w:r>
      <w:r w:rsidR="00DB4E3D" w:rsidRPr="004A68AC">
        <w:rPr>
          <w:rStyle w:val="CaptionChar"/>
          <w:bCs/>
          <w:lang w:val="en-GB"/>
        </w:rPr>
        <w:t>.</w:t>
      </w:r>
    </w:p>
    <w:p w14:paraId="2B02F53D" w14:textId="77777777" w:rsidR="0009706D" w:rsidRPr="004A68AC" w:rsidRDefault="0009706D" w:rsidP="00E239F6"/>
    <w:p w14:paraId="062DD6D7" w14:textId="77777777" w:rsidR="007F7855" w:rsidRPr="004A68AC" w:rsidRDefault="007F7855" w:rsidP="007F7855">
      <w:pPr>
        <w:pStyle w:val="Heading1"/>
        <w:tabs>
          <w:tab w:val="clear" w:pos="720"/>
          <w:tab w:val="num" w:pos="360"/>
        </w:tabs>
        <w:spacing w:before="0" w:after="0"/>
        <w:ind w:left="0" w:firstLine="0"/>
        <w:jc w:val="both"/>
        <w:rPr>
          <w:sz w:val="22"/>
          <w:szCs w:val="22"/>
          <w:lang w:val="en-US"/>
        </w:rPr>
      </w:pPr>
      <w:r w:rsidRPr="004A68AC">
        <w:rPr>
          <w:sz w:val="22"/>
          <w:szCs w:val="22"/>
          <w:lang w:val="en-US"/>
        </w:rPr>
        <w:t>CONCLUSIONS</w:t>
      </w:r>
    </w:p>
    <w:p w14:paraId="7F68B546" w14:textId="20574470" w:rsidR="007F7855" w:rsidRPr="004A68AC" w:rsidRDefault="007F7855" w:rsidP="007F7855">
      <w:pPr>
        <w:rPr>
          <w:szCs w:val="20"/>
          <w:lang w:val="en-US" w:eastAsia="it-IT"/>
        </w:rPr>
      </w:pPr>
      <w:r w:rsidRPr="004A68AC">
        <w:rPr>
          <w:szCs w:val="20"/>
          <w:lang w:val="en-US" w:eastAsia="it-IT"/>
        </w:rPr>
        <w:t xml:space="preserve">This paper presents a </w:t>
      </w:r>
      <w:r w:rsidR="001A0D16" w:rsidRPr="004A68AC">
        <w:rPr>
          <w:szCs w:val="20"/>
          <w:lang w:val="en-US" w:eastAsia="it-IT"/>
        </w:rPr>
        <w:t xml:space="preserve">detailed </w:t>
      </w:r>
      <w:r w:rsidRPr="004A68AC">
        <w:rPr>
          <w:szCs w:val="20"/>
          <w:lang w:val="en-US" w:eastAsia="it-IT"/>
        </w:rPr>
        <w:t xml:space="preserve">comparison between the </w:t>
      </w:r>
      <w:r w:rsidRPr="004A68AC">
        <w:rPr>
          <w:szCs w:val="20"/>
          <w:lang w:val="en-US"/>
        </w:rPr>
        <w:t>Eurocode 8 – Part 3 (EC8-3)</w:t>
      </w:r>
      <w:r w:rsidRPr="004A68AC" w:rsidDel="00855F83">
        <w:rPr>
          <w:szCs w:val="20"/>
          <w:lang w:val="en-US" w:eastAsia="it-IT"/>
        </w:rPr>
        <w:t xml:space="preserve"> </w:t>
      </w:r>
      <w:r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[13]</w:t>
      </w:r>
      <w:r w:rsidRPr="004A68AC">
        <w:rPr>
          <w:szCs w:val="20"/>
          <w:lang w:val="en-US" w:eastAsia="it-IT"/>
        </w:rPr>
        <w:fldChar w:fldCharType="end"/>
      </w:r>
      <w:r w:rsidRPr="004A68AC">
        <w:rPr>
          <w:szCs w:val="20"/>
          <w:lang w:val="en-US" w:eastAsia="it-IT"/>
        </w:rPr>
        <w:t xml:space="preserve"> and the American ASCE 41 </w:t>
      </w:r>
      <w:r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[15,18,19]</w:t>
      </w:r>
      <w:r w:rsidRPr="004A68AC">
        <w:rPr>
          <w:szCs w:val="20"/>
          <w:lang w:val="en-US" w:eastAsia="it-IT"/>
        </w:rPr>
        <w:fldChar w:fldCharType="end"/>
      </w:r>
      <w:r w:rsidRPr="004A68AC">
        <w:rPr>
          <w:szCs w:val="20"/>
          <w:lang w:val="en-US" w:eastAsia="it-IT"/>
        </w:rPr>
        <w:t xml:space="preserve"> assessment codes, focusing on the use of the most relevant engineering demand parameters in the assessment of existing steel moment resisting frames. Several similarities and differences were identified by comparing the EC8-3 </w:t>
      </w:r>
      <w:r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[13]</w:t>
      </w:r>
      <w:r w:rsidRPr="004A68AC">
        <w:rPr>
          <w:szCs w:val="20"/>
          <w:lang w:val="en-US" w:eastAsia="it-IT"/>
        </w:rPr>
        <w:fldChar w:fldCharType="end"/>
      </w:r>
      <w:r w:rsidRPr="004A68AC">
        <w:rPr>
          <w:szCs w:val="20"/>
          <w:lang w:val="en-US" w:eastAsia="it-IT"/>
        </w:rPr>
        <w:t xml:space="preserve"> to its American peers, providing insights and directions for development of the EC8-3.</w:t>
      </w:r>
    </w:p>
    <w:p w14:paraId="5E59D0CA" w14:textId="77777777" w:rsidR="00C428B4" w:rsidRPr="004A68AC" w:rsidRDefault="00C428B4" w:rsidP="007F7855">
      <w:pPr>
        <w:rPr>
          <w:szCs w:val="20"/>
          <w:lang w:val="en-US" w:eastAsia="it-IT"/>
        </w:rPr>
      </w:pPr>
    </w:p>
    <w:p w14:paraId="6EFF32B7" w14:textId="74FB81FE" w:rsidR="007F7855" w:rsidRPr="004A68AC" w:rsidRDefault="007F7855" w:rsidP="007F7855">
      <w:pPr>
        <w:rPr>
          <w:szCs w:val="20"/>
          <w:lang w:val="en-US" w:eastAsia="it-IT"/>
        </w:rPr>
      </w:pPr>
      <w:r w:rsidRPr="004A68AC">
        <w:rPr>
          <w:szCs w:val="20"/>
          <w:lang w:val="en-US" w:eastAsia="it-IT"/>
        </w:rPr>
        <w:t xml:space="preserve">     One of the main identified drawbacks of the EC8-3 </w:t>
      </w:r>
      <w:r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[13]</w:t>
      </w:r>
      <w:r w:rsidRPr="004A68AC">
        <w:rPr>
          <w:szCs w:val="20"/>
          <w:lang w:val="en-US" w:eastAsia="it-IT"/>
        </w:rPr>
        <w:fldChar w:fldCharType="end"/>
      </w:r>
      <w:r w:rsidRPr="004A68AC">
        <w:rPr>
          <w:szCs w:val="20"/>
          <w:lang w:val="en-US" w:eastAsia="it-IT"/>
        </w:rPr>
        <w:t xml:space="preserve"> is related to the lack of explicit assessment tools for strain in panel zones, other than the conservative limitation of keeping panel zones within the elastic range for the Damage Limitation limit state (LS1). This limitation is equivalent to 50% of the deformation allowance established in the ASCE 41 </w:t>
      </w:r>
      <w:r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[15,18,19]</w:t>
      </w:r>
      <w:r w:rsidRPr="004A68AC">
        <w:rPr>
          <w:szCs w:val="20"/>
          <w:lang w:val="en-US" w:eastAsia="it-IT"/>
        </w:rPr>
        <w:fldChar w:fldCharType="end"/>
      </w:r>
      <w:r w:rsidRPr="004A68AC">
        <w:rPr>
          <w:szCs w:val="20"/>
          <w:lang w:val="en-US" w:eastAsia="it-IT"/>
        </w:rPr>
        <w:t xml:space="preserve"> for the equivalent limit state (Immediate Occupancy). Therefore, from one side, the lack of parameters for LS2 and LS3 does not allow the control of this failure mode</w:t>
      </w:r>
      <w:r w:rsidR="0043097A" w:rsidRPr="004A68AC">
        <w:rPr>
          <w:szCs w:val="20"/>
          <w:lang w:val="en-US" w:eastAsia="it-IT"/>
        </w:rPr>
        <w:t xml:space="preserve"> which would result in</w:t>
      </w:r>
      <w:r w:rsidR="005029C5" w:rsidRPr="004A68AC">
        <w:rPr>
          <w:szCs w:val="20"/>
          <w:lang w:val="en-US" w:eastAsia="it-IT"/>
        </w:rPr>
        <w:t xml:space="preserve"> more conservative assessment in certain cases (</w:t>
      </w:r>
      <w:r w:rsidR="005029C5" w:rsidRPr="004A68AC">
        <w:rPr>
          <w:i/>
          <w:iCs/>
          <w:szCs w:val="20"/>
          <w:lang w:val="en-US" w:eastAsia="it-IT"/>
        </w:rPr>
        <w:t>e.g.</w:t>
      </w:r>
      <w:r w:rsidR="005029C5" w:rsidRPr="004A68AC">
        <w:rPr>
          <w:szCs w:val="20"/>
          <w:lang w:val="en-US" w:eastAsia="it-IT"/>
        </w:rPr>
        <w:t>, LS1)</w:t>
      </w:r>
      <w:r w:rsidRPr="004A68AC">
        <w:rPr>
          <w:szCs w:val="20"/>
          <w:lang w:val="en-US" w:eastAsia="it-IT"/>
        </w:rPr>
        <w:t xml:space="preserve">, </w:t>
      </w:r>
      <w:r w:rsidR="0043097A" w:rsidRPr="004A68AC">
        <w:rPr>
          <w:szCs w:val="20"/>
          <w:lang w:val="en-US" w:eastAsia="it-IT"/>
        </w:rPr>
        <w:t>while</w:t>
      </w:r>
      <w:r w:rsidR="005029C5" w:rsidRPr="004A68AC">
        <w:rPr>
          <w:szCs w:val="20"/>
          <w:lang w:val="en-US" w:eastAsia="it-IT"/>
        </w:rPr>
        <w:t xml:space="preserve"> being less conservative in others (</w:t>
      </w:r>
      <w:r w:rsidR="005029C5" w:rsidRPr="004A68AC">
        <w:rPr>
          <w:i/>
          <w:iCs/>
          <w:szCs w:val="20"/>
          <w:lang w:val="en-US" w:eastAsia="it-IT"/>
        </w:rPr>
        <w:t>e.g.</w:t>
      </w:r>
      <w:r w:rsidR="005029C5" w:rsidRPr="004A68AC">
        <w:rPr>
          <w:szCs w:val="20"/>
          <w:lang w:val="en-US" w:eastAsia="it-IT"/>
        </w:rPr>
        <w:t>, LS2 and LS3 in low-code buildings with no capacity design considerations), in comparison</w:t>
      </w:r>
      <w:r w:rsidRPr="004A68AC">
        <w:rPr>
          <w:szCs w:val="20"/>
          <w:lang w:val="en-US" w:eastAsia="it-IT"/>
        </w:rPr>
        <w:t xml:space="preserve"> with the ASCE 41 </w:t>
      </w:r>
      <w:r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[15,18,19]</w:t>
      </w:r>
      <w:r w:rsidRPr="004A68AC">
        <w:rPr>
          <w:szCs w:val="20"/>
          <w:lang w:val="en-US" w:eastAsia="it-IT"/>
        </w:rPr>
        <w:fldChar w:fldCharType="end"/>
      </w:r>
      <w:r w:rsidRPr="004A68AC">
        <w:rPr>
          <w:szCs w:val="20"/>
          <w:lang w:val="en-US" w:eastAsia="it-IT"/>
        </w:rPr>
        <w:t>.</w:t>
      </w:r>
    </w:p>
    <w:p w14:paraId="50C48EA8" w14:textId="77777777" w:rsidR="00C428B4" w:rsidRPr="004A68AC" w:rsidRDefault="00C428B4" w:rsidP="007F7855">
      <w:pPr>
        <w:rPr>
          <w:szCs w:val="20"/>
          <w:lang w:val="en-US" w:eastAsia="it-IT"/>
        </w:rPr>
      </w:pPr>
    </w:p>
    <w:p w14:paraId="745CBC4E" w14:textId="1C705523" w:rsidR="00F51EEC" w:rsidRPr="004A68AC" w:rsidRDefault="007F7855" w:rsidP="007F7855">
      <w:pPr>
        <w:rPr>
          <w:lang w:val="en-US" w:eastAsia="it-IT"/>
        </w:rPr>
      </w:pPr>
      <w:r w:rsidRPr="004A68AC">
        <w:rPr>
          <w:szCs w:val="20"/>
          <w:lang w:val="en-US" w:eastAsia="it-IT"/>
        </w:rPr>
        <w:lastRenderedPageBreak/>
        <w:t xml:space="preserve">     In order to allow the comparison for capacity limits in beams and columns, a significant effort was made for the normalization of the capacity limits considering the slenderness parameters and code definitions of </w:t>
      </w:r>
      <w:r w:rsidRPr="004A68AC">
        <w:rPr>
          <w:szCs w:val="20"/>
          <w:lang w:val="en-US"/>
        </w:rPr>
        <w:t>θ</w:t>
      </w:r>
      <w:r w:rsidRPr="004A68AC">
        <w:rPr>
          <w:szCs w:val="20"/>
          <w:vertAlign w:val="subscript"/>
          <w:lang w:val="en-US"/>
        </w:rPr>
        <w:t>y</w:t>
      </w:r>
      <w:r w:rsidRPr="004A68AC">
        <w:rPr>
          <w:szCs w:val="20"/>
          <w:lang w:val="en-US"/>
        </w:rPr>
        <w:t xml:space="preserve">. The capacity values established by the </w:t>
      </w:r>
      <w:r w:rsidRPr="004A68AC">
        <w:rPr>
          <w:szCs w:val="20"/>
          <w:lang w:val="en-US" w:eastAsia="it-IT"/>
        </w:rPr>
        <w:t xml:space="preserve">EC8-3 </w:t>
      </w:r>
      <w:r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[13]</w:t>
      </w:r>
      <w:r w:rsidRPr="004A68AC">
        <w:rPr>
          <w:szCs w:val="20"/>
          <w:lang w:val="en-US" w:eastAsia="it-IT"/>
        </w:rPr>
        <w:fldChar w:fldCharType="end"/>
      </w:r>
      <w:r w:rsidRPr="004A68AC">
        <w:rPr>
          <w:szCs w:val="20"/>
          <w:lang w:val="en-US" w:eastAsia="it-IT"/>
        </w:rPr>
        <w:t xml:space="preserve"> tend to be more conservative than those established by the ASCE 41 </w:t>
      </w:r>
      <w:r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[15,18,19]</w:t>
      </w:r>
      <w:r w:rsidRPr="004A68AC">
        <w:rPr>
          <w:szCs w:val="20"/>
          <w:lang w:val="en-US" w:eastAsia="it-IT"/>
        </w:rPr>
        <w:fldChar w:fldCharType="end"/>
      </w:r>
      <w:r w:rsidRPr="004A68AC">
        <w:rPr>
          <w:szCs w:val="20"/>
          <w:lang w:val="en-US" w:eastAsia="it-IT"/>
        </w:rPr>
        <w:t xml:space="preserve">. </w:t>
      </w:r>
      <w:r w:rsidRPr="004A68AC">
        <w:rPr>
          <w:szCs w:val="20"/>
          <w:lang w:val="en-US"/>
        </w:rPr>
        <w:t xml:space="preserve">Nonetheless, this is not always the case, as the capacity values are established as a function of the slenderness parameters and, in some cases, the dimensionless axial force </w:t>
      </w:r>
      <w:r w:rsidRPr="004A68AC">
        <w:rPr>
          <w:szCs w:val="20"/>
          <w:lang w:eastAsia="it-IT"/>
        </w:rPr>
        <w:t>ν</w:t>
      </w:r>
      <w:r w:rsidRPr="004A68AC">
        <w:rPr>
          <w:szCs w:val="20"/>
          <w:lang w:val="en-US"/>
        </w:rPr>
        <w:t xml:space="preserve">. For example, in a comparison between the </w:t>
      </w:r>
      <w:r w:rsidRPr="004A68AC">
        <w:rPr>
          <w:szCs w:val="20"/>
          <w:lang w:val="en-US" w:eastAsia="it-IT"/>
        </w:rPr>
        <w:t xml:space="preserve">EC8-3 </w:t>
      </w:r>
      <w:r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szCs w:val="20"/>
          <w:lang w:val="en-US" w:eastAsia="it-IT"/>
        </w:rPr>
        <w:fldChar w:fldCharType="separate"/>
      </w:r>
      <w:r w:rsidRPr="004A68AC">
        <w:rPr>
          <w:noProof/>
          <w:szCs w:val="20"/>
          <w:lang w:val="en-US" w:eastAsia="it-IT"/>
        </w:rPr>
        <w:t>[13]</w:t>
      </w:r>
      <w:r w:rsidRPr="004A68AC">
        <w:rPr>
          <w:szCs w:val="20"/>
          <w:lang w:val="en-US" w:eastAsia="it-IT"/>
        </w:rPr>
        <w:fldChar w:fldCharType="end"/>
      </w:r>
      <w:r w:rsidRPr="004A68AC">
        <w:rPr>
          <w:szCs w:val="20"/>
          <w:lang w:val="en-US" w:eastAsia="it-IT"/>
        </w:rPr>
        <w:t xml:space="preserve"> and</w:t>
      </w:r>
      <w:r w:rsidRPr="004A68AC">
        <w:rPr>
          <w:szCs w:val="20"/>
          <w:lang w:val="en-US"/>
        </w:rPr>
        <w:t xml:space="preserve"> ASCE 41-17 </w:t>
      </w:r>
      <w:r w:rsidRPr="004A68AC">
        <w:rPr>
          <w:szCs w:val="20"/>
          <w:lang w:val="en-US"/>
        </w:rPr>
        <w:fldChar w:fldCharType="begin" w:fldLock="1"/>
      </w:r>
      <w:r w:rsidR="005C47A3" w:rsidRPr="004A68AC">
        <w:rPr>
          <w:szCs w:val="20"/>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Cs w:val="20"/>
          <w:lang w:val="en-US"/>
        </w:rPr>
        <w:fldChar w:fldCharType="separate"/>
      </w:r>
      <w:r w:rsidRPr="004A68AC">
        <w:rPr>
          <w:noProof/>
          <w:szCs w:val="20"/>
          <w:lang w:val="en-US"/>
        </w:rPr>
        <w:t>[19]</w:t>
      </w:r>
      <w:r w:rsidRPr="004A68AC">
        <w:rPr>
          <w:szCs w:val="20"/>
          <w:lang w:val="en-US"/>
        </w:rPr>
        <w:fldChar w:fldCharType="end"/>
      </w:r>
      <w:r w:rsidRPr="004A68AC">
        <w:rPr>
          <w:szCs w:val="20"/>
          <w:lang w:val="en-US"/>
        </w:rPr>
        <w:t xml:space="preserve"> capacity values for a W14×283 column section with </w:t>
      </w:r>
      <w:r w:rsidRPr="004A68AC">
        <w:rPr>
          <w:szCs w:val="20"/>
          <w:lang w:eastAsia="it-IT"/>
        </w:rPr>
        <w:t>ν = ν</w:t>
      </w:r>
      <w:r w:rsidRPr="004A68AC">
        <w:rPr>
          <w:szCs w:val="20"/>
          <w:vertAlign w:val="subscript"/>
          <w:lang w:eastAsia="it-IT"/>
        </w:rPr>
        <w:t>G</w:t>
      </w:r>
      <w:r w:rsidRPr="004A68AC">
        <w:rPr>
          <w:szCs w:val="20"/>
          <w:lang w:val="en-US"/>
        </w:rPr>
        <w:t xml:space="preserve"> = 0.1, the capacity values in the ASCE 41-17 </w:t>
      </w:r>
      <w:r w:rsidRPr="004A68AC">
        <w:rPr>
          <w:szCs w:val="20"/>
          <w:lang w:val="en-US"/>
        </w:rPr>
        <w:fldChar w:fldCharType="begin" w:fldLock="1"/>
      </w:r>
      <w:r w:rsidR="005C47A3" w:rsidRPr="004A68AC">
        <w:rPr>
          <w:szCs w:val="20"/>
          <w:lang w:val="en-US"/>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szCs w:val="20"/>
          <w:lang w:val="en-US"/>
        </w:rPr>
        <w:fldChar w:fldCharType="separate"/>
      </w:r>
      <w:r w:rsidRPr="004A68AC">
        <w:rPr>
          <w:noProof/>
          <w:szCs w:val="20"/>
          <w:lang w:val="en-US"/>
        </w:rPr>
        <w:t>[19]</w:t>
      </w:r>
      <w:r w:rsidRPr="004A68AC">
        <w:rPr>
          <w:szCs w:val="20"/>
          <w:lang w:val="en-US"/>
        </w:rPr>
        <w:fldChar w:fldCharType="end"/>
      </w:r>
      <w:r w:rsidRPr="004A68AC">
        <w:rPr>
          <w:szCs w:val="20"/>
          <w:lang w:val="en-US"/>
        </w:rPr>
        <w:t xml:space="preserve"> are </w:t>
      </w:r>
      <w:r w:rsidR="00F51EEC" w:rsidRPr="004A68AC">
        <w:rPr>
          <w:szCs w:val="20"/>
          <w:lang w:val="en-US"/>
        </w:rPr>
        <w:t xml:space="preserve">increased by 133%, 95% and 99% for LS1, LS2 and LS3, respectively, with respect to those of the </w:t>
      </w:r>
      <w:r w:rsidR="00F51EEC" w:rsidRPr="004A68AC">
        <w:rPr>
          <w:szCs w:val="20"/>
          <w:lang w:val="en-US" w:eastAsia="it-IT"/>
        </w:rPr>
        <w:t xml:space="preserve">EC8-3 </w:t>
      </w:r>
      <w:r w:rsidR="00F51EEC"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F51EEC" w:rsidRPr="004A68AC">
        <w:rPr>
          <w:szCs w:val="20"/>
          <w:lang w:val="en-US" w:eastAsia="it-IT"/>
        </w:rPr>
        <w:fldChar w:fldCharType="separate"/>
      </w:r>
      <w:r w:rsidR="00F51EEC" w:rsidRPr="004A68AC">
        <w:rPr>
          <w:noProof/>
          <w:szCs w:val="20"/>
          <w:lang w:val="en-US" w:eastAsia="it-IT"/>
        </w:rPr>
        <w:t>[13]</w:t>
      </w:r>
      <w:r w:rsidR="00F51EEC" w:rsidRPr="004A68AC">
        <w:rPr>
          <w:szCs w:val="20"/>
          <w:lang w:val="en-US" w:eastAsia="it-IT"/>
        </w:rPr>
        <w:fldChar w:fldCharType="end"/>
      </w:r>
      <w:r w:rsidR="00F51EEC" w:rsidRPr="004A68AC">
        <w:rPr>
          <w:szCs w:val="20"/>
          <w:lang w:val="en-US" w:eastAsia="it-IT"/>
        </w:rPr>
        <w:t>. Nevertheless, when considering a W14</w:t>
      </w:r>
      <w:r w:rsidR="00F51EEC" w:rsidRPr="004A68AC">
        <w:rPr>
          <w:szCs w:val="20"/>
          <w:lang w:val="en-US"/>
        </w:rPr>
        <w:t xml:space="preserve">×74 section instead, the capacity value is increased by only 12% for LS1, while a reduction of 16% and 17% is calculated for LS2 and LS3. It is worth highlighting that both sections are classified as ‘Class 1’ in the Eurocode 3 - Part 1-1 </w:t>
      </w:r>
      <w:r w:rsidR="00F51EEC"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1993-1-1","id":"ITEM-1","issued":{"date-parts":[["2005"]]},"title":"Eurocode 3: Design of Steel Structures - Part 1-1: General Rules and Rules for Buildings","type":"article"},"uris":["http://www.mendeley.com/documents/?uuid=0fea690d-e9c3-4680-9a5d-7186f9caeed5"]}],"mendeley":{"formattedCitation":"[43]","plainTextFormattedCitation":"[43]","previouslyFormattedCitation":"[43]"},"properties":{"noteIndex":0},"schema":"https://github.com/citation-style-language/schema/raw/master/csl-citation.json"}</w:instrText>
      </w:r>
      <w:r w:rsidR="00F51EEC" w:rsidRPr="004A68AC">
        <w:rPr>
          <w:lang w:val="en-US" w:eastAsia="it-IT"/>
        </w:rPr>
        <w:fldChar w:fldCharType="separate"/>
      </w:r>
      <w:r w:rsidR="005C2936" w:rsidRPr="004A68AC">
        <w:rPr>
          <w:noProof/>
          <w:lang w:val="en-US" w:eastAsia="it-IT"/>
        </w:rPr>
        <w:t>[43]</w:t>
      </w:r>
      <w:r w:rsidR="00F51EEC" w:rsidRPr="004A68AC">
        <w:rPr>
          <w:lang w:val="en-US" w:eastAsia="it-IT"/>
        </w:rPr>
        <w:fldChar w:fldCharType="end"/>
      </w:r>
      <w:r w:rsidR="00F51EEC" w:rsidRPr="004A68AC">
        <w:rPr>
          <w:lang w:val="en-US" w:eastAsia="it-IT"/>
        </w:rPr>
        <w:t>.</w:t>
      </w:r>
    </w:p>
    <w:p w14:paraId="2CBAFE58" w14:textId="77777777" w:rsidR="00C428B4" w:rsidRPr="004A68AC" w:rsidRDefault="00C428B4" w:rsidP="007F7855">
      <w:pPr>
        <w:rPr>
          <w:szCs w:val="20"/>
          <w:lang w:val="en-US" w:eastAsia="it-IT"/>
        </w:rPr>
      </w:pPr>
    </w:p>
    <w:p w14:paraId="40A9744F" w14:textId="209D18C9" w:rsidR="00301E98" w:rsidRPr="004A68AC" w:rsidRDefault="00835371" w:rsidP="005F00AF">
      <w:pPr>
        <w:rPr>
          <w:szCs w:val="20"/>
          <w:lang w:val="en-US" w:eastAsia="it-IT"/>
        </w:rPr>
      </w:pPr>
      <w:r w:rsidRPr="004A68AC">
        <w:rPr>
          <w:lang w:val="en-US" w:eastAsia="it-IT"/>
        </w:rPr>
        <w:t xml:space="preserve">     </w:t>
      </w:r>
      <w:r w:rsidR="00ED000D" w:rsidRPr="004A68AC">
        <w:rPr>
          <w:szCs w:val="20"/>
          <w:lang w:val="en-US" w:eastAsia="it-IT"/>
        </w:rPr>
        <w:t>T</w:t>
      </w:r>
      <w:r w:rsidR="0037613A" w:rsidRPr="004A68AC">
        <w:rPr>
          <w:szCs w:val="20"/>
          <w:lang w:val="en-US" w:eastAsia="it-IT"/>
        </w:rPr>
        <w:t>he</w:t>
      </w:r>
      <w:r w:rsidR="00A16FEC" w:rsidRPr="004A68AC">
        <w:rPr>
          <w:szCs w:val="20"/>
          <w:lang w:val="en-US" w:eastAsia="it-IT"/>
        </w:rPr>
        <w:t xml:space="preserve"> discrete definition of the capacity </w:t>
      </w:r>
      <w:r w:rsidR="00605A75" w:rsidRPr="004A68AC">
        <w:rPr>
          <w:szCs w:val="20"/>
          <w:lang w:val="en-US" w:eastAsia="it-IT"/>
        </w:rPr>
        <w:t>values</w:t>
      </w:r>
      <w:r w:rsidR="00A16FEC" w:rsidRPr="004A68AC">
        <w:rPr>
          <w:szCs w:val="20"/>
          <w:lang w:val="en-US" w:eastAsia="it-IT"/>
        </w:rPr>
        <w:t xml:space="preserve"> based on</w:t>
      </w:r>
      <w:r w:rsidR="0037613A" w:rsidRPr="004A68AC">
        <w:rPr>
          <w:szCs w:val="20"/>
          <w:lang w:val="en-US" w:eastAsia="it-IT"/>
        </w:rPr>
        <w:t xml:space="preserve"> slenderness limits for the classification of beam and column sections in EC8-3 </w:t>
      </w:r>
      <w:r w:rsidR="0037613A"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37613A" w:rsidRPr="004A68AC">
        <w:rPr>
          <w:szCs w:val="20"/>
          <w:lang w:val="en-US" w:eastAsia="it-IT"/>
        </w:rPr>
        <w:fldChar w:fldCharType="separate"/>
      </w:r>
      <w:r w:rsidR="0037613A" w:rsidRPr="004A68AC">
        <w:rPr>
          <w:noProof/>
          <w:szCs w:val="20"/>
          <w:lang w:val="en-US" w:eastAsia="it-IT"/>
        </w:rPr>
        <w:t>[13]</w:t>
      </w:r>
      <w:r w:rsidR="0037613A" w:rsidRPr="004A68AC">
        <w:rPr>
          <w:szCs w:val="20"/>
          <w:lang w:val="en-US" w:eastAsia="it-IT"/>
        </w:rPr>
        <w:fldChar w:fldCharType="end"/>
      </w:r>
      <w:r w:rsidR="000F7A90" w:rsidRPr="004A68AC">
        <w:rPr>
          <w:szCs w:val="20"/>
          <w:lang w:val="en-US" w:eastAsia="it-IT"/>
        </w:rPr>
        <w:t xml:space="preserve"> </w:t>
      </w:r>
      <w:r w:rsidR="00487E40" w:rsidRPr="004A68AC">
        <w:rPr>
          <w:szCs w:val="20"/>
          <w:lang w:val="en-US" w:eastAsia="it-IT"/>
        </w:rPr>
        <w:t>may be</w:t>
      </w:r>
      <w:r w:rsidR="0037613A" w:rsidRPr="004A68AC">
        <w:rPr>
          <w:szCs w:val="20"/>
          <w:lang w:val="en-US" w:eastAsia="it-IT"/>
        </w:rPr>
        <w:t xml:space="preserve"> </w:t>
      </w:r>
      <w:r w:rsidR="00605A75" w:rsidRPr="004A68AC">
        <w:rPr>
          <w:szCs w:val="20"/>
          <w:lang w:val="en-US" w:eastAsia="it-IT"/>
        </w:rPr>
        <w:t>appropriate</w:t>
      </w:r>
      <w:r w:rsidR="00BB7676" w:rsidRPr="004A68AC">
        <w:rPr>
          <w:szCs w:val="20"/>
          <w:lang w:val="en-US" w:eastAsia="it-IT"/>
        </w:rPr>
        <w:t xml:space="preserve"> </w:t>
      </w:r>
      <w:r w:rsidR="0037613A" w:rsidRPr="004A68AC">
        <w:rPr>
          <w:szCs w:val="20"/>
          <w:lang w:val="en-US" w:eastAsia="it-IT"/>
        </w:rPr>
        <w:t xml:space="preserve">to influence design decisions for new structures, as the designer can simply consider or discard a section depending on its class. </w:t>
      </w:r>
      <w:r w:rsidR="00BB7676" w:rsidRPr="004A68AC">
        <w:rPr>
          <w:szCs w:val="20"/>
          <w:lang w:val="en-US" w:eastAsia="it-IT"/>
        </w:rPr>
        <w:t>However, this</w:t>
      </w:r>
      <w:r w:rsidR="0043097A" w:rsidRPr="004A68AC">
        <w:rPr>
          <w:szCs w:val="20"/>
          <w:lang w:val="en-US" w:eastAsia="it-IT"/>
        </w:rPr>
        <w:t xml:space="preserve"> discretized</w:t>
      </w:r>
      <w:r w:rsidR="00BB7676" w:rsidRPr="004A68AC">
        <w:rPr>
          <w:szCs w:val="20"/>
          <w:lang w:val="en-US" w:eastAsia="it-IT"/>
        </w:rPr>
        <w:t xml:space="preserve"> approach </w:t>
      </w:r>
      <w:r w:rsidR="0043097A" w:rsidRPr="004A68AC">
        <w:rPr>
          <w:szCs w:val="20"/>
          <w:lang w:val="en-US" w:eastAsia="it-IT"/>
        </w:rPr>
        <w:t>may</w:t>
      </w:r>
      <w:r w:rsidR="00BB7676" w:rsidRPr="004A68AC">
        <w:rPr>
          <w:szCs w:val="20"/>
          <w:lang w:val="en-US" w:eastAsia="it-IT"/>
        </w:rPr>
        <w:t xml:space="preserve"> </w:t>
      </w:r>
      <w:r w:rsidR="000706F1" w:rsidRPr="004A68AC">
        <w:rPr>
          <w:szCs w:val="20"/>
          <w:lang w:val="en-US" w:eastAsia="it-IT"/>
        </w:rPr>
        <w:t>not be appropriate</w:t>
      </w:r>
      <w:r w:rsidR="00BB7676" w:rsidRPr="004A68AC">
        <w:rPr>
          <w:szCs w:val="20"/>
          <w:lang w:val="en-US" w:eastAsia="it-IT"/>
        </w:rPr>
        <w:t xml:space="preserve"> </w:t>
      </w:r>
      <w:r w:rsidR="000706F1" w:rsidRPr="004A68AC">
        <w:rPr>
          <w:szCs w:val="20"/>
          <w:lang w:val="en-US" w:eastAsia="it-IT"/>
        </w:rPr>
        <w:t>in the assessment of an</w:t>
      </w:r>
      <w:r w:rsidR="00BB7676" w:rsidRPr="004A68AC">
        <w:rPr>
          <w:szCs w:val="20"/>
          <w:lang w:val="en-US" w:eastAsia="it-IT"/>
        </w:rPr>
        <w:t xml:space="preserve"> existing structure</w:t>
      </w:r>
      <w:r w:rsidR="0043097A" w:rsidRPr="004A68AC">
        <w:rPr>
          <w:szCs w:val="20"/>
          <w:lang w:val="en-US" w:eastAsia="it-IT"/>
        </w:rPr>
        <w:t>, while a more continuous classification would allow to reduce the conservativeness in the classification</w:t>
      </w:r>
      <w:r w:rsidR="000F7A90" w:rsidRPr="004A68AC">
        <w:rPr>
          <w:szCs w:val="20"/>
          <w:lang w:val="en-US" w:eastAsia="it-IT"/>
        </w:rPr>
        <w:t xml:space="preserve">. </w:t>
      </w:r>
      <w:r w:rsidR="00ED000D" w:rsidRPr="004A68AC">
        <w:rPr>
          <w:szCs w:val="20"/>
          <w:lang w:val="en-US" w:eastAsia="it-IT"/>
        </w:rPr>
        <w:t xml:space="preserve">On the other hand, </w:t>
      </w:r>
      <w:r w:rsidR="00FF226F" w:rsidRPr="004A68AC">
        <w:rPr>
          <w:szCs w:val="20"/>
          <w:lang w:val="en-US" w:eastAsia="it-IT"/>
        </w:rPr>
        <w:t xml:space="preserve">the ASCE 41 </w:t>
      </w:r>
      <w:r w:rsidR="00FF226F" w:rsidRPr="004A68AC">
        <w:rPr>
          <w:szCs w:val="20"/>
          <w:lang w:val="en-US" w:eastAsia="it-IT"/>
        </w:rPr>
        <w:fldChar w:fldCharType="begin" w:fldLock="1"/>
      </w:r>
      <w:r w:rsidR="005C47A3" w:rsidRPr="004A68AC">
        <w:rPr>
          <w:szCs w:val="20"/>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FF226F" w:rsidRPr="004A68AC">
        <w:rPr>
          <w:szCs w:val="20"/>
          <w:lang w:val="en-US" w:eastAsia="it-IT"/>
        </w:rPr>
        <w:fldChar w:fldCharType="separate"/>
      </w:r>
      <w:r w:rsidR="00FF226F" w:rsidRPr="004A68AC">
        <w:rPr>
          <w:noProof/>
          <w:szCs w:val="20"/>
          <w:lang w:val="en-US" w:eastAsia="it-IT"/>
        </w:rPr>
        <w:t>[15,18,19]</w:t>
      </w:r>
      <w:r w:rsidR="00FF226F" w:rsidRPr="004A68AC">
        <w:rPr>
          <w:szCs w:val="20"/>
          <w:lang w:val="en-US" w:eastAsia="it-IT"/>
        </w:rPr>
        <w:fldChar w:fldCharType="end"/>
      </w:r>
      <w:r w:rsidR="00FF226F" w:rsidRPr="004A68AC">
        <w:rPr>
          <w:szCs w:val="20"/>
          <w:lang w:val="en-US" w:eastAsia="it-IT"/>
        </w:rPr>
        <w:t xml:space="preserve"> establishes continuous capacity limits that are </w:t>
      </w:r>
      <w:r w:rsidR="00BB7676" w:rsidRPr="004A68AC">
        <w:rPr>
          <w:szCs w:val="20"/>
          <w:lang w:val="en-US" w:eastAsia="it-IT"/>
        </w:rPr>
        <w:t>directly function of the slenderness parameters</w:t>
      </w:r>
      <w:r w:rsidR="00FF226F" w:rsidRPr="004A68AC">
        <w:rPr>
          <w:szCs w:val="20"/>
          <w:lang w:val="en-US" w:eastAsia="it-IT"/>
        </w:rPr>
        <w:t xml:space="preserve">, which avoids the inconveniences of the </w:t>
      </w:r>
      <w:r w:rsidR="0037613A" w:rsidRPr="004A68AC">
        <w:rPr>
          <w:szCs w:val="20"/>
          <w:lang w:val="en-US" w:eastAsia="it-IT"/>
        </w:rPr>
        <w:t>strict discrete</w:t>
      </w:r>
      <w:r w:rsidR="000F7A90" w:rsidRPr="004A68AC">
        <w:rPr>
          <w:szCs w:val="20"/>
          <w:lang w:val="en-US" w:eastAsia="it-IT"/>
        </w:rPr>
        <w:t xml:space="preserve"> class-dependent </w:t>
      </w:r>
      <w:r w:rsidR="00ED000D" w:rsidRPr="004A68AC">
        <w:rPr>
          <w:szCs w:val="20"/>
          <w:lang w:val="en-US" w:eastAsia="it-IT"/>
        </w:rPr>
        <w:t>approach</w:t>
      </w:r>
      <w:r w:rsidR="00FF226F" w:rsidRPr="004A68AC">
        <w:rPr>
          <w:szCs w:val="20"/>
          <w:lang w:val="en-US" w:eastAsia="it-IT"/>
        </w:rPr>
        <w:t xml:space="preserve"> used by the EC8-3 </w:t>
      </w:r>
      <w:r w:rsidR="00FF226F" w:rsidRPr="004A68AC">
        <w:rPr>
          <w:szCs w:val="20"/>
          <w:lang w:val="en-US" w:eastAsia="it-IT"/>
        </w:rPr>
        <w:fldChar w:fldCharType="begin" w:fldLock="1"/>
      </w:r>
      <w:r w:rsidR="005C47A3" w:rsidRPr="004A68AC">
        <w:rPr>
          <w:szCs w:val="20"/>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FF226F" w:rsidRPr="004A68AC">
        <w:rPr>
          <w:szCs w:val="20"/>
          <w:lang w:val="en-US" w:eastAsia="it-IT"/>
        </w:rPr>
        <w:fldChar w:fldCharType="separate"/>
      </w:r>
      <w:r w:rsidR="00FF226F" w:rsidRPr="004A68AC">
        <w:rPr>
          <w:noProof/>
          <w:szCs w:val="20"/>
          <w:lang w:val="en-US" w:eastAsia="it-IT"/>
        </w:rPr>
        <w:t>[13]</w:t>
      </w:r>
      <w:r w:rsidR="00FF226F" w:rsidRPr="004A68AC">
        <w:rPr>
          <w:szCs w:val="20"/>
          <w:lang w:val="en-US" w:eastAsia="it-IT"/>
        </w:rPr>
        <w:fldChar w:fldCharType="end"/>
      </w:r>
      <w:r w:rsidR="000F7A90" w:rsidRPr="004A68AC">
        <w:rPr>
          <w:szCs w:val="20"/>
          <w:lang w:val="en-US" w:eastAsia="it-IT"/>
        </w:rPr>
        <w:t>.</w:t>
      </w:r>
      <w:r w:rsidR="000E577D" w:rsidRPr="004A68AC">
        <w:rPr>
          <w:szCs w:val="20"/>
          <w:lang w:val="en-US" w:eastAsia="it-IT"/>
        </w:rPr>
        <w:t xml:space="preserve"> In a similar way, those columns with dimensionless axial load ν &gt;</w:t>
      </w:r>
      <w:r w:rsidR="000E577D" w:rsidRPr="004A68AC">
        <w:rPr>
          <w:szCs w:val="20"/>
          <w:lang w:val="en-US"/>
        </w:rPr>
        <w:t xml:space="preserve"> 0.3 are treated as force-controlled elements</w:t>
      </w:r>
      <w:r w:rsidR="00FF226F" w:rsidRPr="004A68AC">
        <w:rPr>
          <w:szCs w:val="20"/>
          <w:lang w:val="en-US"/>
        </w:rPr>
        <w:t xml:space="preserve"> in the European regulation</w:t>
      </w:r>
      <w:r w:rsidR="000E577D" w:rsidRPr="004A68AC">
        <w:rPr>
          <w:szCs w:val="20"/>
          <w:lang w:val="en-US"/>
        </w:rPr>
        <w:t xml:space="preserve">, which may significantly reduce the system capacity in some cases. The ASCE 41-06 and -13 </w:t>
      </w:r>
      <w:r w:rsidR="000E577D" w:rsidRPr="004A68AC">
        <w:rPr>
          <w:szCs w:val="20"/>
          <w:lang w:val="en-US"/>
        </w:rPr>
        <w:fldChar w:fldCharType="begin" w:fldLock="1"/>
      </w:r>
      <w:r w:rsidR="005C47A3" w:rsidRPr="004A68AC">
        <w:rPr>
          <w:szCs w:val="20"/>
          <w:lang w:val="en-US"/>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mendeley":{"formattedCitation":"[15,18]","plainTextFormattedCitation":"[15,18]","previouslyFormattedCitation":"[15,18]"},"properties":{"noteIndex":0},"schema":"https://github.com/citation-style-language/schema/raw/master/csl-citation.json"}</w:instrText>
      </w:r>
      <w:r w:rsidR="000E577D" w:rsidRPr="004A68AC">
        <w:rPr>
          <w:szCs w:val="20"/>
          <w:lang w:val="en-US"/>
        </w:rPr>
        <w:fldChar w:fldCharType="separate"/>
      </w:r>
      <w:r w:rsidR="000E577D" w:rsidRPr="004A68AC">
        <w:rPr>
          <w:noProof/>
          <w:szCs w:val="20"/>
          <w:lang w:val="en-US"/>
        </w:rPr>
        <w:t>[15,18]</w:t>
      </w:r>
      <w:r w:rsidR="000E577D" w:rsidRPr="004A68AC">
        <w:rPr>
          <w:szCs w:val="20"/>
          <w:lang w:val="en-US"/>
        </w:rPr>
        <w:fldChar w:fldCharType="end"/>
      </w:r>
      <w:r w:rsidR="000E577D" w:rsidRPr="004A68AC">
        <w:rPr>
          <w:szCs w:val="20"/>
          <w:lang w:val="en-US"/>
        </w:rPr>
        <w:t xml:space="preserve">, on the other hand, allow columns with values of </w:t>
      </w:r>
      <w:r w:rsidR="000E577D" w:rsidRPr="004A68AC">
        <w:rPr>
          <w:szCs w:val="20"/>
          <w:lang w:val="en-US" w:eastAsia="it-IT"/>
        </w:rPr>
        <w:t xml:space="preserve">ν </w:t>
      </w:r>
      <w:r w:rsidR="000E577D" w:rsidRPr="004A68AC">
        <w:rPr>
          <w:szCs w:val="20"/>
          <w:lang w:eastAsia="it-IT"/>
        </w:rPr>
        <w:t>≤</w:t>
      </w:r>
      <w:r w:rsidR="000E577D" w:rsidRPr="004A68AC">
        <w:rPr>
          <w:szCs w:val="20"/>
          <w:lang w:val="en-US" w:eastAsia="it-IT"/>
        </w:rPr>
        <w:t xml:space="preserve"> 0.5 to be considered as deformation-controlled, while the ASCE 41-17 </w:t>
      </w:r>
      <w:r w:rsidR="000E577D" w:rsidRPr="004A68AC">
        <w:rPr>
          <w:szCs w:val="20"/>
          <w:lang w:val="en-US" w:eastAsia="it-IT"/>
        </w:rPr>
        <w:fldChar w:fldCharType="begin" w:fldLock="1"/>
      </w:r>
      <w:r w:rsidR="005C47A3" w:rsidRPr="004A68AC">
        <w:rPr>
          <w:szCs w:val="20"/>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0E577D" w:rsidRPr="004A68AC">
        <w:rPr>
          <w:szCs w:val="20"/>
          <w:lang w:val="en-US" w:eastAsia="it-IT"/>
        </w:rPr>
        <w:fldChar w:fldCharType="separate"/>
      </w:r>
      <w:r w:rsidR="000E577D" w:rsidRPr="004A68AC">
        <w:rPr>
          <w:noProof/>
          <w:szCs w:val="20"/>
          <w:lang w:val="en-US" w:eastAsia="it-IT"/>
        </w:rPr>
        <w:t>[19]</w:t>
      </w:r>
      <w:r w:rsidR="000E577D" w:rsidRPr="004A68AC">
        <w:rPr>
          <w:szCs w:val="20"/>
          <w:lang w:val="en-US" w:eastAsia="it-IT"/>
        </w:rPr>
        <w:fldChar w:fldCharType="end"/>
      </w:r>
      <w:r w:rsidR="000E577D" w:rsidRPr="004A68AC">
        <w:rPr>
          <w:szCs w:val="20"/>
          <w:lang w:val="en-US" w:eastAsia="it-IT"/>
        </w:rPr>
        <w:t xml:space="preserve"> </w:t>
      </w:r>
      <w:r w:rsidR="00FF226F" w:rsidRPr="004A68AC">
        <w:rPr>
          <w:szCs w:val="20"/>
          <w:lang w:val="en-US" w:eastAsia="it-IT"/>
        </w:rPr>
        <w:t>pushes the limit further to</w:t>
      </w:r>
      <w:r w:rsidR="000E577D" w:rsidRPr="004A68AC">
        <w:rPr>
          <w:szCs w:val="20"/>
          <w:lang w:val="en-US" w:eastAsia="it-IT"/>
        </w:rPr>
        <w:t xml:space="preserve"> </w:t>
      </w:r>
      <w:r w:rsidR="000E577D" w:rsidRPr="004A68AC">
        <w:rPr>
          <w:szCs w:val="20"/>
          <w:lang w:eastAsia="it-IT"/>
        </w:rPr>
        <w:t>ν</w:t>
      </w:r>
      <w:r w:rsidR="000E577D" w:rsidRPr="004A68AC">
        <w:rPr>
          <w:szCs w:val="20"/>
          <w:vertAlign w:val="subscript"/>
          <w:lang w:eastAsia="it-IT"/>
        </w:rPr>
        <w:t>G</w:t>
      </w:r>
      <w:r w:rsidR="000E577D" w:rsidRPr="004A68AC">
        <w:rPr>
          <w:szCs w:val="20"/>
          <w:lang w:eastAsia="it-IT"/>
        </w:rPr>
        <w:t xml:space="preserve"> ≤ 0.6</w:t>
      </w:r>
      <w:r w:rsidR="000E577D" w:rsidRPr="004A68AC">
        <w:rPr>
          <w:szCs w:val="20"/>
          <w:lang w:val="en-US" w:eastAsia="it-IT"/>
        </w:rPr>
        <w:t>.</w:t>
      </w:r>
    </w:p>
    <w:p w14:paraId="5A7A987E" w14:textId="77777777" w:rsidR="00C428B4" w:rsidRPr="004A68AC" w:rsidRDefault="00C428B4" w:rsidP="005F00AF">
      <w:pPr>
        <w:rPr>
          <w:szCs w:val="20"/>
          <w:lang w:val="en-US" w:eastAsia="it-IT"/>
        </w:rPr>
      </w:pPr>
    </w:p>
    <w:p w14:paraId="3FC2D7AA" w14:textId="162F0725" w:rsidR="000234B2" w:rsidRPr="004A68AC" w:rsidRDefault="000234B2" w:rsidP="005F00AF">
      <w:pPr>
        <w:rPr>
          <w:szCs w:val="17"/>
          <w:lang w:val="en-US"/>
        </w:rPr>
      </w:pPr>
      <w:r w:rsidRPr="004A68AC">
        <w:rPr>
          <w:lang w:val="en-US" w:eastAsia="it-IT"/>
        </w:rPr>
        <w:t xml:space="preserve">     The current version of the EC8-3 </w:t>
      </w:r>
      <w:r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Pr="004A68AC">
        <w:rPr>
          <w:lang w:val="en-US" w:eastAsia="it-IT"/>
        </w:rPr>
        <w:fldChar w:fldCharType="separate"/>
      </w:r>
      <w:r w:rsidR="0013657C" w:rsidRPr="004A68AC">
        <w:rPr>
          <w:noProof/>
          <w:lang w:val="en-US" w:eastAsia="it-IT"/>
        </w:rPr>
        <w:t>[13]</w:t>
      </w:r>
      <w:r w:rsidRPr="004A68AC">
        <w:rPr>
          <w:lang w:val="en-US" w:eastAsia="it-IT"/>
        </w:rPr>
        <w:fldChar w:fldCharType="end"/>
      </w:r>
      <w:r w:rsidRPr="004A68AC">
        <w:rPr>
          <w:lang w:val="en-US" w:eastAsia="it-IT"/>
        </w:rPr>
        <w:t xml:space="preserve"> lacks of explicit modeling parameters for the different components, including monotonic and cyclic deformations. Following the trend established by the ASCE 41-17 </w:t>
      </w:r>
      <w:r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Pr="004A68AC">
        <w:rPr>
          <w:lang w:val="en-US" w:eastAsia="it-IT"/>
        </w:rPr>
        <w:fldChar w:fldCharType="separate"/>
      </w:r>
      <w:r w:rsidRPr="004A68AC">
        <w:rPr>
          <w:noProof/>
          <w:lang w:val="en-US" w:eastAsia="it-IT"/>
        </w:rPr>
        <w:t>[19]</w:t>
      </w:r>
      <w:r w:rsidRPr="004A68AC">
        <w:rPr>
          <w:lang w:val="en-US" w:eastAsia="it-IT"/>
        </w:rPr>
        <w:fldChar w:fldCharType="end"/>
      </w:r>
      <w:r w:rsidRPr="004A68AC">
        <w:rPr>
          <w:lang w:val="en-US" w:eastAsia="it-IT"/>
        </w:rPr>
        <w:t>, the new version of the EC8-3 c</w:t>
      </w:r>
      <w:r w:rsidR="007F0DCC" w:rsidRPr="004A68AC">
        <w:rPr>
          <w:lang w:val="en-US" w:eastAsia="it-IT"/>
        </w:rPr>
        <w:t>ould</w:t>
      </w:r>
      <w:r w:rsidRPr="004A68AC">
        <w:rPr>
          <w:lang w:val="en-US" w:eastAsia="it-IT"/>
        </w:rPr>
        <w:t xml:space="preserve"> incorporate modeling parameters and capacity limits based on experiments performed on European steel sections and materials (</w:t>
      </w:r>
      <w:r w:rsidRPr="004A68AC">
        <w:rPr>
          <w:i/>
          <w:lang w:val="en-US" w:eastAsia="it-IT"/>
        </w:rPr>
        <w:t>e.g.</w:t>
      </w:r>
      <w:r w:rsidRPr="004A68AC">
        <w:rPr>
          <w:lang w:val="en-US" w:eastAsia="it-IT"/>
        </w:rPr>
        <w:t xml:space="preserve">, </w:t>
      </w:r>
      <w:r w:rsidRPr="004A68AC">
        <w:rPr>
          <w:szCs w:val="17"/>
          <w:lang w:val="en-US"/>
        </w:rPr>
        <w:fldChar w:fldCharType="begin" w:fldLock="1"/>
      </w:r>
      <w:r w:rsidRPr="004A68AC">
        <w:rPr>
          <w:szCs w:val="17"/>
          <w:lang w:val="en-US"/>
        </w:rPr>
        <w:instrText>ADDIN CSL_CITATION {"citationItems":[{"id":"ITEM-1","itemData":{"DOI":"10.1061/(ASCE)ST.1943-541X.0002499","ISSN":"07339445","abstract":"This paper presents results from an experimental evaluation on the pre- and post-buckling behavior of 12 steel wide-flange cantilever columns under axial load and lateral drift demands. The influence of several loading and geometric parameters, including the cross-sectional local web and flange slenderness ratios, applied axial load, and lateral and axial loading history on the performance of these columns is thoroughly examined. The test data indicate that cross-sectional local buckling is highly asymmetric in steel columns under variable axial load. A relatively high compressive axial load can significantly compromise the steel column seismic stability and ductility, but this also depends on the imposed lateral loading history. The AISC axial load-bending moment interaction equation provides accurate estimates of a steel column's yield resistance. However, the same equation underestimates by at least 30% the column's peak resistance, regardless of the loading scenario. Measurements of column flange deformation, axial shortening, flexural resistance, and lateral drift are combined in a single graphical format aiding the process of assessing steel column repairability after earthquakes. The test data suggest that current practice-oriented nonlinear component modeling guidelines may not provide sufficient accuracy in establishing both the monotonic and first-cycle envelope curves of steel columns. It is also shown that high-fidelity continuum finite-element models should consider geometric imperfections of proper magnitude, in addition to the steel material inelasticity, to properly simulate the inelastic buckling of wide-flange steel columns and generalize the findings of physical tests. Issues arising due to similitude are also discussed to properly limit steel column instability modes in future studies.","author":[{"dropping-particle":"","family":"Cravero","given":"Julien","non-dropping-particle":"","parse-names":false,"suffix":""},{"dropping-particle":"","family":"Elkady","given":"Ahmed","non-dropping-particle":"","parse-names":false,"suffix":""},{"dropping-particle":"","family":"Lignos","given":"Dimitrios G.","non-dropping-particle":"","parse-names":false,"suffix":""}],"container-title":"Journal of Structural Engineering","id":"ITEM-1","issue":"3","issued":{"date-parts":[["2020"]]},"page":"1-19","title":"Experimental Evaluation and Numerical Modeling of Wide-Flange Steel Columns Subjected to Constant and Variable Axial Load Coupled with Lateral Drift Demands","type":"article-journal","volume":"146"},"uris":["http://www.mendeley.com/documents/?uuid=d4fb787c-d8e5-4dec-8c7e-39f76c48b937"]},{"id":"ITEM-2","itemData":{"DOI":"10.1016/j.jcsr.2012.07.003","ISSN":"0143974X","abstract":"The ultimate behavior of steel beams deeply influences the overall performance of steel frames. The main response parameters are the rotation capacity and the flexural ultimate resistance. The former is the source of the local ductility supply needed to achieve a global dissipative behavior of structures under seismic actions, whereas the latter governs the flexural overstrength whose knowledge is needed for an appropriate application of hierarchy criteria in seismic design of structures. Therefore, a twofold classification of steel members according to their ductility and overstrength is the most appropriate approach for seismic design applications. Currently, modern international design codes are based on the classification of steel sections for both plastic and seismic designs of structures, providing misleading emphasis mainly on local buckling as the primary strain-weakening effect. Even though different methods are available in the technical literature for predicting the ultimate behavior of steel members under non-uniform bending, the problem still deserves further investigations, because of the high number of parameters affecting the ultimate response and the variety of cross-sectional shapes. Therefore, a new experimental program dealing with a wide range of cross section typologies (I and H sections, Square and Rectangular Hollow sections) under monotonic and cyclic loading has been carried out by testing specimens with different local slenderness ratios properly selected to integrate the data already available in the technical literature. The obtained results are herein presented and discussed. © 2012 Elsevier Ltd. All rights reserved.","author":[{"dropping-particle":"","family":"D'Aniello","given":"Mario","non-dropping-particle":"","parse-names":false,"suffix":""},{"dropping-particle":"","family":"Landolfo","given":"Raffaele","non-dropping-particle":"","parse-names":false,"suffix":""},{"dropping-particle":"","family":"Piluso","given":"Vincenzo","non-dropping-particle":"","parse-names":false,"suffix":""},{"dropping-particle":"","family":"Rizzano","given":"Gianvittorio","non-dropping-particle":"","parse-names":false,"suffix":""}],"container-title":"Journal of Constructional Steel Research","id":"ITEM-2","issued":{"date-parts":[["2012"]]},"page":"144-158","publisher":"Elsevier Ltd","title":"Ultimate behavior of steel beams under non-uniform bending","type":"article-journal","volume":"78"},"uris":["http://www.mendeley.com/documents/?uuid=7156eb5b-7ba7-47f6-9961-4eca2ec654aa"]},{"id":"ITEM-3","itemData":{"DOI":"10.1016/j.jcsr.2017.04.004","ISSN":"0143974X","abstract":"One issue of major importance regarding the application of seismic assessment guidelines is that of the deformation capacity limits prescribed for the various limit states. In the case of existing steel structures, Part 3 of Eurocode 8 (EC8-3) defines the limits in terms of plastic rotations, which are only applicable to cases where normalized axial load levels are lower than 0.3 and to cross-section classes of type 1 and 2. These limits resemble the ones defined in ASCE 41, suggesting a direct reproduction from the latter document despite their derivation on the basis of typical American profiles. Hence, this paper aims at evaluating the deformation capacity of European steel members and to answer the question of how adequate are the current EC8-3 limits. Based on detailed FE models, the influence of member imperfections, axial load and real ground motion records is assessed. Fracture due to ultra-low cycle fatigue is taken into account and general expressions for predicting the rotation capacity of a wide number of European cross-section profiles are proposed.","author":[{"dropping-particle":"","family":"Araújo","given":"Miguel","non-dropping-particle":"","parse-names":false,"suffix":""},{"dropping-particle":"","family":"Macedo","given":"Luís","non-dropping-particle":"","parse-names":false,"suffix":""},{"dropping-particle":"","family":"Castro","given":"José Miguel","non-dropping-particle":"","parse-names":false,"suffix":""}],"container-title":"Journal of Constructional Steel Research","id":"ITEM-3","issue":"September 2016","issued":{"date-parts":[["2017"]]},"page":"11-29","publisher":"Elsevier","title":"Evaluation of the rotation capacity limits of steel members defined in EC8-3","type":"article-journal","volume":"135"},"uris":["http://www.mendeley.com/documents/?uuid=4a458b54-22af-4a8a-b45a-8987b34f6548"]},{"id":"ITEM-4","itemData":{"DOI":"10.1002/stab.201900108","ISSN":"14371049","abstract":"Seismic performance assessment of new and existing steel structures based on nonlinear static (pushover) analysis necessitates the use of engineering-oriented models that trace the nonlinear response of structural steel elements under static and cyclic loading. Recent experiments and corroborating finite element simulations on I- and H-shaped steel columns constitute an important data source for such a development. This paper presents important insights regarding the behaviour of steel columns under cyclic and monotonic loading based on an assembled steel column database. We propose simple, yet accurate, practice-oriented models to predict the strength and deformation capacities at yield and ultimate rotation (near collapse) of steel columns within the framework of Eurocode 8 Part 3 (EC8-Part 3). The proposed models are derived from first principles of mechanics along with robust statistical approaches leveraging the assembled datasets. It is shown that modelling provisions for steel columns in the current EC8 Part 3 do not reflect column behavioural trends from the available databases. The influence of loading history on the derived modelling recommendations for columns is also quantified and discussed. The proposed recommendations may be incorporated in future versions of EC8-Part 3 for seismic performance assessment of new and existing steel structures.","author":[{"dropping-particle":"","family":"Lignos","given":"Dimitrios G.","non-dropping-particle":"","parse-names":false,"suffix":""},{"dropping-particle":"","family":"Hartloper","given":"Alexander R.","non-dropping-particle":"","parse-names":false,"suffix":""}],"container-title":"Stahlbau","id":"ITEM-4","issue":"1","issued":{"date-parts":[["2020"]]},"page":"16-27","title":"Steel column stability and implications in the seismic assessment of steel structures according to Eurocode 8 Part 3","type":"article-journal","volume":"89"},"uris":["http://www.mendeley.com/documents/?uuid=6768b7d0-12f0-44b5-9e75-ef43074b11eb"]}],"mendeley":{"formattedCitation":"[23–26]","plainTextFormattedCitation":"[23–26]","previouslyFormattedCitation":"[23–26]"},"properties":{"noteIndex":0},"schema":"https://github.com/citation-style-language/schema/raw/master/csl-citation.json"}</w:instrText>
      </w:r>
      <w:r w:rsidRPr="004A68AC">
        <w:rPr>
          <w:szCs w:val="17"/>
          <w:lang w:val="en-US"/>
        </w:rPr>
        <w:fldChar w:fldCharType="separate"/>
      </w:r>
      <w:r w:rsidRPr="004A68AC">
        <w:rPr>
          <w:noProof/>
          <w:szCs w:val="17"/>
          <w:lang w:val="en-US"/>
        </w:rPr>
        <w:t>[23–26]</w:t>
      </w:r>
      <w:r w:rsidRPr="004A68AC">
        <w:rPr>
          <w:szCs w:val="17"/>
          <w:lang w:val="en-US"/>
        </w:rPr>
        <w:fldChar w:fldCharType="end"/>
      </w:r>
      <w:r w:rsidRPr="004A68AC">
        <w:rPr>
          <w:szCs w:val="17"/>
          <w:lang w:val="en-US"/>
        </w:rPr>
        <w:t>), which also consider</w:t>
      </w:r>
      <w:r w:rsidR="007F0DCC" w:rsidRPr="004A68AC">
        <w:rPr>
          <w:szCs w:val="17"/>
          <w:lang w:val="en-US"/>
        </w:rPr>
        <w:t>ed</w:t>
      </w:r>
      <w:r w:rsidRPr="004A68AC">
        <w:rPr>
          <w:szCs w:val="17"/>
          <w:lang w:val="en-US"/>
        </w:rPr>
        <w:t xml:space="preserve"> the effect of axial loads</w:t>
      </w:r>
      <w:r w:rsidR="007F0DCC" w:rsidRPr="004A68AC">
        <w:rPr>
          <w:szCs w:val="17"/>
          <w:lang w:val="en-US"/>
        </w:rPr>
        <w:t>,</w:t>
      </w:r>
      <w:r w:rsidRPr="004A68AC">
        <w:rPr>
          <w:szCs w:val="17"/>
          <w:lang w:val="en-US"/>
        </w:rPr>
        <w:t xml:space="preserve"> section and member slenderness.</w:t>
      </w:r>
    </w:p>
    <w:p w14:paraId="0C76A76A" w14:textId="77777777" w:rsidR="00C428B4" w:rsidRPr="004A68AC" w:rsidRDefault="00C428B4" w:rsidP="005F00AF">
      <w:pPr>
        <w:rPr>
          <w:lang w:val="en-US" w:eastAsia="it-IT"/>
        </w:rPr>
      </w:pPr>
    </w:p>
    <w:p w14:paraId="6D3D91AC" w14:textId="3CEC34FF" w:rsidR="008E3140" w:rsidRPr="004A68AC" w:rsidRDefault="00B17458" w:rsidP="008E3140">
      <w:pPr>
        <w:rPr>
          <w:lang w:val="en-US" w:eastAsia="it-IT"/>
        </w:rPr>
      </w:pPr>
      <w:r w:rsidRPr="004A68AC">
        <w:rPr>
          <w:lang w:val="en-US" w:eastAsia="it-IT"/>
        </w:rPr>
        <w:t xml:space="preserve">     To gain additional insights on the influence of the different definition of the capacity limits, two case study buildings have been selected and analyzed by performing Incremental Dynamic Analys</w:t>
      </w:r>
      <w:r w:rsidR="007F0DCC" w:rsidRPr="004A68AC">
        <w:rPr>
          <w:lang w:val="en-US" w:eastAsia="it-IT"/>
        </w:rPr>
        <w:t>e</w:t>
      </w:r>
      <w:r w:rsidRPr="004A68AC">
        <w:rPr>
          <w:lang w:val="en-US" w:eastAsia="it-IT"/>
        </w:rPr>
        <w:t>s (IDA) and developing fragility curves. T</w:t>
      </w:r>
      <w:r w:rsidRPr="004A68AC">
        <w:rPr>
          <w:szCs w:val="20"/>
          <w:lang w:val="en-US"/>
        </w:rPr>
        <w:t xml:space="preserve">he </w:t>
      </w:r>
      <w:r w:rsidR="00156121" w:rsidRPr="004A68AC">
        <w:rPr>
          <w:szCs w:val="20"/>
          <w:lang w:val="en-US"/>
        </w:rPr>
        <w:t>direct comparison of the assessment codes</w:t>
      </w:r>
      <w:r w:rsidR="007C55BF" w:rsidRPr="004A68AC">
        <w:rPr>
          <w:szCs w:val="20"/>
          <w:lang w:val="en-US"/>
        </w:rPr>
        <w:t xml:space="preserve"> shows that the EC8-3</w:t>
      </w:r>
      <w:r w:rsidR="00183176" w:rsidRPr="004A68AC">
        <w:rPr>
          <w:szCs w:val="20"/>
          <w:lang w:val="en-US"/>
        </w:rPr>
        <w:t xml:space="preserve"> </w:t>
      </w:r>
      <w:r w:rsidR="00183176"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183176" w:rsidRPr="004A68AC">
        <w:rPr>
          <w:lang w:val="en-US" w:eastAsia="it-IT"/>
        </w:rPr>
        <w:fldChar w:fldCharType="separate"/>
      </w:r>
      <w:r w:rsidR="00855F83" w:rsidRPr="004A68AC">
        <w:rPr>
          <w:noProof/>
          <w:lang w:val="en-US" w:eastAsia="it-IT"/>
        </w:rPr>
        <w:t>[13]</w:t>
      </w:r>
      <w:r w:rsidR="00183176" w:rsidRPr="004A68AC">
        <w:rPr>
          <w:lang w:val="en-US" w:eastAsia="it-IT"/>
        </w:rPr>
        <w:fldChar w:fldCharType="end"/>
      </w:r>
      <w:r w:rsidR="007C55BF" w:rsidRPr="004A68AC">
        <w:rPr>
          <w:szCs w:val="20"/>
          <w:lang w:val="en-US"/>
        </w:rPr>
        <w:t xml:space="preserve"> </w:t>
      </w:r>
      <w:r w:rsidR="00183176" w:rsidRPr="004A68AC">
        <w:rPr>
          <w:szCs w:val="20"/>
          <w:lang w:val="en-US"/>
        </w:rPr>
        <w:t>is</w:t>
      </w:r>
      <w:r w:rsidR="007C55BF" w:rsidRPr="004A68AC">
        <w:rPr>
          <w:szCs w:val="20"/>
          <w:lang w:val="en-US"/>
        </w:rPr>
        <w:t xml:space="preserve"> </w:t>
      </w:r>
      <w:r w:rsidR="00183176" w:rsidRPr="004A68AC">
        <w:rPr>
          <w:szCs w:val="20"/>
          <w:lang w:val="en-US"/>
        </w:rPr>
        <w:t xml:space="preserve">conservative for LS1 and unconservative for LS2 and LS3, when compared to the American codes </w:t>
      </w:r>
      <w:r w:rsidR="00183176"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Buildings","type":"article"},"uris":["http://www.mendeley.com/documents/?uuid=e32cfdb6-620a-411a-a7d6-8e56de32bcc1"]},{"id":"ITEM-2","itemData":{"DOI":"10.1061/9780784412855","ISBN":"9780784412855","author":[{"dropping-particle":"","family":"American Society of Civil Engineers","given":"","non-dropping-particle":"","parse-names":false,"suffix":""}],"container-title":"ASCE/SEI 41-13","id":"ITEM-2","issued":{"date-parts":[["2014","5","29"]]},"publisher":"American Society of Civil Engineers","publisher-place":"Reston, VA","title":"Seismic Evaluation and Retrofit of Existing Buildings","type":"article"},"uris":["http://www.mendeley.com/documents/?uuid=e1e1c9a1-8439-4464-8e57-e6a99a956fd4"]},{"id":"ITEM-3","itemData":{"DOI":"10.1061/9780784414859","ISBN":"9780784412855","author":[{"dropping-particle":"","family":"American Society of Civil Engineers","given":"","non-dropping-particle":"","parse-names":false,"suffix":""}],"container-title":"ASCE/SEI 41-17","id":"ITEM-3","issued":{"date-parts":[["2017"]]},"title":"Seismic Evaluation and Retrofit of Existing Buildings","type":"article"},"uris":["http://www.mendeley.com/documents/?uuid=0dfd1fff-db69-4728-b658-30ff1c502a98"]}],"mendeley":{"formattedCitation":"[15,18,19]","plainTextFormattedCitation":"[15,18,19]","previouslyFormattedCitation":"[15,18,19]"},"properties":{"noteIndex":0},"schema":"https://github.com/citation-style-language/schema/raw/master/csl-citation.json"}</w:instrText>
      </w:r>
      <w:r w:rsidR="00183176" w:rsidRPr="004A68AC">
        <w:rPr>
          <w:lang w:val="en-US" w:eastAsia="it-IT"/>
        </w:rPr>
        <w:fldChar w:fldCharType="separate"/>
      </w:r>
      <w:r w:rsidR="00183176" w:rsidRPr="004A68AC">
        <w:rPr>
          <w:noProof/>
          <w:lang w:val="en-US" w:eastAsia="it-IT"/>
        </w:rPr>
        <w:t>[15,18,19]</w:t>
      </w:r>
      <w:r w:rsidR="00183176" w:rsidRPr="004A68AC">
        <w:rPr>
          <w:lang w:val="en-US" w:eastAsia="it-IT"/>
        </w:rPr>
        <w:fldChar w:fldCharType="end"/>
      </w:r>
      <w:r w:rsidR="006B597D" w:rsidRPr="004A68AC">
        <w:rPr>
          <w:lang w:val="en-US" w:eastAsia="it-IT"/>
        </w:rPr>
        <w:t>. This is</w:t>
      </w:r>
      <w:r w:rsidR="00C809E7" w:rsidRPr="004A68AC">
        <w:rPr>
          <w:lang w:val="en-US" w:eastAsia="it-IT"/>
        </w:rPr>
        <w:t xml:space="preserve"> mainly due to the lack of panel zone’s capacity limits, but also </w:t>
      </w:r>
      <w:r w:rsidR="006B597D" w:rsidRPr="004A68AC">
        <w:rPr>
          <w:lang w:val="en-US" w:eastAsia="it-IT"/>
        </w:rPr>
        <w:t xml:space="preserve">to </w:t>
      </w:r>
      <w:r w:rsidR="00C809E7" w:rsidRPr="004A68AC">
        <w:rPr>
          <w:lang w:val="en-US" w:eastAsia="it-IT"/>
        </w:rPr>
        <w:t>the lack of consideration of axial load</w:t>
      </w:r>
      <w:r w:rsidR="006C38ED" w:rsidRPr="004A68AC">
        <w:rPr>
          <w:lang w:val="en-US" w:eastAsia="it-IT"/>
        </w:rPr>
        <w:t xml:space="preserve"> demands</w:t>
      </w:r>
      <w:r w:rsidR="006B597D" w:rsidRPr="004A68AC">
        <w:rPr>
          <w:lang w:val="en-US" w:eastAsia="it-IT"/>
        </w:rPr>
        <w:t xml:space="preserve"> in the columns</w:t>
      </w:r>
      <w:r w:rsidR="00C809E7" w:rsidRPr="004A68AC">
        <w:rPr>
          <w:lang w:val="en-US" w:eastAsia="it-IT"/>
        </w:rPr>
        <w:t>. This difference is more significant in taller structures, as the relative axial loads are usually increased.</w:t>
      </w:r>
      <w:r w:rsidR="008E3140" w:rsidRPr="004A68AC">
        <w:rPr>
          <w:lang w:val="en-US" w:eastAsia="it-IT"/>
        </w:rPr>
        <w:t xml:space="preserve"> The comparison of the system fragility curves allows </w:t>
      </w:r>
      <w:r w:rsidR="00144B38" w:rsidRPr="004A68AC">
        <w:rPr>
          <w:lang w:val="en-US" w:eastAsia="it-IT"/>
        </w:rPr>
        <w:t>the quantification of</w:t>
      </w:r>
      <w:r w:rsidR="008E3140" w:rsidRPr="004A68AC">
        <w:rPr>
          <w:lang w:val="en-US" w:eastAsia="it-IT"/>
        </w:rPr>
        <w:t xml:space="preserve"> the differences on the two case studies analyzed. The EC8-3 </w:t>
      </w:r>
      <w:r w:rsidR="008E3140"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[13]</w:t>
      </w:r>
      <w:r w:rsidR="008E3140" w:rsidRPr="004A68AC">
        <w:rPr>
          <w:lang w:val="en-US" w:eastAsia="it-IT"/>
        </w:rPr>
        <w:fldChar w:fldCharType="end"/>
      </w:r>
      <w:r w:rsidR="008E3140" w:rsidRPr="004A68AC">
        <w:rPr>
          <w:lang w:val="en-US" w:eastAsia="it-IT"/>
        </w:rPr>
        <w:t xml:space="preserve"> provides conservative results for LS1 when compared to the </w:t>
      </w:r>
      <w:r w:rsidR="008E3140" w:rsidRPr="004A68AC">
        <w:rPr>
          <w:szCs w:val="20"/>
          <w:lang w:val="en-US"/>
        </w:rPr>
        <w:t>American codes</w:t>
      </w:r>
      <w:r w:rsidR="008E3140" w:rsidRPr="004A68AC">
        <w:rPr>
          <w:lang w:val="en-US" w:eastAsia="it-IT"/>
        </w:rPr>
        <w:t xml:space="preserve">, </w:t>
      </w:r>
      <w:r w:rsidR="008E3140" w:rsidRPr="004A68AC">
        <w:rPr>
          <w:i/>
          <w:iCs/>
          <w:lang w:val="en-US" w:eastAsia="it-IT"/>
        </w:rPr>
        <w:t>i.e.,</w:t>
      </w:r>
      <w:r w:rsidR="008E3140" w:rsidRPr="004A68AC">
        <w:rPr>
          <w:lang w:val="en-US" w:eastAsia="it-IT"/>
        </w:rPr>
        <w:t xml:space="preserve"> the IM corresponding to 50% probability of exceedance, IM</w:t>
      </w:r>
      <w:r w:rsidR="008E3140" w:rsidRPr="004A68AC">
        <w:rPr>
          <w:vertAlign w:val="subscript"/>
          <w:lang w:val="en-US" w:eastAsia="it-IT"/>
        </w:rPr>
        <w:t>50</w:t>
      </w:r>
      <w:r w:rsidR="008E3140" w:rsidRPr="004A68AC">
        <w:rPr>
          <w:lang w:val="en-US" w:eastAsia="it-IT"/>
        </w:rPr>
        <w:t xml:space="preserve"> for LS1 are </w:t>
      </w:r>
      <w:r w:rsidR="009741BE" w:rsidRPr="004A68AC">
        <w:rPr>
          <w:lang w:val="en-US" w:eastAsia="it-IT"/>
        </w:rPr>
        <w:t>23</w:t>
      </w:r>
      <w:r w:rsidR="008E3140" w:rsidRPr="004A68AC">
        <w:rPr>
          <w:lang w:val="en-US" w:eastAsia="it-IT"/>
        </w:rPr>
        <w:t xml:space="preserve">%, </w:t>
      </w:r>
      <w:r w:rsidR="009741BE" w:rsidRPr="004A68AC">
        <w:rPr>
          <w:lang w:val="en-US" w:eastAsia="it-IT"/>
        </w:rPr>
        <w:t>23</w:t>
      </w:r>
      <w:r w:rsidR="008E3140" w:rsidRPr="004A68AC">
        <w:rPr>
          <w:lang w:val="en-US" w:eastAsia="it-IT"/>
        </w:rPr>
        <w:t xml:space="preserve">% and </w:t>
      </w:r>
      <w:r w:rsidR="009741BE" w:rsidRPr="004A68AC">
        <w:rPr>
          <w:lang w:val="en-US" w:eastAsia="it-IT"/>
        </w:rPr>
        <w:t>37</w:t>
      </w:r>
      <w:r w:rsidR="008E3140" w:rsidRPr="004A68AC">
        <w:rPr>
          <w:lang w:val="en-US" w:eastAsia="it-IT"/>
        </w:rPr>
        <w:t xml:space="preserve">% higher than the </w:t>
      </w:r>
      <w:r w:rsidR="008E3140" w:rsidRPr="004A68AC">
        <w:rPr>
          <w:szCs w:val="20"/>
          <w:lang w:val="en-US"/>
        </w:rPr>
        <w:t xml:space="preserve">EC8-3 </w:t>
      </w:r>
      <w:r w:rsidR="008E3140"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[13]</w:t>
      </w:r>
      <w:r w:rsidR="008E3140" w:rsidRPr="004A68AC">
        <w:rPr>
          <w:lang w:val="en-US" w:eastAsia="it-IT"/>
        </w:rPr>
        <w:fldChar w:fldCharType="end"/>
      </w:r>
      <w:r w:rsidR="008E3140" w:rsidRPr="004A68AC">
        <w:rPr>
          <w:lang w:val="en-US" w:eastAsia="it-IT"/>
        </w:rPr>
        <w:t xml:space="preserve"> respectively for ASCE 41-06 </w:t>
      </w:r>
      <w:r w:rsidR="008E3140" w:rsidRPr="004A68AC">
        <w:rPr>
          <w:lang w:val="en-US" w:eastAsia="it-IT"/>
        </w:rPr>
        <w:fldChar w:fldCharType="begin" w:fldLock="1"/>
      </w:r>
      <w:r w:rsidR="005C47A3" w:rsidRPr="004A68AC">
        <w:rPr>
          <w:lang w:val="en-US" w:eastAsia="it-IT"/>
        </w:rPr>
        <w:instrText>ADDIN CSL_CITATION {"citationItems":[{"id":"ITEM-1","itemData":{"DOI":"10.1061/9780784408841","ISBN":"9780784408841","author":[{"dropping-particle":"","family":"American Society of Civil Engineers","given":"","non-dropping-particle":"","parse-names":false,"suffix":""}],"container-title":"ASCE/SEI 41-06","id":"ITEM-1","issued":{"date-parts":[["2007"]]},"title":"Seismic Rehabilitation of Existing Buildings","type":"article"},"uris":["http://www.mendeley.com/documents/?uuid=e32cfdb6-620a-411a-a7d6-8e56de32bcc1"]}],"mendeley":{"formattedCitation":"[15]","plainTextFormattedCitation":"[15]","previouslyFormattedCitation":"[15]"},"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[15]</w:t>
      </w:r>
      <w:r w:rsidR="008E3140" w:rsidRPr="004A68AC">
        <w:rPr>
          <w:lang w:val="en-US" w:eastAsia="it-IT"/>
        </w:rPr>
        <w:fldChar w:fldCharType="end"/>
      </w:r>
      <w:r w:rsidR="008E3140" w:rsidRPr="004A68AC">
        <w:rPr>
          <w:lang w:val="en-US" w:eastAsia="it-IT"/>
        </w:rPr>
        <w:t xml:space="preserve">, -13 </w:t>
      </w:r>
      <w:r w:rsidR="008E3140" w:rsidRPr="004A68AC">
        <w:rPr>
          <w:lang w:val="en-US" w:eastAsia="it-IT"/>
        </w:rPr>
        <w:fldChar w:fldCharType="begin" w:fldLock="1"/>
      </w:r>
      <w:r w:rsidR="005C47A3" w:rsidRPr="004A68AC">
        <w:rPr>
          <w:lang w:val="en-US" w:eastAsia="it-IT"/>
        </w:rPr>
        <w:instrText>ADDIN CSL_CITATION {"citationItems":[{"id":"ITEM-1","itemData":{"DOI":"10.1061/9780784412855","ISBN":"9780784412855","author":[{"dropping-particle":"","family":"American Society of Civil Engineers","given":"","non-dropping-particle":"","parse-names":false,"suffix":""}],"container-title":"ASCE/SEI 41-13","id":"ITEM-1","issued":{"date-parts":[["2014","5","29"]]},"publisher":"American Society of Civil Engineers","publisher-place":"Reston, VA","title":"Seismic Evaluation and Retrofit of Existing Buildings","type":"article"},"uris":["http://www.mendeley.com/documents/?uuid=e1e1c9a1-8439-4464-8e57-e6a99a956fd4"]}],"mendeley":{"formattedCitation":"[18]","plainTextFormattedCitation":"[18]","previouslyFormattedCitation":"[18]"},"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[18]</w:t>
      </w:r>
      <w:r w:rsidR="008E3140" w:rsidRPr="004A68AC">
        <w:rPr>
          <w:lang w:val="en-US" w:eastAsia="it-IT"/>
        </w:rPr>
        <w:fldChar w:fldCharType="end"/>
      </w:r>
      <w:r w:rsidR="008E3140" w:rsidRPr="004A68AC">
        <w:rPr>
          <w:lang w:val="en-US" w:eastAsia="it-IT"/>
        </w:rPr>
        <w:t xml:space="preserve"> and -17 </w:t>
      </w:r>
      <w:r w:rsidR="008E3140" w:rsidRPr="004A68AC">
        <w:rPr>
          <w:lang w:val="en-US" w:eastAsia="it-IT"/>
        </w:rPr>
        <w:fldChar w:fldCharType="begin" w:fldLock="1"/>
      </w:r>
      <w:r w:rsidR="005C47A3" w:rsidRPr="004A68AC">
        <w:rPr>
          <w:lang w:val="en-US" w:eastAsia="it-IT"/>
        </w:rPr>
        <w:instrText>ADDIN CSL_CITATION {"citationItems":[{"id":"ITEM-1","itemData":{"DOI":"10.1061/9780784414859","ISBN":"9780784412855","author":[{"dropping-particle":"","family":"American Society of Civil Engineers","given":"","non-dropping-particle":"","parse-names":false,"suffix":""}],"container-title":"ASCE/SEI 41-17","id":"ITEM-1","issued":{"date-parts":[["2017"]]},"title":"Seismic Evaluation and Retrofit of Existing Buildings","type":"article"},"uris":["http://www.mendeley.com/documents/?uuid=0dfd1fff-db69-4728-b658-30ff1c502a98"]}],"mendeley":{"formattedCitation":"[19]","plainTextFormattedCitation":"[19]","previouslyFormattedCitation":"[19]"},"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[19]</w:t>
      </w:r>
      <w:r w:rsidR="008E3140" w:rsidRPr="004A68AC">
        <w:rPr>
          <w:lang w:val="en-US" w:eastAsia="it-IT"/>
        </w:rPr>
        <w:fldChar w:fldCharType="end"/>
      </w:r>
      <w:r w:rsidR="008E3140" w:rsidRPr="004A68AC">
        <w:rPr>
          <w:lang w:val="en-US" w:eastAsia="it-IT"/>
        </w:rPr>
        <w:t xml:space="preserve"> in the building 3B</w:t>
      </w:r>
      <w:r w:rsidR="006C38ED" w:rsidRPr="004A68AC">
        <w:rPr>
          <w:lang w:val="en-US" w:eastAsia="it-IT"/>
        </w:rPr>
        <w:t>;</w:t>
      </w:r>
      <w:r w:rsidR="008E3140" w:rsidRPr="004A68AC">
        <w:rPr>
          <w:lang w:val="en-US" w:eastAsia="it-IT"/>
        </w:rPr>
        <w:t xml:space="preserve"> and </w:t>
      </w:r>
      <w:r w:rsidR="009741BE" w:rsidRPr="004A68AC">
        <w:rPr>
          <w:lang w:val="en-US" w:eastAsia="it-IT"/>
        </w:rPr>
        <w:t>17</w:t>
      </w:r>
      <w:r w:rsidR="008E3140" w:rsidRPr="004A68AC">
        <w:rPr>
          <w:lang w:val="en-US" w:eastAsia="it-IT"/>
        </w:rPr>
        <w:t xml:space="preserve">%, </w:t>
      </w:r>
      <w:r w:rsidR="009741BE" w:rsidRPr="004A68AC">
        <w:rPr>
          <w:lang w:val="en-US" w:eastAsia="it-IT"/>
        </w:rPr>
        <w:t>17</w:t>
      </w:r>
      <w:r w:rsidR="008E3140" w:rsidRPr="004A68AC">
        <w:rPr>
          <w:lang w:val="en-US" w:eastAsia="it-IT"/>
        </w:rPr>
        <w:t xml:space="preserve">% and </w:t>
      </w:r>
      <w:r w:rsidR="009741BE" w:rsidRPr="004A68AC">
        <w:rPr>
          <w:lang w:val="en-US" w:eastAsia="it-IT"/>
        </w:rPr>
        <w:t>46</w:t>
      </w:r>
      <w:r w:rsidR="008E3140" w:rsidRPr="004A68AC">
        <w:rPr>
          <w:lang w:val="en-US" w:eastAsia="it-IT"/>
        </w:rPr>
        <w:t xml:space="preserve">% higher in the building 9B. These differences are mainly due to the restriction of developing plastic deformation in the panel zones. On the other hand, the assessment for LS2 and LS3 performed with the EC8-3 </w:t>
      </w:r>
      <w:r w:rsidR="008E3140"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[13]</w:t>
      </w:r>
      <w:r w:rsidR="008E3140" w:rsidRPr="004A68AC">
        <w:rPr>
          <w:lang w:val="en-US" w:eastAsia="it-IT"/>
        </w:rPr>
        <w:fldChar w:fldCharType="end"/>
      </w:r>
      <w:r w:rsidR="008E3140" w:rsidRPr="004A68AC">
        <w:rPr>
          <w:lang w:val="en-US" w:eastAsia="it-IT"/>
        </w:rPr>
        <w:t xml:space="preserve"> resulted in unconservative estimates of the fragilities when compared with the American codes, </w:t>
      </w:r>
      <w:r w:rsidR="008E3140" w:rsidRPr="004A68AC">
        <w:rPr>
          <w:i/>
          <w:iCs/>
          <w:lang w:val="en-US" w:eastAsia="it-IT"/>
        </w:rPr>
        <w:t>i.e.,</w:t>
      </w:r>
      <w:r w:rsidR="008E3140" w:rsidRPr="004A68AC">
        <w:rPr>
          <w:lang w:val="en-US" w:eastAsia="it-IT"/>
        </w:rPr>
        <w:t xml:space="preserve"> IM</w:t>
      </w:r>
      <w:r w:rsidR="008E3140" w:rsidRPr="004A68AC">
        <w:rPr>
          <w:vertAlign w:val="subscript"/>
          <w:lang w:val="en-US" w:eastAsia="it-IT"/>
        </w:rPr>
        <w:t>50</w:t>
      </w:r>
      <w:r w:rsidR="008E3140" w:rsidRPr="004A68AC">
        <w:rPr>
          <w:lang w:val="en-US" w:eastAsia="it-IT"/>
        </w:rPr>
        <w:t xml:space="preserve"> </w:t>
      </w:r>
      <w:r w:rsidR="00144B38" w:rsidRPr="004A68AC">
        <w:rPr>
          <w:lang w:val="en-US" w:eastAsia="it-IT"/>
        </w:rPr>
        <w:t xml:space="preserve">values are </w:t>
      </w:r>
      <w:r w:rsidR="008E3140" w:rsidRPr="004A68AC">
        <w:rPr>
          <w:lang w:val="en-US" w:eastAsia="it-IT"/>
        </w:rPr>
        <w:t>4</w:t>
      </w:r>
      <w:r w:rsidR="009741BE" w:rsidRPr="004A68AC">
        <w:rPr>
          <w:lang w:val="en-US" w:eastAsia="it-IT"/>
        </w:rPr>
        <w:t>3</w:t>
      </w:r>
      <w:r w:rsidR="008E3140" w:rsidRPr="004A68AC">
        <w:rPr>
          <w:lang w:val="en-US" w:eastAsia="it-IT"/>
        </w:rPr>
        <w:t>%, 2</w:t>
      </w:r>
      <w:r w:rsidR="009741BE" w:rsidRPr="004A68AC">
        <w:rPr>
          <w:lang w:val="en-US" w:eastAsia="it-IT"/>
        </w:rPr>
        <w:t>7</w:t>
      </w:r>
      <w:r w:rsidR="008E3140" w:rsidRPr="004A68AC">
        <w:rPr>
          <w:lang w:val="en-US" w:eastAsia="it-IT"/>
        </w:rPr>
        <w:t xml:space="preserve">% and </w:t>
      </w:r>
      <w:r w:rsidR="009741BE" w:rsidRPr="004A68AC">
        <w:rPr>
          <w:lang w:val="en-US" w:eastAsia="it-IT"/>
        </w:rPr>
        <w:t>8</w:t>
      </w:r>
      <w:r w:rsidR="008E3140" w:rsidRPr="004A68AC">
        <w:rPr>
          <w:lang w:val="en-US" w:eastAsia="it-IT"/>
        </w:rPr>
        <w:t xml:space="preserve">% smaller for LS2, and </w:t>
      </w:r>
      <w:r w:rsidR="009741BE" w:rsidRPr="004A68AC">
        <w:rPr>
          <w:lang w:val="en-US" w:eastAsia="it-IT"/>
        </w:rPr>
        <w:t>33</w:t>
      </w:r>
      <w:r w:rsidR="008E3140" w:rsidRPr="004A68AC">
        <w:rPr>
          <w:lang w:val="en-US" w:eastAsia="it-IT"/>
        </w:rPr>
        <w:t xml:space="preserve">%, </w:t>
      </w:r>
      <w:r w:rsidR="009741BE" w:rsidRPr="004A68AC">
        <w:rPr>
          <w:lang w:val="en-US" w:eastAsia="it-IT"/>
        </w:rPr>
        <w:t>27</w:t>
      </w:r>
      <w:r w:rsidR="008E3140" w:rsidRPr="004A68AC">
        <w:rPr>
          <w:lang w:val="en-US" w:eastAsia="it-IT"/>
        </w:rPr>
        <w:t xml:space="preserve">% and </w:t>
      </w:r>
      <w:r w:rsidR="009741BE" w:rsidRPr="004A68AC">
        <w:rPr>
          <w:lang w:val="en-US" w:eastAsia="it-IT"/>
        </w:rPr>
        <w:t>15</w:t>
      </w:r>
      <w:r w:rsidR="008E3140" w:rsidRPr="004A68AC">
        <w:rPr>
          <w:lang w:val="en-US" w:eastAsia="it-IT"/>
        </w:rPr>
        <w:t>% for LS3</w:t>
      </w:r>
      <w:r w:rsidR="00144B38" w:rsidRPr="004A68AC">
        <w:rPr>
          <w:lang w:val="en-US" w:eastAsia="it-IT"/>
        </w:rPr>
        <w:t>,</w:t>
      </w:r>
      <w:r w:rsidR="008E3140" w:rsidRPr="004A68AC">
        <w:rPr>
          <w:lang w:val="en-US" w:eastAsia="it-IT"/>
        </w:rPr>
        <w:t xml:space="preserve"> for building 3B</w:t>
      </w:r>
      <w:r w:rsidR="006C38ED" w:rsidRPr="004A68AC">
        <w:rPr>
          <w:lang w:val="en-US" w:eastAsia="it-IT"/>
        </w:rPr>
        <w:t>; while h</w:t>
      </w:r>
      <w:r w:rsidR="008E3140" w:rsidRPr="004A68AC">
        <w:rPr>
          <w:lang w:val="en-US" w:eastAsia="it-IT"/>
        </w:rPr>
        <w:t xml:space="preserve">igher differences are </w:t>
      </w:r>
      <w:r w:rsidR="008E3140" w:rsidRPr="004A68AC">
        <w:rPr>
          <w:lang w:val="en-US" w:eastAsia="it-IT"/>
        </w:rPr>
        <w:lastRenderedPageBreak/>
        <w:t xml:space="preserve">observed in building 9B, </w:t>
      </w:r>
      <w:r w:rsidR="008E3140" w:rsidRPr="004A68AC">
        <w:rPr>
          <w:i/>
          <w:iCs/>
          <w:lang w:val="en-US" w:eastAsia="it-IT"/>
        </w:rPr>
        <w:t>i.e.,</w:t>
      </w:r>
      <w:r w:rsidR="008E3140" w:rsidRPr="004A68AC">
        <w:rPr>
          <w:lang w:val="en-US" w:eastAsia="it-IT"/>
        </w:rPr>
        <w:t xml:space="preserve"> IM</w:t>
      </w:r>
      <w:r w:rsidR="008E3140" w:rsidRPr="004A68AC">
        <w:rPr>
          <w:vertAlign w:val="subscript"/>
          <w:lang w:val="en-US" w:eastAsia="it-IT"/>
        </w:rPr>
        <w:t>50</w:t>
      </w:r>
      <w:r w:rsidR="008E3140" w:rsidRPr="004A68AC">
        <w:rPr>
          <w:lang w:val="en-US" w:eastAsia="it-IT"/>
        </w:rPr>
        <w:t xml:space="preserve"> </w:t>
      </w:r>
      <w:r w:rsidR="00144B38" w:rsidRPr="004A68AC">
        <w:rPr>
          <w:lang w:val="en-US" w:eastAsia="it-IT"/>
        </w:rPr>
        <w:t xml:space="preserve">values are </w:t>
      </w:r>
      <w:r w:rsidR="008E3140" w:rsidRPr="004A68AC">
        <w:rPr>
          <w:lang w:val="en-US" w:eastAsia="it-IT"/>
        </w:rPr>
        <w:t>64%, 4</w:t>
      </w:r>
      <w:r w:rsidR="00A57DC7" w:rsidRPr="004A68AC">
        <w:rPr>
          <w:lang w:val="en-US" w:eastAsia="it-IT"/>
        </w:rPr>
        <w:t>8</w:t>
      </w:r>
      <w:r w:rsidR="008E3140" w:rsidRPr="004A68AC">
        <w:rPr>
          <w:lang w:val="en-US" w:eastAsia="it-IT"/>
        </w:rPr>
        <w:t>% and 39% smaller for LS2 and 53%, 4</w:t>
      </w:r>
      <w:r w:rsidR="00A57DC7" w:rsidRPr="004A68AC">
        <w:rPr>
          <w:lang w:val="en-US" w:eastAsia="it-IT"/>
        </w:rPr>
        <w:t>8</w:t>
      </w:r>
      <w:r w:rsidR="008E3140" w:rsidRPr="004A68AC">
        <w:rPr>
          <w:lang w:val="en-US" w:eastAsia="it-IT"/>
        </w:rPr>
        <w:t xml:space="preserve">% and </w:t>
      </w:r>
      <w:r w:rsidR="00A57DC7" w:rsidRPr="004A68AC">
        <w:rPr>
          <w:lang w:val="en-US" w:eastAsia="it-IT"/>
        </w:rPr>
        <w:t>39</w:t>
      </w:r>
      <w:r w:rsidR="008E3140" w:rsidRPr="004A68AC">
        <w:rPr>
          <w:lang w:val="en-US" w:eastAsia="it-IT"/>
        </w:rPr>
        <w:t>% smaller for LS3. These differences are</w:t>
      </w:r>
      <w:r w:rsidR="006C38ED" w:rsidRPr="004A68AC">
        <w:rPr>
          <w:lang w:val="en-US" w:eastAsia="it-IT"/>
        </w:rPr>
        <w:t xml:space="preserve"> as well,</w:t>
      </w:r>
      <w:r w:rsidR="008E3140" w:rsidRPr="004A68AC">
        <w:rPr>
          <w:lang w:val="en-US" w:eastAsia="it-IT"/>
        </w:rPr>
        <w:t xml:space="preserve"> related to the lack of </w:t>
      </w:r>
      <w:r w:rsidR="00695BB1" w:rsidRPr="004A68AC">
        <w:rPr>
          <w:lang w:val="en-US" w:eastAsia="it-IT"/>
        </w:rPr>
        <w:t xml:space="preserve">capacity limits for </w:t>
      </w:r>
      <w:r w:rsidR="008E3140" w:rsidRPr="004A68AC">
        <w:rPr>
          <w:lang w:val="en-US" w:eastAsia="it-IT"/>
        </w:rPr>
        <w:t>panel zone</w:t>
      </w:r>
      <w:r w:rsidR="00695BB1" w:rsidRPr="004A68AC">
        <w:rPr>
          <w:lang w:val="en-US" w:eastAsia="it-IT"/>
        </w:rPr>
        <w:t>s</w:t>
      </w:r>
      <w:r w:rsidR="008E3140" w:rsidRPr="004A68AC">
        <w:rPr>
          <w:lang w:val="en-US" w:eastAsia="it-IT"/>
        </w:rPr>
        <w:t xml:space="preserve"> and the </w:t>
      </w:r>
      <w:r w:rsidR="00A14FD7" w:rsidRPr="004A68AC">
        <w:rPr>
          <w:lang w:val="en-US" w:eastAsia="it-IT"/>
        </w:rPr>
        <w:t xml:space="preserve">lack of considerations of the axial load </w:t>
      </w:r>
      <w:r w:rsidR="006C38ED" w:rsidRPr="004A68AC">
        <w:rPr>
          <w:lang w:val="en-US" w:eastAsia="it-IT"/>
        </w:rPr>
        <w:t>demands</w:t>
      </w:r>
      <w:r w:rsidR="008E3140" w:rsidRPr="004A68AC">
        <w:rPr>
          <w:lang w:val="en-US" w:eastAsia="it-IT"/>
        </w:rPr>
        <w:t xml:space="preserve"> in</w:t>
      </w:r>
      <w:r w:rsidR="00A14FD7" w:rsidRPr="004A68AC">
        <w:rPr>
          <w:lang w:val="en-US" w:eastAsia="it-IT"/>
        </w:rPr>
        <w:t xml:space="preserve"> the</w:t>
      </w:r>
      <w:r w:rsidR="008E3140" w:rsidRPr="004A68AC">
        <w:rPr>
          <w:lang w:val="en-US" w:eastAsia="it-IT"/>
        </w:rPr>
        <w:t xml:space="preserve"> columns in the</w:t>
      </w:r>
      <w:r w:rsidR="008E3140" w:rsidRPr="004A68AC">
        <w:rPr>
          <w:szCs w:val="20"/>
          <w:lang w:val="en-US"/>
        </w:rPr>
        <w:t xml:space="preserve"> EC8-3 </w:t>
      </w:r>
      <w:r w:rsidR="008E3140" w:rsidRPr="004A68AC">
        <w:rPr>
          <w:lang w:val="en-US" w:eastAsia="it-IT"/>
        </w:rPr>
        <w:fldChar w:fldCharType="begin" w:fldLock="1"/>
      </w:r>
      <w:r w:rsidR="005C47A3" w:rsidRPr="004A68AC">
        <w:rPr>
          <w:lang w:val="en-US" w:eastAsia="it-IT"/>
        </w:rPr>
        <w:instrText>ADDIN CSL_CITATION {"citationItems":[{"id":"ITEM-1","itemData":{"author":[{"dropping-particle":"","family":"European Committe for Standarization","given":"","non-dropping-particle":"","parse-names":false,"suffix":""}],"container-title":"EN 1998-3","id":"ITEM-1","issued":{"date-parts":[["2005"]]},"title":"Eurocode 8: Design of Structures for Earthquake Resistance - Part 3: Assessment and Retrofitting of Buildings","type":"article"},"uris":["http://www.mendeley.com/documents/?uuid=fba0390a-42c8-4da4-8c99-cd84df5c2e39"]}],"mendeley":{"formattedCitation":"[13]","plainTextFormattedCitation":"[13]","previouslyFormattedCitation":"[13]"},"properties":{"noteIndex":0},"schema":"https://github.com/citation-style-language/schema/raw/master/csl-citation.json"}</w:instrText>
      </w:r>
      <w:r w:rsidR="008E3140" w:rsidRPr="004A68AC">
        <w:rPr>
          <w:lang w:val="en-US" w:eastAsia="it-IT"/>
        </w:rPr>
        <w:fldChar w:fldCharType="separate"/>
      </w:r>
      <w:r w:rsidR="008E3140" w:rsidRPr="004A68AC">
        <w:rPr>
          <w:noProof/>
          <w:lang w:val="en-US" w:eastAsia="it-IT"/>
        </w:rPr>
        <w:t>[13]</w:t>
      </w:r>
      <w:r w:rsidR="008E3140" w:rsidRPr="004A68AC">
        <w:rPr>
          <w:lang w:val="en-US" w:eastAsia="it-IT"/>
        </w:rPr>
        <w:fldChar w:fldCharType="end"/>
      </w:r>
      <w:r w:rsidR="008E3140" w:rsidRPr="004A68AC">
        <w:rPr>
          <w:lang w:val="en-US" w:eastAsia="it-IT"/>
        </w:rPr>
        <w:t>.</w:t>
      </w:r>
    </w:p>
    <w:p w14:paraId="69BEEB96" w14:textId="77777777" w:rsidR="006C38ED" w:rsidRPr="004A68AC" w:rsidRDefault="006C38ED" w:rsidP="008E3140">
      <w:pPr>
        <w:rPr>
          <w:lang w:val="en-US" w:eastAsia="it-IT"/>
        </w:rPr>
      </w:pPr>
    </w:p>
    <w:p w14:paraId="0261C1EB" w14:textId="7284BB63" w:rsidR="003830C6" w:rsidRPr="004A68AC" w:rsidRDefault="003830C6" w:rsidP="00B86008">
      <w:pPr>
        <w:pStyle w:val="Heading1"/>
        <w:numPr>
          <w:ilvl w:val="0"/>
          <w:numId w:val="0"/>
        </w:numPr>
        <w:spacing w:before="0" w:after="0"/>
        <w:jc w:val="both"/>
        <w:rPr>
          <w:b w:val="0"/>
          <w:szCs w:val="20"/>
          <w:lang w:val="en-US"/>
        </w:rPr>
      </w:pPr>
      <w:bookmarkStart w:id="33" w:name="_Toc43469890"/>
      <w:r w:rsidRPr="004A68AC">
        <w:rPr>
          <w:sz w:val="22"/>
          <w:szCs w:val="22"/>
          <w:lang w:val="en-US"/>
        </w:rPr>
        <w:t>ACKNOWLEDGEMENTS</w:t>
      </w:r>
      <w:bookmarkEnd w:id="33"/>
    </w:p>
    <w:p w14:paraId="73F5BF22" w14:textId="6CEDBD69" w:rsidR="0033787A" w:rsidRPr="004A68AC" w:rsidRDefault="0033787A" w:rsidP="00B86008">
      <w:pPr>
        <w:rPr>
          <w:lang w:val="en-US"/>
        </w:rPr>
      </w:pPr>
      <w:r w:rsidRPr="004A68AC">
        <w:rPr>
          <w:lang w:val="en-US"/>
        </w:rPr>
        <w:t>This research was partially funded by CONACYT-FiiDEM (Grant No. 2018-000013-01EXTF-00148). Any opinions, findings, and conclusions or recommendations expressed in this paper are those of the authors and do not necessarily reflect the views of the funding agencies.</w:t>
      </w:r>
    </w:p>
    <w:p w14:paraId="2A9C8183" w14:textId="77777777" w:rsidR="006D7509" w:rsidRPr="004A68AC" w:rsidRDefault="006D7509" w:rsidP="00B86008">
      <w:pPr>
        <w:rPr>
          <w:lang w:val="en-US"/>
        </w:rPr>
      </w:pPr>
    </w:p>
    <w:p w14:paraId="6453B13C" w14:textId="1D17CC94" w:rsidR="00DF5B92" w:rsidRPr="004A68AC" w:rsidRDefault="00DF5B92" w:rsidP="00B86008">
      <w:pPr>
        <w:pStyle w:val="Heading1"/>
        <w:numPr>
          <w:ilvl w:val="0"/>
          <w:numId w:val="0"/>
        </w:numPr>
        <w:spacing w:before="0" w:after="0"/>
        <w:jc w:val="both"/>
        <w:rPr>
          <w:sz w:val="22"/>
          <w:szCs w:val="22"/>
          <w:lang w:val="en-US"/>
        </w:rPr>
      </w:pPr>
      <w:bookmarkStart w:id="34" w:name="_Toc43469891"/>
      <w:r w:rsidRPr="004A68AC">
        <w:rPr>
          <w:sz w:val="22"/>
          <w:szCs w:val="22"/>
          <w:lang w:val="en-US"/>
        </w:rPr>
        <w:t>REFERENCES</w:t>
      </w:r>
      <w:bookmarkEnd w:id="34"/>
    </w:p>
    <w:bookmarkStart w:id="35" w:name="_Ref36829898"/>
    <w:p w14:paraId="1D4CFEEB" w14:textId="2BDF2062" w:rsidR="00F534F9" w:rsidRPr="004A68AC" w:rsidRDefault="002603CF" w:rsidP="00F534F9">
      <w:pPr>
        <w:widowControl w:val="0"/>
        <w:autoSpaceDE w:val="0"/>
        <w:autoSpaceDN w:val="0"/>
        <w:adjustRightInd w:val="0"/>
        <w:ind w:left="640" w:hanging="640"/>
        <w:rPr>
          <w:noProof/>
        </w:rPr>
      </w:pPr>
      <w:r w:rsidRPr="004A68AC">
        <w:rPr>
          <w:smallCaps/>
          <w:lang w:val="en-US"/>
        </w:rPr>
        <w:fldChar w:fldCharType="begin" w:fldLock="1"/>
      </w:r>
      <w:r w:rsidRPr="004A68AC">
        <w:rPr>
          <w:smallCaps/>
          <w:lang w:val="en-US"/>
        </w:rPr>
        <w:instrText xml:space="preserve">ADDIN Mendeley Bibliography CSL_BIBLIOGRAPHY </w:instrText>
      </w:r>
      <w:r w:rsidRPr="004A68AC">
        <w:rPr>
          <w:smallCaps/>
          <w:lang w:val="en-US"/>
        </w:rPr>
        <w:fldChar w:fldCharType="separate"/>
      </w:r>
      <w:r w:rsidR="00F534F9" w:rsidRPr="004A68AC">
        <w:rPr>
          <w:noProof/>
        </w:rPr>
        <w:t>[1]</w:t>
      </w:r>
      <w:r w:rsidR="00F534F9" w:rsidRPr="004A68AC">
        <w:rPr>
          <w:noProof/>
        </w:rPr>
        <w:tab/>
        <w:t>Federal Emergency Management Agency, State of the Art Report on Systems Performance of Steel Moment Frames Subject to Earthquake Ground Shaking, FEMA 355C. (2000).</w:t>
      </w:r>
    </w:p>
    <w:p w14:paraId="2DDC4B5F" w14:textId="77777777" w:rsidR="00F534F9" w:rsidRPr="004A68AC" w:rsidRDefault="00F534F9" w:rsidP="00F534F9">
      <w:pPr>
        <w:widowControl w:val="0"/>
        <w:autoSpaceDE w:val="0"/>
        <w:autoSpaceDN w:val="0"/>
        <w:adjustRightInd w:val="0"/>
        <w:ind w:left="640" w:hanging="640"/>
        <w:rPr>
          <w:noProof/>
        </w:rPr>
      </w:pPr>
      <w:r w:rsidRPr="004A68AC">
        <w:rPr>
          <w:noProof/>
        </w:rPr>
        <w:t>[2]</w:t>
      </w:r>
      <w:r w:rsidRPr="004A68AC">
        <w:rPr>
          <w:noProof/>
        </w:rPr>
        <w:tab/>
        <w:t>L. Di Sarno, F. Paolacci, A.G. Sextos, Seismic performance assessment of existing steel buildings: A case study, Key Eng. Mater. 763 (2018) 1067–1076. https://doi.org/10.4028/www.scientific.net/KEM.763.1067.</w:t>
      </w:r>
    </w:p>
    <w:p w14:paraId="774458B8" w14:textId="77777777" w:rsidR="00F534F9" w:rsidRPr="004A68AC" w:rsidRDefault="00F534F9" w:rsidP="00F534F9">
      <w:pPr>
        <w:widowControl w:val="0"/>
        <w:autoSpaceDE w:val="0"/>
        <w:autoSpaceDN w:val="0"/>
        <w:adjustRightInd w:val="0"/>
        <w:ind w:left="640" w:hanging="640"/>
        <w:rPr>
          <w:noProof/>
        </w:rPr>
      </w:pPr>
      <w:r w:rsidRPr="004A68AC">
        <w:rPr>
          <w:noProof/>
        </w:rPr>
        <w:t>[3]</w:t>
      </w:r>
      <w:r w:rsidRPr="004A68AC">
        <w:rPr>
          <w:noProof/>
        </w:rPr>
        <w:tab/>
        <w:t>E. Tapia-Hernández, J.S. García-Carrera, Damage assessment and seismic behavior of steel buildings during the Mexico earthquake of 19 September, Earthq. Spectra. 36 (2020) 250–270. https://doi.org/10.1177/8755293019878186.</w:t>
      </w:r>
    </w:p>
    <w:p w14:paraId="140C898D" w14:textId="77777777" w:rsidR="00F534F9" w:rsidRPr="004A68AC" w:rsidRDefault="00F534F9" w:rsidP="00F534F9">
      <w:pPr>
        <w:widowControl w:val="0"/>
        <w:autoSpaceDE w:val="0"/>
        <w:autoSpaceDN w:val="0"/>
        <w:adjustRightInd w:val="0"/>
        <w:ind w:left="640" w:hanging="640"/>
        <w:rPr>
          <w:noProof/>
        </w:rPr>
      </w:pPr>
      <w:r w:rsidRPr="004A68AC">
        <w:rPr>
          <w:noProof/>
        </w:rPr>
        <w:t>[4]</w:t>
      </w:r>
      <w:r w:rsidRPr="004A68AC">
        <w:rPr>
          <w:noProof/>
        </w:rPr>
        <w:tab/>
        <w:t>European Committe for Standarization, Eurocode 8: Design of structures for earthquake resistance - Part 1: General rules, seismic actions and rules for buildings, EN 1998-1. (2004).</w:t>
      </w:r>
    </w:p>
    <w:p w14:paraId="40059FB1" w14:textId="77777777" w:rsidR="00F534F9" w:rsidRPr="004A68AC" w:rsidRDefault="00F534F9" w:rsidP="00F534F9">
      <w:pPr>
        <w:widowControl w:val="0"/>
        <w:autoSpaceDE w:val="0"/>
        <w:autoSpaceDN w:val="0"/>
        <w:adjustRightInd w:val="0"/>
        <w:ind w:left="640" w:hanging="640"/>
        <w:rPr>
          <w:noProof/>
        </w:rPr>
      </w:pPr>
      <w:r w:rsidRPr="004A68AC">
        <w:rPr>
          <w:noProof/>
        </w:rPr>
        <w:t>[5]</w:t>
      </w:r>
      <w:r w:rsidRPr="004A68AC">
        <w:rPr>
          <w:noProof/>
        </w:rPr>
        <w:tab/>
        <w:t>American Society of Civil Engineers, Minimum Design Loads and Associated Criteria for Buildings and Other Structures, ASCE/SEI 7-16. (2017). https://doi.org/10.1061/9780784414248.</w:t>
      </w:r>
    </w:p>
    <w:p w14:paraId="32CC2F5B" w14:textId="77777777" w:rsidR="00F534F9" w:rsidRPr="004A68AC" w:rsidRDefault="00F534F9" w:rsidP="00F534F9">
      <w:pPr>
        <w:widowControl w:val="0"/>
        <w:autoSpaceDE w:val="0"/>
        <w:autoSpaceDN w:val="0"/>
        <w:adjustRightInd w:val="0"/>
        <w:ind w:left="640" w:hanging="640"/>
        <w:rPr>
          <w:noProof/>
        </w:rPr>
      </w:pPr>
      <w:r w:rsidRPr="004A68AC">
        <w:rPr>
          <w:noProof/>
        </w:rPr>
        <w:t>[6]</w:t>
      </w:r>
      <w:r w:rsidRPr="004A68AC">
        <w:rPr>
          <w:noProof/>
        </w:rPr>
        <w:tab/>
        <w:t>L. Di Sarno, J.R. Wu, Seismic assessment of existing steel frames with masonry infills, J. Constr. Steel Res. 169 (2020) 106040. https://doi.org/10.1016/j.jcsr.2020.106040.</w:t>
      </w:r>
    </w:p>
    <w:p w14:paraId="5E4178AB" w14:textId="77777777" w:rsidR="00F534F9" w:rsidRPr="004A68AC" w:rsidRDefault="00F534F9" w:rsidP="00F534F9">
      <w:pPr>
        <w:widowControl w:val="0"/>
        <w:autoSpaceDE w:val="0"/>
        <w:autoSpaceDN w:val="0"/>
        <w:adjustRightInd w:val="0"/>
        <w:ind w:left="640" w:hanging="640"/>
        <w:rPr>
          <w:noProof/>
        </w:rPr>
      </w:pPr>
      <w:r w:rsidRPr="004A68AC">
        <w:rPr>
          <w:noProof/>
        </w:rPr>
        <w:t>[7]</w:t>
      </w:r>
      <w:r w:rsidRPr="004A68AC">
        <w:rPr>
          <w:noProof/>
        </w:rPr>
        <w:tab/>
        <w:t>M. Araújo, J.M. Castro, A Critical Review of European and American Provisions for the Seismic Assessment of Existing Steel Moment-Resisting Frame Buildings, J. Earthq. Eng. 22 (2018) 1336–1364. https://doi.org/10.1080/13632469.2016.1277568.</w:t>
      </w:r>
    </w:p>
    <w:p w14:paraId="10BF2452" w14:textId="77777777" w:rsidR="00F534F9" w:rsidRPr="004A68AC" w:rsidRDefault="00F534F9" w:rsidP="00F534F9">
      <w:pPr>
        <w:widowControl w:val="0"/>
        <w:autoSpaceDE w:val="0"/>
        <w:autoSpaceDN w:val="0"/>
        <w:adjustRightInd w:val="0"/>
        <w:ind w:left="640" w:hanging="640"/>
        <w:rPr>
          <w:noProof/>
        </w:rPr>
      </w:pPr>
      <w:r w:rsidRPr="004A68AC">
        <w:rPr>
          <w:noProof/>
        </w:rPr>
        <w:t>[8]</w:t>
      </w:r>
      <w:r w:rsidRPr="004A68AC">
        <w:rPr>
          <w:noProof/>
        </w:rPr>
        <w:tab/>
        <w:t>Federal Emergency Management Agency, State of the Art Report on Past Performance of Steel Moment-Frame Buildings in Earthquakes, FEMA 355E. (2000).</w:t>
      </w:r>
    </w:p>
    <w:p w14:paraId="0FE11C5C" w14:textId="77777777" w:rsidR="00F534F9" w:rsidRPr="004A68AC" w:rsidRDefault="00F534F9" w:rsidP="00F534F9">
      <w:pPr>
        <w:widowControl w:val="0"/>
        <w:autoSpaceDE w:val="0"/>
        <w:autoSpaceDN w:val="0"/>
        <w:adjustRightInd w:val="0"/>
        <w:ind w:left="640" w:hanging="640"/>
        <w:rPr>
          <w:noProof/>
        </w:rPr>
      </w:pPr>
      <w:r w:rsidRPr="004A68AC">
        <w:rPr>
          <w:noProof/>
        </w:rPr>
        <w:t>[9]</w:t>
      </w:r>
      <w:r w:rsidRPr="004A68AC">
        <w:rPr>
          <w:noProof/>
        </w:rPr>
        <w:tab/>
        <w:t>Applied Technology Council, Evaluating the Seismic Resistance of Existing Buildings, ATC-14. (1987).</w:t>
      </w:r>
    </w:p>
    <w:p w14:paraId="4A099C3C" w14:textId="77777777" w:rsidR="00F534F9" w:rsidRPr="004A68AC" w:rsidRDefault="00F534F9" w:rsidP="00F534F9">
      <w:pPr>
        <w:widowControl w:val="0"/>
        <w:autoSpaceDE w:val="0"/>
        <w:autoSpaceDN w:val="0"/>
        <w:adjustRightInd w:val="0"/>
        <w:ind w:left="640" w:hanging="640"/>
        <w:rPr>
          <w:noProof/>
        </w:rPr>
      </w:pPr>
      <w:r w:rsidRPr="004A68AC">
        <w:rPr>
          <w:noProof/>
        </w:rPr>
        <w:t>[10]</w:t>
      </w:r>
      <w:r w:rsidRPr="004A68AC">
        <w:rPr>
          <w:noProof/>
        </w:rPr>
        <w:tab/>
        <w:t>R. Pekelnicky, C. Poland, ASCE 41-13: Seismic Evaluation and Retrofit Rehabilitation of Existing Buildings, in: SEAOC 2012 Conv. Proc., 2012: pp. 1–12.</w:t>
      </w:r>
    </w:p>
    <w:p w14:paraId="6DBB8715" w14:textId="77777777" w:rsidR="00F534F9" w:rsidRPr="004A68AC" w:rsidRDefault="00F534F9" w:rsidP="00F534F9">
      <w:pPr>
        <w:widowControl w:val="0"/>
        <w:autoSpaceDE w:val="0"/>
        <w:autoSpaceDN w:val="0"/>
        <w:adjustRightInd w:val="0"/>
        <w:ind w:left="640" w:hanging="640"/>
        <w:rPr>
          <w:noProof/>
        </w:rPr>
      </w:pPr>
      <w:r w:rsidRPr="004A68AC">
        <w:rPr>
          <w:noProof/>
        </w:rPr>
        <w:t>[11]</w:t>
      </w:r>
      <w:r w:rsidRPr="004A68AC">
        <w:rPr>
          <w:noProof/>
        </w:rPr>
        <w:tab/>
        <w:t>M.N. Fardis, Current Developments and Future Prospects of the European Code for Seismic Design and Rehabilitation of Buildings: Eurocode 8, 13th World Conf. Earthq. Eng. 2 (2004) 15.</w:t>
      </w:r>
    </w:p>
    <w:p w14:paraId="4E3A0FF0" w14:textId="77777777" w:rsidR="00F534F9" w:rsidRPr="004A68AC" w:rsidRDefault="00F534F9" w:rsidP="00F534F9">
      <w:pPr>
        <w:widowControl w:val="0"/>
        <w:autoSpaceDE w:val="0"/>
        <w:autoSpaceDN w:val="0"/>
        <w:adjustRightInd w:val="0"/>
        <w:ind w:left="640" w:hanging="640"/>
        <w:rPr>
          <w:noProof/>
        </w:rPr>
      </w:pPr>
      <w:r w:rsidRPr="004A68AC">
        <w:rPr>
          <w:noProof/>
        </w:rPr>
        <w:t>[12]</w:t>
      </w:r>
      <w:r w:rsidRPr="004A68AC">
        <w:rPr>
          <w:noProof/>
        </w:rPr>
        <w:tab/>
        <w:t>European Committe for Standarization, Eurocode 8: Design Provisions for Earthquake Resistance of Structures. General Rules - Strengthening and Repair of Buildings, ENV 1998-1-4. (1996).</w:t>
      </w:r>
    </w:p>
    <w:p w14:paraId="248245D4" w14:textId="77777777" w:rsidR="00F534F9" w:rsidRPr="004A68AC" w:rsidRDefault="00F534F9" w:rsidP="00F534F9">
      <w:pPr>
        <w:widowControl w:val="0"/>
        <w:autoSpaceDE w:val="0"/>
        <w:autoSpaceDN w:val="0"/>
        <w:adjustRightInd w:val="0"/>
        <w:ind w:left="640" w:hanging="640"/>
        <w:rPr>
          <w:noProof/>
        </w:rPr>
      </w:pPr>
      <w:r w:rsidRPr="004A68AC">
        <w:rPr>
          <w:noProof/>
        </w:rPr>
        <w:t>[13]</w:t>
      </w:r>
      <w:r w:rsidRPr="004A68AC">
        <w:rPr>
          <w:noProof/>
        </w:rPr>
        <w:tab/>
        <w:t>European Committe for Standarization, Eurocode 8: Design of Structures for Earthquake Resistance - Part 3: Assessment and Retrofitting of Buildings, EN 1998-3. (2005).</w:t>
      </w:r>
    </w:p>
    <w:p w14:paraId="34BD8F1D" w14:textId="77777777" w:rsidR="00F534F9" w:rsidRPr="004A68AC" w:rsidRDefault="00F534F9" w:rsidP="00F534F9">
      <w:pPr>
        <w:widowControl w:val="0"/>
        <w:autoSpaceDE w:val="0"/>
        <w:autoSpaceDN w:val="0"/>
        <w:adjustRightInd w:val="0"/>
        <w:ind w:left="640" w:hanging="640"/>
        <w:rPr>
          <w:noProof/>
        </w:rPr>
      </w:pPr>
      <w:r w:rsidRPr="004A68AC">
        <w:rPr>
          <w:noProof/>
        </w:rPr>
        <w:t>[14]</w:t>
      </w:r>
      <w:r w:rsidRPr="004A68AC">
        <w:rPr>
          <w:noProof/>
        </w:rPr>
        <w:tab/>
        <w:t>Federal Emergency Management Agency, Prestandard and Commentary for the Seismic Rehabilitation of Buildings, FEMA 356. (2000).</w:t>
      </w:r>
    </w:p>
    <w:p w14:paraId="67280EBE" w14:textId="77777777" w:rsidR="00F534F9" w:rsidRPr="004A68AC" w:rsidRDefault="00F534F9" w:rsidP="00F534F9">
      <w:pPr>
        <w:widowControl w:val="0"/>
        <w:autoSpaceDE w:val="0"/>
        <w:autoSpaceDN w:val="0"/>
        <w:adjustRightInd w:val="0"/>
        <w:ind w:left="640" w:hanging="640"/>
        <w:rPr>
          <w:noProof/>
        </w:rPr>
      </w:pPr>
      <w:r w:rsidRPr="004A68AC">
        <w:rPr>
          <w:noProof/>
        </w:rPr>
        <w:t>[15]</w:t>
      </w:r>
      <w:r w:rsidRPr="004A68AC">
        <w:rPr>
          <w:noProof/>
        </w:rPr>
        <w:tab/>
        <w:t xml:space="preserve">American Society of Civil Engineers, Seismic Rehabilitation of Existing Buildings, ASCE/SEI 41-06. (2007). </w:t>
      </w:r>
      <w:r w:rsidRPr="004A68AC">
        <w:rPr>
          <w:noProof/>
        </w:rPr>
        <w:lastRenderedPageBreak/>
        <w:t>https://doi.org/10.1061/9780784408841.</w:t>
      </w:r>
    </w:p>
    <w:p w14:paraId="06CA8C9B" w14:textId="77777777" w:rsidR="00F534F9" w:rsidRPr="004A68AC" w:rsidRDefault="00F534F9" w:rsidP="00F534F9">
      <w:pPr>
        <w:widowControl w:val="0"/>
        <w:autoSpaceDE w:val="0"/>
        <w:autoSpaceDN w:val="0"/>
        <w:adjustRightInd w:val="0"/>
        <w:ind w:left="640" w:hanging="640"/>
        <w:rPr>
          <w:noProof/>
        </w:rPr>
      </w:pPr>
      <w:r w:rsidRPr="004A68AC">
        <w:rPr>
          <w:noProof/>
        </w:rPr>
        <w:t>[16]</w:t>
      </w:r>
      <w:r w:rsidRPr="004A68AC">
        <w:rPr>
          <w:noProof/>
        </w:rPr>
        <w:tab/>
        <w:t>American Society of Civil Engineers, Seismic Evaluation of Existing Buildings, ASCE/SEI 31-03. (2003). https://doi.org/10.1061/9780784406700.</w:t>
      </w:r>
    </w:p>
    <w:p w14:paraId="2380DA45" w14:textId="77777777" w:rsidR="00F534F9" w:rsidRPr="004A68AC" w:rsidRDefault="00F534F9" w:rsidP="00F534F9">
      <w:pPr>
        <w:widowControl w:val="0"/>
        <w:autoSpaceDE w:val="0"/>
        <w:autoSpaceDN w:val="0"/>
        <w:adjustRightInd w:val="0"/>
        <w:ind w:left="640" w:hanging="640"/>
        <w:rPr>
          <w:noProof/>
        </w:rPr>
      </w:pPr>
      <w:r w:rsidRPr="004A68AC">
        <w:rPr>
          <w:noProof/>
        </w:rPr>
        <w:t>[17]</w:t>
      </w:r>
      <w:r w:rsidRPr="004A68AC">
        <w:rPr>
          <w:noProof/>
        </w:rPr>
        <w:tab/>
        <w:t>American Society of Civil Engineers, Minimum Design Loads for Buildings and Other Structures, ASCE/SEI 7-10. (2010). https://doi.org/10.1061/9780784412916.</w:t>
      </w:r>
    </w:p>
    <w:p w14:paraId="2142593E" w14:textId="77777777" w:rsidR="00F534F9" w:rsidRPr="004A68AC" w:rsidRDefault="00F534F9" w:rsidP="00F534F9">
      <w:pPr>
        <w:widowControl w:val="0"/>
        <w:autoSpaceDE w:val="0"/>
        <w:autoSpaceDN w:val="0"/>
        <w:adjustRightInd w:val="0"/>
        <w:ind w:left="640" w:hanging="640"/>
        <w:rPr>
          <w:noProof/>
        </w:rPr>
      </w:pPr>
      <w:r w:rsidRPr="004A68AC">
        <w:rPr>
          <w:noProof/>
        </w:rPr>
        <w:t>[18]</w:t>
      </w:r>
      <w:r w:rsidRPr="004A68AC">
        <w:rPr>
          <w:noProof/>
        </w:rPr>
        <w:tab/>
        <w:t>American Society of Civil Engineers, Seismic Evaluation and Retrofit of Existing Buildings, ASCE/SEI 41-13. (2014). https://doi.org/10.1061/9780784412855.</w:t>
      </w:r>
    </w:p>
    <w:p w14:paraId="096660A4" w14:textId="77777777" w:rsidR="00F534F9" w:rsidRPr="004A68AC" w:rsidRDefault="00F534F9" w:rsidP="00F534F9">
      <w:pPr>
        <w:widowControl w:val="0"/>
        <w:autoSpaceDE w:val="0"/>
        <w:autoSpaceDN w:val="0"/>
        <w:adjustRightInd w:val="0"/>
        <w:ind w:left="640" w:hanging="640"/>
        <w:rPr>
          <w:noProof/>
        </w:rPr>
      </w:pPr>
      <w:r w:rsidRPr="004A68AC">
        <w:rPr>
          <w:noProof/>
        </w:rPr>
        <w:t>[19]</w:t>
      </w:r>
      <w:r w:rsidRPr="004A68AC">
        <w:rPr>
          <w:noProof/>
        </w:rPr>
        <w:tab/>
        <w:t>American Society of Civil Engineers, Seismic Evaluation and Retrofit of Existing Buildings, ASCE/SEI 41-17. (2017). https://doi.org/10.1061/9780784414859.</w:t>
      </w:r>
    </w:p>
    <w:p w14:paraId="37962123" w14:textId="77777777" w:rsidR="00F534F9" w:rsidRPr="004A68AC" w:rsidRDefault="00F534F9" w:rsidP="00F534F9">
      <w:pPr>
        <w:widowControl w:val="0"/>
        <w:autoSpaceDE w:val="0"/>
        <w:autoSpaceDN w:val="0"/>
        <w:adjustRightInd w:val="0"/>
        <w:ind w:left="640" w:hanging="640"/>
        <w:rPr>
          <w:noProof/>
        </w:rPr>
      </w:pPr>
      <w:r w:rsidRPr="004A68AC">
        <w:rPr>
          <w:noProof/>
        </w:rPr>
        <w:t>[20]</w:t>
      </w:r>
      <w:r w:rsidRPr="004A68AC">
        <w:rPr>
          <w:noProof/>
        </w:rPr>
        <w:tab/>
        <w:t>R. Pekelnicky, G. Hagen, D. Martin, A Summary of Significant Updates in ASCE 41-17, SEAOC 2017 Conv. Proc. (2017).</w:t>
      </w:r>
    </w:p>
    <w:p w14:paraId="1581FFFA" w14:textId="77777777" w:rsidR="00F534F9" w:rsidRPr="004A68AC" w:rsidRDefault="00F534F9" w:rsidP="00F534F9">
      <w:pPr>
        <w:widowControl w:val="0"/>
        <w:autoSpaceDE w:val="0"/>
        <w:autoSpaceDN w:val="0"/>
        <w:adjustRightInd w:val="0"/>
        <w:ind w:left="640" w:hanging="640"/>
        <w:rPr>
          <w:noProof/>
        </w:rPr>
      </w:pPr>
      <w:r w:rsidRPr="004A68AC">
        <w:rPr>
          <w:noProof/>
        </w:rPr>
        <w:t>[21]</w:t>
      </w:r>
      <w:r w:rsidRPr="004A68AC">
        <w:rPr>
          <w:noProof/>
        </w:rPr>
        <w:tab/>
        <w:t>D. Bech, J. Houston, B. Tremayne, ASCE 41-17 Steel Column Modeling and Acceptance Criteria, in: Struct. Congr. 2017, 2017.</w:t>
      </w:r>
    </w:p>
    <w:p w14:paraId="3745DF81" w14:textId="77777777" w:rsidR="00F534F9" w:rsidRPr="004A68AC" w:rsidRDefault="00F534F9" w:rsidP="00F534F9">
      <w:pPr>
        <w:widowControl w:val="0"/>
        <w:autoSpaceDE w:val="0"/>
        <w:autoSpaceDN w:val="0"/>
        <w:adjustRightInd w:val="0"/>
        <w:ind w:left="640" w:hanging="640"/>
        <w:rPr>
          <w:noProof/>
        </w:rPr>
      </w:pPr>
      <w:r w:rsidRPr="004A68AC">
        <w:rPr>
          <w:noProof/>
        </w:rPr>
        <w:t>[22]</w:t>
      </w:r>
      <w:r w:rsidRPr="004A68AC">
        <w:rPr>
          <w:noProof/>
        </w:rPr>
        <w:tab/>
        <w:t>M. Araújo, J.M. Castro, On the quantification of local deformation demands and adequacy of linear analysis procedures for the seismic assessment of existing steel buildings to EC8-3, Bull. Earthq. Eng. 14 (2016) 1613–1642. https://doi.org/10.1007/s10518-016-9897-4.</w:t>
      </w:r>
    </w:p>
    <w:p w14:paraId="0E9C2EDC" w14:textId="77777777" w:rsidR="00F534F9" w:rsidRPr="004A68AC" w:rsidRDefault="00F534F9" w:rsidP="00F534F9">
      <w:pPr>
        <w:widowControl w:val="0"/>
        <w:autoSpaceDE w:val="0"/>
        <w:autoSpaceDN w:val="0"/>
        <w:adjustRightInd w:val="0"/>
        <w:ind w:left="640" w:hanging="640"/>
        <w:rPr>
          <w:noProof/>
        </w:rPr>
      </w:pPr>
      <w:r w:rsidRPr="004A68AC">
        <w:rPr>
          <w:noProof/>
        </w:rPr>
        <w:t>[23]</w:t>
      </w:r>
      <w:r w:rsidRPr="004A68AC">
        <w:rPr>
          <w:noProof/>
        </w:rPr>
        <w:tab/>
        <w:t>J. Cravero, A. Elkady, D.G. Lignos, Experimental Evaluation and Numerical Modeling of Wide-Flange Steel Columns Subjected to Constant and Variable Axial Load Coupled with Lateral Drift Demands, J. Struct. Eng. 146 (2020) 1–19. https://doi.org/10.1061/(ASCE)ST.1943-541X.0002499.</w:t>
      </w:r>
    </w:p>
    <w:p w14:paraId="18BE5CFB" w14:textId="77777777" w:rsidR="00F534F9" w:rsidRPr="004A68AC" w:rsidRDefault="00F534F9" w:rsidP="00F534F9">
      <w:pPr>
        <w:widowControl w:val="0"/>
        <w:autoSpaceDE w:val="0"/>
        <w:autoSpaceDN w:val="0"/>
        <w:adjustRightInd w:val="0"/>
        <w:ind w:left="640" w:hanging="640"/>
        <w:rPr>
          <w:noProof/>
        </w:rPr>
      </w:pPr>
      <w:r w:rsidRPr="004A68AC">
        <w:rPr>
          <w:noProof/>
        </w:rPr>
        <w:t>[24]</w:t>
      </w:r>
      <w:r w:rsidRPr="004A68AC">
        <w:rPr>
          <w:noProof/>
        </w:rPr>
        <w:tab/>
        <w:t>M. D’Aniello, R. Landolfo, V. Piluso, G. Rizzano, Ultimate behavior of steel beams under non-uniform bending, J. Constr. Steel Res. 78 (2012) 144–158. https://doi.org/10.1016/j.jcsr.2012.07.003.</w:t>
      </w:r>
    </w:p>
    <w:p w14:paraId="5A01BF5B" w14:textId="77777777" w:rsidR="00F534F9" w:rsidRPr="004A68AC" w:rsidRDefault="00F534F9" w:rsidP="00F534F9">
      <w:pPr>
        <w:widowControl w:val="0"/>
        <w:autoSpaceDE w:val="0"/>
        <w:autoSpaceDN w:val="0"/>
        <w:adjustRightInd w:val="0"/>
        <w:ind w:left="640" w:hanging="640"/>
        <w:rPr>
          <w:noProof/>
        </w:rPr>
      </w:pPr>
      <w:r w:rsidRPr="004A68AC">
        <w:rPr>
          <w:noProof/>
        </w:rPr>
        <w:t>[25]</w:t>
      </w:r>
      <w:r w:rsidRPr="004A68AC">
        <w:rPr>
          <w:noProof/>
        </w:rPr>
        <w:tab/>
        <w:t>M. Araújo, L. Macedo, J.M. Castro, Evaluation of the rotation capacity limits of steel members defined in EC8-3, J. Constr. Steel Res. 135 (2017) 11–29. https://doi.org/10.1016/j.jcsr.2017.04.004.</w:t>
      </w:r>
    </w:p>
    <w:p w14:paraId="1016EC6A" w14:textId="77777777" w:rsidR="00F534F9" w:rsidRPr="004A68AC" w:rsidRDefault="00F534F9" w:rsidP="00F534F9">
      <w:pPr>
        <w:widowControl w:val="0"/>
        <w:autoSpaceDE w:val="0"/>
        <w:autoSpaceDN w:val="0"/>
        <w:adjustRightInd w:val="0"/>
        <w:ind w:left="640" w:hanging="640"/>
        <w:rPr>
          <w:noProof/>
        </w:rPr>
      </w:pPr>
      <w:r w:rsidRPr="004A68AC">
        <w:rPr>
          <w:noProof/>
        </w:rPr>
        <w:t>[26]</w:t>
      </w:r>
      <w:r w:rsidRPr="004A68AC">
        <w:rPr>
          <w:noProof/>
        </w:rPr>
        <w:tab/>
        <w:t>D.G. Lignos, A.R. Hartloper, Steel column stability and implications in the seismic assessment of steel structures according to Eurocode 8 Part 3, Stahlbau. 89 (2020) 16–27. https://doi.org/10.1002/stab.201900108.</w:t>
      </w:r>
    </w:p>
    <w:p w14:paraId="5A7856A1" w14:textId="77777777" w:rsidR="00F534F9" w:rsidRPr="004A68AC" w:rsidRDefault="00F534F9" w:rsidP="00F534F9">
      <w:pPr>
        <w:widowControl w:val="0"/>
        <w:autoSpaceDE w:val="0"/>
        <w:autoSpaceDN w:val="0"/>
        <w:adjustRightInd w:val="0"/>
        <w:ind w:left="640" w:hanging="640"/>
        <w:rPr>
          <w:noProof/>
        </w:rPr>
      </w:pPr>
      <w:r w:rsidRPr="004A68AC">
        <w:rPr>
          <w:noProof/>
        </w:rPr>
        <w:t>[27]</w:t>
      </w:r>
      <w:r w:rsidRPr="004A68AC">
        <w:rPr>
          <w:noProof/>
        </w:rPr>
        <w:tab/>
        <w:t>R. Montuori, E. Nastri, V. Piluso, P. Todisco, A simplified performance based approach for the evaluation of seismic performances of steel frames, Eng. Struct. 224 (2020) 111222. https://doi.org/10.1016/j.engstruct.2020.111222.</w:t>
      </w:r>
    </w:p>
    <w:p w14:paraId="55A03A33" w14:textId="77777777" w:rsidR="00F534F9" w:rsidRPr="004A68AC" w:rsidRDefault="00F534F9" w:rsidP="00F534F9">
      <w:pPr>
        <w:widowControl w:val="0"/>
        <w:autoSpaceDE w:val="0"/>
        <w:autoSpaceDN w:val="0"/>
        <w:adjustRightInd w:val="0"/>
        <w:ind w:left="640" w:hanging="640"/>
        <w:rPr>
          <w:noProof/>
        </w:rPr>
      </w:pPr>
      <w:r w:rsidRPr="004A68AC">
        <w:rPr>
          <w:noProof/>
        </w:rPr>
        <w:t>[28]</w:t>
      </w:r>
      <w:r w:rsidRPr="004A68AC">
        <w:rPr>
          <w:noProof/>
        </w:rPr>
        <w:tab/>
        <w:t>H. Krawinkler, S. Mohasseb, Effects of panel zone deformations on seismic response, J. Constr. Steel Res. 8 (1987) 233–250. https://doi.org/10.1016/0143-974X(87)90060-5.</w:t>
      </w:r>
    </w:p>
    <w:p w14:paraId="7EE59CF3" w14:textId="77777777" w:rsidR="00F534F9" w:rsidRPr="004A68AC" w:rsidRDefault="00F534F9" w:rsidP="00F534F9">
      <w:pPr>
        <w:widowControl w:val="0"/>
        <w:autoSpaceDE w:val="0"/>
        <w:autoSpaceDN w:val="0"/>
        <w:adjustRightInd w:val="0"/>
        <w:ind w:left="640" w:hanging="640"/>
        <w:rPr>
          <w:noProof/>
        </w:rPr>
      </w:pPr>
      <w:r w:rsidRPr="004A68AC">
        <w:rPr>
          <w:noProof/>
        </w:rPr>
        <w:t>[29]</w:t>
      </w:r>
      <w:r w:rsidRPr="004A68AC">
        <w:rPr>
          <w:noProof/>
        </w:rPr>
        <w:tab/>
        <w:t>A. Gupta, H. Krawinkler, Behavior of Ductile SMRFs at Various Seismic Hazard Levels, J. Struct. Eng. 126 (2000) 98–107.</w:t>
      </w:r>
    </w:p>
    <w:p w14:paraId="49C32218" w14:textId="77777777" w:rsidR="00F534F9" w:rsidRPr="004A68AC" w:rsidRDefault="00F534F9" w:rsidP="00F534F9">
      <w:pPr>
        <w:widowControl w:val="0"/>
        <w:autoSpaceDE w:val="0"/>
        <w:autoSpaceDN w:val="0"/>
        <w:adjustRightInd w:val="0"/>
        <w:ind w:left="640" w:hanging="640"/>
        <w:rPr>
          <w:noProof/>
        </w:rPr>
      </w:pPr>
      <w:r w:rsidRPr="004A68AC">
        <w:rPr>
          <w:noProof/>
        </w:rPr>
        <w:t>[30]</w:t>
      </w:r>
      <w:r w:rsidRPr="004A68AC">
        <w:rPr>
          <w:noProof/>
        </w:rPr>
        <w:tab/>
        <w:t>C. Molina Hutt, T. Rossetto, G.G. Deierlein, Comparative risk-based seismic assessment of 1970s vs modern tall steel moment frames, J. Constr. Steel Res. 159 (2019) 598–610. https://doi.org/10.1016/j.jcsr.2019.05.012.</w:t>
      </w:r>
    </w:p>
    <w:p w14:paraId="5DFFCA75" w14:textId="77777777" w:rsidR="00F534F9" w:rsidRPr="004A68AC" w:rsidRDefault="00F534F9" w:rsidP="00F534F9">
      <w:pPr>
        <w:widowControl w:val="0"/>
        <w:autoSpaceDE w:val="0"/>
        <w:autoSpaceDN w:val="0"/>
        <w:adjustRightInd w:val="0"/>
        <w:ind w:left="640" w:hanging="640"/>
        <w:rPr>
          <w:noProof/>
        </w:rPr>
      </w:pPr>
      <w:r w:rsidRPr="004A68AC">
        <w:rPr>
          <w:noProof/>
        </w:rPr>
        <w:t>[31]</w:t>
      </w:r>
      <w:r w:rsidRPr="004A68AC">
        <w:rPr>
          <w:noProof/>
        </w:rPr>
        <w:tab/>
        <w:t>A.K. Kazantzi, T.D. Righiniotis, M.K. Chryssanthopoulos, Fragility and hazard analysis of a welded steel moment resisting frame, J. Earthq. Eng. 12 (2008) 596–615. https://doi.org/10.1080/13632460701512993.</w:t>
      </w:r>
    </w:p>
    <w:p w14:paraId="3906DF3E" w14:textId="77777777" w:rsidR="00F534F9" w:rsidRPr="004A68AC" w:rsidRDefault="00F534F9" w:rsidP="00F534F9">
      <w:pPr>
        <w:widowControl w:val="0"/>
        <w:autoSpaceDE w:val="0"/>
        <w:autoSpaceDN w:val="0"/>
        <w:adjustRightInd w:val="0"/>
        <w:ind w:left="640" w:hanging="640"/>
        <w:rPr>
          <w:noProof/>
        </w:rPr>
      </w:pPr>
      <w:r w:rsidRPr="004A68AC">
        <w:rPr>
          <w:noProof/>
        </w:rPr>
        <w:t>[32]</w:t>
      </w:r>
      <w:r w:rsidRPr="004A68AC">
        <w:rPr>
          <w:noProof/>
        </w:rPr>
        <w:tab/>
        <w:t>M. Kia, M. Banazadeh, Closed-form fragility analysis of the steel moment resisting frames, Steel Compos. Struct. 21 (2016) 93–107. https://doi.org/10.12989/scs.2016.21.1.093.</w:t>
      </w:r>
    </w:p>
    <w:p w14:paraId="57AF2736" w14:textId="77777777" w:rsidR="00F534F9" w:rsidRPr="004A68AC" w:rsidRDefault="00F534F9" w:rsidP="00F534F9">
      <w:pPr>
        <w:widowControl w:val="0"/>
        <w:autoSpaceDE w:val="0"/>
        <w:autoSpaceDN w:val="0"/>
        <w:adjustRightInd w:val="0"/>
        <w:ind w:left="640" w:hanging="640"/>
        <w:rPr>
          <w:noProof/>
        </w:rPr>
      </w:pPr>
      <w:r w:rsidRPr="004A68AC">
        <w:rPr>
          <w:noProof/>
        </w:rPr>
        <w:t>[33]</w:t>
      </w:r>
      <w:r w:rsidRPr="004A68AC">
        <w:rPr>
          <w:noProof/>
        </w:rPr>
        <w:tab/>
        <w:t xml:space="preserve">F. Freddi, E. Tubaldi, L. Ragni, A. Dall’Asta, Probabilistic performance assessment of low-ductility reinforced concrete frames retrofitted with dissipative braces, Earthq. Eng. Struct. Dyn. 42 (2013) 993–1011. </w:t>
      </w:r>
      <w:r w:rsidRPr="004A68AC">
        <w:rPr>
          <w:noProof/>
        </w:rPr>
        <w:lastRenderedPageBreak/>
        <w:t>https://doi.org/10.1002/eqe.2255.</w:t>
      </w:r>
    </w:p>
    <w:p w14:paraId="75802CB6" w14:textId="77777777" w:rsidR="00F534F9" w:rsidRPr="004A68AC" w:rsidRDefault="00F534F9" w:rsidP="00F534F9">
      <w:pPr>
        <w:widowControl w:val="0"/>
        <w:autoSpaceDE w:val="0"/>
        <w:autoSpaceDN w:val="0"/>
        <w:adjustRightInd w:val="0"/>
        <w:ind w:left="640" w:hanging="640"/>
        <w:rPr>
          <w:noProof/>
        </w:rPr>
      </w:pPr>
      <w:r w:rsidRPr="004A68AC">
        <w:rPr>
          <w:noProof/>
        </w:rPr>
        <w:t>[34]</w:t>
      </w:r>
      <w:r w:rsidRPr="004A68AC">
        <w:rPr>
          <w:noProof/>
        </w:rPr>
        <w:tab/>
        <w:t>D. Vamvatsikos, C. Allin Cornell, Incremental dynamic analysis, Earthq. Eng. Struct. Dyn. 31 (2002) 491–514. https://doi.org/10.1002/eqe.141.</w:t>
      </w:r>
    </w:p>
    <w:p w14:paraId="51404A1C" w14:textId="77777777" w:rsidR="00F534F9" w:rsidRPr="004A68AC" w:rsidRDefault="00F534F9" w:rsidP="00F534F9">
      <w:pPr>
        <w:widowControl w:val="0"/>
        <w:autoSpaceDE w:val="0"/>
        <w:autoSpaceDN w:val="0"/>
        <w:adjustRightInd w:val="0"/>
        <w:ind w:left="640" w:hanging="640"/>
        <w:rPr>
          <w:noProof/>
        </w:rPr>
      </w:pPr>
      <w:r w:rsidRPr="004A68AC">
        <w:rPr>
          <w:noProof/>
        </w:rPr>
        <w:t>[35]</w:t>
      </w:r>
      <w:r w:rsidRPr="004A68AC">
        <w:rPr>
          <w:noProof/>
        </w:rPr>
        <w:tab/>
        <w:t>F. Freddi, J.E. Padgett, A. Dall’Asta, Probabilistic seismic demand modeling of local level response parameters of an RC frame, Bull. Earthq. Eng. 15 (2017). https://doi.org/10.1007/s10518-016-9948-x.</w:t>
      </w:r>
    </w:p>
    <w:p w14:paraId="2A680816" w14:textId="77777777" w:rsidR="00F534F9" w:rsidRPr="004A68AC" w:rsidRDefault="00F534F9" w:rsidP="00F534F9">
      <w:pPr>
        <w:widowControl w:val="0"/>
        <w:autoSpaceDE w:val="0"/>
        <w:autoSpaceDN w:val="0"/>
        <w:adjustRightInd w:val="0"/>
        <w:ind w:left="640" w:hanging="640"/>
        <w:rPr>
          <w:noProof/>
        </w:rPr>
      </w:pPr>
      <w:r w:rsidRPr="004A68AC">
        <w:rPr>
          <w:noProof/>
        </w:rPr>
        <w:t>[36]</w:t>
      </w:r>
      <w:r w:rsidRPr="004A68AC">
        <w:rPr>
          <w:noProof/>
        </w:rPr>
        <w:tab/>
        <w:t>B. Song, C. Galasso, A. Kanvinde, Advancing fracture fragility assessment of pre-Northridge welded column splices, Earthq. Eng. Struct. Dyn. 49 (2020) 132–154. https://doi.org/10.1002/eqe.3228.</w:t>
      </w:r>
    </w:p>
    <w:p w14:paraId="740B0DC1" w14:textId="77777777" w:rsidR="00F534F9" w:rsidRPr="004A68AC" w:rsidRDefault="00F534F9" w:rsidP="00F534F9">
      <w:pPr>
        <w:widowControl w:val="0"/>
        <w:autoSpaceDE w:val="0"/>
        <w:autoSpaceDN w:val="0"/>
        <w:adjustRightInd w:val="0"/>
        <w:ind w:left="640" w:hanging="640"/>
        <w:rPr>
          <w:noProof/>
        </w:rPr>
      </w:pPr>
      <w:r w:rsidRPr="004A68AC">
        <w:rPr>
          <w:noProof/>
        </w:rPr>
        <w:t>[37]</w:t>
      </w:r>
      <w:r w:rsidRPr="004A68AC">
        <w:rPr>
          <w:noProof/>
        </w:rPr>
        <w:tab/>
        <w:t>R.A. Medina, H. Krawinkler, B. Alavi, Seismic demand for nondeteriorating frame structures and their dependence on ground motion, 2003. https://doi.org/10.1016/S0141-0296(02)00174-8.</w:t>
      </w:r>
    </w:p>
    <w:p w14:paraId="671B962E" w14:textId="77777777" w:rsidR="00F534F9" w:rsidRPr="004A68AC" w:rsidRDefault="00F534F9" w:rsidP="00F534F9">
      <w:pPr>
        <w:widowControl w:val="0"/>
        <w:autoSpaceDE w:val="0"/>
        <w:autoSpaceDN w:val="0"/>
        <w:adjustRightInd w:val="0"/>
        <w:ind w:left="640" w:hanging="640"/>
        <w:rPr>
          <w:noProof/>
        </w:rPr>
      </w:pPr>
      <w:r w:rsidRPr="004A68AC">
        <w:rPr>
          <w:noProof/>
        </w:rPr>
        <w:t>[38]</w:t>
      </w:r>
      <w:r w:rsidRPr="004A68AC">
        <w:rPr>
          <w:noProof/>
        </w:rPr>
        <w:tab/>
        <w:t>O.S. Kwon, A. Elnashai, The effect of material and ground motion uncertainty on the seismic vulnerability curves of RC structure, Eng. Struct. 28 (2006) 289–303. https://doi.org/10.1016/j.engstruct.2005.07.010.</w:t>
      </w:r>
    </w:p>
    <w:p w14:paraId="285D404C" w14:textId="77777777" w:rsidR="00F534F9" w:rsidRPr="004A68AC" w:rsidRDefault="00F534F9" w:rsidP="00F534F9">
      <w:pPr>
        <w:widowControl w:val="0"/>
        <w:autoSpaceDE w:val="0"/>
        <w:autoSpaceDN w:val="0"/>
        <w:adjustRightInd w:val="0"/>
        <w:ind w:left="640" w:hanging="640"/>
        <w:rPr>
          <w:noProof/>
        </w:rPr>
      </w:pPr>
      <w:r w:rsidRPr="004A68AC">
        <w:rPr>
          <w:noProof/>
        </w:rPr>
        <w:t>[39]</w:t>
      </w:r>
      <w:r w:rsidRPr="004A68AC">
        <w:rPr>
          <w:noProof/>
        </w:rPr>
        <w:tab/>
        <w:t>E. Tubaldi, M. Barbato, A. Dall’Asta, Influence of model parameter uncertainty on seismic transverse response and vulnerability of steel-concrete composite bridges with dual load path, J. Struct. Eng. 138 (2012) 363–374. https://doi.org/10.1061/(ASCE)ST.1943-541X.0000456.</w:t>
      </w:r>
    </w:p>
    <w:p w14:paraId="1C78786E" w14:textId="77777777" w:rsidR="00F534F9" w:rsidRPr="004A68AC" w:rsidRDefault="00F534F9" w:rsidP="00F534F9">
      <w:pPr>
        <w:widowControl w:val="0"/>
        <w:autoSpaceDE w:val="0"/>
        <w:autoSpaceDN w:val="0"/>
        <w:adjustRightInd w:val="0"/>
        <w:ind w:left="640" w:hanging="640"/>
        <w:rPr>
          <w:noProof/>
        </w:rPr>
      </w:pPr>
      <w:r w:rsidRPr="004A68AC">
        <w:rPr>
          <w:noProof/>
        </w:rPr>
        <w:t>[40]</w:t>
      </w:r>
      <w:r w:rsidRPr="004A68AC">
        <w:rPr>
          <w:noProof/>
        </w:rPr>
        <w:tab/>
        <w:t>E. Tubaldi, F. Freddi, M. Barbato, Probabilistic seismic demand model for pounding risk assessment, Earthq. Eng. Struct. Dyn. (2016). https://doi.org/10.1002/eqe.2725.</w:t>
      </w:r>
    </w:p>
    <w:p w14:paraId="54B0DF1D" w14:textId="77777777" w:rsidR="00F534F9" w:rsidRPr="004A68AC" w:rsidRDefault="00F534F9" w:rsidP="00F534F9">
      <w:pPr>
        <w:widowControl w:val="0"/>
        <w:autoSpaceDE w:val="0"/>
        <w:autoSpaceDN w:val="0"/>
        <w:adjustRightInd w:val="0"/>
        <w:ind w:left="640" w:hanging="640"/>
        <w:rPr>
          <w:noProof/>
        </w:rPr>
      </w:pPr>
      <w:r w:rsidRPr="004A68AC">
        <w:rPr>
          <w:noProof/>
        </w:rPr>
        <w:t>[41]</w:t>
      </w:r>
      <w:r w:rsidRPr="004A68AC">
        <w:rPr>
          <w:noProof/>
        </w:rPr>
        <w:tab/>
        <w:t>V. Piluso, A. Pisapia, P. Castaldo, E. Nastri, Probabilistic Theory of Plastic Mechanism Control for Steel Moment Resisting Frames, Struct. Saf. 76 (2019) 95–107. https://doi.org/10.1016/j.strusafe.2018.08.003.</w:t>
      </w:r>
    </w:p>
    <w:p w14:paraId="206C3C7F" w14:textId="77777777" w:rsidR="00F534F9" w:rsidRPr="004A68AC" w:rsidRDefault="00F534F9" w:rsidP="00F534F9">
      <w:pPr>
        <w:widowControl w:val="0"/>
        <w:autoSpaceDE w:val="0"/>
        <w:autoSpaceDN w:val="0"/>
        <w:adjustRightInd w:val="0"/>
        <w:ind w:left="640" w:hanging="640"/>
        <w:rPr>
          <w:noProof/>
        </w:rPr>
      </w:pPr>
      <w:r w:rsidRPr="004A68AC">
        <w:rPr>
          <w:noProof/>
        </w:rPr>
        <w:t>[42]</w:t>
      </w:r>
      <w:r w:rsidRPr="004A68AC">
        <w:rPr>
          <w:noProof/>
        </w:rPr>
        <w:tab/>
        <w:t>D.G. Lignos, A.R. Hartloper, A. Elkady, G.G. Deierlein, R. Hamburger, Proposed Updates to the ASCE 41 Nonlinear Modeling Parameters for Wide-Flange Steel Columns in Support of Performance-Based Seismic Engineering, J. Struct. Eng. 145 (2019) 1–13. https://doi.org/10.1061/(ASCE)ST.1943-541X.0002353.</w:t>
      </w:r>
    </w:p>
    <w:p w14:paraId="73598942" w14:textId="77777777" w:rsidR="00F534F9" w:rsidRPr="004A68AC" w:rsidRDefault="00F534F9" w:rsidP="00F534F9">
      <w:pPr>
        <w:widowControl w:val="0"/>
        <w:autoSpaceDE w:val="0"/>
        <w:autoSpaceDN w:val="0"/>
        <w:adjustRightInd w:val="0"/>
        <w:ind w:left="640" w:hanging="640"/>
        <w:rPr>
          <w:noProof/>
        </w:rPr>
      </w:pPr>
      <w:r w:rsidRPr="004A68AC">
        <w:rPr>
          <w:noProof/>
        </w:rPr>
        <w:t>[43]</w:t>
      </w:r>
      <w:r w:rsidRPr="004A68AC">
        <w:rPr>
          <w:noProof/>
        </w:rPr>
        <w:tab/>
        <w:t>European Committe for Standarization, Eurocode 3: Design of Steel Structures - Part 1-1: General Rules and Rules for Buildings, EN 1993-1-1. (2005).</w:t>
      </w:r>
    </w:p>
    <w:p w14:paraId="4CF3A0DD" w14:textId="77777777" w:rsidR="00F534F9" w:rsidRPr="004A68AC" w:rsidRDefault="00F534F9" w:rsidP="00F534F9">
      <w:pPr>
        <w:widowControl w:val="0"/>
        <w:autoSpaceDE w:val="0"/>
        <w:autoSpaceDN w:val="0"/>
        <w:adjustRightInd w:val="0"/>
        <w:ind w:left="640" w:hanging="640"/>
        <w:rPr>
          <w:noProof/>
        </w:rPr>
      </w:pPr>
      <w:r w:rsidRPr="004A68AC">
        <w:rPr>
          <w:noProof/>
        </w:rPr>
        <w:t>[44]</w:t>
      </w:r>
      <w:r w:rsidRPr="004A68AC">
        <w:rPr>
          <w:noProof/>
        </w:rPr>
        <w:tab/>
        <w:t>E. Elettore, F. Freddi, M. Latour, G. Rizzano, Design and analysis of a seismic resilient steel moment resisting frame equipped with damage-free self-centering column bases, J. Constr. Steel Res. (2021). https://doi.org/10.1016/j.jcsr.2021.106543.</w:t>
      </w:r>
    </w:p>
    <w:p w14:paraId="396F09BD" w14:textId="77777777" w:rsidR="00F534F9" w:rsidRPr="004A68AC" w:rsidRDefault="00F534F9" w:rsidP="00F534F9">
      <w:pPr>
        <w:widowControl w:val="0"/>
        <w:autoSpaceDE w:val="0"/>
        <w:autoSpaceDN w:val="0"/>
        <w:adjustRightInd w:val="0"/>
        <w:ind w:left="640" w:hanging="640"/>
        <w:rPr>
          <w:noProof/>
        </w:rPr>
      </w:pPr>
      <w:r w:rsidRPr="004A68AC">
        <w:rPr>
          <w:noProof/>
        </w:rPr>
        <w:t>[45]</w:t>
      </w:r>
      <w:r w:rsidRPr="004A68AC">
        <w:rPr>
          <w:noProof/>
        </w:rPr>
        <w:tab/>
        <w:t>K. Aljawhari, R. Gentile, F. Freddi, C. Galasso, Effects of ground-motion sequences on fragility and vulnerability of case-study reinforced concrete frames, Springer Netherlands, 2020. https://doi.org/10.1007/s10518-020-01006-8.</w:t>
      </w:r>
    </w:p>
    <w:p w14:paraId="73D56E20" w14:textId="77777777" w:rsidR="00F534F9" w:rsidRPr="004A68AC" w:rsidRDefault="00F534F9" w:rsidP="00F534F9">
      <w:pPr>
        <w:widowControl w:val="0"/>
        <w:autoSpaceDE w:val="0"/>
        <w:autoSpaceDN w:val="0"/>
        <w:adjustRightInd w:val="0"/>
        <w:ind w:left="640" w:hanging="640"/>
        <w:rPr>
          <w:noProof/>
        </w:rPr>
      </w:pPr>
      <w:r w:rsidRPr="004A68AC">
        <w:rPr>
          <w:noProof/>
        </w:rPr>
        <w:t>[46]</w:t>
      </w:r>
      <w:r w:rsidRPr="004A68AC">
        <w:rPr>
          <w:noProof/>
        </w:rPr>
        <w:tab/>
        <w:t>F. Freddi, C.A. Dimopoulos, T.L. Karavasilis, Rocking damage-free steel column base with friction devices: design procedure and numerical evaluation, Earthq. Eng. Struct. Dyn. 46 (2017) 2281–2300. https://doi.org/10.1002/eqe.2904.</w:t>
      </w:r>
    </w:p>
    <w:p w14:paraId="5DEEB2FD" w14:textId="77777777" w:rsidR="00F534F9" w:rsidRPr="004A68AC" w:rsidRDefault="00F534F9" w:rsidP="00F534F9">
      <w:pPr>
        <w:widowControl w:val="0"/>
        <w:autoSpaceDE w:val="0"/>
        <w:autoSpaceDN w:val="0"/>
        <w:adjustRightInd w:val="0"/>
        <w:ind w:left="640" w:hanging="640"/>
        <w:rPr>
          <w:noProof/>
        </w:rPr>
      </w:pPr>
      <w:r w:rsidRPr="004A68AC">
        <w:rPr>
          <w:noProof/>
        </w:rPr>
        <w:t>[47]</w:t>
      </w:r>
      <w:r w:rsidRPr="004A68AC">
        <w:rPr>
          <w:noProof/>
        </w:rPr>
        <w:tab/>
        <w:t>F. Freddi, C.A. Dimopoulos, T.L. Karavasilis, Experimental Evaluation of a Rocking Damage-Free Steel Column Base with Friction Devices, J. Struct. Eng. 146 (2020) 04020217. https://doi.org/10.1061/(asce)st.1943-541x.0002779.</w:t>
      </w:r>
    </w:p>
    <w:p w14:paraId="29558D5F" w14:textId="77777777" w:rsidR="00F534F9" w:rsidRPr="004A68AC" w:rsidRDefault="00F534F9" w:rsidP="00F534F9">
      <w:pPr>
        <w:widowControl w:val="0"/>
        <w:autoSpaceDE w:val="0"/>
        <w:autoSpaceDN w:val="0"/>
        <w:adjustRightInd w:val="0"/>
        <w:ind w:left="640" w:hanging="640"/>
        <w:rPr>
          <w:noProof/>
        </w:rPr>
      </w:pPr>
      <w:r w:rsidRPr="004A68AC">
        <w:rPr>
          <w:noProof/>
        </w:rPr>
        <w:t>[48]</w:t>
      </w:r>
      <w:r w:rsidRPr="004A68AC">
        <w:rPr>
          <w:noProof/>
        </w:rPr>
        <w:tab/>
        <w:t>J. McCormick, H. Aburano, M. Ikenaga, M. Nakashima, Permissible Residual Deformation Levels for Building Structures Considering both Safety and Human Elements, 14th World Conf. Earthq. Eng. (2008) 8.</w:t>
      </w:r>
    </w:p>
    <w:p w14:paraId="521D39D8" w14:textId="77777777" w:rsidR="00F534F9" w:rsidRPr="004A68AC" w:rsidRDefault="00F534F9" w:rsidP="00F534F9">
      <w:pPr>
        <w:widowControl w:val="0"/>
        <w:autoSpaceDE w:val="0"/>
        <w:autoSpaceDN w:val="0"/>
        <w:adjustRightInd w:val="0"/>
        <w:ind w:left="640" w:hanging="640"/>
        <w:rPr>
          <w:noProof/>
        </w:rPr>
      </w:pPr>
      <w:r w:rsidRPr="004A68AC">
        <w:rPr>
          <w:noProof/>
        </w:rPr>
        <w:t>[49]</w:t>
      </w:r>
      <w:r w:rsidRPr="004A68AC">
        <w:rPr>
          <w:noProof/>
        </w:rPr>
        <w:tab/>
        <w:t>Y. Iwata, H. Sugimoto, H. Kuwamura, Reparability limit of steel structural builidings : Study on performance based design of steel structural buildings, Part 2, J. Struct. Constr. Eng. 70 (2005) 165–172. https://doi.org/10.3130/aijs.70.165_1.</w:t>
      </w:r>
    </w:p>
    <w:p w14:paraId="4641067C" w14:textId="77777777" w:rsidR="00F534F9" w:rsidRPr="004A68AC" w:rsidRDefault="00F534F9" w:rsidP="00F534F9">
      <w:pPr>
        <w:widowControl w:val="0"/>
        <w:autoSpaceDE w:val="0"/>
        <w:autoSpaceDN w:val="0"/>
        <w:adjustRightInd w:val="0"/>
        <w:ind w:left="640" w:hanging="640"/>
        <w:rPr>
          <w:noProof/>
        </w:rPr>
      </w:pPr>
      <w:r w:rsidRPr="004A68AC">
        <w:rPr>
          <w:noProof/>
        </w:rPr>
        <w:lastRenderedPageBreak/>
        <w:t>[50]</w:t>
      </w:r>
      <w:r w:rsidRPr="004A68AC">
        <w:rPr>
          <w:noProof/>
        </w:rPr>
        <w:tab/>
        <w:t>F. McKenna, G.L. Fenves, M.H. Scott, Open system for earthquake engineering simulation (OpenSees), (2000).</w:t>
      </w:r>
    </w:p>
    <w:p w14:paraId="47A295EB" w14:textId="77777777" w:rsidR="00F534F9" w:rsidRPr="004A68AC" w:rsidRDefault="00F534F9" w:rsidP="00F534F9">
      <w:pPr>
        <w:widowControl w:val="0"/>
        <w:autoSpaceDE w:val="0"/>
        <w:autoSpaceDN w:val="0"/>
        <w:adjustRightInd w:val="0"/>
        <w:ind w:left="640" w:hanging="640"/>
        <w:rPr>
          <w:noProof/>
        </w:rPr>
      </w:pPr>
      <w:r w:rsidRPr="004A68AC">
        <w:rPr>
          <w:noProof/>
        </w:rPr>
        <w:t>[51]</w:t>
      </w:r>
      <w:r w:rsidRPr="004A68AC">
        <w:rPr>
          <w:noProof/>
        </w:rPr>
        <w:tab/>
        <w:t>D.G. Lignos, H. Krawinkler, Deterioration modeling of steel components in support of collapse prediction of steel moment frames under earthquake loading, J. Struct. Eng. 137 (2011) 1291–1302. https://doi.org/10.1061/(ASCE)ST.1943-541X.0000376.</w:t>
      </w:r>
    </w:p>
    <w:p w14:paraId="435E2E2A" w14:textId="77777777" w:rsidR="00F534F9" w:rsidRPr="004A68AC" w:rsidRDefault="00F534F9" w:rsidP="00F534F9">
      <w:pPr>
        <w:widowControl w:val="0"/>
        <w:autoSpaceDE w:val="0"/>
        <w:autoSpaceDN w:val="0"/>
        <w:adjustRightInd w:val="0"/>
        <w:ind w:left="640" w:hanging="640"/>
        <w:rPr>
          <w:noProof/>
        </w:rPr>
      </w:pPr>
      <w:r w:rsidRPr="004A68AC">
        <w:rPr>
          <w:noProof/>
        </w:rPr>
        <w:t>[52]</w:t>
      </w:r>
      <w:r w:rsidRPr="004A68AC">
        <w:rPr>
          <w:noProof/>
        </w:rPr>
        <w:tab/>
        <w:t>F. Zareian, R.A. Medina, A practical method for proper modeling of structural damping in inelastic plane structural systems, Comput. Struct. 88 (2010) 45–53. https://doi.org/10.1016/j.compstruc.2009.08.001.</w:t>
      </w:r>
    </w:p>
    <w:p w14:paraId="0F1DDA47" w14:textId="77777777" w:rsidR="00F534F9" w:rsidRPr="004A68AC" w:rsidRDefault="00F534F9" w:rsidP="00F534F9">
      <w:pPr>
        <w:widowControl w:val="0"/>
        <w:autoSpaceDE w:val="0"/>
        <w:autoSpaceDN w:val="0"/>
        <w:adjustRightInd w:val="0"/>
        <w:ind w:left="640" w:hanging="640"/>
        <w:rPr>
          <w:noProof/>
        </w:rPr>
      </w:pPr>
      <w:r w:rsidRPr="004A68AC">
        <w:rPr>
          <w:noProof/>
        </w:rPr>
        <w:t>[53]</w:t>
      </w:r>
      <w:r w:rsidRPr="004A68AC">
        <w:rPr>
          <w:noProof/>
        </w:rPr>
        <w:tab/>
        <w:t>J.M. Castro, A.Y. Elghazouli, B.A. Izzuddin, Modelling of the panel zone in steel and composite moment frames, Eng. Struct. 27 (2005) 129–144. https://doi.org/10.1016/j.engstruct.2004.09.008.</w:t>
      </w:r>
    </w:p>
    <w:p w14:paraId="074B812E" w14:textId="77777777" w:rsidR="00F534F9" w:rsidRPr="004A68AC" w:rsidRDefault="00F534F9" w:rsidP="00F534F9">
      <w:pPr>
        <w:widowControl w:val="0"/>
        <w:autoSpaceDE w:val="0"/>
        <w:autoSpaceDN w:val="0"/>
        <w:adjustRightInd w:val="0"/>
        <w:ind w:left="640" w:hanging="640"/>
        <w:rPr>
          <w:noProof/>
        </w:rPr>
      </w:pPr>
      <w:r w:rsidRPr="004A68AC">
        <w:rPr>
          <w:noProof/>
        </w:rPr>
        <w:t>[54]</w:t>
      </w:r>
      <w:r w:rsidRPr="004A68AC">
        <w:rPr>
          <w:noProof/>
        </w:rPr>
        <w:tab/>
        <w:t>T. Falborski, A.S. Hassan, A.M. Kanvinde, Column base fixity in steel moment frames: Observations from instrumented buildings, J. Constr. Steel Res. 168 (2020) 105993. https://doi.org/10.1016/j.jcsr.2020.105993.</w:t>
      </w:r>
    </w:p>
    <w:p w14:paraId="76A77BB4" w14:textId="77777777" w:rsidR="00F534F9" w:rsidRPr="004A68AC" w:rsidRDefault="00F534F9" w:rsidP="00F534F9">
      <w:pPr>
        <w:widowControl w:val="0"/>
        <w:autoSpaceDE w:val="0"/>
        <w:autoSpaceDN w:val="0"/>
        <w:adjustRightInd w:val="0"/>
        <w:ind w:left="640" w:hanging="640"/>
        <w:rPr>
          <w:noProof/>
        </w:rPr>
      </w:pPr>
      <w:r w:rsidRPr="004A68AC">
        <w:rPr>
          <w:noProof/>
        </w:rPr>
        <w:t>[55]</w:t>
      </w:r>
      <w:r w:rsidRPr="004A68AC">
        <w:rPr>
          <w:noProof/>
        </w:rPr>
        <w:tab/>
        <w:t>G.A. MacRae, Y. Kimura, C. Roeder, Effect of Column Stiffness on Braced Frame Seismic Behavior, J. Struct. Eng. 130 (2004) 381–391. https://doi.org/10.1061/(ASCE)0733-9445(2004)130:3(381).</w:t>
      </w:r>
    </w:p>
    <w:p w14:paraId="124198DC" w14:textId="77777777" w:rsidR="00F534F9" w:rsidRPr="004A68AC" w:rsidRDefault="00F534F9" w:rsidP="00F534F9">
      <w:pPr>
        <w:widowControl w:val="0"/>
        <w:autoSpaceDE w:val="0"/>
        <w:autoSpaceDN w:val="0"/>
        <w:adjustRightInd w:val="0"/>
        <w:ind w:left="640" w:hanging="640"/>
        <w:rPr>
          <w:noProof/>
        </w:rPr>
      </w:pPr>
      <w:r w:rsidRPr="004A68AC">
        <w:rPr>
          <w:noProof/>
        </w:rPr>
        <w:t>[56]</w:t>
      </w:r>
      <w:r w:rsidRPr="004A68AC">
        <w:rPr>
          <w:noProof/>
        </w:rPr>
        <w:tab/>
        <w:t>D.A. Foutch, S.Y. Yun, Modeling of steel moment frames for seismic loads, J. Constr. Steel Res. 58 (2002) 529–564. https://doi.org/10.1016/S0143-974X(01)00078-5.</w:t>
      </w:r>
    </w:p>
    <w:p w14:paraId="7991FC1F" w14:textId="77777777" w:rsidR="00F534F9" w:rsidRPr="004A68AC" w:rsidRDefault="00F534F9" w:rsidP="00F534F9">
      <w:pPr>
        <w:widowControl w:val="0"/>
        <w:autoSpaceDE w:val="0"/>
        <w:autoSpaceDN w:val="0"/>
        <w:adjustRightInd w:val="0"/>
        <w:ind w:left="640" w:hanging="640"/>
        <w:rPr>
          <w:noProof/>
        </w:rPr>
      </w:pPr>
      <w:r w:rsidRPr="004A68AC">
        <w:rPr>
          <w:noProof/>
        </w:rPr>
        <w:t>[57]</w:t>
      </w:r>
      <w:r w:rsidRPr="004A68AC">
        <w:rPr>
          <w:noProof/>
        </w:rPr>
        <w:tab/>
        <w:t>J.M. Fisher, L.A. Kloiber, Base Plate and Anchor Rod Design, AISC Steel Des. Guid. 1. (2006) 73.</w:t>
      </w:r>
    </w:p>
    <w:p w14:paraId="7082270C" w14:textId="77777777" w:rsidR="00F534F9" w:rsidRPr="004A68AC" w:rsidRDefault="00F534F9" w:rsidP="00F534F9">
      <w:pPr>
        <w:widowControl w:val="0"/>
        <w:autoSpaceDE w:val="0"/>
        <w:autoSpaceDN w:val="0"/>
        <w:adjustRightInd w:val="0"/>
        <w:ind w:left="640" w:hanging="640"/>
        <w:rPr>
          <w:noProof/>
        </w:rPr>
      </w:pPr>
      <w:r w:rsidRPr="004A68AC">
        <w:rPr>
          <w:noProof/>
        </w:rPr>
        <w:t>[58]</w:t>
      </w:r>
      <w:r w:rsidRPr="004A68AC">
        <w:rPr>
          <w:noProof/>
        </w:rPr>
        <w:tab/>
        <w:t>A.M. Kanvinde, D.A. Grilli, F. Zareian, Rotational stiffness of exposed column base connections: Experiments and analytical models, J. Struct. Eng. 138 (2012) 549–560. https://doi.org/10.1061/(ASCE)ST.1943-541X.0000495.</w:t>
      </w:r>
    </w:p>
    <w:p w14:paraId="4C20E5E1" w14:textId="77777777" w:rsidR="00F534F9" w:rsidRPr="004A68AC" w:rsidRDefault="00F534F9" w:rsidP="00F534F9">
      <w:pPr>
        <w:widowControl w:val="0"/>
        <w:autoSpaceDE w:val="0"/>
        <w:autoSpaceDN w:val="0"/>
        <w:adjustRightInd w:val="0"/>
        <w:ind w:left="640" w:hanging="640"/>
        <w:rPr>
          <w:noProof/>
        </w:rPr>
      </w:pPr>
      <w:r w:rsidRPr="004A68AC">
        <w:rPr>
          <w:noProof/>
        </w:rPr>
        <w:t>[59]</w:t>
      </w:r>
      <w:r w:rsidRPr="004A68AC">
        <w:rPr>
          <w:noProof/>
        </w:rPr>
        <w:tab/>
        <w:t>Federal Emergency Management Agency, Quantification of building seismic performance factors, FEMA P-695 ATC-63 Proj. (2009) 421.</w:t>
      </w:r>
    </w:p>
    <w:p w14:paraId="251FBF95" w14:textId="77777777" w:rsidR="00F534F9" w:rsidRPr="004A68AC" w:rsidRDefault="00F534F9" w:rsidP="00F534F9">
      <w:pPr>
        <w:widowControl w:val="0"/>
        <w:autoSpaceDE w:val="0"/>
        <w:autoSpaceDN w:val="0"/>
        <w:adjustRightInd w:val="0"/>
        <w:ind w:left="640" w:hanging="640"/>
        <w:rPr>
          <w:noProof/>
        </w:rPr>
      </w:pPr>
      <w:r w:rsidRPr="004A68AC">
        <w:rPr>
          <w:noProof/>
        </w:rPr>
        <w:t>[60]</w:t>
      </w:r>
      <w:r w:rsidRPr="004A68AC">
        <w:rPr>
          <w:noProof/>
        </w:rPr>
        <w:tab/>
        <w:t>V. Silva, S. Akkar, J. Baker, P. Bazzurro, J.M. Castro, H. Crowley, M. Dolsek, C. Galasso, S. Lagomarsino, R. Monteiro, D. Perrone, K. Pitilakis, D. Vamvatsikos, Current challenges and future trends in analytical fragility and vulnerability modeling, Earthq. Spectra. 35 (2019) 1927–1952. https://doi.org/10.1193/042418EQS101O.</w:t>
      </w:r>
    </w:p>
    <w:p w14:paraId="4E057E9C" w14:textId="77777777" w:rsidR="00F534F9" w:rsidRPr="004A68AC" w:rsidRDefault="00F534F9" w:rsidP="00F534F9">
      <w:pPr>
        <w:widowControl w:val="0"/>
        <w:autoSpaceDE w:val="0"/>
        <w:autoSpaceDN w:val="0"/>
        <w:adjustRightInd w:val="0"/>
        <w:ind w:left="640" w:hanging="640"/>
        <w:rPr>
          <w:noProof/>
        </w:rPr>
      </w:pPr>
      <w:r w:rsidRPr="004A68AC">
        <w:rPr>
          <w:noProof/>
        </w:rPr>
        <w:t>[61]</w:t>
      </w:r>
      <w:r w:rsidRPr="004A68AC">
        <w:rPr>
          <w:noProof/>
        </w:rPr>
        <w:tab/>
        <w:t>Federal Emergency Management Agency, HAZUS-MH MR4 Technical Manual, Natl. Inst. Build. Sci. Fed. Emerg. Manag. Agency (NIBS FEMA). (2003) 712.</w:t>
      </w:r>
    </w:p>
    <w:p w14:paraId="34BE1C1D" w14:textId="310FCD42" w:rsidR="0084347C" w:rsidRPr="005660F2" w:rsidRDefault="002603CF">
      <w:pPr>
        <w:widowControl w:val="0"/>
        <w:autoSpaceDE w:val="0"/>
        <w:autoSpaceDN w:val="0"/>
        <w:adjustRightInd w:val="0"/>
        <w:rPr>
          <w:smallCaps/>
          <w:lang w:val="en-US"/>
        </w:rPr>
      </w:pPr>
      <w:r w:rsidRPr="004A68AC">
        <w:rPr>
          <w:smallCaps/>
          <w:lang w:val="en-US"/>
        </w:rPr>
        <w:fldChar w:fldCharType="end"/>
      </w:r>
      <w:bookmarkEnd w:id="35"/>
    </w:p>
    <w:sectPr w:rsidR="0084347C" w:rsidRPr="005660F2" w:rsidSect="00DF3BB3">
      <w:footerReference w:type="default" r:id="rId30"/>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0D352" w14:textId="77777777" w:rsidR="00204274" w:rsidRDefault="00204274" w:rsidP="00692578">
      <w:r>
        <w:separator/>
      </w:r>
    </w:p>
  </w:endnote>
  <w:endnote w:type="continuationSeparator" w:id="0">
    <w:p w14:paraId="2C161702" w14:textId="77777777" w:rsidR="00204274" w:rsidRDefault="00204274" w:rsidP="0069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E10002FF" w:usb1="5000E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87103"/>
      <w:docPartObj>
        <w:docPartGallery w:val="Page Numbers (Bottom of Page)"/>
        <w:docPartUnique/>
      </w:docPartObj>
    </w:sdtPr>
    <w:sdtEndPr>
      <w:rPr>
        <w:noProof/>
      </w:rPr>
    </w:sdtEndPr>
    <w:sdtContent>
      <w:p w14:paraId="20EFAB66" w14:textId="7EB29B7B" w:rsidR="00F534F9" w:rsidRDefault="00F534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BD766B" w14:textId="77777777" w:rsidR="00F534F9" w:rsidRDefault="00F53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B3FC9" w14:textId="77777777" w:rsidR="00204274" w:rsidRDefault="00204274" w:rsidP="00692578">
      <w:r>
        <w:separator/>
      </w:r>
    </w:p>
  </w:footnote>
  <w:footnote w:type="continuationSeparator" w:id="0">
    <w:p w14:paraId="6A9AE24F" w14:textId="77777777" w:rsidR="00204274" w:rsidRDefault="00204274" w:rsidP="00692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912C6"/>
    <w:multiLevelType w:val="hybridMultilevel"/>
    <w:tmpl w:val="EF681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EA7F0A"/>
    <w:multiLevelType w:val="hybridMultilevel"/>
    <w:tmpl w:val="B0BCC2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A31D06"/>
    <w:multiLevelType w:val="hybridMultilevel"/>
    <w:tmpl w:val="4F8C1FD0"/>
    <w:lvl w:ilvl="0" w:tplc="171AAF9A">
      <w:start w:val="1"/>
      <w:numFmt w:val="decimal"/>
      <w:pStyle w:val="Referencetext"/>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0D05495"/>
    <w:multiLevelType w:val="hybridMultilevel"/>
    <w:tmpl w:val="BBB46A8E"/>
    <w:lvl w:ilvl="0" w:tplc="65DAE0DC">
      <w:start w:val="1"/>
      <w:numFmt w:val="decimal"/>
      <w:pStyle w:val="References"/>
      <w:lvlText w:val="[%1]"/>
      <w:lvlJc w:val="left"/>
      <w:pPr>
        <w:ind w:left="720" w:hanging="360"/>
      </w:pPr>
      <w:rPr>
        <w:rFonts w:ascii="Times New Roman" w:hAnsi="Times New Roman" w:cs="Times New Roman" w:hint="default"/>
        <w:lang w:val="de-D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68A590A"/>
    <w:multiLevelType w:val="hybridMultilevel"/>
    <w:tmpl w:val="C4F20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EB36D3"/>
    <w:multiLevelType w:val="hybridMultilevel"/>
    <w:tmpl w:val="E7AE8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8D5B17"/>
    <w:multiLevelType w:val="hybridMultilevel"/>
    <w:tmpl w:val="7D663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721B77"/>
    <w:multiLevelType w:val="hybridMultilevel"/>
    <w:tmpl w:val="9EEE96A0"/>
    <w:lvl w:ilvl="0" w:tplc="7B5A8CC4">
      <w:start w:val="1"/>
      <w:numFmt w:val="decimal"/>
      <w:pStyle w:val="ListeLiteratu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B5B14"/>
    <w:multiLevelType w:val="hybridMultilevel"/>
    <w:tmpl w:val="847E7698"/>
    <w:lvl w:ilvl="0" w:tplc="4EB03B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771D2B"/>
    <w:multiLevelType w:val="hybridMultilevel"/>
    <w:tmpl w:val="3D543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FA233E"/>
    <w:multiLevelType w:val="multilevel"/>
    <w:tmpl w:val="7C36B582"/>
    <w:lvl w:ilvl="0">
      <w:start w:val="1"/>
      <w:numFmt w:val="decimal"/>
      <w:pStyle w:val="Heading1"/>
      <w:lvlText w:val="%1."/>
      <w:lvlJc w:val="left"/>
      <w:pPr>
        <w:tabs>
          <w:tab w:val="num" w:pos="720"/>
        </w:tabs>
        <w:ind w:left="720" w:hanging="360"/>
      </w:pPr>
      <w:rPr>
        <w:rFonts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6C947DD"/>
    <w:multiLevelType w:val="hybridMultilevel"/>
    <w:tmpl w:val="E9EA7C98"/>
    <w:lvl w:ilvl="0" w:tplc="07EC4E1C">
      <w:start w:val="1"/>
      <w:numFmt w:val="decimal"/>
      <w:pStyle w:val="StileReferencesdopo3ptInterlineadoppia"/>
      <w:lvlText w:val="[%1]"/>
      <w:lvlJc w:val="left"/>
      <w:pPr>
        <w:tabs>
          <w:tab w:val="num" w:pos="567"/>
        </w:tabs>
        <w:ind w:left="567" w:hanging="567"/>
      </w:pPr>
      <w:rPr>
        <w:rFonts w:ascii="Times New Roman" w:hAnsi="Times New Roman" w:cs="Times New Roman" w:hint="default"/>
        <w:b w:val="0"/>
        <w:bCs w:val="0"/>
        <w:i w:val="0"/>
        <w:iCs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10"/>
  </w:num>
  <w:num w:numId="2">
    <w:abstractNumId w:val="11"/>
  </w:num>
  <w:num w:numId="3">
    <w:abstractNumId w:val="2"/>
  </w:num>
  <w:num w:numId="4">
    <w:abstractNumId w:val="7"/>
  </w:num>
  <w:num w:numId="5">
    <w:abstractNumId w:val="4"/>
  </w:num>
  <w:num w:numId="6">
    <w:abstractNumId w:val="1"/>
  </w:num>
  <w:num w:numId="7">
    <w:abstractNumId w:val="0"/>
  </w:num>
  <w:num w:numId="8">
    <w:abstractNumId w:val="6"/>
  </w:num>
  <w:num w:numId="9">
    <w:abstractNumId w:val="8"/>
  </w:num>
  <w:num w:numId="10">
    <w:abstractNumId w:val="9"/>
  </w:num>
  <w:num w:numId="1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MTUwM7MwMDYwNTJT0lEKTi0uzszPAykwrgUAsqAf4SwAAAA="/>
  </w:docVars>
  <w:rsids>
    <w:rsidRoot w:val="007D25EF"/>
    <w:rsid w:val="00000EA0"/>
    <w:rsid w:val="00001982"/>
    <w:rsid w:val="000033BC"/>
    <w:rsid w:val="00004203"/>
    <w:rsid w:val="00004BE8"/>
    <w:rsid w:val="00005BA6"/>
    <w:rsid w:val="00006063"/>
    <w:rsid w:val="000074BE"/>
    <w:rsid w:val="00010108"/>
    <w:rsid w:val="00010FB8"/>
    <w:rsid w:val="00012039"/>
    <w:rsid w:val="000134D3"/>
    <w:rsid w:val="0001353D"/>
    <w:rsid w:val="0001360B"/>
    <w:rsid w:val="00013C6F"/>
    <w:rsid w:val="00014222"/>
    <w:rsid w:val="0001428A"/>
    <w:rsid w:val="00014EF2"/>
    <w:rsid w:val="0001525C"/>
    <w:rsid w:val="00015AA9"/>
    <w:rsid w:val="00015F08"/>
    <w:rsid w:val="00016AAD"/>
    <w:rsid w:val="000203E5"/>
    <w:rsid w:val="0002098F"/>
    <w:rsid w:val="00020A55"/>
    <w:rsid w:val="00020F33"/>
    <w:rsid w:val="000219D0"/>
    <w:rsid w:val="00022BB9"/>
    <w:rsid w:val="00022E9D"/>
    <w:rsid w:val="000234B2"/>
    <w:rsid w:val="000234CA"/>
    <w:rsid w:val="00023646"/>
    <w:rsid w:val="00023910"/>
    <w:rsid w:val="000244B9"/>
    <w:rsid w:val="00024500"/>
    <w:rsid w:val="0002753B"/>
    <w:rsid w:val="000309C9"/>
    <w:rsid w:val="00030E09"/>
    <w:rsid w:val="00031B1D"/>
    <w:rsid w:val="000327E9"/>
    <w:rsid w:val="00034308"/>
    <w:rsid w:val="00034B73"/>
    <w:rsid w:val="0003516E"/>
    <w:rsid w:val="000353D5"/>
    <w:rsid w:val="00035D05"/>
    <w:rsid w:val="000377AC"/>
    <w:rsid w:val="00037FB8"/>
    <w:rsid w:val="0004061D"/>
    <w:rsid w:val="000411D9"/>
    <w:rsid w:val="000416F7"/>
    <w:rsid w:val="00041C53"/>
    <w:rsid w:val="00042EA4"/>
    <w:rsid w:val="0004328C"/>
    <w:rsid w:val="0004350F"/>
    <w:rsid w:val="00044666"/>
    <w:rsid w:val="00044768"/>
    <w:rsid w:val="00044787"/>
    <w:rsid w:val="00044AB1"/>
    <w:rsid w:val="00044E2E"/>
    <w:rsid w:val="00044F9C"/>
    <w:rsid w:val="0004531D"/>
    <w:rsid w:val="000464B8"/>
    <w:rsid w:val="00046A8B"/>
    <w:rsid w:val="0005013E"/>
    <w:rsid w:val="000504D0"/>
    <w:rsid w:val="00050973"/>
    <w:rsid w:val="00052E4A"/>
    <w:rsid w:val="0005311A"/>
    <w:rsid w:val="00054CE6"/>
    <w:rsid w:val="00055031"/>
    <w:rsid w:val="00056290"/>
    <w:rsid w:val="0005643B"/>
    <w:rsid w:val="0005672D"/>
    <w:rsid w:val="000568D2"/>
    <w:rsid w:val="00057264"/>
    <w:rsid w:val="0005734D"/>
    <w:rsid w:val="000575F2"/>
    <w:rsid w:val="000576EC"/>
    <w:rsid w:val="00057C7D"/>
    <w:rsid w:val="00057CD5"/>
    <w:rsid w:val="0006042E"/>
    <w:rsid w:val="000606F7"/>
    <w:rsid w:val="00063D83"/>
    <w:rsid w:val="00064535"/>
    <w:rsid w:val="00065565"/>
    <w:rsid w:val="00066C9C"/>
    <w:rsid w:val="000676F0"/>
    <w:rsid w:val="000678DF"/>
    <w:rsid w:val="000706F1"/>
    <w:rsid w:val="00070A06"/>
    <w:rsid w:val="000727E4"/>
    <w:rsid w:val="000731C2"/>
    <w:rsid w:val="00073550"/>
    <w:rsid w:val="00073B72"/>
    <w:rsid w:val="00074693"/>
    <w:rsid w:val="000749AB"/>
    <w:rsid w:val="00075168"/>
    <w:rsid w:val="00075362"/>
    <w:rsid w:val="00075AE6"/>
    <w:rsid w:val="00075EE1"/>
    <w:rsid w:val="00076578"/>
    <w:rsid w:val="00076B1F"/>
    <w:rsid w:val="00077374"/>
    <w:rsid w:val="00077721"/>
    <w:rsid w:val="0008007E"/>
    <w:rsid w:val="000803CE"/>
    <w:rsid w:val="00080E77"/>
    <w:rsid w:val="00082086"/>
    <w:rsid w:val="00082523"/>
    <w:rsid w:val="00083036"/>
    <w:rsid w:val="00083377"/>
    <w:rsid w:val="000836BA"/>
    <w:rsid w:val="000854EA"/>
    <w:rsid w:val="000859D0"/>
    <w:rsid w:val="00086FAC"/>
    <w:rsid w:val="00087089"/>
    <w:rsid w:val="00087299"/>
    <w:rsid w:val="0008778A"/>
    <w:rsid w:val="00087DF9"/>
    <w:rsid w:val="00087E4D"/>
    <w:rsid w:val="00091D6D"/>
    <w:rsid w:val="00092676"/>
    <w:rsid w:val="00093813"/>
    <w:rsid w:val="00093A7E"/>
    <w:rsid w:val="00093CE8"/>
    <w:rsid w:val="00094014"/>
    <w:rsid w:val="000941F0"/>
    <w:rsid w:val="00094318"/>
    <w:rsid w:val="00096F8D"/>
    <w:rsid w:val="0009706D"/>
    <w:rsid w:val="000A11E8"/>
    <w:rsid w:val="000A1403"/>
    <w:rsid w:val="000A22AC"/>
    <w:rsid w:val="000A27F6"/>
    <w:rsid w:val="000A463E"/>
    <w:rsid w:val="000A6337"/>
    <w:rsid w:val="000A70AD"/>
    <w:rsid w:val="000B042E"/>
    <w:rsid w:val="000B0434"/>
    <w:rsid w:val="000B0800"/>
    <w:rsid w:val="000B0C09"/>
    <w:rsid w:val="000B0EC7"/>
    <w:rsid w:val="000B1C08"/>
    <w:rsid w:val="000B2EF7"/>
    <w:rsid w:val="000B365E"/>
    <w:rsid w:val="000B501F"/>
    <w:rsid w:val="000B7029"/>
    <w:rsid w:val="000B7A78"/>
    <w:rsid w:val="000B7C91"/>
    <w:rsid w:val="000C0C47"/>
    <w:rsid w:val="000C3CFA"/>
    <w:rsid w:val="000C6CCD"/>
    <w:rsid w:val="000C713F"/>
    <w:rsid w:val="000C7F70"/>
    <w:rsid w:val="000D0C34"/>
    <w:rsid w:val="000D312C"/>
    <w:rsid w:val="000D4C9E"/>
    <w:rsid w:val="000D4F71"/>
    <w:rsid w:val="000D63E2"/>
    <w:rsid w:val="000D6F85"/>
    <w:rsid w:val="000D71D3"/>
    <w:rsid w:val="000D7817"/>
    <w:rsid w:val="000D7938"/>
    <w:rsid w:val="000E0557"/>
    <w:rsid w:val="000E07CB"/>
    <w:rsid w:val="000E0BA9"/>
    <w:rsid w:val="000E22EF"/>
    <w:rsid w:val="000E2965"/>
    <w:rsid w:val="000E2EDA"/>
    <w:rsid w:val="000E38E3"/>
    <w:rsid w:val="000E3B5B"/>
    <w:rsid w:val="000E4639"/>
    <w:rsid w:val="000E577D"/>
    <w:rsid w:val="000E5912"/>
    <w:rsid w:val="000E5FB8"/>
    <w:rsid w:val="000E65A4"/>
    <w:rsid w:val="000E6C97"/>
    <w:rsid w:val="000E7C20"/>
    <w:rsid w:val="000F0930"/>
    <w:rsid w:val="000F143A"/>
    <w:rsid w:val="000F2D19"/>
    <w:rsid w:val="000F2D5B"/>
    <w:rsid w:val="000F3264"/>
    <w:rsid w:val="000F50C0"/>
    <w:rsid w:val="000F5574"/>
    <w:rsid w:val="000F5840"/>
    <w:rsid w:val="000F5B86"/>
    <w:rsid w:val="000F5E2C"/>
    <w:rsid w:val="000F6732"/>
    <w:rsid w:val="000F6F5F"/>
    <w:rsid w:val="000F7410"/>
    <w:rsid w:val="000F7A90"/>
    <w:rsid w:val="000F7DE0"/>
    <w:rsid w:val="000F7E62"/>
    <w:rsid w:val="0010038C"/>
    <w:rsid w:val="00100395"/>
    <w:rsid w:val="0010195F"/>
    <w:rsid w:val="00101E48"/>
    <w:rsid w:val="00102027"/>
    <w:rsid w:val="00102597"/>
    <w:rsid w:val="00103345"/>
    <w:rsid w:val="001036E6"/>
    <w:rsid w:val="00104678"/>
    <w:rsid w:val="00104F69"/>
    <w:rsid w:val="00105543"/>
    <w:rsid w:val="00105D3B"/>
    <w:rsid w:val="00106318"/>
    <w:rsid w:val="00106832"/>
    <w:rsid w:val="001069D7"/>
    <w:rsid w:val="00106C02"/>
    <w:rsid w:val="00107750"/>
    <w:rsid w:val="00107788"/>
    <w:rsid w:val="001079C3"/>
    <w:rsid w:val="00107FC0"/>
    <w:rsid w:val="00110B77"/>
    <w:rsid w:val="00111592"/>
    <w:rsid w:val="00111B14"/>
    <w:rsid w:val="00112E13"/>
    <w:rsid w:val="001136AE"/>
    <w:rsid w:val="00113976"/>
    <w:rsid w:val="00114AC3"/>
    <w:rsid w:val="00115AFB"/>
    <w:rsid w:val="00117E5E"/>
    <w:rsid w:val="001228C5"/>
    <w:rsid w:val="00122F42"/>
    <w:rsid w:val="001236DC"/>
    <w:rsid w:val="00123F61"/>
    <w:rsid w:val="001242C4"/>
    <w:rsid w:val="0012456D"/>
    <w:rsid w:val="00124901"/>
    <w:rsid w:val="00124A7A"/>
    <w:rsid w:val="00125981"/>
    <w:rsid w:val="0012601F"/>
    <w:rsid w:val="00127A8C"/>
    <w:rsid w:val="00130674"/>
    <w:rsid w:val="00130806"/>
    <w:rsid w:val="00130A24"/>
    <w:rsid w:val="00132513"/>
    <w:rsid w:val="001340D7"/>
    <w:rsid w:val="00135327"/>
    <w:rsid w:val="0013537D"/>
    <w:rsid w:val="001359D2"/>
    <w:rsid w:val="0013657C"/>
    <w:rsid w:val="001367B0"/>
    <w:rsid w:val="001370F1"/>
    <w:rsid w:val="0013756B"/>
    <w:rsid w:val="00137A16"/>
    <w:rsid w:val="001409E7"/>
    <w:rsid w:val="00140BFB"/>
    <w:rsid w:val="001410C8"/>
    <w:rsid w:val="00141D18"/>
    <w:rsid w:val="001423A7"/>
    <w:rsid w:val="00142C50"/>
    <w:rsid w:val="0014312B"/>
    <w:rsid w:val="001431C4"/>
    <w:rsid w:val="00144257"/>
    <w:rsid w:val="001445D0"/>
    <w:rsid w:val="00144858"/>
    <w:rsid w:val="00144B38"/>
    <w:rsid w:val="00144C1F"/>
    <w:rsid w:val="001450D1"/>
    <w:rsid w:val="001451BB"/>
    <w:rsid w:val="001474B3"/>
    <w:rsid w:val="00150125"/>
    <w:rsid w:val="00150D7D"/>
    <w:rsid w:val="00150EE7"/>
    <w:rsid w:val="0015234B"/>
    <w:rsid w:val="0015246C"/>
    <w:rsid w:val="00153714"/>
    <w:rsid w:val="00153A46"/>
    <w:rsid w:val="00154F72"/>
    <w:rsid w:val="00156121"/>
    <w:rsid w:val="0015700D"/>
    <w:rsid w:val="001575BB"/>
    <w:rsid w:val="00160F13"/>
    <w:rsid w:val="00161917"/>
    <w:rsid w:val="00162DE7"/>
    <w:rsid w:val="00164147"/>
    <w:rsid w:val="0016490F"/>
    <w:rsid w:val="0016577E"/>
    <w:rsid w:val="00167CB2"/>
    <w:rsid w:val="00170365"/>
    <w:rsid w:val="001709EC"/>
    <w:rsid w:val="00170C09"/>
    <w:rsid w:val="00171B4B"/>
    <w:rsid w:val="00171FE7"/>
    <w:rsid w:val="001731FA"/>
    <w:rsid w:val="00173226"/>
    <w:rsid w:val="001740B0"/>
    <w:rsid w:val="001742EB"/>
    <w:rsid w:val="00174729"/>
    <w:rsid w:val="00174E87"/>
    <w:rsid w:val="00175192"/>
    <w:rsid w:val="001767F4"/>
    <w:rsid w:val="00177645"/>
    <w:rsid w:val="001809EE"/>
    <w:rsid w:val="00181687"/>
    <w:rsid w:val="001819AD"/>
    <w:rsid w:val="0018275E"/>
    <w:rsid w:val="001828AD"/>
    <w:rsid w:val="00182DFF"/>
    <w:rsid w:val="00183176"/>
    <w:rsid w:val="00183A91"/>
    <w:rsid w:val="001841D9"/>
    <w:rsid w:val="00184296"/>
    <w:rsid w:val="001849D9"/>
    <w:rsid w:val="0018684D"/>
    <w:rsid w:val="00186A7A"/>
    <w:rsid w:val="0018759C"/>
    <w:rsid w:val="001902A0"/>
    <w:rsid w:val="001919C1"/>
    <w:rsid w:val="00191ADB"/>
    <w:rsid w:val="00192245"/>
    <w:rsid w:val="0019258D"/>
    <w:rsid w:val="00192739"/>
    <w:rsid w:val="001927E1"/>
    <w:rsid w:val="00192819"/>
    <w:rsid w:val="00193809"/>
    <w:rsid w:val="00194BA2"/>
    <w:rsid w:val="00194C37"/>
    <w:rsid w:val="00195929"/>
    <w:rsid w:val="00195CA4"/>
    <w:rsid w:val="001979B8"/>
    <w:rsid w:val="001A0D16"/>
    <w:rsid w:val="001A1363"/>
    <w:rsid w:val="001A13FE"/>
    <w:rsid w:val="001A15F1"/>
    <w:rsid w:val="001A1A64"/>
    <w:rsid w:val="001A1C24"/>
    <w:rsid w:val="001A4545"/>
    <w:rsid w:val="001A4A9D"/>
    <w:rsid w:val="001A526B"/>
    <w:rsid w:val="001A6B60"/>
    <w:rsid w:val="001B00E2"/>
    <w:rsid w:val="001B0179"/>
    <w:rsid w:val="001B0FE1"/>
    <w:rsid w:val="001B1B63"/>
    <w:rsid w:val="001B2435"/>
    <w:rsid w:val="001B25C8"/>
    <w:rsid w:val="001B33F6"/>
    <w:rsid w:val="001B3C9C"/>
    <w:rsid w:val="001B45BD"/>
    <w:rsid w:val="001B4E07"/>
    <w:rsid w:val="001B7621"/>
    <w:rsid w:val="001B7E2B"/>
    <w:rsid w:val="001C0018"/>
    <w:rsid w:val="001C019A"/>
    <w:rsid w:val="001C07CF"/>
    <w:rsid w:val="001C0891"/>
    <w:rsid w:val="001C0BBE"/>
    <w:rsid w:val="001C14D2"/>
    <w:rsid w:val="001C253F"/>
    <w:rsid w:val="001C277B"/>
    <w:rsid w:val="001C27B5"/>
    <w:rsid w:val="001C2FAA"/>
    <w:rsid w:val="001C2FF9"/>
    <w:rsid w:val="001C3B4A"/>
    <w:rsid w:val="001C45B8"/>
    <w:rsid w:val="001C4848"/>
    <w:rsid w:val="001C583D"/>
    <w:rsid w:val="001C5F53"/>
    <w:rsid w:val="001C6F6F"/>
    <w:rsid w:val="001D0581"/>
    <w:rsid w:val="001D0CB5"/>
    <w:rsid w:val="001D0F1C"/>
    <w:rsid w:val="001D1C4A"/>
    <w:rsid w:val="001D22F0"/>
    <w:rsid w:val="001D2F4F"/>
    <w:rsid w:val="001D3563"/>
    <w:rsid w:val="001D3591"/>
    <w:rsid w:val="001D3AA2"/>
    <w:rsid w:val="001D3B59"/>
    <w:rsid w:val="001D3CA4"/>
    <w:rsid w:val="001D461D"/>
    <w:rsid w:val="001D4E55"/>
    <w:rsid w:val="001D7D01"/>
    <w:rsid w:val="001E03BC"/>
    <w:rsid w:val="001E088A"/>
    <w:rsid w:val="001E160E"/>
    <w:rsid w:val="001E1643"/>
    <w:rsid w:val="001E28F8"/>
    <w:rsid w:val="001E3A0C"/>
    <w:rsid w:val="001E3A93"/>
    <w:rsid w:val="001E5158"/>
    <w:rsid w:val="001E615A"/>
    <w:rsid w:val="001E663A"/>
    <w:rsid w:val="001E6B6A"/>
    <w:rsid w:val="001E6C0E"/>
    <w:rsid w:val="001E6D52"/>
    <w:rsid w:val="001E7169"/>
    <w:rsid w:val="001F01FD"/>
    <w:rsid w:val="001F0221"/>
    <w:rsid w:val="001F08A0"/>
    <w:rsid w:val="001F0C76"/>
    <w:rsid w:val="001F1C6D"/>
    <w:rsid w:val="001F2712"/>
    <w:rsid w:val="001F298C"/>
    <w:rsid w:val="001F2A9C"/>
    <w:rsid w:val="001F2F04"/>
    <w:rsid w:val="001F3A91"/>
    <w:rsid w:val="001F52FC"/>
    <w:rsid w:val="001F616B"/>
    <w:rsid w:val="001F6235"/>
    <w:rsid w:val="001F63AB"/>
    <w:rsid w:val="001F7C11"/>
    <w:rsid w:val="00200833"/>
    <w:rsid w:val="00201A6A"/>
    <w:rsid w:val="00202AB1"/>
    <w:rsid w:val="00202DA6"/>
    <w:rsid w:val="0020374F"/>
    <w:rsid w:val="00204274"/>
    <w:rsid w:val="00204800"/>
    <w:rsid w:val="002048B6"/>
    <w:rsid w:val="002058B4"/>
    <w:rsid w:val="00205F78"/>
    <w:rsid w:val="00207542"/>
    <w:rsid w:val="00207B2E"/>
    <w:rsid w:val="002108B8"/>
    <w:rsid w:val="00211310"/>
    <w:rsid w:val="002119E9"/>
    <w:rsid w:val="00212959"/>
    <w:rsid w:val="00212D08"/>
    <w:rsid w:val="00212E04"/>
    <w:rsid w:val="002135C8"/>
    <w:rsid w:val="00213997"/>
    <w:rsid w:val="00213B28"/>
    <w:rsid w:val="00214661"/>
    <w:rsid w:val="002164D7"/>
    <w:rsid w:val="00216DB4"/>
    <w:rsid w:val="002178A5"/>
    <w:rsid w:val="0022022E"/>
    <w:rsid w:val="002202FC"/>
    <w:rsid w:val="00220AA0"/>
    <w:rsid w:val="0022180D"/>
    <w:rsid w:val="00222A7A"/>
    <w:rsid w:val="00222CB5"/>
    <w:rsid w:val="002231FF"/>
    <w:rsid w:val="00225339"/>
    <w:rsid w:val="00225558"/>
    <w:rsid w:val="00227125"/>
    <w:rsid w:val="002303D2"/>
    <w:rsid w:val="00230852"/>
    <w:rsid w:val="002309AD"/>
    <w:rsid w:val="00232394"/>
    <w:rsid w:val="002323F2"/>
    <w:rsid w:val="002334C7"/>
    <w:rsid w:val="002338F8"/>
    <w:rsid w:val="00235250"/>
    <w:rsid w:val="002355F9"/>
    <w:rsid w:val="00237C68"/>
    <w:rsid w:val="00240CD2"/>
    <w:rsid w:val="00241313"/>
    <w:rsid w:val="00241E14"/>
    <w:rsid w:val="00243C5B"/>
    <w:rsid w:val="00243E15"/>
    <w:rsid w:val="002448E7"/>
    <w:rsid w:val="00244FCC"/>
    <w:rsid w:val="00245D84"/>
    <w:rsid w:val="00246261"/>
    <w:rsid w:val="00247302"/>
    <w:rsid w:val="0024764C"/>
    <w:rsid w:val="002508F6"/>
    <w:rsid w:val="00251183"/>
    <w:rsid w:val="0025241A"/>
    <w:rsid w:val="00253371"/>
    <w:rsid w:val="0025384C"/>
    <w:rsid w:val="00254CD5"/>
    <w:rsid w:val="002558C0"/>
    <w:rsid w:val="0025603D"/>
    <w:rsid w:val="0025620B"/>
    <w:rsid w:val="002566DC"/>
    <w:rsid w:val="002573C7"/>
    <w:rsid w:val="002603CF"/>
    <w:rsid w:val="00261196"/>
    <w:rsid w:val="0026202C"/>
    <w:rsid w:val="0026229C"/>
    <w:rsid w:val="00262D80"/>
    <w:rsid w:val="00262EC4"/>
    <w:rsid w:val="0026339C"/>
    <w:rsid w:val="0026548E"/>
    <w:rsid w:val="00265534"/>
    <w:rsid w:val="00265BD5"/>
    <w:rsid w:val="00265C4A"/>
    <w:rsid w:val="002665B9"/>
    <w:rsid w:val="0026703D"/>
    <w:rsid w:val="002670B0"/>
    <w:rsid w:val="00267A03"/>
    <w:rsid w:val="00270090"/>
    <w:rsid w:val="002700D4"/>
    <w:rsid w:val="00270ACD"/>
    <w:rsid w:val="00270E8D"/>
    <w:rsid w:val="00272646"/>
    <w:rsid w:val="00272998"/>
    <w:rsid w:val="00272E6E"/>
    <w:rsid w:val="002731EF"/>
    <w:rsid w:val="00273353"/>
    <w:rsid w:val="0027350F"/>
    <w:rsid w:val="0027412B"/>
    <w:rsid w:val="00274E32"/>
    <w:rsid w:val="00276050"/>
    <w:rsid w:val="002762E2"/>
    <w:rsid w:val="00276D31"/>
    <w:rsid w:val="00276F6E"/>
    <w:rsid w:val="002776CA"/>
    <w:rsid w:val="002777B8"/>
    <w:rsid w:val="00277C88"/>
    <w:rsid w:val="00277D7A"/>
    <w:rsid w:val="00280269"/>
    <w:rsid w:val="00280ED7"/>
    <w:rsid w:val="00280FAB"/>
    <w:rsid w:val="00282748"/>
    <w:rsid w:val="00282D7B"/>
    <w:rsid w:val="00283695"/>
    <w:rsid w:val="00283AED"/>
    <w:rsid w:val="00283E43"/>
    <w:rsid w:val="00283F9D"/>
    <w:rsid w:val="00283FAA"/>
    <w:rsid w:val="00284F79"/>
    <w:rsid w:val="002867D8"/>
    <w:rsid w:val="00286CD1"/>
    <w:rsid w:val="0028750F"/>
    <w:rsid w:val="0029001C"/>
    <w:rsid w:val="00290111"/>
    <w:rsid w:val="00290512"/>
    <w:rsid w:val="002921BB"/>
    <w:rsid w:val="00292616"/>
    <w:rsid w:val="00292A55"/>
    <w:rsid w:val="00293821"/>
    <w:rsid w:val="00293BC0"/>
    <w:rsid w:val="002942B1"/>
    <w:rsid w:val="0029436A"/>
    <w:rsid w:val="00295A0E"/>
    <w:rsid w:val="00295BD2"/>
    <w:rsid w:val="002969F3"/>
    <w:rsid w:val="00297976"/>
    <w:rsid w:val="002A0B9E"/>
    <w:rsid w:val="002A1A92"/>
    <w:rsid w:val="002A1AB6"/>
    <w:rsid w:val="002A2CD8"/>
    <w:rsid w:val="002A30D5"/>
    <w:rsid w:val="002A4A8C"/>
    <w:rsid w:val="002A4B5C"/>
    <w:rsid w:val="002A5D69"/>
    <w:rsid w:val="002A6C5C"/>
    <w:rsid w:val="002A7A0B"/>
    <w:rsid w:val="002B09A3"/>
    <w:rsid w:val="002B0D8A"/>
    <w:rsid w:val="002B1056"/>
    <w:rsid w:val="002B107B"/>
    <w:rsid w:val="002B1578"/>
    <w:rsid w:val="002B232F"/>
    <w:rsid w:val="002B26D8"/>
    <w:rsid w:val="002B28FE"/>
    <w:rsid w:val="002B3127"/>
    <w:rsid w:val="002B3211"/>
    <w:rsid w:val="002B3972"/>
    <w:rsid w:val="002B3A32"/>
    <w:rsid w:val="002B3A90"/>
    <w:rsid w:val="002B4FF5"/>
    <w:rsid w:val="002B5DCD"/>
    <w:rsid w:val="002B5F40"/>
    <w:rsid w:val="002B62C2"/>
    <w:rsid w:val="002B6728"/>
    <w:rsid w:val="002B6A26"/>
    <w:rsid w:val="002B6E6A"/>
    <w:rsid w:val="002B6F0F"/>
    <w:rsid w:val="002B7A8A"/>
    <w:rsid w:val="002B7EC7"/>
    <w:rsid w:val="002C0182"/>
    <w:rsid w:val="002C01AA"/>
    <w:rsid w:val="002C10DA"/>
    <w:rsid w:val="002C111D"/>
    <w:rsid w:val="002C298A"/>
    <w:rsid w:val="002C3833"/>
    <w:rsid w:val="002C4552"/>
    <w:rsid w:val="002C7664"/>
    <w:rsid w:val="002C77E3"/>
    <w:rsid w:val="002D1498"/>
    <w:rsid w:val="002D160A"/>
    <w:rsid w:val="002D1BC9"/>
    <w:rsid w:val="002D1CA3"/>
    <w:rsid w:val="002D27C9"/>
    <w:rsid w:val="002D2F34"/>
    <w:rsid w:val="002D34D5"/>
    <w:rsid w:val="002D3E9A"/>
    <w:rsid w:val="002D4689"/>
    <w:rsid w:val="002D4B6B"/>
    <w:rsid w:val="002D4ECE"/>
    <w:rsid w:val="002D5E3B"/>
    <w:rsid w:val="002D64DC"/>
    <w:rsid w:val="002D6C87"/>
    <w:rsid w:val="002E03FE"/>
    <w:rsid w:val="002E0535"/>
    <w:rsid w:val="002E082E"/>
    <w:rsid w:val="002E2136"/>
    <w:rsid w:val="002E37FA"/>
    <w:rsid w:val="002E4C92"/>
    <w:rsid w:val="002E61E6"/>
    <w:rsid w:val="002E6350"/>
    <w:rsid w:val="002E63B0"/>
    <w:rsid w:val="002E683F"/>
    <w:rsid w:val="002E77ED"/>
    <w:rsid w:val="002F11A3"/>
    <w:rsid w:val="002F13A5"/>
    <w:rsid w:val="002F1792"/>
    <w:rsid w:val="002F2582"/>
    <w:rsid w:val="002F28F2"/>
    <w:rsid w:val="002F3A2A"/>
    <w:rsid w:val="002F4911"/>
    <w:rsid w:val="002F4E17"/>
    <w:rsid w:val="002F5445"/>
    <w:rsid w:val="002F5BE1"/>
    <w:rsid w:val="002F5CD7"/>
    <w:rsid w:val="002F60D4"/>
    <w:rsid w:val="002F781A"/>
    <w:rsid w:val="002F7CB1"/>
    <w:rsid w:val="002F7E82"/>
    <w:rsid w:val="002F7FB4"/>
    <w:rsid w:val="0030025F"/>
    <w:rsid w:val="00301E98"/>
    <w:rsid w:val="003026CC"/>
    <w:rsid w:val="003029D5"/>
    <w:rsid w:val="003036DC"/>
    <w:rsid w:val="003047C4"/>
    <w:rsid w:val="0030499A"/>
    <w:rsid w:val="00304C29"/>
    <w:rsid w:val="003061D7"/>
    <w:rsid w:val="00306D69"/>
    <w:rsid w:val="00310DB8"/>
    <w:rsid w:val="003111C1"/>
    <w:rsid w:val="003143C7"/>
    <w:rsid w:val="003149DF"/>
    <w:rsid w:val="00314B9E"/>
    <w:rsid w:val="00315C5D"/>
    <w:rsid w:val="00315CEA"/>
    <w:rsid w:val="00317657"/>
    <w:rsid w:val="00320718"/>
    <w:rsid w:val="00320B4F"/>
    <w:rsid w:val="00322DF2"/>
    <w:rsid w:val="00323BEB"/>
    <w:rsid w:val="00323C2D"/>
    <w:rsid w:val="0032426D"/>
    <w:rsid w:val="00325394"/>
    <w:rsid w:val="00325599"/>
    <w:rsid w:val="00326377"/>
    <w:rsid w:val="003265C4"/>
    <w:rsid w:val="003274E9"/>
    <w:rsid w:val="00330CFC"/>
    <w:rsid w:val="00330FFB"/>
    <w:rsid w:val="00332566"/>
    <w:rsid w:val="0033258D"/>
    <w:rsid w:val="003328C4"/>
    <w:rsid w:val="003336E9"/>
    <w:rsid w:val="00334485"/>
    <w:rsid w:val="00335049"/>
    <w:rsid w:val="0033558A"/>
    <w:rsid w:val="00335848"/>
    <w:rsid w:val="0033787A"/>
    <w:rsid w:val="00342555"/>
    <w:rsid w:val="00345431"/>
    <w:rsid w:val="00347121"/>
    <w:rsid w:val="00351486"/>
    <w:rsid w:val="0035184D"/>
    <w:rsid w:val="00352F37"/>
    <w:rsid w:val="003537C6"/>
    <w:rsid w:val="00353E32"/>
    <w:rsid w:val="0035420B"/>
    <w:rsid w:val="003547F4"/>
    <w:rsid w:val="00355003"/>
    <w:rsid w:val="003557DF"/>
    <w:rsid w:val="00355B55"/>
    <w:rsid w:val="003562F5"/>
    <w:rsid w:val="003563C8"/>
    <w:rsid w:val="00356A5D"/>
    <w:rsid w:val="00357DCD"/>
    <w:rsid w:val="003609C1"/>
    <w:rsid w:val="00360E5D"/>
    <w:rsid w:val="003616EF"/>
    <w:rsid w:val="003617E4"/>
    <w:rsid w:val="0036180E"/>
    <w:rsid w:val="003628B8"/>
    <w:rsid w:val="003637D8"/>
    <w:rsid w:val="0036476A"/>
    <w:rsid w:val="00365061"/>
    <w:rsid w:val="00366091"/>
    <w:rsid w:val="00366135"/>
    <w:rsid w:val="0036691A"/>
    <w:rsid w:val="00366DCB"/>
    <w:rsid w:val="003700E6"/>
    <w:rsid w:val="003706D5"/>
    <w:rsid w:val="00371934"/>
    <w:rsid w:val="00371B0E"/>
    <w:rsid w:val="00371E6C"/>
    <w:rsid w:val="003730DE"/>
    <w:rsid w:val="00373ABE"/>
    <w:rsid w:val="00374063"/>
    <w:rsid w:val="00374987"/>
    <w:rsid w:val="003760BD"/>
    <w:rsid w:val="00376138"/>
    <w:rsid w:val="0037613A"/>
    <w:rsid w:val="003767FA"/>
    <w:rsid w:val="00376830"/>
    <w:rsid w:val="00376F88"/>
    <w:rsid w:val="00376FC7"/>
    <w:rsid w:val="003800FC"/>
    <w:rsid w:val="003801B6"/>
    <w:rsid w:val="003805DA"/>
    <w:rsid w:val="00380FED"/>
    <w:rsid w:val="00381B75"/>
    <w:rsid w:val="0038239B"/>
    <w:rsid w:val="003830C6"/>
    <w:rsid w:val="003834FB"/>
    <w:rsid w:val="0038399B"/>
    <w:rsid w:val="00383F08"/>
    <w:rsid w:val="00385DF7"/>
    <w:rsid w:val="00387982"/>
    <w:rsid w:val="00390290"/>
    <w:rsid w:val="003911AA"/>
    <w:rsid w:val="00391E31"/>
    <w:rsid w:val="00392DDF"/>
    <w:rsid w:val="00393D53"/>
    <w:rsid w:val="0039416F"/>
    <w:rsid w:val="003952A1"/>
    <w:rsid w:val="003A1E43"/>
    <w:rsid w:val="003A2962"/>
    <w:rsid w:val="003A2A87"/>
    <w:rsid w:val="003A31A5"/>
    <w:rsid w:val="003A32A7"/>
    <w:rsid w:val="003A3487"/>
    <w:rsid w:val="003A389B"/>
    <w:rsid w:val="003A5236"/>
    <w:rsid w:val="003A56B0"/>
    <w:rsid w:val="003A6CB9"/>
    <w:rsid w:val="003A7634"/>
    <w:rsid w:val="003A7F81"/>
    <w:rsid w:val="003B0C1E"/>
    <w:rsid w:val="003B2BF4"/>
    <w:rsid w:val="003B3408"/>
    <w:rsid w:val="003B3D7D"/>
    <w:rsid w:val="003B3DFB"/>
    <w:rsid w:val="003B5F01"/>
    <w:rsid w:val="003B672B"/>
    <w:rsid w:val="003B6747"/>
    <w:rsid w:val="003B71CB"/>
    <w:rsid w:val="003B76FC"/>
    <w:rsid w:val="003C02BA"/>
    <w:rsid w:val="003C0A2F"/>
    <w:rsid w:val="003C0AC6"/>
    <w:rsid w:val="003C0B42"/>
    <w:rsid w:val="003C0F95"/>
    <w:rsid w:val="003C15A5"/>
    <w:rsid w:val="003C16CE"/>
    <w:rsid w:val="003C224A"/>
    <w:rsid w:val="003C2425"/>
    <w:rsid w:val="003C2F00"/>
    <w:rsid w:val="003C445D"/>
    <w:rsid w:val="003C44E6"/>
    <w:rsid w:val="003C5682"/>
    <w:rsid w:val="003C611A"/>
    <w:rsid w:val="003C634B"/>
    <w:rsid w:val="003C6573"/>
    <w:rsid w:val="003C668D"/>
    <w:rsid w:val="003C68CF"/>
    <w:rsid w:val="003C6B0E"/>
    <w:rsid w:val="003C6C2F"/>
    <w:rsid w:val="003C7EEA"/>
    <w:rsid w:val="003D023C"/>
    <w:rsid w:val="003D159A"/>
    <w:rsid w:val="003D2906"/>
    <w:rsid w:val="003D2AC4"/>
    <w:rsid w:val="003D2C00"/>
    <w:rsid w:val="003D3244"/>
    <w:rsid w:val="003D3EF5"/>
    <w:rsid w:val="003D407F"/>
    <w:rsid w:val="003D4AD4"/>
    <w:rsid w:val="003D59AD"/>
    <w:rsid w:val="003D7CF7"/>
    <w:rsid w:val="003E05A6"/>
    <w:rsid w:val="003E0912"/>
    <w:rsid w:val="003E0DAA"/>
    <w:rsid w:val="003E1BFD"/>
    <w:rsid w:val="003E1FC8"/>
    <w:rsid w:val="003E204F"/>
    <w:rsid w:val="003E22D0"/>
    <w:rsid w:val="003E2E49"/>
    <w:rsid w:val="003E2FC9"/>
    <w:rsid w:val="003E38CA"/>
    <w:rsid w:val="003E3FAC"/>
    <w:rsid w:val="003E4428"/>
    <w:rsid w:val="003E536C"/>
    <w:rsid w:val="003E60D3"/>
    <w:rsid w:val="003E7BCE"/>
    <w:rsid w:val="003F0CF2"/>
    <w:rsid w:val="003F1244"/>
    <w:rsid w:val="003F2481"/>
    <w:rsid w:val="003F3018"/>
    <w:rsid w:val="003F3BDC"/>
    <w:rsid w:val="003F497D"/>
    <w:rsid w:val="003F5A77"/>
    <w:rsid w:val="003F6867"/>
    <w:rsid w:val="003F76BA"/>
    <w:rsid w:val="003F79C5"/>
    <w:rsid w:val="00400C3E"/>
    <w:rsid w:val="00400DE2"/>
    <w:rsid w:val="0040140B"/>
    <w:rsid w:val="00401730"/>
    <w:rsid w:val="00402795"/>
    <w:rsid w:val="00403AD7"/>
    <w:rsid w:val="004041DB"/>
    <w:rsid w:val="0040420E"/>
    <w:rsid w:val="00404593"/>
    <w:rsid w:val="00404827"/>
    <w:rsid w:val="00405527"/>
    <w:rsid w:val="0040554B"/>
    <w:rsid w:val="00405C42"/>
    <w:rsid w:val="00405F03"/>
    <w:rsid w:val="004066AB"/>
    <w:rsid w:val="0040758A"/>
    <w:rsid w:val="0041005D"/>
    <w:rsid w:val="00410E03"/>
    <w:rsid w:val="0041108C"/>
    <w:rsid w:val="00411441"/>
    <w:rsid w:val="004114B9"/>
    <w:rsid w:val="004115F3"/>
    <w:rsid w:val="00412101"/>
    <w:rsid w:val="0041253E"/>
    <w:rsid w:val="00412D8B"/>
    <w:rsid w:val="004146A5"/>
    <w:rsid w:val="004147D2"/>
    <w:rsid w:val="00415171"/>
    <w:rsid w:val="00415D23"/>
    <w:rsid w:val="00416945"/>
    <w:rsid w:val="0041699E"/>
    <w:rsid w:val="00416AB1"/>
    <w:rsid w:val="004172FF"/>
    <w:rsid w:val="00417D66"/>
    <w:rsid w:val="004203E7"/>
    <w:rsid w:val="00420919"/>
    <w:rsid w:val="004215CD"/>
    <w:rsid w:val="004218FE"/>
    <w:rsid w:val="004219D1"/>
    <w:rsid w:val="00422679"/>
    <w:rsid w:val="004226A2"/>
    <w:rsid w:val="00423864"/>
    <w:rsid w:val="00424ABA"/>
    <w:rsid w:val="00424F22"/>
    <w:rsid w:val="00425C0C"/>
    <w:rsid w:val="00426C80"/>
    <w:rsid w:val="0043097A"/>
    <w:rsid w:val="00430E61"/>
    <w:rsid w:val="00430ECC"/>
    <w:rsid w:val="00431015"/>
    <w:rsid w:val="00431485"/>
    <w:rsid w:val="004339E6"/>
    <w:rsid w:val="00433B7F"/>
    <w:rsid w:val="0043505E"/>
    <w:rsid w:val="0043528D"/>
    <w:rsid w:val="00436825"/>
    <w:rsid w:val="00436F01"/>
    <w:rsid w:val="00440218"/>
    <w:rsid w:val="00442590"/>
    <w:rsid w:val="00442E01"/>
    <w:rsid w:val="00443A1A"/>
    <w:rsid w:val="00443B0F"/>
    <w:rsid w:val="00443B96"/>
    <w:rsid w:val="00443F26"/>
    <w:rsid w:val="00444239"/>
    <w:rsid w:val="004444D3"/>
    <w:rsid w:val="00445277"/>
    <w:rsid w:val="004454B5"/>
    <w:rsid w:val="00445DA1"/>
    <w:rsid w:val="00445FAF"/>
    <w:rsid w:val="00446D94"/>
    <w:rsid w:val="00447305"/>
    <w:rsid w:val="00447A54"/>
    <w:rsid w:val="00450D2A"/>
    <w:rsid w:val="0045122E"/>
    <w:rsid w:val="004522FC"/>
    <w:rsid w:val="0045240E"/>
    <w:rsid w:val="004524D4"/>
    <w:rsid w:val="00452BB1"/>
    <w:rsid w:val="0045369E"/>
    <w:rsid w:val="00454767"/>
    <w:rsid w:val="00454B53"/>
    <w:rsid w:val="00454CE5"/>
    <w:rsid w:val="0045551D"/>
    <w:rsid w:val="00455573"/>
    <w:rsid w:val="00456D8C"/>
    <w:rsid w:val="004577D7"/>
    <w:rsid w:val="004579A6"/>
    <w:rsid w:val="00460B13"/>
    <w:rsid w:val="004620C8"/>
    <w:rsid w:val="00465712"/>
    <w:rsid w:val="0046625A"/>
    <w:rsid w:val="004663FE"/>
    <w:rsid w:val="004668D1"/>
    <w:rsid w:val="00466E8F"/>
    <w:rsid w:val="004675B5"/>
    <w:rsid w:val="00467AE7"/>
    <w:rsid w:val="00470826"/>
    <w:rsid w:val="004709F3"/>
    <w:rsid w:val="004712A2"/>
    <w:rsid w:val="00471794"/>
    <w:rsid w:val="00471C96"/>
    <w:rsid w:val="00472265"/>
    <w:rsid w:val="00472437"/>
    <w:rsid w:val="00472988"/>
    <w:rsid w:val="004731C9"/>
    <w:rsid w:val="004742B9"/>
    <w:rsid w:val="00480CA5"/>
    <w:rsid w:val="00481F75"/>
    <w:rsid w:val="004820FD"/>
    <w:rsid w:val="00482B92"/>
    <w:rsid w:val="00483019"/>
    <w:rsid w:val="00483455"/>
    <w:rsid w:val="00483C39"/>
    <w:rsid w:val="00484072"/>
    <w:rsid w:val="0048419D"/>
    <w:rsid w:val="0048494C"/>
    <w:rsid w:val="00485CA2"/>
    <w:rsid w:val="0048710E"/>
    <w:rsid w:val="0048722A"/>
    <w:rsid w:val="0048765E"/>
    <w:rsid w:val="00487B93"/>
    <w:rsid w:val="00487E40"/>
    <w:rsid w:val="004905CA"/>
    <w:rsid w:val="00490DF6"/>
    <w:rsid w:val="004915B8"/>
    <w:rsid w:val="004917B4"/>
    <w:rsid w:val="004918EC"/>
    <w:rsid w:val="00492014"/>
    <w:rsid w:val="00492D62"/>
    <w:rsid w:val="0049346A"/>
    <w:rsid w:val="00494A76"/>
    <w:rsid w:val="00495242"/>
    <w:rsid w:val="00496325"/>
    <w:rsid w:val="00497C97"/>
    <w:rsid w:val="004A0203"/>
    <w:rsid w:val="004A14F7"/>
    <w:rsid w:val="004A4BB2"/>
    <w:rsid w:val="004A4DDF"/>
    <w:rsid w:val="004A5724"/>
    <w:rsid w:val="004A5E0D"/>
    <w:rsid w:val="004A5FDD"/>
    <w:rsid w:val="004A62E6"/>
    <w:rsid w:val="004A6883"/>
    <w:rsid w:val="004A68AC"/>
    <w:rsid w:val="004A721F"/>
    <w:rsid w:val="004B01D8"/>
    <w:rsid w:val="004B27D0"/>
    <w:rsid w:val="004B2BF4"/>
    <w:rsid w:val="004B32E1"/>
    <w:rsid w:val="004B3343"/>
    <w:rsid w:val="004B40FF"/>
    <w:rsid w:val="004B5DA5"/>
    <w:rsid w:val="004B66BC"/>
    <w:rsid w:val="004B69A9"/>
    <w:rsid w:val="004B7037"/>
    <w:rsid w:val="004B7047"/>
    <w:rsid w:val="004B747B"/>
    <w:rsid w:val="004B7955"/>
    <w:rsid w:val="004B7C17"/>
    <w:rsid w:val="004B7EEF"/>
    <w:rsid w:val="004C10C6"/>
    <w:rsid w:val="004C1337"/>
    <w:rsid w:val="004C1399"/>
    <w:rsid w:val="004C1950"/>
    <w:rsid w:val="004C1B44"/>
    <w:rsid w:val="004C221F"/>
    <w:rsid w:val="004C2761"/>
    <w:rsid w:val="004C2C33"/>
    <w:rsid w:val="004C3111"/>
    <w:rsid w:val="004C39E3"/>
    <w:rsid w:val="004C4044"/>
    <w:rsid w:val="004C4092"/>
    <w:rsid w:val="004C46B8"/>
    <w:rsid w:val="004C5054"/>
    <w:rsid w:val="004C5E79"/>
    <w:rsid w:val="004C7DCB"/>
    <w:rsid w:val="004D08C4"/>
    <w:rsid w:val="004D0A9F"/>
    <w:rsid w:val="004D0C91"/>
    <w:rsid w:val="004D0CE7"/>
    <w:rsid w:val="004D0E46"/>
    <w:rsid w:val="004D11D2"/>
    <w:rsid w:val="004D1F89"/>
    <w:rsid w:val="004D2A6D"/>
    <w:rsid w:val="004D2C55"/>
    <w:rsid w:val="004D2F00"/>
    <w:rsid w:val="004D420B"/>
    <w:rsid w:val="004D4940"/>
    <w:rsid w:val="004D4FEC"/>
    <w:rsid w:val="004D5FDF"/>
    <w:rsid w:val="004D61CA"/>
    <w:rsid w:val="004D68C2"/>
    <w:rsid w:val="004D6A57"/>
    <w:rsid w:val="004D6D65"/>
    <w:rsid w:val="004D77E3"/>
    <w:rsid w:val="004E0059"/>
    <w:rsid w:val="004E0BAF"/>
    <w:rsid w:val="004E0C17"/>
    <w:rsid w:val="004E10E4"/>
    <w:rsid w:val="004E2004"/>
    <w:rsid w:val="004E231B"/>
    <w:rsid w:val="004E3710"/>
    <w:rsid w:val="004E39DD"/>
    <w:rsid w:val="004E4AED"/>
    <w:rsid w:val="004E53E6"/>
    <w:rsid w:val="004E5500"/>
    <w:rsid w:val="004E5C71"/>
    <w:rsid w:val="004E7A5F"/>
    <w:rsid w:val="004E7F2A"/>
    <w:rsid w:val="004F001C"/>
    <w:rsid w:val="004F13DE"/>
    <w:rsid w:val="004F14AA"/>
    <w:rsid w:val="004F1CF1"/>
    <w:rsid w:val="004F1EC0"/>
    <w:rsid w:val="004F23D6"/>
    <w:rsid w:val="004F2603"/>
    <w:rsid w:val="004F3006"/>
    <w:rsid w:val="004F3EAD"/>
    <w:rsid w:val="004F40C9"/>
    <w:rsid w:val="004F4450"/>
    <w:rsid w:val="004F66CE"/>
    <w:rsid w:val="004F6C53"/>
    <w:rsid w:val="004F6F42"/>
    <w:rsid w:val="004F7D61"/>
    <w:rsid w:val="005001BB"/>
    <w:rsid w:val="005001C3"/>
    <w:rsid w:val="0050022B"/>
    <w:rsid w:val="00500EB5"/>
    <w:rsid w:val="005016AA"/>
    <w:rsid w:val="00502224"/>
    <w:rsid w:val="005026F9"/>
    <w:rsid w:val="005029C5"/>
    <w:rsid w:val="00502B13"/>
    <w:rsid w:val="00502FF8"/>
    <w:rsid w:val="005032A3"/>
    <w:rsid w:val="00503B62"/>
    <w:rsid w:val="00504446"/>
    <w:rsid w:val="00505A25"/>
    <w:rsid w:val="00505C8C"/>
    <w:rsid w:val="00507805"/>
    <w:rsid w:val="005079CC"/>
    <w:rsid w:val="00507EAD"/>
    <w:rsid w:val="005110F9"/>
    <w:rsid w:val="00511310"/>
    <w:rsid w:val="00512355"/>
    <w:rsid w:val="0051259E"/>
    <w:rsid w:val="00513321"/>
    <w:rsid w:val="00514D0A"/>
    <w:rsid w:val="00515045"/>
    <w:rsid w:val="0051681F"/>
    <w:rsid w:val="0051734F"/>
    <w:rsid w:val="00520389"/>
    <w:rsid w:val="005205AC"/>
    <w:rsid w:val="00521D86"/>
    <w:rsid w:val="00521F85"/>
    <w:rsid w:val="00523B52"/>
    <w:rsid w:val="00524A26"/>
    <w:rsid w:val="00525088"/>
    <w:rsid w:val="00526EC2"/>
    <w:rsid w:val="00526EE7"/>
    <w:rsid w:val="0052750D"/>
    <w:rsid w:val="005276DA"/>
    <w:rsid w:val="00530515"/>
    <w:rsid w:val="00530553"/>
    <w:rsid w:val="005306CE"/>
    <w:rsid w:val="00531BE4"/>
    <w:rsid w:val="00531DFF"/>
    <w:rsid w:val="00531E6C"/>
    <w:rsid w:val="00531EC5"/>
    <w:rsid w:val="00533139"/>
    <w:rsid w:val="00534A11"/>
    <w:rsid w:val="0053548D"/>
    <w:rsid w:val="005358F2"/>
    <w:rsid w:val="00535F87"/>
    <w:rsid w:val="0053749B"/>
    <w:rsid w:val="00540893"/>
    <w:rsid w:val="00540BEB"/>
    <w:rsid w:val="00541E0C"/>
    <w:rsid w:val="00542DA6"/>
    <w:rsid w:val="00543A63"/>
    <w:rsid w:val="00543D99"/>
    <w:rsid w:val="00543E0C"/>
    <w:rsid w:val="00543FFA"/>
    <w:rsid w:val="00545009"/>
    <w:rsid w:val="0054538E"/>
    <w:rsid w:val="00545FB4"/>
    <w:rsid w:val="00546320"/>
    <w:rsid w:val="00546541"/>
    <w:rsid w:val="00546FAD"/>
    <w:rsid w:val="00547FD8"/>
    <w:rsid w:val="005509D0"/>
    <w:rsid w:val="005510EE"/>
    <w:rsid w:val="005513C3"/>
    <w:rsid w:val="00552754"/>
    <w:rsid w:val="00552C5B"/>
    <w:rsid w:val="00553B4C"/>
    <w:rsid w:val="00554FEA"/>
    <w:rsid w:val="00555354"/>
    <w:rsid w:val="00555CCD"/>
    <w:rsid w:val="00556E0F"/>
    <w:rsid w:val="00560BA2"/>
    <w:rsid w:val="005627A7"/>
    <w:rsid w:val="00562DFA"/>
    <w:rsid w:val="00563E30"/>
    <w:rsid w:val="00564DDC"/>
    <w:rsid w:val="00565BE3"/>
    <w:rsid w:val="005660F2"/>
    <w:rsid w:val="00566127"/>
    <w:rsid w:val="005668A7"/>
    <w:rsid w:val="00567AE7"/>
    <w:rsid w:val="00570E77"/>
    <w:rsid w:val="005710AC"/>
    <w:rsid w:val="00572123"/>
    <w:rsid w:val="00572251"/>
    <w:rsid w:val="005726E3"/>
    <w:rsid w:val="0057287C"/>
    <w:rsid w:val="00573159"/>
    <w:rsid w:val="00573962"/>
    <w:rsid w:val="00574F64"/>
    <w:rsid w:val="00575451"/>
    <w:rsid w:val="00575893"/>
    <w:rsid w:val="005758A6"/>
    <w:rsid w:val="00580277"/>
    <w:rsid w:val="005807A8"/>
    <w:rsid w:val="005808BF"/>
    <w:rsid w:val="00580B52"/>
    <w:rsid w:val="00581450"/>
    <w:rsid w:val="00581D96"/>
    <w:rsid w:val="00581D9C"/>
    <w:rsid w:val="005839D1"/>
    <w:rsid w:val="00583E81"/>
    <w:rsid w:val="00584B62"/>
    <w:rsid w:val="0058557F"/>
    <w:rsid w:val="00585B57"/>
    <w:rsid w:val="00586922"/>
    <w:rsid w:val="00587E19"/>
    <w:rsid w:val="00591168"/>
    <w:rsid w:val="00591F62"/>
    <w:rsid w:val="00592223"/>
    <w:rsid w:val="0059251C"/>
    <w:rsid w:val="00592E25"/>
    <w:rsid w:val="005936AF"/>
    <w:rsid w:val="0059478C"/>
    <w:rsid w:val="005961DD"/>
    <w:rsid w:val="005977AF"/>
    <w:rsid w:val="00597E42"/>
    <w:rsid w:val="005A0002"/>
    <w:rsid w:val="005A077A"/>
    <w:rsid w:val="005A0EDB"/>
    <w:rsid w:val="005A19E8"/>
    <w:rsid w:val="005A1F27"/>
    <w:rsid w:val="005A3425"/>
    <w:rsid w:val="005A3F8C"/>
    <w:rsid w:val="005A4A3A"/>
    <w:rsid w:val="005A4C2F"/>
    <w:rsid w:val="005A4D3D"/>
    <w:rsid w:val="005A57FC"/>
    <w:rsid w:val="005A5988"/>
    <w:rsid w:val="005A5AA5"/>
    <w:rsid w:val="005A6344"/>
    <w:rsid w:val="005A6C4B"/>
    <w:rsid w:val="005B0798"/>
    <w:rsid w:val="005B0D7D"/>
    <w:rsid w:val="005B2A60"/>
    <w:rsid w:val="005B2AB0"/>
    <w:rsid w:val="005B2C14"/>
    <w:rsid w:val="005B3005"/>
    <w:rsid w:val="005B35F6"/>
    <w:rsid w:val="005B38B2"/>
    <w:rsid w:val="005B3B30"/>
    <w:rsid w:val="005B3B99"/>
    <w:rsid w:val="005B454E"/>
    <w:rsid w:val="005B5007"/>
    <w:rsid w:val="005B52EF"/>
    <w:rsid w:val="005C142A"/>
    <w:rsid w:val="005C2936"/>
    <w:rsid w:val="005C3A10"/>
    <w:rsid w:val="005C3A56"/>
    <w:rsid w:val="005C4389"/>
    <w:rsid w:val="005C47A3"/>
    <w:rsid w:val="005C4AA4"/>
    <w:rsid w:val="005C4D7F"/>
    <w:rsid w:val="005C59C4"/>
    <w:rsid w:val="005C63F8"/>
    <w:rsid w:val="005C6B13"/>
    <w:rsid w:val="005C7A7A"/>
    <w:rsid w:val="005D2520"/>
    <w:rsid w:val="005D29DC"/>
    <w:rsid w:val="005D2AF0"/>
    <w:rsid w:val="005D488B"/>
    <w:rsid w:val="005D4902"/>
    <w:rsid w:val="005D55D2"/>
    <w:rsid w:val="005D5618"/>
    <w:rsid w:val="005D6A5A"/>
    <w:rsid w:val="005D6DC1"/>
    <w:rsid w:val="005E06C6"/>
    <w:rsid w:val="005E120D"/>
    <w:rsid w:val="005E2D24"/>
    <w:rsid w:val="005E2F2F"/>
    <w:rsid w:val="005E3DAD"/>
    <w:rsid w:val="005E406D"/>
    <w:rsid w:val="005E41A8"/>
    <w:rsid w:val="005E5083"/>
    <w:rsid w:val="005E5BB4"/>
    <w:rsid w:val="005E6084"/>
    <w:rsid w:val="005E6A65"/>
    <w:rsid w:val="005E798D"/>
    <w:rsid w:val="005F00AF"/>
    <w:rsid w:val="005F1C0A"/>
    <w:rsid w:val="005F2FBE"/>
    <w:rsid w:val="005F4B7F"/>
    <w:rsid w:val="005F4E4F"/>
    <w:rsid w:val="005F5426"/>
    <w:rsid w:val="005F57D8"/>
    <w:rsid w:val="005F62C8"/>
    <w:rsid w:val="006003A6"/>
    <w:rsid w:val="0060193F"/>
    <w:rsid w:val="00603599"/>
    <w:rsid w:val="006040D6"/>
    <w:rsid w:val="00604785"/>
    <w:rsid w:val="00604861"/>
    <w:rsid w:val="006048F2"/>
    <w:rsid w:val="0060554B"/>
    <w:rsid w:val="00605A75"/>
    <w:rsid w:val="00605B01"/>
    <w:rsid w:val="006070D0"/>
    <w:rsid w:val="0060781A"/>
    <w:rsid w:val="00607F10"/>
    <w:rsid w:val="00610348"/>
    <w:rsid w:val="00610E43"/>
    <w:rsid w:val="0061150A"/>
    <w:rsid w:val="00611797"/>
    <w:rsid w:val="00611FE8"/>
    <w:rsid w:val="006128FF"/>
    <w:rsid w:val="00612E89"/>
    <w:rsid w:val="00614F04"/>
    <w:rsid w:val="0061529B"/>
    <w:rsid w:val="00615AF4"/>
    <w:rsid w:val="0061680E"/>
    <w:rsid w:val="006173AE"/>
    <w:rsid w:val="00620403"/>
    <w:rsid w:val="00621120"/>
    <w:rsid w:val="00621B20"/>
    <w:rsid w:val="00623473"/>
    <w:rsid w:val="006234C5"/>
    <w:rsid w:val="006263F2"/>
    <w:rsid w:val="0062746A"/>
    <w:rsid w:val="00627932"/>
    <w:rsid w:val="00627B53"/>
    <w:rsid w:val="00627C38"/>
    <w:rsid w:val="00627CB7"/>
    <w:rsid w:val="0063268E"/>
    <w:rsid w:val="0063321A"/>
    <w:rsid w:val="006343AA"/>
    <w:rsid w:val="0063452A"/>
    <w:rsid w:val="006362FE"/>
    <w:rsid w:val="00637CD2"/>
    <w:rsid w:val="00640011"/>
    <w:rsid w:val="006400CB"/>
    <w:rsid w:val="00640BB7"/>
    <w:rsid w:val="00640D0A"/>
    <w:rsid w:val="0064152E"/>
    <w:rsid w:val="0064183A"/>
    <w:rsid w:val="00641E2F"/>
    <w:rsid w:val="00641E76"/>
    <w:rsid w:val="00642367"/>
    <w:rsid w:val="00642C07"/>
    <w:rsid w:val="00643255"/>
    <w:rsid w:val="00643965"/>
    <w:rsid w:val="00644781"/>
    <w:rsid w:val="00644941"/>
    <w:rsid w:val="00644E5F"/>
    <w:rsid w:val="00646B78"/>
    <w:rsid w:val="00646F02"/>
    <w:rsid w:val="00647811"/>
    <w:rsid w:val="0064797E"/>
    <w:rsid w:val="00647BA4"/>
    <w:rsid w:val="00650BA9"/>
    <w:rsid w:val="00651BEF"/>
    <w:rsid w:val="006521A2"/>
    <w:rsid w:val="00652484"/>
    <w:rsid w:val="00652F08"/>
    <w:rsid w:val="00653D81"/>
    <w:rsid w:val="0065437C"/>
    <w:rsid w:val="006567A0"/>
    <w:rsid w:val="00656A1F"/>
    <w:rsid w:val="00656A64"/>
    <w:rsid w:val="00657961"/>
    <w:rsid w:val="006608EF"/>
    <w:rsid w:val="0066154C"/>
    <w:rsid w:val="00661950"/>
    <w:rsid w:val="006626F8"/>
    <w:rsid w:val="0066349C"/>
    <w:rsid w:val="0066412E"/>
    <w:rsid w:val="00664701"/>
    <w:rsid w:val="00664860"/>
    <w:rsid w:val="006667F6"/>
    <w:rsid w:val="006673B2"/>
    <w:rsid w:val="0066787B"/>
    <w:rsid w:val="00667EB5"/>
    <w:rsid w:val="00671E74"/>
    <w:rsid w:val="00674361"/>
    <w:rsid w:val="0067457F"/>
    <w:rsid w:val="00674C0F"/>
    <w:rsid w:val="00674D97"/>
    <w:rsid w:val="00674DEC"/>
    <w:rsid w:val="00675048"/>
    <w:rsid w:val="00675F49"/>
    <w:rsid w:val="006760A9"/>
    <w:rsid w:val="00676161"/>
    <w:rsid w:val="00676886"/>
    <w:rsid w:val="0067756E"/>
    <w:rsid w:val="00680637"/>
    <w:rsid w:val="006816FC"/>
    <w:rsid w:val="00681FAD"/>
    <w:rsid w:val="0068390D"/>
    <w:rsid w:val="00683C45"/>
    <w:rsid w:val="00683C52"/>
    <w:rsid w:val="00683EE6"/>
    <w:rsid w:val="00684803"/>
    <w:rsid w:val="00686228"/>
    <w:rsid w:val="006865E6"/>
    <w:rsid w:val="00690588"/>
    <w:rsid w:val="00690FCC"/>
    <w:rsid w:val="00690FE2"/>
    <w:rsid w:val="00691E5B"/>
    <w:rsid w:val="00692578"/>
    <w:rsid w:val="00693B30"/>
    <w:rsid w:val="00695748"/>
    <w:rsid w:val="00695BB1"/>
    <w:rsid w:val="0069624A"/>
    <w:rsid w:val="00696B40"/>
    <w:rsid w:val="00696BDA"/>
    <w:rsid w:val="00696F2D"/>
    <w:rsid w:val="00696F5C"/>
    <w:rsid w:val="00697742"/>
    <w:rsid w:val="006A1736"/>
    <w:rsid w:val="006A199E"/>
    <w:rsid w:val="006A1E5F"/>
    <w:rsid w:val="006A290C"/>
    <w:rsid w:val="006A32CF"/>
    <w:rsid w:val="006A3CA3"/>
    <w:rsid w:val="006A44D9"/>
    <w:rsid w:val="006A4B8E"/>
    <w:rsid w:val="006A503C"/>
    <w:rsid w:val="006A52B5"/>
    <w:rsid w:val="006A58AA"/>
    <w:rsid w:val="006B03D5"/>
    <w:rsid w:val="006B26EB"/>
    <w:rsid w:val="006B3A59"/>
    <w:rsid w:val="006B3C7B"/>
    <w:rsid w:val="006B3FC2"/>
    <w:rsid w:val="006B4513"/>
    <w:rsid w:val="006B4A26"/>
    <w:rsid w:val="006B597D"/>
    <w:rsid w:val="006B77C2"/>
    <w:rsid w:val="006B7861"/>
    <w:rsid w:val="006B7A83"/>
    <w:rsid w:val="006C0C08"/>
    <w:rsid w:val="006C12CA"/>
    <w:rsid w:val="006C15F5"/>
    <w:rsid w:val="006C1B3E"/>
    <w:rsid w:val="006C2442"/>
    <w:rsid w:val="006C3237"/>
    <w:rsid w:val="006C38ED"/>
    <w:rsid w:val="006C5027"/>
    <w:rsid w:val="006C50E8"/>
    <w:rsid w:val="006C5772"/>
    <w:rsid w:val="006C57E5"/>
    <w:rsid w:val="006C670F"/>
    <w:rsid w:val="006C74C9"/>
    <w:rsid w:val="006D02BE"/>
    <w:rsid w:val="006D0531"/>
    <w:rsid w:val="006D188B"/>
    <w:rsid w:val="006D1E94"/>
    <w:rsid w:val="006D3091"/>
    <w:rsid w:val="006D43E6"/>
    <w:rsid w:val="006D445D"/>
    <w:rsid w:val="006D5704"/>
    <w:rsid w:val="006D7509"/>
    <w:rsid w:val="006E0506"/>
    <w:rsid w:val="006E0923"/>
    <w:rsid w:val="006E0B11"/>
    <w:rsid w:val="006E0B40"/>
    <w:rsid w:val="006E0E1F"/>
    <w:rsid w:val="006E3110"/>
    <w:rsid w:val="006E37B9"/>
    <w:rsid w:val="006E5368"/>
    <w:rsid w:val="006E59CF"/>
    <w:rsid w:val="006E62D5"/>
    <w:rsid w:val="006E7AAC"/>
    <w:rsid w:val="006F0586"/>
    <w:rsid w:val="006F0AC6"/>
    <w:rsid w:val="006F372B"/>
    <w:rsid w:val="006F44BE"/>
    <w:rsid w:val="006F46D6"/>
    <w:rsid w:val="006F627D"/>
    <w:rsid w:val="006F6601"/>
    <w:rsid w:val="006F72C8"/>
    <w:rsid w:val="006F77F8"/>
    <w:rsid w:val="006F7957"/>
    <w:rsid w:val="0070039C"/>
    <w:rsid w:val="007009FD"/>
    <w:rsid w:val="00700D66"/>
    <w:rsid w:val="00702099"/>
    <w:rsid w:val="007021C9"/>
    <w:rsid w:val="0070292F"/>
    <w:rsid w:val="00702CAC"/>
    <w:rsid w:val="00703A8D"/>
    <w:rsid w:val="00704991"/>
    <w:rsid w:val="0070543F"/>
    <w:rsid w:val="007056A1"/>
    <w:rsid w:val="007059AC"/>
    <w:rsid w:val="00706166"/>
    <w:rsid w:val="00706AD0"/>
    <w:rsid w:val="007079E9"/>
    <w:rsid w:val="00707ADA"/>
    <w:rsid w:val="00707B0C"/>
    <w:rsid w:val="0071016C"/>
    <w:rsid w:val="00711932"/>
    <w:rsid w:val="00711D5F"/>
    <w:rsid w:val="00714D0D"/>
    <w:rsid w:val="00715162"/>
    <w:rsid w:val="00715E49"/>
    <w:rsid w:val="00716A89"/>
    <w:rsid w:val="007206D1"/>
    <w:rsid w:val="00720762"/>
    <w:rsid w:val="0072088E"/>
    <w:rsid w:val="00720E5A"/>
    <w:rsid w:val="00721630"/>
    <w:rsid w:val="00721F2D"/>
    <w:rsid w:val="0072260F"/>
    <w:rsid w:val="00723388"/>
    <w:rsid w:val="00724885"/>
    <w:rsid w:val="00725EC6"/>
    <w:rsid w:val="007263EA"/>
    <w:rsid w:val="00726402"/>
    <w:rsid w:val="00726432"/>
    <w:rsid w:val="00726786"/>
    <w:rsid w:val="00726ECB"/>
    <w:rsid w:val="00727E5E"/>
    <w:rsid w:val="007301BE"/>
    <w:rsid w:val="0073094B"/>
    <w:rsid w:val="00730C57"/>
    <w:rsid w:val="00730CBD"/>
    <w:rsid w:val="0073112A"/>
    <w:rsid w:val="007327FA"/>
    <w:rsid w:val="007336C6"/>
    <w:rsid w:val="00734F70"/>
    <w:rsid w:val="00735744"/>
    <w:rsid w:val="00736508"/>
    <w:rsid w:val="00737873"/>
    <w:rsid w:val="00740AFB"/>
    <w:rsid w:val="00740D7D"/>
    <w:rsid w:val="007413CE"/>
    <w:rsid w:val="007415B4"/>
    <w:rsid w:val="0074220C"/>
    <w:rsid w:val="007424B2"/>
    <w:rsid w:val="00743727"/>
    <w:rsid w:val="007444F5"/>
    <w:rsid w:val="00744B5B"/>
    <w:rsid w:val="00745392"/>
    <w:rsid w:val="007457B4"/>
    <w:rsid w:val="00746E10"/>
    <w:rsid w:val="00746F0C"/>
    <w:rsid w:val="00747046"/>
    <w:rsid w:val="00747C34"/>
    <w:rsid w:val="00750012"/>
    <w:rsid w:val="00752346"/>
    <w:rsid w:val="0075337C"/>
    <w:rsid w:val="007537D7"/>
    <w:rsid w:val="00753873"/>
    <w:rsid w:val="00753AC0"/>
    <w:rsid w:val="0075448C"/>
    <w:rsid w:val="007547C3"/>
    <w:rsid w:val="00754B61"/>
    <w:rsid w:val="00754C99"/>
    <w:rsid w:val="00755A0C"/>
    <w:rsid w:val="0075644C"/>
    <w:rsid w:val="0075662E"/>
    <w:rsid w:val="0075674F"/>
    <w:rsid w:val="00756B89"/>
    <w:rsid w:val="007572DC"/>
    <w:rsid w:val="0075734C"/>
    <w:rsid w:val="00760119"/>
    <w:rsid w:val="00760F27"/>
    <w:rsid w:val="007614AC"/>
    <w:rsid w:val="007619BE"/>
    <w:rsid w:val="00761F36"/>
    <w:rsid w:val="00763D75"/>
    <w:rsid w:val="007646E8"/>
    <w:rsid w:val="00764A33"/>
    <w:rsid w:val="00765D99"/>
    <w:rsid w:val="007671B4"/>
    <w:rsid w:val="00770283"/>
    <w:rsid w:val="00770BFB"/>
    <w:rsid w:val="00771DAC"/>
    <w:rsid w:val="00772663"/>
    <w:rsid w:val="007736A8"/>
    <w:rsid w:val="0077438B"/>
    <w:rsid w:val="00775530"/>
    <w:rsid w:val="00775B06"/>
    <w:rsid w:val="00775D84"/>
    <w:rsid w:val="00776BA8"/>
    <w:rsid w:val="00777B0C"/>
    <w:rsid w:val="00777E39"/>
    <w:rsid w:val="007804A8"/>
    <w:rsid w:val="00780986"/>
    <w:rsid w:val="00780A39"/>
    <w:rsid w:val="00781A5D"/>
    <w:rsid w:val="007821EE"/>
    <w:rsid w:val="0078387E"/>
    <w:rsid w:val="0078468F"/>
    <w:rsid w:val="00784D41"/>
    <w:rsid w:val="00785D26"/>
    <w:rsid w:val="00786796"/>
    <w:rsid w:val="00786A0F"/>
    <w:rsid w:val="007876A3"/>
    <w:rsid w:val="00787880"/>
    <w:rsid w:val="00787BF1"/>
    <w:rsid w:val="00790119"/>
    <w:rsid w:val="00790900"/>
    <w:rsid w:val="00790A92"/>
    <w:rsid w:val="00792329"/>
    <w:rsid w:val="0079359A"/>
    <w:rsid w:val="00795288"/>
    <w:rsid w:val="00795BFE"/>
    <w:rsid w:val="00796C9C"/>
    <w:rsid w:val="007973D3"/>
    <w:rsid w:val="00797626"/>
    <w:rsid w:val="007A0B7D"/>
    <w:rsid w:val="007A24B6"/>
    <w:rsid w:val="007A2ADB"/>
    <w:rsid w:val="007A3028"/>
    <w:rsid w:val="007A4DBE"/>
    <w:rsid w:val="007A5329"/>
    <w:rsid w:val="007A6A50"/>
    <w:rsid w:val="007A6CAF"/>
    <w:rsid w:val="007A7BC2"/>
    <w:rsid w:val="007B0EF4"/>
    <w:rsid w:val="007B159F"/>
    <w:rsid w:val="007B2D87"/>
    <w:rsid w:val="007B3568"/>
    <w:rsid w:val="007B3C8E"/>
    <w:rsid w:val="007B6033"/>
    <w:rsid w:val="007B73E9"/>
    <w:rsid w:val="007C024A"/>
    <w:rsid w:val="007C076D"/>
    <w:rsid w:val="007C1192"/>
    <w:rsid w:val="007C167B"/>
    <w:rsid w:val="007C21F1"/>
    <w:rsid w:val="007C2D98"/>
    <w:rsid w:val="007C2E8B"/>
    <w:rsid w:val="007C3158"/>
    <w:rsid w:val="007C3771"/>
    <w:rsid w:val="007C543D"/>
    <w:rsid w:val="007C55BF"/>
    <w:rsid w:val="007C58C1"/>
    <w:rsid w:val="007D0B60"/>
    <w:rsid w:val="007D25EF"/>
    <w:rsid w:val="007D2ED1"/>
    <w:rsid w:val="007D352A"/>
    <w:rsid w:val="007D3CA6"/>
    <w:rsid w:val="007D51FA"/>
    <w:rsid w:val="007D5758"/>
    <w:rsid w:val="007D59F6"/>
    <w:rsid w:val="007D60DF"/>
    <w:rsid w:val="007D6978"/>
    <w:rsid w:val="007D6E1C"/>
    <w:rsid w:val="007D7711"/>
    <w:rsid w:val="007E1941"/>
    <w:rsid w:val="007E28C0"/>
    <w:rsid w:val="007E2D56"/>
    <w:rsid w:val="007E3420"/>
    <w:rsid w:val="007E38AD"/>
    <w:rsid w:val="007E3AA2"/>
    <w:rsid w:val="007E3E74"/>
    <w:rsid w:val="007E470B"/>
    <w:rsid w:val="007E48F3"/>
    <w:rsid w:val="007E5DFF"/>
    <w:rsid w:val="007E65B0"/>
    <w:rsid w:val="007E6A8C"/>
    <w:rsid w:val="007E6FB5"/>
    <w:rsid w:val="007E751A"/>
    <w:rsid w:val="007F0540"/>
    <w:rsid w:val="007F0DCC"/>
    <w:rsid w:val="007F1E30"/>
    <w:rsid w:val="007F2872"/>
    <w:rsid w:val="007F4358"/>
    <w:rsid w:val="007F6BD0"/>
    <w:rsid w:val="007F7855"/>
    <w:rsid w:val="00801108"/>
    <w:rsid w:val="00801535"/>
    <w:rsid w:val="00801688"/>
    <w:rsid w:val="00801DFD"/>
    <w:rsid w:val="0080218E"/>
    <w:rsid w:val="0080241F"/>
    <w:rsid w:val="00802F1B"/>
    <w:rsid w:val="00802F24"/>
    <w:rsid w:val="00803C31"/>
    <w:rsid w:val="008057F7"/>
    <w:rsid w:val="00805F01"/>
    <w:rsid w:val="00807FE8"/>
    <w:rsid w:val="0081031D"/>
    <w:rsid w:val="00810807"/>
    <w:rsid w:val="00811242"/>
    <w:rsid w:val="0081245C"/>
    <w:rsid w:val="008126FD"/>
    <w:rsid w:val="00812766"/>
    <w:rsid w:val="0081303B"/>
    <w:rsid w:val="0081309A"/>
    <w:rsid w:val="00813D69"/>
    <w:rsid w:val="00814F81"/>
    <w:rsid w:val="0081502D"/>
    <w:rsid w:val="008157F8"/>
    <w:rsid w:val="008158BE"/>
    <w:rsid w:val="0081653A"/>
    <w:rsid w:val="00816E3C"/>
    <w:rsid w:val="008170D4"/>
    <w:rsid w:val="0081762C"/>
    <w:rsid w:val="008201E6"/>
    <w:rsid w:val="0082123C"/>
    <w:rsid w:val="00821312"/>
    <w:rsid w:val="0082173F"/>
    <w:rsid w:val="00821C43"/>
    <w:rsid w:val="00821E18"/>
    <w:rsid w:val="0082292A"/>
    <w:rsid w:val="008241BB"/>
    <w:rsid w:val="00824A8E"/>
    <w:rsid w:val="00824EA1"/>
    <w:rsid w:val="00825383"/>
    <w:rsid w:val="00825672"/>
    <w:rsid w:val="00825D9B"/>
    <w:rsid w:val="008260A3"/>
    <w:rsid w:val="00826535"/>
    <w:rsid w:val="0082658C"/>
    <w:rsid w:val="00826A75"/>
    <w:rsid w:val="00827290"/>
    <w:rsid w:val="0082729E"/>
    <w:rsid w:val="00827623"/>
    <w:rsid w:val="00827E66"/>
    <w:rsid w:val="008308AD"/>
    <w:rsid w:val="00830C31"/>
    <w:rsid w:val="00831046"/>
    <w:rsid w:val="00833A16"/>
    <w:rsid w:val="00833D4E"/>
    <w:rsid w:val="008347D2"/>
    <w:rsid w:val="00835371"/>
    <w:rsid w:val="00835708"/>
    <w:rsid w:val="0083582E"/>
    <w:rsid w:val="0083586F"/>
    <w:rsid w:val="00835C59"/>
    <w:rsid w:val="00836282"/>
    <w:rsid w:val="00836408"/>
    <w:rsid w:val="00836F4C"/>
    <w:rsid w:val="008370D0"/>
    <w:rsid w:val="00837487"/>
    <w:rsid w:val="00842A67"/>
    <w:rsid w:val="0084347C"/>
    <w:rsid w:val="00843B3E"/>
    <w:rsid w:val="00844005"/>
    <w:rsid w:val="00844386"/>
    <w:rsid w:val="008444F3"/>
    <w:rsid w:val="00845733"/>
    <w:rsid w:val="0084577B"/>
    <w:rsid w:val="008457CD"/>
    <w:rsid w:val="008468B1"/>
    <w:rsid w:val="00846E3B"/>
    <w:rsid w:val="008472B4"/>
    <w:rsid w:val="00847D41"/>
    <w:rsid w:val="008504A2"/>
    <w:rsid w:val="008519A9"/>
    <w:rsid w:val="00851F7C"/>
    <w:rsid w:val="008535C5"/>
    <w:rsid w:val="008536C9"/>
    <w:rsid w:val="00853BD8"/>
    <w:rsid w:val="00853EA8"/>
    <w:rsid w:val="00854188"/>
    <w:rsid w:val="008541DB"/>
    <w:rsid w:val="00854B4C"/>
    <w:rsid w:val="00854E0A"/>
    <w:rsid w:val="0085514E"/>
    <w:rsid w:val="00855F83"/>
    <w:rsid w:val="0085607B"/>
    <w:rsid w:val="0085626F"/>
    <w:rsid w:val="00856B83"/>
    <w:rsid w:val="0085704D"/>
    <w:rsid w:val="00857196"/>
    <w:rsid w:val="008573C5"/>
    <w:rsid w:val="008603D7"/>
    <w:rsid w:val="00860932"/>
    <w:rsid w:val="00860EA0"/>
    <w:rsid w:val="00861782"/>
    <w:rsid w:val="00861EEC"/>
    <w:rsid w:val="00862B96"/>
    <w:rsid w:val="00863155"/>
    <w:rsid w:val="0086336F"/>
    <w:rsid w:val="00863F4B"/>
    <w:rsid w:val="00864FF6"/>
    <w:rsid w:val="00865826"/>
    <w:rsid w:val="00865AD2"/>
    <w:rsid w:val="00866C09"/>
    <w:rsid w:val="00867D00"/>
    <w:rsid w:val="0087017A"/>
    <w:rsid w:val="00870BCD"/>
    <w:rsid w:val="00870EF7"/>
    <w:rsid w:val="00871430"/>
    <w:rsid w:val="00874D1A"/>
    <w:rsid w:val="008753AE"/>
    <w:rsid w:val="0087639D"/>
    <w:rsid w:val="0088097D"/>
    <w:rsid w:val="00881539"/>
    <w:rsid w:val="00881BDE"/>
    <w:rsid w:val="008824A0"/>
    <w:rsid w:val="00882D0F"/>
    <w:rsid w:val="00882E85"/>
    <w:rsid w:val="0088312D"/>
    <w:rsid w:val="008835C5"/>
    <w:rsid w:val="00885D18"/>
    <w:rsid w:val="008860CB"/>
    <w:rsid w:val="008860EB"/>
    <w:rsid w:val="00886AEA"/>
    <w:rsid w:val="0088763D"/>
    <w:rsid w:val="00887AFA"/>
    <w:rsid w:val="00890664"/>
    <w:rsid w:val="00890C27"/>
    <w:rsid w:val="00892D92"/>
    <w:rsid w:val="00892F38"/>
    <w:rsid w:val="00893002"/>
    <w:rsid w:val="0089309C"/>
    <w:rsid w:val="008936C1"/>
    <w:rsid w:val="00896489"/>
    <w:rsid w:val="00897982"/>
    <w:rsid w:val="00897FEE"/>
    <w:rsid w:val="008A0293"/>
    <w:rsid w:val="008A0546"/>
    <w:rsid w:val="008A167B"/>
    <w:rsid w:val="008A2099"/>
    <w:rsid w:val="008A432F"/>
    <w:rsid w:val="008A6220"/>
    <w:rsid w:val="008A7326"/>
    <w:rsid w:val="008B09D2"/>
    <w:rsid w:val="008B0CA9"/>
    <w:rsid w:val="008B20D1"/>
    <w:rsid w:val="008B2142"/>
    <w:rsid w:val="008B224B"/>
    <w:rsid w:val="008B2BAF"/>
    <w:rsid w:val="008B2F66"/>
    <w:rsid w:val="008B3D2F"/>
    <w:rsid w:val="008B4178"/>
    <w:rsid w:val="008B41B9"/>
    <w:rsid w:val="008B5A16"/>
    <w:rsid w:val="008B67EB"/>
    <w:rsid w:val="008B6823"/>
    <w:rsid w:val="008B7534"/>
    <w:rsid w:val="008B7751"/>
    <w:rsid w:val="008B7BC4"/>
    <w:rsid w:val="008C04A9"/>
    <w:rsid w:val="008C08BD"/>
    <w:rsid w:val="008C0FD3"/>
    <w:rsid w:val="008C2F49"/>
    <w:rsid w:val="008C38D4"/>
    <w:rsid w:val="008C42B2"/>
    <w:rsid w:val="008C5EF2"/>
    <w:rsid w:val="008C65F1"/>
    <w:rsid w:val="008C7638"/>
    <w:rsid w:val="008D08BA"/>
    <w:rsid w:val="008D0A52"/>
    <w:rsid w:val="008D0B40"/>
    <w:rsid w:val="008D0C34"/>
    <w:rsid w:val="008D2023"/>
    <w:rsid w:val="008D2178"/>
    <w:rsid w:val="008D23F8"/>
    <w:rsid w:val="008D26E4"/>
    <w:rsid w:val="008D2821"/>
    <w:rsid w:val="008D2C3F"/>
    <w:rsid w:val="008D3206"/>
    <w:rsid w:val="008D3CA6"/>
    <w:rsid w:val="008D44EA"/>
    <w:rsid w:val="008D509E"/>
    <w:rsid w:val="008D525E"/>
    <w:rsid w:val="008D602B"/>
    <w:rsid w:val="008D7193"/>
    <w:rsid w:val="008D7D93"/>
    <w:rsid w:val="008E1824"/>
    <w:rsid w:val="008E3140"/>
    <w:rsid w:val="008E3560"/>
    <w:rsid w:val="008E590F"/>
    <w:rsid w:val="008E69C0"/>
    <w:rsid w:val="008E6FBD"/>
    <w:rsid w:val="008E795C"/>
    <w:rsid w:val="008F07D0"/>
    <w:rsid w:val="008F0E34"/>
    <w:rsid w:val="008F193E"/>
    <w:rsid w:val="008F1EE3"/>
    <w:rsid w:val="008F1FBB"/>
    <w:rsid w:val="008F3370"/>
    <w:rsid w:val="008F4223"/>
    <w:rsid w:val="008F4793"/>
    <w:rsid w:val="008F5547"/>
    <w:rsid w:val="008F655D"/>
    <w:rsid w:val="008F72FD"/>
    <w:rsid w:val="008F7B34"/>
    <w:rsid w:val="009010B6"/>
    <w:rsid w:val="009014FD"/>
    <w:rsid w:val="00901D77"/>
    <w:rsid w:val="00902CA3"/>
    <w:rsid w:val="0090320D"/>
    <w:rsid w:val="00904688"/>
    <w:rsid w:val="00905A05"/>
    <w:rsid w:val="00905FBC"/>
    <w:rsid w:val="00906DA4"/>
    <w:rsid w:val="00911B47"/>
    <w:rsid w:val="00911FC4"/>
    <w:rsid w:val="00912E0A"/>
    <w:rsid w:val="00912E7E"/>
    <w:rsid w:val="00912F0E"/>
    <w:rsid w:val="009137E6"/>
    <w:rsid w:val="0091423C"/>
    <w:rsid w:val="00914FD9"/>
    <w:rsid w:val="00915200"/>
    <w:rsid w:val="00915B21"/>
    <w:rsid w:val="00915D18"/>
    <w:rsid w:val="00916C19"/>
    <w:rsid w:val="00917089"/>
    <w:rsid w:val="0091736C"/>
    <w:rsid w:val="00920833"/>
    <w:rsid w:val="00921682"/>
    <w:rsid w:val="00921F8D"/>
    <w:rsid w:val="00922016"/>
    <w:rsid w:val="00922A88"/>
    <w:rsid w:val="00923760"/>
    <w:rsid w:val="009244FE"/>
    <w:rsid w:val="00924A32"/>
    <w:rsid w:val="0092504B"/>
    <w:rsid w:val="009251FA"/>
    <w:rsid w:val="009257F9"/>
    <w:rsid w:val="00925CB2"/>
    <w:rsid w:val="0092604B"/>
    <w:rsid w:val="00927DC0"/>
    <w:rsid w:val="00927EF1"/>
    <w:rsid w:val="00931C80"/>
    <w:rsid w:val="00931F47"/>
    <w:rsid w:val="00934724"/>
    <w:rsid w:val="0093486A"/>
    <w:rsid w:val="0093539C"/>
    <w:rsid w:val="00935C98"/>
    <w:rsid w:val="0093662B"/>
    <w:rsid w:val="009372B7"/>
    <w:rsid w:val="00937A76"/>
    <w:rsid w:val="00942294"/>
    <w:rsid w:val="0094275C"/>
    <w:rsid w:val="00944BEE"/>
    <w:rsid w:val="00945611"/>
    <w:rsid w:val="00945CE3"/>
    <w:rsid w:val="00945F06"/>
    <w:rsid w:val="00946152"/>
    <w:rsid w:val="009461DF"/>
    <w:rsid w:val="00946487"/>
    <w:rsid w:val="00946900"/>
    <w:rsid w:val="009469B6"/>
    <w:rsid w:val="00947531"/>
    <w:rsid w:val="00950670"/>
    <w:rsid w:val="009507F1"/>
    <w:rsid w:val="00950BE4"/>
    <w:rsid w:val="00952247"/>
    <w:rsid w:val="00953170"/>
    <w:rsid w:val="009534BA"/>
    <w:rsid w:val="00954035"/>
    <w:rsid w:val="009545EE"/>
    <w:rsid w:val="009564F7"/>
    <w:rsid w:val="00956D14"/>
    <w:rsid w:val="00956F72"/>
    <w:rsid w:val="009577BC"/>
    <w:rsid w:val="00957FA1"/>
    <w:rsid w:val="00960E72"/>
    <w:rsid w:val="0096263D"/>
    <w:rsid w:val="00962CDF"/>
    <w:rsid w:val="009630B4"/>
    <w:rsid w:val="00964516"/>
    <w:rsid w:val="00965195"/>
    <w:rsid w:val="009659ED"/>
    <w:rsid w:val="00965BA9"/>
    <w:rsid w:val="009669F9"/>
    <w:rsid w:val="00970619"/>
    <w:rsid w:val="009711A2"/>
    <w:rsid w:val="00971201"/>
    <w:rsid w:val="00971EF6"/>
    <w:rsid w:val="00972956"/>
    <w:rsid w:val="00972A01"/>
    <w:rsid w:val="00972B90"/>
    <w:rsid w:val="009741BE"/>
    <w:rsid w:val="00974E71"/>
    <w:rsid w:val="009750DB"/>
    <w:rsid w:val="009755E9"/>
    <w:rsid w:val="00976601"/>
    <w:rsid w:val="00980464"/>
    <w:rsid w:val="00980631"/>
    <w:rsid w:val="00981CF1"/>
    <w:rsid w:val="00982307"/>
    <w:rsid w:val="00982E28"/>
    <w:rsid w:val="00984969"/>
    <w:rsid w:val="00984AF1"/>
    <w:rsid w:val="0098639B"/>
    <w:rsid w:val="00986654"/>
    <w:rsid w:val="009872A8"/>
    <w:rsid w:val="00990201"/>
    <w:rsid w:val="00992493"/>
    <w:rsid w:val="00993097"/>
    <w:rsid w:val="00993B3C"/>
    <w:rsid w:val="00994189"/>
    <w:rsid w:val="00994EB4"/>
    <w:rsid w:val="00995555"/>
    <w:rsid w:val="00996444"/>
    <w:rsid w:val="0099664D"/>
    <w:rsid w:val="0099668B"/>
    <w:rsid w:val="00997F5A"/>
    <w:rsid w:val="009A135B"/>
    <w:rsid w:val="009A15E4"/>
    <w:rsid w:val="009A169D"/>
    <w:rsid w:val="009A1E83"/>
    <w:rsid w:val="009A23B6"/>
    <w:rsid w:val="009A2A89"/>
    <w:rsid w:val="009A3445"/>
    <w:rsid w:val="009A38B9"/>
    <w:rsid w:val="009A411A"/>
    <w:rsid w:val="009A64FA"/>
    <w:rsid w:val="009A70C1"/>
    <w:rsid w:val="009A7EAA"/>
    <w:rsid w:val="009B1D60"/>
    <w:rsid w:val="009B1E2B"/>
    <w:rsid w:val="009B3220"/>
    <w:rsid w:val="009B3E9D"/>
    <w:rsid w:val="009B4243"/>
    <w:rsid w:val="009B4972"/>
    <w:rsid w:val="009B56E1"/>
    <w:rsid w:val="009B59FF"/>
    <w:rsid w:val="009B5A2B"/>
    <w:rsid w:val="009B5E65"/>
    <w:rsid w:val="009B6426"/>
    <w:rsid w:val="009B687D"/>
    <w:rsid w:val="009B6C92"/>
    <w:rsid w:val="009C0BB3"/>
    <w:rsid w:val="009C1574"/>
    <w:rsid w:val="009C26FD"/>
    <w:rsid w:val="009C27DD"/>
    <w:rsid w:val="009C2CEA"/>
    <w:rsid w:val="009C3471"/>
    <w:rsid w:val="009C492D"/>
    <w:rsid w:val="009C4BEE"/>
    <w:rsid w:val="009C536F"/>
    <w:rsid w:val="009C56F4"/>
    <w:rsid w:val="009C60C1"/>
    <w:rsid w:val="009C6512"/>
    <w:rsid w:val="009C6AFB"/>
    <w:rsid w:val="009C7109"/>
    <w:rsid w:val="009D06FF"/>
    <w:rsid w:val="009D2173"/>
    <w:rsid w:val="009D322A"/>
    <w:rsid w:val="009D3927"/>
    <w:rsid w:val="009D41B8"/>
    <w:rsid w:val="009D47CD"/>
    <w:rsid w:val="009D4CDE"/>
    <w:rsid w:val="009D6F23"/>
    <w:rsid w:val="009D7201"/>
    <w:rsid w:val="009E0043"/>
    <w:rsid w:val="009E1484"/>
    <w:rsid w:val="009E1843"/>
    <w:rsid w:val="009E1ECE"/>
    <w:rsid w:val="009E29D1"/>
    <w:rsid w:val="009E3681"/>
    <w:rsid w:val="009E38BC"/>
    <w:rsid w:val="009E3BEB"/>
    <w:rsid w:val="009E3F02"/>
    <w:rsid w:val="009E4AE8"/>
    <w:rsid w:val="009E4EB5"/>
    <w:rsid w:val="009E4F19"/>
    <w:rsid w:val="009E5202"/>
    <w:rsid w:val="009E539A"/>
    <w:rsid w:val="009E5473"/>
    <w:rsid w:val="009E56F4"/>
    <w:rsid w:val="009E596F"/>
    <w:rsid w:val="009E67DD"/>
    <w:rsid w:val="009E6AE6"/>
    <w:rsid w:val="009E760F"/>
    <w:rsid w:val="009F19F0"/>
    <w:rsid w:val="009F2180"/>
    <w:rsid w:val="009F236B"/>
    <w:rsid w:val="009F24B3"/>
    <w:rsid w:val="009F29CD"/>
    <w:rsid w:val="009F4F09"/>
    <w:rsid w:val="009F4FF2"/>
    <w:rsid w:val="009F6836"/>
    <w:rsid w:val="009F70BF"/>
    <w:rsid w:val="009F78F9"/>
    <w:rsid w:val="009F7991"/>
    <w:rsid w:val="00A0000E"/>
    <w:rsid w:val="00A00092"/>
    <w:rsid w:val="00A0062F"/>
    <w:rsid w:val="00A03321"/>
    <w:rsid w:val="00A03348"/>
    <w:rsid w:val="00A04A53"/>
    <w:rsid w:val="00A04F56"/>
    <w:rsid w:val="00A07060"/>
    <w:rsid w:val="00A07628"/>
    <w:rsid w:val="00A07AA5"/>
    <w:rsid w:val="00A10979"/>
    <w:rsid w:val="00A11A43"/>
    <w:rsid w:val="00A11A96"/>
    <w:rsid w:val="00A12040"/>
    <w:rsid w:val="00A12582"/>
    <w:rsid w:val="00A129A8"/>
    <w:rsid w:val="00A12EA0"/>
    <w:rsid w:val="00A12EA3"/>
    <w:rsid w:val="00A131B6"/>
    <w:rsid w:val="00A143FD"/>
    <w:rsid w:val="00A14488"/>
    <w:rsid w:val="00A14639"/>
    <w:rsid w:val="00A14FD7"/>
    <w:rsid w:val="00A155B9"/>
    <w:rsid w:val="00A156CA"/>
    <w:rsid w:val="00A15A79"/>
    <w:rsid w:val="00A168D7"/>
    <w:rsid w:val="00A16FEC"/>
    <w:rsid w:val="00A17BCF"/>
    <w:rsid w:val="00A21056"/>
    <w:rsid w:val="00A21C62"/>
    <w:rsid w:val="00A2286F"/>
    <w:rsid w:val="00A233B3"/>
    <w:rsid w:val="00A23681"/>
    <w:rsid w:val="00A24161"/>
    <w:rsid w:val="00A259E9"/>
    <w:rsid w:val="00A30204"/>
    <w:rsid w:val="00A30290"/>
    <w:rsid w:val="00A303B1"/>
    <w:rsid w:val="00A305E0"/>
    <w:rsid w:val="00A32163"/>
    <w:rsid w:val="00A327AA"/>
    <w:rsid w:val="00A34510"/>
    <w:rsid w:val="00A35ADA"/>
    <w:rsid w:val="00A35BF5"/>
    <w:rsid w:val="00A35BFD"/>
    <w:rsid w:val="00A35E4B"/>
    <w:rsid w:val="00A4002B"/>
    <w:rsid w:val="00A40A02"/>
    <w:rsid w:val="00A40C56"/>
    <w:rsid w:val="00A4149B"/>
    <w:rsid w:val="00A41558"/>
    <w:rsid w:val="00A41963"/>
    <w:rsid w:val="00A41A2F"/>
    <w:rsid w:val="00A42238"/>
    <w:rsid w:val="00A424D1"/>
    <w:rsid w:val="00A42E25"/>
    <w:rsid w:val="00A443FE"/>
    <w:rsid w:val="00A448B9"/>
    <w:rsid w:val="00A44A2E"/>
    <w:rsid w:val="00A46224"/>
    <w:rsid w:val="00A47CF7"/>
    <w:rsid w:val="00A47DFE"/>
    <w:rsid w:val="00A505F7"/>
    <w:rsid w:val="00A50BBB"/>
    <w:rsid w:val="00A53342"/>
    <w:rsid w:val="00A53858"/>
    <w:rsid w:val="00A53F8A"/>
    <w:rsid w:val="00A54A92"/>
    <w:rsid w:val="00A57657"/>
    <w:rsid w:val="00A57BF9"/>
    <w:rsid w:val="00A57DC7"/>
    <w:rsid w:val="00A60F68"/>
    <w:rsid w:val="00A61702"/>
    <w:rsid w:val="00A61736"/>
    <w:rsid w:val="00A61796"/>
    <w:rsid w:val="00A62D17"/>
    <w:rsid w:val="00A63875"/>
    <w:rsid w:val="00A63AF8"/>
    <w:rsid w:val="00A64368"/>
    <w:rsid w:val="00A64A2E"/>
    <w:rsid w:val="00A64FB1"/>
    <w:rsid w:val="00A657BB"/>
    <w:rsid w:val="00A66562"/>
    <w:rsid w:val="00A66895"/>
    <w:rsid w:val="00A66FAB"/>
    <w:rsid w:val="00A67899"/>
    <w:rsid w:val="00A7010E"/>
    <w:rsid w:val="00A70342"/>
    <w:rsid w:val="00A70BFE"/>
    <w:rsid w:val="00A710C1"/>
    <w:rsid w:val="00A724B4"/>
    <w:rsid w:val="00A72726"/>
    <w:rsid w:val="00A72FCC"/>
    <w:rsid w:val="00A73086"/>
    <w:rsid w:val="00A73D12"/>
    <w:rsid w:val="00A74799"/>
    <w:rsid w:val="00A74849"/>
    <w:rsid w:val="00A757CA"/>
    <w:rsid w:val="00A7580E"/>
    <w:rsid w:val="00A760F8"/>
    <w:rsid w:val="00A7624D"/>
    <w:rsid w:val="00A76D9C"/>
    <w:rsid w:val="00A76F56"/>
    <w:rsid w:val="00A77457"/>
    <w:rsid w:val="00A80261"/>
    <w:rsid w:val="00A804F6"/>
    <w:rsid w:val="00A807F9"/>
    <w:rsid w:val="00A808CA"/>
    <w:rsid w:val="00A80BC7"/>
    <w:rsid w:val="00A8137C"/>
    <w:rsid w:val="00A82B8A"/>
    <w:rsid w:val="00A84FEA"/>
    <w:rsid w:val="00A8553C"/>
    <w:rsid w:val="00A85B8B"/>
    <w:rsid w:val="00A8670E"/>
    <w:rsid w:val="00A87774"/>
    <w:rsid w:val="00A87978"/>
    <w:rsid w:val="00A87EA2"/>
    <w:rsid w:val="00A90531"/>
    <w:rsid w:val="00A918EF"/>
    <w:rsid w:val="00A92D7B"/>
    <w:rsid w:val="00A92E1B"/>
    <w:rsid w:val="00A95820"/>
    <w:rsid w:val="00A96A90"/>
    <w:rsid w:val="00AA0091"/>
    <w:rsid w:val="00AA18B0"/>
    <w:rsid w:val="00AA19ED"/>
    <w:rsid w:val="00AA1C80"/>
    <w:rsid w:val="00AA31E1"/>
    <w:rsid w:val="00AA341A"/>
    <w:rsid w:val="00AA4F2F"/>
    <w:rsid w:val="00AA5955"/>
    <w:rsid w:val="00AA5CDE"/>
    <w:rsid w:val="00AA5E96"/>
    <w:rsid w:val="00AA741E"/>
    <w:rsid w:val="00AA76E1"/>
    <w:rsid w:val="00AA7BCF"/>
    <w:rsid w:val="00AB115E"/>
    <w:rsid w:val="00AB11FE"/>
    <w:rsid w:val="00AB3125"/>
    <w:rsid w:val="00AB35BB"/>
    <w:rsid w:val="00AB3F43"/>
    <w:rsid w:val="00AB49E1"/>
    <w:rsid w:val="00AB4D6B"/>
    <w:rsid w:val="00AB5B69"/>
    <w:rsid w:val="00AB5BFC"/>
    <w:rsid w:val="00AB5D8A"/>
    <w:rsid w:val="00AB5EF2"/>
    <w:rsid w:val="00AB6019"/>
    <w:rsid w:val="00AB6822"/>
    <w:rsid w:val="00AB73B2"/>
    <w:rsid w:val="00AC0A2B"/>
    <w:rsid w:val="00AC0C94"/>
    <w:rsid w:val="00AC2054"/>
    <w:rsid w:val="00AC325F"/>
    <w:rsid w:val="00AC4152"/>
    <w:rsid w:val="00AC4CB4"/>
    <w:rsid w:val="00AC54CF"/>
    <w:rsid w:val="00AC5890"/>
    <w:rsid w:val="00AC60A2"/>
    <w:rsid w:val="00AC650A"/>
    <w:rsid w:val="00AC7461"/>
    <w:rsid w:val="00AC7688"/>
    <w:rsid w:val="00AC7E2A"/>
    <w:rsid w:val="00AD025F"/>
    <w:rsid w:val="00AD1434"/>
    <w:rsid w:val="00AD5F5B"/>
    <w:rsid w:val="00AD62AC"/>
    <w:rsid w:val="00AD6767"/>
    <w:rsid w:val="00AD6B5F"/>
    <w:rsid w:val="00AD6D98"/>
    <w:rsid w:val="00AD6EF6"/>
    <w:rsid w:val="00AD7121"/>
    <w:rsid w:val="00AD77BD"/>
    <w:rsid w:val="00AD77C0"/>
    <w:rsid w:val="00AD7AFC"/>
    <w:rsid w:val="00AE060C"/>
    <w:rsid w:val="00AE074B"/>
    <w:rsid w:val="00AE0EC7"/>
    <w:rsid w:val="00AE27F1"/>
    <w:rsid w:val="00AE30CB"/>
    <w:rsid w:val="00AE34AA"/>
    <w:rsid w:val="00AE40A1"/>
    <w:rsid w:val="00AE44EE"/>
    <w:rsid w:val="00AE4BE2"/>
    <w:rsid w:val="00AE5B53"/>
    <w:rsid w:val="00AE6745"/>
    <w:rsid w:val="00AE75F6"/>
    <w:rsid w:val="00AF07DC"/>
    <w:rsid w:val="00AF0851"/>
    <w:rsid w:val="00AF09EA"/>
    <w:rsid w:val="00AF10AD"/>
    <w:rsid w:val="00AF1CEC"/>
    <w:rsid w:val="00AF21EC"/>
    <w:rsid w:val="00AF4C3E"/>
    <w:rsid w:val="00AF4E15"/>
    <w:rsid w:val="00AF5BAB"/>
    <w:rsid w:val="00AF62CA"/>
    <w:rsid w:val="00AF63BB"/>
    <w:rsid w:val="00AF6744"/>
    <w:rsid w:val="00AF7B95"/>
    <w:rsid w:val="00AF7F78"/>
    <w:rsid w:val="00B000D9"/>
    <w:rsid w:val="00B02C5A"/>
    <w:rsid w:val="00B02FE7"/>
    <w:rsid w:val="00B035F5"/>
    <w:rsid w:val="00B04948"/>
    <w:rsid w:val="00B04F53"/>
    <w:rsid w:val="00B05496"/>
    <w:rsid w:val="00B077CA"/>
    <w:rsid w:val="00B11B55"/>
    <w:rsid w:val="00B12E44"/>
    <w:rsid w:val="00B1316E"/>
    <w:rsid w:val="00B1442A"/>
    <w:rsid w:val="00B15349"/>
    <w:rsid w:val="00B16523"/>
    <w:rsid w:val="00B17458"/>
    <w:rsid w:val="00B20369"/>
    <w:rsid w:val="00B22CA2"/>
    <w:rsid w:val="00B22F4E"/>
    <w:rsid w:val="00B23758"/>
    <w:rsid w:val="00B23D41"/>
    <w:rsid w:val="00B23FE0"/>
    <w:rsid w:val="00B242B9"/>
    <w:rsid w:val="00B25B88"/>
    <w:rsid w:val="00B26365"/>
    <w:rsid w:val="00B2643A"/>
    <w:rsid w:val="00B26DCD"/>
    <w:rsid w:val="00B30B50"/>
    <w:rsid w:val="00B30D5A"/>
    <w:rsid w:val="00B30D5C"/>
    <w:rsid w:val="00B31B2D"/>
    <w:rsid w:val="00B32518"/>
    <w:rsid w:val="00B32682"/>
    <w:rsid w:val="00B32F03"/>
    <w:rsid w:val="00B339CD"/>
    <w:rsid w:val="00B33FC2"/>
    <w:rsid w:val="00B34708"/>
    <w:rsid w:val="00B35FB2"/>
    <w:rsid w:val="00B36614"/>
    <w:rsid w:val="00B36828"/>
    <w:rsid w:val="00B378A0"/>
    <w:rsid w:val="00B40FFE"/>
    <w:rsid w:val="00B41D0F"/>
    <w:rsid w:val="00B426C0"/>
    <w:rsid w:val="00B4314D"/>
    <w:rsid w:val="00B43883"/>
    <w:rsid w:val="00B43F9A"/>
    <w:rsid w:val="00B440D0"/>
    <w:rsid w:val="00B45A63"/>
    <w:rsid w:val="00B467D8"/>
    <w:rsid w:val="00B47390"/>
    <w:rsid w:val="00B476C2"/>
    <w:rsid w:val="00B47D34"/>
    <w:rsid w:val="00B503B7"/>
    <w:rsid w:val="00B50D10"/>
    <w:rsid w:val="00B50EF6"/>
    <w:rsid w:val="00B50F6B"/>
    <w:rsid w:val="00B51A47"/>
    <w:rsid w:val="00B521CF"/>
    <w:rsid w:val="00B54295"/>
    <w:rsid w:val="00B54778"/>
    <w:rsid w:val="00B54A50"/>
    <w:rsid w:val="00B5549E"/>
    <w:rsid w:val="00B55768"/>
    <w:rsid w:val="00B56663"/>
    <w:rsid w:val="00B57059"/>
    <w:rsid w:val="00B572C4"/>
    <w:rsid w:val="00B5797A"/>
    <w:rsid w:val="00B57EDB"/>
    <w:rsid w:val="00B6109B"/>
    <w:rsid w:val="00B612FF"/>
    <w:rsid w:val="00B61537"/>
    <w:rsid w:val="00B61BDF"/>
    <w:rsid w:val="00B62C4F"/>
    <w:rsid w:val="00B62DA3"/>
    <w:rsid w:val="00B62DDE"/>
    <w:rsid w:val="00B6300B"/>
    <w:rsid w:val="00B64534"/>
    <w:rsid w:val="00B651BD"/>
    <w:rsid w:val="00B65292"/>
    <w:rsid w:val="00B653D2"/>
    <w:rsid w:val="00B658BD"/>
    <w:rsid w:val="00B66CEE"/>
    <w:rsid w:val="00B7057A"/>
    <w:rsid w:val="00B716A3"/>
    <w:rsid w:val="00B72C27"/>
    <w:rsid w:val="00B73238"/>
    <w:rsid w:val="00B73314"/>
    <w:rsid w:val="00B735A2"/>
    <w:rsid w:val="00B73A07"/>
    <w:rsid w:val="00B73C55"/>
    <w:rsid w:val="00B74134"/>
    <w:rsid w:val="00B74214"/>
    <w:rsid w:val="00B74E99"/>
    <w:rsid w:val="00B75CD8"/>
    <w:rsid w:val="00B75DE0"/>
    <w:rsid w:val="00B771CC"/>
    <w:rsid w:val="00B77493"/>
    <w:rsid w:val="00B800E6"/>
    <w:rsid w:val="00B809ED"/>
    <w:rsid w:val="00B81718"/>
    <w:rsid w:val="00B81EA3"/>
    <w:rsid w:val="00B82604"/>
    <w:rsid w:val="00B82CCC"/>
    <w:rsid w:val="00B8362D"/>
    <w:rsid w:val="00B85354"/>
    <w:rsid w:val="00B86008"/>
    <w:rsid w:val="00B87A16"/>
    <w:rsid w:val="00B905E1"/>
    <w:rsid w:val="00B90D03"/>
    <w:rsid w:val="00B921E9"/>
    <w:rsid w:val="00B9413C"/>
    <w:rsid w:val="00B94231"/>
    <w:rsid w:val="00B94318"/>
    <w:rsid w:val="00B94346"/>
    <w:rsid w:val="00B94D3F"/>
    <w:rsid w:val="00B95624"/>
    <w:rsid w:val="00B95635"/>
    <w:rsid w:val="00B95819"/>
    <w:rsid w:val="00B95AA6"/>
    <w:rsid w:val="00B95D33"/>
    <w:rsid w:val="00B95F47"/>
    <w:rsid w:val="00B97766"/>
    <w:rsid w:val="00B979EA"/>
    <w:rsid w:val="00B97D74"/>
    <w:rsid w:val="00BA01FC"/>
    <w:rsid w:val="00BA080D"/>
    <w:rsid w:val="00BA1515"/>
    <w:rsid w:val="00BA1859"/>
    <w:rsid w:val="00BA1A16"/>
    <w:rsid w:val="00BA2F26"/>
    <w:rsid w:val="00BA3719"/>
    <w:rsid w:val="00BA49E0"/>
    <w:rsid w:val="00BA4E9F"/>
    <w:rsid w:val="00BA5873"/>
    <w:rsid w:val="00BA59C8"/>
    <w:rsid w:val="00BA5DB8"/>
    <w:rsid w:val="00BA64B1"/>
    <w:rsid w:val="00BA699A"/>
    <w:rsid w:val="00BA6D56"/>
    <w:rsid w:val="00BA7220"/>
    <w:rsid w:val="00BB14EA"/>
    <w:rsid w:val="00BB154E"/>
    <w:rsid w:val="00BB1A52"/>
    <w:rsid w:val="00BB37DF"/>
    <w:rsid w:val="00BB55C4"/>
    <w:rsid w:val="00BB5AD1"/>
    <w:rsid w:val="00BB6B97"/>
    <w:rsid w:val="00BB7676"/>
    <w:rsid w:val="00BB7D29"/>
    <w:rsid w:val="00BC02C2"/>
    <w:rsid w:val="00BC1349"/>
    <w:rsid w:val="00BC2112"/>
    <w:rsid w:val="00BC2F85"/>
    <w:rsid w:val="00BC3670"/>
    <w:rsid w:val="00BC3983"/>
    <w:rsid w:val="00BC3D6E"/>
    <w:rsid w:val="00BC4530"/>
    <w:rsid w:val="00BC5D5F"/>
    <w:rsid w:val="00BC5E4A"/>
    <w:rsid w:val="00BC6B01"/>
    <w:rsid w:val="00BC7725"/>
    <w:rsid w:val="00BC7BF6"/>
    <w:rsid w:val="00BC7C29"/>
    <w:rsid w:val="00BD040F"/>
    <w:rsid w:val="00BD22C5"/>
    <w:rsid w:val="00BD2D2B"/>
    <w:rsid w:val="00BD2E67"/>
    <w:rsid w:val="00BD3546"/>
    <w:rsid w:val="00BD394B"/>
    <w:rsid w:val="00BD3E08"/>
    <w:rsid w:val="00BD43B2"/>
    <w:rsid w:val="00BD470B"/>
    <w:rsid w:val="00BD4802"/>
    <w:rsid w:val="00BD5C7F"/>
    <w:rsid w:val="00BD7C0F"/>
    <w:rsid w:val="00BE135B"/>
    <w:rsid w:val="00BE22D5"/>
    <w:rsid w:val="00BE2D3C"/>
    <w:rsid w:val="00BE3EB4"/>
    <w:rsid w:val="00BE40A7"/>
    <w:rsid w:val="00BE4171"/>
    <w:rsid w:val="00BE4242"/>
    <w:rsid w:val="00BE4436"/>
    <w:rsid w:val="00BE53BE"/>
    <w:rsid w:val="00BE72EF"/>
    <w:rsid w:val="00BE7580"/>
    <w:rsid w:val="00BF0644"/>
    <w:rsid w:val="00BF1723"/>
    <w:rsid w:val="00BF1FBD"/>
    <w:rsid w:val="00BF2835"/>
    <w:rsid w:val="00BF31D0"/>
    <w:rsid w:val="00BF39BF"/>
    <w:rsid w:val="00BF3E84"/>
    <w:rsid w:val="00BF55F9"/>
    <w:rsid w:val="00BF5BE5"/>
    <w:rsid w:val="00BF6C20"/>
    <w:rsid w:val="00BF73ED"/>
    <w:rsid w:val="00BF783D"/>
    <w:rsid w:val="00BF7F1F"/>
    <w:rsid w:val="00C00387"/>
    <w:rsid w:val="00C01C07"/>
    <w:rsid w:val="00C02245"/>
    <w:rsid w:val="00C03837"/>
    <w:rsid w:val="00C03A0E"/>
    <w:rsid w:val="00C03C7D"/>
    <w:rsid w:val="00C040D5"/>
    <w:rsid w:val="00C0457D"/>
    <w:rsid w:val="00C05F22"/>
    <w:rsid w:val="00C05FB2"/>
    <w:rsid w:val="00C066AA"/>
    <w:rsid w:val="00C067E5"/>
    <w:rsid w:val="00C06FF9"/>
    <w:rsid w:val="00C100D5"/>
    <w:rsid w:val="00C1087C"/>
    <w:rsid w:val="00C11661"/>
    <w:rsid w:val="00C11EAC"/>
    <w:rsid w:val="00C1226F"/>
    <w:rsid w:val="00C12EF2"/>
    <w:rsid w:val="00C1447C"/>
    <w:rsid w:val="00C14595"/>
    <w:rsid w:val="00C15571"/>
    <w:rsid w:val="00C156AB"/>
    <w:rsid w:val="00C162FD"/>
    <w:rsid w:val="00C163F2"/>
    <w:rsid w:val="00C168A8"/>
    <w:rsid w:val="00C16D28"/>
    <w:rsid w:val="00C20ABE"/>
    <w:rsid w:val="00C21463"/>
    <w:rsid w:val="00C218E7"/>
    <w:rsid w:val="00C21BB3"/>
    <w:rsid w:val="00C230F3"/>
    <w:rsid w:val="00C23393"/>
    <w:rsid w:val="00C23E8F"/>
    <w:rsid w:val="00C242FB"/>
    <w:rsid w:val="00C264EE"/>
    <w:rsid w:val="00C266AC"/>
    <w:rsid w:val="00C2670E"/>
    <w:rsid w:val="00C26E47"/>
    <w:rsid w:val="00C26F1E"/>
    <w:rsid w:val="00C27DBB"/>
    <w:rsid w:val="00C27E5B"/>
    <w:rsid w:val="00C30C0B"/>
    <w:rsid w:val="00C31318"/>
    <w:rsid w:val="00C31D74"/>
    <w:rsid w:val="00C32699"/>
    <w:rsid w:val="00C32A2B"/>
    <w:rsid w:val="00C331CA"/>
    <w:rsid w:val="00C33607"/>
    <w:rsid w:val="00C33C4C"/>
    <w:rsid w:val="00C35018"/>
    <w:rsid w:val="00C35102"/>
    <w:rsid w:val="00C35162"/>
    <w:rsid w:val="00C352F5"/>
    <w:rsid w:val="00C357F1"/>
    <w:rsid w:val="00C36750"/>
    <w:rsid w:val="00C36BB5"/>
    <w:rsid w:val="00C3756A"/>
    <w:rsid w:val="00C37C99"/>
    <w:rsid w:val="00C37D3F"/>
    <w:rsid w:val="00C40242"/>
    <w:rsid w:val="00C40D87"/>
    <w:rsid w:val="00C410B6"/>
    <w:rsid w:val="00C41663"/>
    <w:rsid w:val="00C41F64"/>
    <w:rsid w:val="00C428B4"/>
    <w:rsid w:val="00C42A72"/>
    <w:rsid w:val="00C4324F"/>
    <w:rsid w:val="00C43819"/>
    <w:rsid w:val="00C44736"/>
    <w:rsid w:val="00C44C91"/>
    <w:rsid w:val="00C46E9D"/>
    <w:rsid w:val="00C4784B"/>
    <w:rsid w:val="00C4799E"/>
    <w:rsid w:val="00C47A2A"/>
    <w:rsid w:val="00C47FC1"/>
    <w:rsid w:val="00C515EC"/>
    <w:rsid w:val="00C5200E"/>
    <w:rsid w:val="00C5203F"/>
    <w:rsid w:val="00C52BE5"/>
    <w:rsid w:val="00C54CC8"/>
    <w:rsid w:val="00C5505B"/>
    <w:rsid w:val="00C55473"/>
    <w:rsid w:val="00C55860"/>
    <w:rsid w:val="00C55D6F"/>
    <w:rsid w:val="00C563C0"/>
    <w:rsid w:val="00C5693E"/>
    <w:rsid w:val="00C57A54"/>
    <w:rsid w:val="00C57CDC"/>
    <w:rsid w:val="00C57DF2"/>
    <w:rsid w:val="00C61C16"/>
    <w:rsid w:val="00C62EDC"/>
    <w:rsid w:val="00C640C3"/>
    <w:rsid w:val="00C64E10"/>
    <w:rsid w:val="00C65056"/>
    <w:rsid w:val="00C659AA"/>
    <w:rsid w:val="00C65AF7"/>
    <w:rsid w:val="00C66312"/>
    <w:rsid w:val="00C66449"/>
    <w:rsid w:val="00C67C44"/>
    <w:rsid w:val="00C70972"/>
    <w:rsid w:val="00C70AC6"/>
    <w:rsid w:val="00C71366"/>
    <w:rsid w:val="00C71C0B"/>
    <w:rsid w:val="00C72B88"/>
    <w:rsid w:val="00C72CA6"/>
    <w:rsid w:val="00C7308F"/>
    <w:rsid w:val="00C7309E"/>
    <w:rsid w:val="00C73159"/>
    <w:rsid w:val="00C734E8"/>
    <w:rsid w:val="00C7411E"/>
    <w:rsid w:val="00C7469B"/>
    <w:rsid w:val="00C75E3B"/>
    <w:rsid w:val="00C7601D"/>
    <w:rsid w:val="00C764AC"/>
    <w:rsid w:val="00C769A8"/>
    <w:rsid w:val="00C76BA2"/>
    <w:rsid w:val="00C7710A"/>
    <w:rsid w:val="00C808D5"/>
    <w:rsid w:val="00C809E7"/>
    <w:rsid w:val="00C8176E"/>
    <w:rsid w:val="00C81E52"/>
    <w:rsid w:val="00C821C6"/>
    <w:rsid w:val="00C828B6"/>
    <w:rsid w:val="00C83EF7"/>
    <w:rsid w:val="00C8403E"/>
    <w:rsid w:val="00C84388"/>
    <w:rsid w:val="00C848FB"/>
    <w:rsid w:val="00C84BE8"/>
    <w:rsid w:val="00C854A4"/>
    <w:rsid w:val="00C855BA"/>
    <w:rsid w:val="00C85653"/>
    <w:rsid w:val="00C87142"/>
    <w:rsid w:val="00C87E55"/>
    <w:rsid w:val="00C90C61"/>
    <w:rsid w:val="00C91023"/>
    <w:rsid w:val="00C9150C"/>
    <w:rsid w:val="00C91B44"/>
    <w:rsid w:val="00C92487"/>
    <w:rsid w:val="00C93B39"/>
    <w:rsid w:val="00C93F76"/>
    <w:rsid w:val="00C94733"/>
    <w:rsid w:val="00C95831"/>
    <w:rsid w:val="00C96805"/>
    <w:rsid w:val="00C96A66"/>
    <w:rsid w:val="00C975D3"/>
    <w:rsid w:val="00C97771"/>
    <w:rsid w:val="00C978B1"/>
    <w:rsid w:val="00CA0009"/>
    <w:rsid w:val="00CA0880"/>
    <w:rsid w:val="00CA1169"/>
    <w:rsid w:val="00CA2BE1"/>
    <w:rsid w:val="00CA3AE3"/>
    <w:rsid w:val="00CA48B0"/>
    <w:rsid w:val="00CA52B4"/>
    <w:rsid w:val="00CA53BD"/>
    <w:rsid w:val="00CA5D9A"/>
    <w:rsid w:val="00CA610A"/>
    <w:rsid w:val="00CA695B"/>
    <w:rsid w:val="00CA7819"/>
    <w:rsid w:val="00CA78C6"/>
    <w:rsid w:val="00CA7F1A"/>
    <w:rsid w:val="00CB0766"/>
    <w:rsid w:val="00CB15FE"/>
    <w:rsid w:val="00CB1BDA"/>
    <w:rsid w:val="00CB2261"/>
    <w:rsid w:val="00CB26D1"/>
    <w:rsid w:val="00CB3BC9"/>
    <w:rsid w:val="00CB3F09"/>
    <w:rsid w:val="00CB3FF5"/>
    <w:rsid w:val="00CB5F11"/>
    <w:rsid w:val="00CB63DE"/>
    <w:rsid w:val="00CB6974"/>
    <w:rsid w:val="00CB6F03"/>
    <w:rsid w:val="00CC0D0A"/>
    <w:rsid w:val="00CC12DB"/>
    <w:rsid w:val="00CC2363"/>
    <w:rsid w:val="00CC39A9"/>
    <w:rsid w:val="00CC446A"/>
    <w:rsid w:val="00CC6408"/>
    <w:rsid w:val="00CC6825"/>
    <w:rsid w:val="00CC68EB"/>
    <w:rsid w:val="00CC691C"/>
    <w:rsid w:val="00CC6DCA"/>
    <w:rsid w:val="00CC7132"/>
    <w:rsid w:val="00CC7645"/>
    <w:rsid w:val="00CC7E87"/>
    <w:rsid w:val="00CD104B"/>
    <w:rsid w:val="00CD13EA"/>
    <w:rsid w:val="00CD198F"/>
    <w:rsid w:val="00CD29BC"/>
    <w:rsid w:val="00CD3373"/>
    <w:rsid w:val="00CD3895"/>
    <w:rsid w:val="00CD3AD7"/>
    <w:rsid w:val="00CD4231"/>
    <w:rsid w:val="00CD56F7"/>
    <w:rsid w:val="00CD61DD"/>
    <w:rsid w:val="00CD62B2"/>
    <w:rsid w:val="00CD654F"/>
    <w:rsid w:val="00CD7CB8"/>
    <w:rsid w:val="00CD7D7A"/>
    <w:rsid w:val="00CE0026"/>
    <w:rsid w:val="00CE0B27"/>
    <w:rsid w:val="00CE0B38"/>
    <w:rsid w:val="00CE1077"/>
    <w:rsid w:val="00CE1F6F"/>
    <w:rsid w:val="00CE4522"/>
    <w:rsid w:val="00CE4975"/>
    <w:rsid w:val="00CE4C02"/>
    <w:rsid w:val="00CE523F"/>
    <w:rsid w:val="00CE5D63"/>
    <w:rsid w:val="00CE637E"/>
    <w:rsid w:val="00CE69A2"/>
    <w:rsid w:val="00CE6C49"/>
    <w:rsid w:val="00CE7313"/>
    <w:rsid w:val="00CF0970"/>
    <w:rsid w:val="00CF098A"/>
    <w:rsid w:val="00CF1460"/>
    <w:rsid w:val="00CF28BA"/>
    <w:rsid w:val="00CF2C2C"/>
    <w:rsid w:val="00CF33D9"/>
    <w:rsid w:val="00CF350D"/>
    <w:rsid w:val="00CF453B"/>
    <w:rsid w:val="00CF55BE"/>
    <w:rsid w:val="00CF6012"/>
    <w:rsid w:val="00CF6544"/>
    <w:rsid w:val="00CF6DC6"/>
    <w:rsid w:val="00CF79EE"/>
    <w:rsid w:val="00CF7EF8"/>
    <w:rsid w:val="00CF7F7F"/>
    <w:rsid w:val="00D02859"/>
    <w:rsid w:val="00D02B0E"/>
    <w:rsid w:val="00D02EC2"/>
    <w:rsid w:val="00D0345F"/>
    <w:rsid w:val="00D042AA"/>
    <w:rsid w:val="00D0516B"/>
    <w:rsid w:val="00D07112"/>
    <w:rsid w:val="00D07A67"/>
    <w:rsid w:val="00D07D43"/>
    <w:rsid w:val="00D101C6"/>
    <w:rsid w:val="00D11065"/>
    <w:rsid w:val="00D117B9"/>
    <w:rsid w:val="00D1216E"/>
    <w:rsid w:val="00D1223C"/>
    <w:rsid w:val="00D1353E"/>
    <w:rsid w:val="00D1372A"/>
    <w:rsid w:val="00D137FA"/>
    <w:rsid w:val="00D13F88"/>
    <w:rsid w:val="00D1477B"/>
    <w:rsid w:val="00D14D2C"/>
    <w:rsid w:val="00D1518B"/>
    <w:rsid w:val="00D15A4B"/>
    <w:rsid w:val="00D15D6F"/>
    <w:rsid w:val="00D167F9"/>
    <w:rsid w:val="00D170A1"/>
    <w:rsid w:val="00D17356"/>
    <w:rsid w:val="00D2073C"/>
    <w:rsid w:val="00D21658"/>
    <w:rsid w:val="00D217B2"/>
    <w:rsid w:val="00D21A4C"/>
    <w:rsid w:val="00D22A10"/>
    <w:rsid w:val="00D22B76"/>
    <w:rsid w:val="00D23293"/>
    <w:rsid w:val="00D23E03"/>
    <w:rsid w:val="00D245B4"/>
    <w:rsid w:val="00D24ABA"/>
    <w:rsid w:val="00D24D57"/>
    <w:rsid w:val="00D25932"/>
    <w:rsid w:val="00D25CA6"/>
    <w:rsid w:val="00D262DD"/>
    <w:rsid w:val="00D26750"/>
    <w:rsid w:val="00D2727D"/>
    <w:rsid w:val="00D2777A"/>
    <w:rsid w:val="00D30C0F"/>
    <w:rsid w:val="00D330E4"/>
    <w:rsid w:val="00D333AD"/>
    <w:rsid w:val="00D33D25"/>
    <w:rsid w:val="00D3455F"/>
    <w:rsid w:val="00D34D92"/>
    <w:rsid w:val="00D3588A"/>
    <w:rsid w:val="00D35DE3"/>
    <w:rsid w:val="00D368CA"/>
    <w:rsid w:val="00D3782D"/>
    <w:rsid w:val="00D37DA5"/>
    <w:rsid w:val="00D405BC"/>
    <w:rsid w:val="00D40CAD"/>
    <w:rsid w:val="00D40D7D"/>
    <w:rsid w:val="00D41323"/>
    <w:rsid w:val="00D41341"/>
    <w:rsid w:val="00D42E51"/>
    <w:rsid w:val="00D430B7"/>
    <w:rsid w:val="00D4313E"/>
    <w:rsid w:val="00D445B4"/>
    <w:rsid w:val="00D452BB"/>
    <w:rsid w:val="00D46A95"/>
    <w:rsid w:val="00D472C5"/>
    <w:rsid w:val="00D5028B"/>
    <w:rsid w:val="00D505F9"/>
    <w:rsid w:val="00D51BC8"/>
    <w:rsid w:val="00D51E54"/>
    <w:rsid w:val="00D52366"/>
    <w:rsid w:val="00D540E1"/>
    <w:rsid w:val="00D54EC3"/>
    <w:rsid w:val="00D55A2B"/>
    <w:rsid w:val="00D55D17"/>
    <w:rsid w:val="00D5654A"/>
    <w:rsid w:val="00D56DB9"/>
    <w:rsid w:val="00D57294"/>
    <w:rsid w:val="00D57BE3"/>
    <w:rsid w:val="00D57E70"/>
    <w:rsid w:val="00D61743"/>
    <w:rsid w:val="00D61B20"/>
    <w:rsid w:val="00D62633"/>
    <w:rsid w:val="00D634F2"/>
    <w:rsid w:val="00D64238"/>
    <w:rsid w:val="00D6490B"/>
    <w:rsid w:val="00D64943"/>
    <w:rsid w:val="00D650DA"/>
    <w:rsid w:val="00D65407"/>
    <w:rsid w:val="00D657A9"/>
    <w:rsid w:val="00D65839"/>
    <w:rsid w:val="00D6676B"/>
    <w:rsid w:val="00D669B7"/>
    <w:rsid w:val="00D670ED"/>
    <w:rsid w:val="00D701F3"/>
    <w:rsid w:val="00D704B2"/>
    <w:rsid w:val="00D719BD"/>
    <w:rsid w:val="00D731BA"/>
    <w:rsid w:val="00D74BFB"/>
    <w:rsid w:val="00D74D8B"/>
    <w:rsid w:val="00D755C5"/>
    <w:rsid w:val="00D75BA2"/>
    <w:rsid w:val="00D772F6"/>
    <w:rsid w:val="00D77DF9"/>
    <w:rsid w:val="00D8015D"/>
    <w:rsid w:val="00D80A11"/>
    <w:rsid w:val="00D8160F"/>
    <w:rsid w:val="00D8163F"/>
    <w:rsid w:val="00D82E11"/>
    <w:rsid w:val="00D82E30"/>
    <w:rsid w:val="00D83B50"/>
    <w:rsid w:val="00D83FB2"/>
    <w:rsid w:val="00D84481"/>
    <w:rsid w:val="00D84C63"/>
    <w:rsid w:val="00D85646"/>
    <w:rsid w:val="00D856DC"/>
    <w:rsid w:val="00D856E4"/>
    <w:rsid w:val="00D86357"/>
    <w:rsid w:val="00D86DF9"/>
    <w:rsid w:val="00D870A8"/>
    <w:rsid w:val="00D8717F"/>
    <w:rsid w:val="00D874AD"/>
    <w:rsid w:val="00D87919"/>
    <w:rsid w:val="00D87A56"/>
    <w:rsid w:val="00D90D8B"/>
    <w:rsid w:val="00D9255D"/>
    <w:rsid w:val="00D936B6"/>
    <w:rsid w:val="00D93EB8"/>
    <w:rsid w:val="00D94B32"/>
    <w:rsid w:val="00D9534C"/>
    <w:rsid w:val="00D954C4"/>
    <w:rsid w:val="00D95DB8"/>
    <w:rsid w:val="00D961D6"/>
    <w:rsid w:val="00D96452"/>
    <w:rsid w:val="00D966C8"/>
    <w:rsid w:val="00D96E71"/>
    <w:rsid w:val="00DA02C3"/>
    <w:rsid w:val="00DA3352"/>
    <w:rsid w:val="00DA3891"/>
    <w:rsid w:val="00DA42D1"/>
    <w:rsid w:val="00DA49CF"/>
    <w:rsid w:val="00DA55BB"/>
    <w:rsid w:val="00DA5915"/>
    <w:rsid w:val="00DA5D19"/>
    <w:rsid w:val="00DA65C6"/>
    <w:rsid w:val="00DA7009"/>
    <w:rsid w:val="00DA7396"/>
    <w:rsid w:val="00DA7587"/>
    <w:rsid w:val="00DA771E"/>
    <w:rsid w:val="00DB00DE"/>
    <w:rsid w:val="00DB04D2"/>
    <w:rsid w:val="00DB12D6"/>
    <w:rsid w:val="00DB12F4"/>
    <w:rsid w:val="00DB20C9"/>
    <w:rsid w:val="00DB216B"/>
    <w:rsid w:val="00DB4711"/>
    <w:rsid w:val="00DB4E3D"/>
    <w:rsid w:val="00DB5380"/>
    <w:rsid w:val="00DB5C46"/>
    <w:rsid w:val="00DB62D5"/>
    <w:rsid w:val="00DB67D2"/>
    <w:rsid w:val="00DB7C00"/>
    <w:rsid w:val="00DB7C1B"/>
    <w:rsid w:val="00DC067D"/>
    <w:rsid w:val="00DC087B"/>
    <w:rsid w:val="00DC11D8"/>
    <w:rsid w:val="00DC129B"/>
    <w:rsid w:val="00DC1469"/>
    <w:rsid w:val="00DC20A1"/>
    <w:rsid w:val="00DC29F6"/>
    <w:rsid w:val="00DC4072"/>
    <w:rsid w:val="00DC4488"/>
    <w:rsid w:val="00DC4D66"/>
    <w:rsid w:val="00DC5C0A"/>
    <w:rsid w:val="00DC689E"/>
    <w:rsid w:val="00DC702D"/>
    <w:rsid w:val="00DC7C83"/>
    <w:rsid w:val="00DD00B6"/>
    <w:rsid w:val="00DD10A2"/>
    <w:rsid w:val="00DD1F1B"/>
    <w:rsid w:val="00DD209B"/>
    <w:rsid w:val="00DD2C93"/>
    <w:rsid w:val="00DD4B78"/>
    <w:rsid w:val="00DD526A"/>
    <w:rsid w:val="00DD6C4F"/>
    <w:rsid w:val="00DD746E"/>
    <w:rsid w:val="00DD7F09"/>
    <w:rsid w:val="00DE0157"/>
    <w:rsid w:val="00DE18E9"/>
    <w:rsid w:val="00DE27F5"/>
    <w:rsid w:val="00DE290B"/>
    <w:rsid w:val="00DE4024"/>
    <w:rsid w:val="00DE42BB"/>
    <w:rsid w:val="00DE4F6A"/>
    <w:rsid w:val="00DE54AF"/>
    <w:rsid w:val="00DE5C2F"/>
    <w:rsid w:val="00DE5E33"/>
    <w:rsid w:val="00DE64E6"/>
    <w:rsid w:val="00DE694B"/>
    <w:rsid w:val="00DE7417"/>
    <w:rsid w:val="00DF0503"/>
    <w:rsid w:val="00DF1485"/>
    <w:rsid w:val="00DF1925"/>
    <w:rsid w:val="00DF1B6D"/>
    <w:rsid w:val="00DF1EF7"/>
    <w:rsid w:val="00DF2482"/>
    <w:rsid w:val="00DF2D1E"/>
    <w:rsid w:val="00DF3160"/>
    <w:rsid w:val="00DF3BB3"/>
    <w:rsid w:val="00DF3E86"/>
    <w:rsid w:val="00DF453E"/>
    <w:rsid w:val="00DF4989"/>
    <w:rsid w:val="00DF49F0"/>
    <w:rsid w:val="00DF5632"/>
    <w:rsid w:val="00DF582A"/>
    <w:rsid w:val="00DF5B92"/>
    <w:rsid w:val="00DF5D60"/>
    <w:rsid w:val="00DF78FF"/>
    <w:rsid w:val="00DF7A36"/>
    <w:rsid w:val="00E00220"/>
    <w:rsid w:val="00E01903"/>
    <w:rsid w:val="00E03480"/>
    <w:rsid w:val="00E04224"/>
    <w:rsid w:val="00E05864"/>
    <w:rsid w:val="00E0631E"/>
    <w:rsid w:val="00E06C8F"/>
    <w:rsid w:val="00E10E38"/>
    <w:rsid w:val="00E15ABC"/>
    <w:rsid w:val="00E15C6B"/>
    <w:rsid w:val="00E16DD8"/>
    <w:rsid w:val="00E176A6"/>
    <w:rsid w:val="00E20B25"/>
    <w:rsid w:val="00E21C05"/>
    <w:rsid w:val="00E23602"/>
    <w:rsid w:val="00E239F6"/>
    <w:rsid w:val="00E23E92"/>
    <w:rsid w:val="00E25B1B"/>
    <w:rsid w:val="00E26AC7"/>
    <w:rsid w:val="00E275B6"/>
    <w:rsid w:val="00E316D7"/>
    <w:rsid w:val="00E32344"/>
    <w:rsid w:val="00E32A46"/>
    <w:rsid w:val="00E32FF1"/>
    <w:rsid w:val="00E335F7"/>
    <w:rsid w:val="00E33E69"/>
    <w:rsid w:val="00E37C21"/>
    <w:rsid w:val="00E37E67"/>
    <w:rsid w:val="00E41018"/>
    <w:rsid w:val="00E41743"/>
    <w:rsid w:val="00E417DB"/>
    <w:rsid w:val="00E435EB"/>
    <w:rsid w:val="00E43A29"/>
    <w:rsid w:val="00E43C62"/>
    <w:rsid w:val="00E45066"/>
    <w:rsid w:val="00E4523A"/>
    <w:rsid w:val="00E45F62"/>
    <w:rsid w:val="00E46F68"/>
    <w:rsid w:val="00E478A3"/>
    <w:rsid w:val="00E503D5"/>
    <w:rsid w:val="00E51933"/>
    <w:rsid w:val="00E51F07"/>
    <w:rsid w:val="00E5292C"/>
    <w:rsid w:val="00E52C6D"/>
    <w:rsid w:val="00E53360"/>
    <w:rsid w:val="00E53666"/>
    <w:rsid w:val="00E54A70"/>
    <w:rsid w:val="00E54CA8"/>
    <w:rsid w:val="00E55954"/>
    <w:rsid w:val="00E56C52"/>
    <w:rsid w:val="00E5729F"/>
    <w:rsid w:val="00E57E85"/>
    <w:rsid w:val="00E6004F"/>
    <w:rsid w:val="00E60F56"/>
    <w:rsid w:val="00E61D06"/>
    <w:rsid w:val="00E62008"/>
    <w:rsid w:val="00E62CF5"/>
    <w:rsid w:val="00E64281"/>
    <w:rsid w:val="00E6508F"/>
    <w:rsid w:val="00E65469"/>
    <w:rsid w:val="00E65FBC"/>
    <w:rsid w:val="00E66EB6"/>
    <w:rsid w:val="00E67725"/>
    <w:rsid w:val="00E70A3D"/>
    <w:rsid w:val="00E70B7B"/>
    <w:rsid w:val="00E70CB3"/>
    <w:rsid w:val="00E70E16"/>
    <w:rsid w:val="00E71305"/>
    <w:rsid w:val="00E72073"/>
    <w:rsid w:val="00E75162"/>
    <w:rsid w:val="00E75848"/>
    <w:rsid w:val="00E75A3A"/>
    <w:rsid w:val="00E75DB9"/>
    <w:rsid w:val="00E7618C"/>
    <w:rsid w:val="00E8013B"/>
    <w:rsid w:val="00E8049B"/>
    <w:rsid w:val="00E80589"/>
    <w:rsid w:val="00E8060C"/>
    <w:rsid w:val="00E8082C"/>
    <w:rsid w:val="00E80C83"/>
    <w:rsid w:val="00E8109A"/>
    <w:rsid w:val="00E82773"/>
    <w:rsid w:val="00E82D54"/>
    <w:rsid w:val="00E8306D"/>
    <w:rsid w:val="00E83122"/>
    <w:rsid w:val="00E83C0C"/>
    <w:rsid w:val="00E841CB"/>
    <w:rsid w:val="00E84439"/>
    <w:rsid w:val="00E85797"/>
    <w:rsid w:val="00E85862"/>
    <w:rsid w:val="00E8651E"/>
    <w:rsid w:val="00E867BA"/>
    <w:rsid w:val="00E868A6"/>
    <w:rsid w:val="00E90571"/>
    <w:rsid w:val="00E905AC"/>
    <w:rsid w:val="00E907B4"/>
    <w:rsid w:val="00E92A7F"/>
    <w:rsid w:val="00E92B0D"/>
    <w:rsid w:val="00E930E1"/>
    <w:rsid w:val="00E935F3"/>
    <w:rsid w:val="00E93718"/>
    <w:rsid w:val="00E94E8E"/>
    <w:rsid w:val="00E97231"/>
    <w:rsid w:val="00E9745E"/>
    <w:rsid w:val="00E97802"/>
    <w:rsid w:val="00E9795A"/>
    <w:rsid w:val="00E97DE0"/>
    <w:rsid w:val="00EA15A0"/>
    <w:rsid w:val="00EA2CBC"/>
    <w:rsid w:val="00EA2F5D"/>
    <w:rsid w:val="00EA306A"/>
    <w:rsid w:val="00EA311A"/>
    <w:rsid w:val="00EA3D71"/>
    <w:rsid w:val="00EA4298"/>
    <w:rsid w:val="00EA5475"/>
    <w:rsid w:val="00EA5978"/>
    <w:rsid w:val="00EA5AD1"/>
    <w:rsid w:val="00EA7F96"/>
    <w:rsid w:val="00EB0521"/>
    <w:rsid w:val="00EB14D7"/>
    <w:rsid w:val="00EB20B2"/>
    <w:rsid w:val="00EB26D3"/>
    <w:rsid w:val="00EB2783"/>
    <w:rsid w:val="00EB33C7"/>
    <w:rsid w:val="00EB374B"/>
    <w:rsid w:val="00EB37E5"/>
    <w:rsid w:val="00EB42E9"/>
    <w:rsid w:val="00EB5851"/>
    <w:rsid w:val="00EB6725"/>
    <w:rsid w:val="00EB6B51"/>
    <w:rsid w:val="00EB75F3"/>
    <w:rsid w:val="00EC0454"/>
    <w:rsid w:val="00EC2E38"/>
    <w:rsid w:val="00EC3351"/>
    <w:rsid w:val="00EC3B18"/>
    <w:rsid w:val="00EC474B"/>
    <w:rsid w:val="00EC6B83"/>
    <w:rsid w:val="00EC7A09"/>
    <w:rsid w:val="00EC7CF9"/>
    <w:rsid w:val="00ED000D"/>
    <w:rsid w:val="00ED0334"/>
    <w:rsid w:val="00ED084B"/>
    <w:rsid w:val="00ED0B87"/>
    <w:rsid w:val="00ED1738"/>
    <w:rsid w:val="00ED4187"/>
    <w:rsid w:val="00ED4464"/>
    <w:rsid w:val="00ED4F3F"/>
    <w:rsid w:val="00ED61BA"/>
    <w:rsid w:val="00ED6245"/>
    <w:rsid w:val="00ED625F"/>
    <w:rsid w:val="00EE0581"/>
    <w:rsid w:val="00EE0E6C"/>
    <w:rsid w:val="00EE20B5"/>
    <w:rsid w:val="00EE2443"/>
    <w:rsid w:val="00EE292F"/>
    <w:rsid w:val="00EE3CA6"/>
    <w:rsid w:val="00EE3EB2"/>
    <w:rsid w:val="00EE44ED"/>
    <w:rsid w:val="00EE57FB"/>
    <w:rsid w:val="00EE640B"/>
    <w:rsid w:val="00EE6856"/>
    <w:rsid w:val="00EE6C56"/>
    <w:rsid w:val="00EE7076"/>
    <w:rsid w:val="00EF0987"/>
    <w:rsid w:val="00EF2B9E"/>
    <w:rsid w:val="00EF2D55"/>
    <w:rsid w:val="00EF45B9"/>
    <w:rsid w:val="00EF48F2"/>
    <w:rsid w:val="00EF7287"/>
    <w:rsid w:val="00EF74D6"/>
    <w:rsid w:val="00EF76CA"/>
    <w:rsid w:val="00F0322D"/>
    <w:rsid w:val="00F03545"/>
    <w:rsid w:val="00F043E5"/>
    <w:rsid w:val="00F072B3"/>
    <w:rsid w:val="00F078E2"/>
    <w:rsid w:val="00F100E5"/>
    <w:rsid w:val="00F10686"/>
    <w:rsid w:val="00F10D13"/>
    <w:rsid w:val="00F11BEA"/>
    <w:rsid w:val="00F11EC1"/>
    <w:rsid w:val="00F120B8"/>
    <w:rsid w:val="00F129DB"/>
    <w:rsid w:val="00F134F4"/>
    <w:rsid w:val="00F13695"/>
    <w:rsid w:val="00F138BE"/>
    <w:rsid w:val="00F13D12"/>
    <w:rsid w:val="00F1495B"/>
    <w:rsid w:val="00F149CF"/>
    <w:rsid w:val="00F157F0"/>
    <w:rsid w:val="00F16476"/>
    <w:rsid w:val="00F1761A"/>
    <w:rsid w:val="00F17806"/>
    <w:rsid w:val="00F20523"/>
    <w:rsid w:val="00F20F3F"/>
    <w:rsid w:val="00F221E2"/>
    <w:rsid w:val="00F223A3"/>
    <w:rsid w:val="00F2375E"/>
    <w:rsid w:val="00F24416"/>
    <w:rsid w:val="00F2454D"/>
    <w:rsid w:val="00F24A07"/>
    <w:rsid w:val="00F24BBC"/>
    <w:rsid w:val="00F25E6F"/>
    <w:rsid w:val="00F25FFC"/>
    <w:rsid w:val="00F26244"/>
    <w:rsid w:val="00F2664B"/>
    <w:rsid w:val="00F27A96"/>
    <w:rsid w:val="00F317F4"/>
    <w:rsid w:val="00F31F32"/>
    <w:rsid w:val="00F32984"/>
    <w:rsid w:val="00F3435D"/>
    <w:rsid w:val="00F366D1"/>
    <w:rsid w:val="00F36DE6"/>
    <w:rsid w:val="00F37552"/>
    <w:rsid w:val="00F404F7"/>
    <w:rsid w:val="00F40D2C"/>
    <w:rsid w:val="00F40DC4"/>
    <w:rsid w:val="00F41917"/>
    <w:rsid w:val="00F41AF8"/>
    <w:rsid w:val="00F41FCA"/>
    <w:rsid w:val="00F421FA"/>
    <w:rsid w:val="00F423E5"/>
    <w:rsid w:val="00F42F14"/>
    <w:rsid w:val="00F43605"/>
    <w:rsid w:val="00F43B7C"/>
    <w:rsid w:val="00F44282"/>
    <w:rsid w:val="00F4523C"/>
    <w:rsid w:val="00F452DE"/>
    <w:rsid w:val="00F45EF6"/>
    <w:rsid w:val="00F46032"/>
    <w:rsid w:val="00F470CC"/>
    <w:rsid w:val="00F477F7"/>
    <w:rsid w:val="00F479B4"/>
    <w:rsid w:val="00F5026E"/>
    <w:rsid w:val="00F50411"/>
    <w:rsid w:val="00F50BF2"/>
    <w:rsid w:val="00F51EEC"/>
    <w:rsid w:val="00F534F9"/>
    <w:rsid w:val="00F547C2"/>
    <w:rsid w:val="00F54D9F"/>
    <w:rsid w:val="00F55DD0"/>
    <w:rsid w:val="00F56561"/>
    <w:rsid w:val="00F56654"/>
    <w:rsid w:val="00F571FA"/>
    <w:rsid w:val="00F60B96"/>
    <w:rsid w:val="00F6215C"/>
    <w:rsid w:val="00F625CD"/>
    <w:rsid w:val="00F62960"/>
    <w:rsid w:val="00F632FA"/>
    <w:rsid w:val="00F6396F"/>
    <w:rsid w:val="00F653DA"/>
    <w:rsid w:val="00F654B2"/>
    <w:rsid w:val="00F65BCD"/>
    <w:rsid w:val="00F66B84"/>
    <w:rsid w:val="00F66BB9"/>
    <w:rsid w:val="00F671FB"/>
    <w:rsid w:val="00F67C37"/>
    <w:rsid w:val="00F70540"/>
    <w:rsid w:val="00F7067E"/>
    <w:rsid w:val="00F70C2C"/>
    <w:rsid w:val="00F710E6"/>
    <w:rsid w:val="00F71104"/>
    <w:rsid w:val="00F72792"/>
    <w:rsid w:val="00F7462C"/>
    <w:rsid w:val="00F74837"/>
    <w:rsid w:val="00F752DA"/>
    <w:rsid w:val="00F7661B"/>
    <w:rsid w:val="00F766E1"/>
    <w:rsid w:val="00F770F8"/>
    <w:rsid w:val="00F77397"/>
    <w:rsid w:val="00F77514"/>
    <w:rsid w:val="00F80E88"/>
    <w:rsid w:val="00F81F2C"/>
    <w:rsid w:val="00F833A3"/>
    <w:rsid w:val="00F83C55"/>
    <w:rsid w:val="00F83D05"/>
    <w:rsid w:val="00F8506A"/>
    <w:rsid w:val="00F8644D"/>
    <w:rsid w:val="00F865D1"/>
    <w:rsid w:val="00F86BBC"/>
    <w:rsid w:val="00F86F4A"/>
    <w:rsid w:val="00F90163"/>
    <w:rsid w:val="00F90221"/>
    <w:rsid w:val="00F9096B"/>
    <w:rsid w:val="00F90A43"/>
    <w:rsid w:val="00F90B4F"/>
    <w:rsid w:val="00F90F17"/>
    <w:rsid w:val="00F922EC"/>
    <w:rsid w:val="00F93526"/>
    <w:rsid w:val="00F9410A"/>
    <w:rsid w:val="00F951EA"/>
    <w:rsid w:val="00F95D43"/>
    <w:rsid w:val="00F96347"/>
    <w:rsid w:val="00F964D3"/>
    <w:rsid w:val="00F97D36"/>
    <w:rsid w:val="00FA0215"/>
    <w:rsid w:val="00FA14EB"/>
    <w:rsid w:val="00FA1D2A"/>
    <w:rsid w:val="00FA1EA7"/>
    <w:rsid w:val="00FA2D30"/>
    <w:rsid w:val="00FA3024"/>
    <w:rsid w:val="00FA3A1C"/>
    <w:rsid w:val="00FA43F7"/>
    <w:rsid w:val="00FA59D0"/>
    <w:rsid w:val="00FA5CB1"/>
    <w:rsid w:val="00FA7373"/>
    <w:rsid w:val="00FA757C"/>
    <w:rsid w:val="00FB0170"/>
    <w:rsid w:val="00FB06C0"/>
    <w:rsid w:val="00FB19A0"/>
    <w:rsid w:val="00FB20C8"/>
    <w:rsid w:val="00FB21AC"/>
    <w:rsid w:val="00FB2765"/>
    <w:rsid w:val="00FB2F73"/>
    <w:rsid w:val="00FB3239"/>
    <w:rsid w:val="00FB3BD1"/>
    <w:rsid w:val="00FB42DA"/>
    <w:rsid w:val="00FB44D0"/>
    <w:rsid w:val="00FB4CE0"/>
    <w:rsid w:val="00FB4F5D"/>
    <w:rsid w:val="00FB53B2"/>
    <w:rsid w:val="00FB6DCB"/>
    <w:rsid w:val="00FB78DD"/>
    <w:rsid w:val="00FC0099"/>
    <w:rsid w:val="00FC0719"/>
    <w:rsid w:val="00FC09C5"/>
    <w:rsid w:val="00FC1F11"/>
    <w:rsid w:val="00FC59C0"/>
    <w:rsid w:val="00FC609B"/>
    <w:rsid w:val="00FC63AC"/>
    <w:rsid w:val="00FD0582"/>
    <w:rsid w:val="00FD0B12"/>
    <w:rsid w:val="00FD1524"/>
    <w:rsid w:val="00FD1FD4"/>
    <w:rsid w:val="00FD364B"/>
    <w:rsid w:val="00FD39D1"/>
    <w:rsid w:val="00FD4C46"/>
    <w:rsid w:val="00FD5321"/>
    <w:rsid w:val="00FD54D0"/>
    <w:rsid w:val="00FD64ED"/>
    <w:rsid w:val="00FD67B6"/>
    <w:rsid w:val="00FD7A6C"/>
    <w:rsid w:val="00FD7EA3"/>
    <w:rsid w:val="00FE0991"/>
    <w:rsid w:val="00FE0C87"/>
    <w:rsid w:val="00FE10DC"/>
    <w:rsid w:val="00FE329E"/>
    <w:rsid w:val="00FE3C3C"/>
    <w:rsid w:val="00FE580B"/>
    <w:rsid w:val="00FE5F6B"/>
    <w:rsid w:val="00FE66B5"/>
    <w:rsid w:val="00FE690C"/>
    <w:rsid w:val="00FE6DDB"/>
    <w:rsid w:val="00FE76DE"/>
    <w:rsid w:val="00FE7ABE"/>
    <w:rsid w:val="00FE7C4F"/>
    <w:rsid w:val="00FE7EDE"/>
    <w:rsid w:val="00FE7F77"/>
    <w:rsid w:val="00FF0B92"/>
    <w:rsid w:val="00FF219F"/>
    <w:rsid w:val="00FF226F"/>
    <w:rsid w:val="00FF2CF3"/>
    <w:rsid w:val="00FF316D"/>
    <w:rsid w:val="00FF397E"/>
    <w:rsid w:val="00FF41F9"/>
    <w:rsid w:val="00FF4AC1"/>
    <w:rsid w:val="00FF4BE3"/>
    <w:rsid w:val="00FF54FB"/>
    <w:rsid w:val="00FF5F30"/>
    <w:rsid w:val="00FF63A9"/>
    <w:rsid w:val="00FF640A"/>
    <w:rsid w:val="00FF6918"/>
    <w:rsid w:val="00FF6B13"/>
    <w:rsid w:val="00FF6CBD"/>
    <w:rsid w:val="00FF6D1D"/>
    <w:rsid w:val="00FF7EC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AA6C4E"/>
  <w15:docId w15:val="{6C7D1BD8-3FA0-48CD-BEA3-50170FF8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pPr>
        <w:jc w:val="both"/>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672"/>
    <w:pPr>
      <w:spacing w:line="360" w:lineRule="auto"/>
    </w:pPr>
    <w:rPr>
      <w:rFonts w:ascii="Times New Roman" w:eastAsia="SimSun" w:hAnsi="Times New Roman"/>
      <w:szCs w:val="24"/>
      <w:lang w:eastAsia="zh-CN"/>
    </w:rPr>
  </w:style>
  <w:style w:type="paragraph" w:styleId="Heading1">
    <w:name w:val="heading 1"/>
    <w:basedOn w:val="Normal"/>
    <w:next w:val="Normal"/>
    <w:link w:val="Heading1Char"/>
    <w:uiPriority w:val="99"/>
    <w:qFormat/>
    <w:rsid w:val="002164D7"/>
    <w:pPr>
      <w:keepNext/>
      <w:widowControl w:val="0"/>
      <w:numPr>
        <w:numId w:val="1"/>
      </w:numPr>
      <w:spacing w:before="360" w:after="240"/>
      <w:ind w:left="714" w:hanging="357"/>
      <w:jc w:val="left"/>
      <w:outlineLvl w:val="0"/>
    </w:pPr>
    <w:rPr>
      <w:rFonts w:eastAsia="Times New Roman"/>
      <w:b/>
      <w:bCs/>
      <w:kern w:val="32"/>
      <w:szCs w:val="32"/>
      <w:lang w:val="it-IT" w:eastAsia="it-IT"/>
    </w:rPr>
  </w:style>
  <w:style w:type="paragraph" w:styleId="Heading2">
    <w:name w:val="heading 2"/>
    <w:basedOn w:val="Normal"/>
    <w:next w:val="Normal"/>
    <w:link w:val="Heading2Char"/>
    <w:semiHidden/>
    <w:unhideWhenUsed/>
    <w:qFormat/>
    <w:locked/>
    <w:rsid w:val="00405F0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4F7D61"/>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nhideWhenUsed/>
    <w:qFormat/>
    <w:locked/>
    <w:rsid w:val="00D42E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64D7"/>
    <w:rPr>
      <w:rFonts w:ascii="Times New Roman" w:eastAsia="Times New Roman" w:hAnsi="Times New Roman"/>
      <w:b/>
      <w:bCs/>
      <w:kern w:val="32"/>
      <w:szCs w:val="32"/>
      <w:lang w:val="it-IT" w:eastAsia="it-IT"/>
    </w:rPr>
  </w:style>
  <w:style w:type="character" w:customStyle="1" w:styleId="Heading3Char">
    <w:name w:val="Heading 3 Char"/>
    <w:basedOn w:val="DefaultParagraphFont"/>
    <w:link w:val="Heading3"/>
    <w:uiPriority w:val="99"/>
    <w:semiHidden/>
    <w:locked/>
    <w:rsid w:val="004F7D61"/>
    <w:rPr>
      <w:rFonts w:ascii="Calibri Light" w:hAnsi="Calibri Light"/>
      <w:b/>
      <w:sz w:val="26"/>
      <w:lang w:val="en-GB" w:eastAsia="zh-CN"/>
    </w:rPr>
  </w:style>
  <w:style w:type="paragraph" w:customStyle="1" w:styleId="MTDisplayEquation">
    <w:name w:val="MTDisplayEquation"/>
    <w:basedOn w:val="Normal"/>
    <w:next w:val="Normal"/>
    <w:link w:val="MTDisplayEquationCarattere"/>
    <w:uiPriority w:val="99"/>
    <w:rsid w:val="007D25EF"/>
    <w:pPr>
      <w:widowControl w:val="0"/>
      <w:tabs>
        <w:tab w:val="center" w:pos="4820"/>
        <w:tab w:val="right" w:pos="9640"/>
      </w:tabs>
      <w:spacing w:before="120" w:after="120"/>
    </w:pPr>
    <w:rPr>
      <w:szCs w:val="20"/>
    </w:rPr>
  </w:style>
  <w:style w:type="character" w:customStyle="1" w:styleId="MTDisplayEquationCarattere">
    <w:name w:val="MTDisplayEquation Carattere"/>
    <w:link w:val="MTDisplayEquation"/>
    <w:uiPriority w:val="99"/>
    <w:locked/>
    <w:rsid w:val="007D25EF"/>
    <w:rPr>
      <w:rFonts w:ascii="Times New Roman" w:eastAsia="SimSun" w:hAnsi="Times New Roman"/>
      <w:sz w:val="24"/>
      <w:lang w:val="en-GB" w:eastAsia="zh-CN"/>
    </w:rPr>
  </w:style>
  <w:style w:type="paragraph" w:styleId="BalloonText">
    <w:name w:val="Balloon Text"/>
    <w:basedOn w:val="Normal"/>
    <w:link w:val="BalloonTextChar"/>
    <w:uiPriority w:val="99"/>
    <w:semiHidden/>
    <w:rsid w:val="007973D3"/>
    <w:rPr>
      <w:rFonts w:ascii="Arial" w:hAnsi="Arial"/>
      <w:sz w:val="18"/>
      <w:szCs w:val="18"/>
    </w:rPr>
  </w:style>
  <w:style w:type="character" w:customStyle="1" w:styleId="BalloonTextChar">
    <w:name w:val="Balloon Text Char"/>
    <w:basedOn w:val="DefaultParagraphFont"/>
    <w:link w:val="BalloonText"/>
    <w:uiPriority w:val="99"/>
    <w:semiHidden/>
    <w:locked/>
    <w:rsid w:val="007973D3"/>
    <w:rPr>
      <w:rFonts w:ascii="Arial" w:eastAsia="SimSun" w:hAnsi="Arial"/>
      <w:sz w:val="18"/>
      <w:lang w:val="en-GB" w:eastAsia="zh-CN"/>
    </w:rPr>
  </w:style>
  <w:style w:type="paragraph" w:styleId="Caption">
    <w:name w:val="caption"/>
    <w:basedOn w:val="Normal"/>
    <w:next w:val="Normal"/>
    <w:link w:val="CaptionChar"/>
    <w:uiPriority w:val="35"/>
    <w:qFormat/>
    <w:rsid w:val="00C428B4"/>
    <w:pPr>
      <w:widowControl w:val="0"/>
      <w:spacing w:after="120"/>
      <w:jc w:val="center"/>
    </w:pPr>
    <w:rPr>
      <w:rFonts w:eastAsia="Times New Roman"/>
      <w:bCs/>
      <w:szCs w:val="20"/>
      <w:lang w:val="it-IT" w:eastAsia="it-IT"/>
    </w:rPr>
  </w:style>
  <w:style w:type="paragraph" w:customStyle="1" w:styleId="Authors">
    <w:name w:val="Authors"/>
    <w:basedOn w:val="Normal"/>
    <w:uiPriority w:val="99"/>
    <w:rsid w:val="004F7D61"/>
    <w:pPr>
      <w:widowControl w:val="0"/>
      <w:spacing w:after="360"/>
      <w:jc w:val="center"/>
    </w:pPr>
  </w:style>
  <w:style w:type="character" w:styleId="Hyperlink">
    <w:name w:val="Hyperlink"/>
    <w:basedOn w:val="DefaultParagraphFont"/>
    <w:uiPriority w:val="99"/>
    <w:rsid w:val="004F7D61"/>
    <w:rPr>
      <w:rFonts w:cs="Times New Roman"/>
      <w:color w:val="0000FF"/>
      <w:u w:val="single"/>
    </w:rPr>
  </w:style>
  <w:style w:type="paragraph" w:customStyle="1" w:styleId="PaperTITLE">
    <w:name w:val="Paper_TITLE"/>
    <w:basedOn w:val="Heading1"/>
    <w:uiPriority w:val="99"/>
    <w:rsid w:val="004F7D61"/>
    <w:pPr>
      <w:numPr>
        <w:numId w:val="0"/>
      </w:numPr>
      <w:spacing w:before="120"/>
    </w:pPr>
    <w:rPr>
      <w:rFonts w:eastAsia="SimSun"/>
      <w:b w:val="0"/>
      <w:lang w:val="en-GB" w:eastAsia="zh-CN"/>
    </w:rPr>
  </w:style>
  <w:style w:type="paragraph" w:customStyle="1" w:styleId="Authoraffiliation">
    <w:name w:val="Author affiliation"/>
    <w:basedOn w:val="Authors"/>
    <w:next w:val="Authors"/>
    <w:uiPriority w:val="99"/>
    <w:rsid w:val="004F7D61"/>
    <w:pPr>
      <w:autoSpaceDE w:val="0"/>
      <w:autoSpaceDN w:val="0"/>
      <w:adjustRightInd w:val="0"/>
      <w:spacing w:before="120" w:after="240"/>
    </w:pPr>
    <w:rPr>
      <w:rFonts w:eastAsia="Calibri"/>
      <w:bCs/>
      <w:color w:val="000000"/>
      <w:szCs w:val="20"/>
      <w:lang w:val="it-IT" w:eastAsia="en-US"/>
    </w:rPr>
  </w:style>
  <w:style w:type="paragraph" w:customStyle="1" w:styleId="textCarattere">
    <w:name w:val="text Carattere"/>
    <w:basedOn w:val="Normal"/>
    <w:link w:val="textCarattereCarattere"/>
    <w:uiPriority w:val="99"/>
    <w:rsid w:val="004F7D61"/>
    <w:pPr>
      <w:widowControl w:val="0"/>
    </w:pPr>
    <w:rPr>
      <w:szCs w:val="20"/>
    </w:rPr>
  </w:style>
  <w:style w:type="character" w:customStyle="1" w:styleId="textCarattereCarattere">
    <w:name w:val="text Carattere Carattere"/>
    <w:link w:val="textCarattere"/>
    <w:uiPriority w:val="99"/>
    <w:locked/>
    <w:rsid w:val="004F7D61"/>
    <w:rPr>
      <w:rFonts w:ascii="Times New Roman" w:eastAsia="SimSun" w:hAnsi="Times New Roman"/>
      <w:sz w:val="24"/>
      <w:lang w:val="en-GB" w:eastAsia="zh-CN"/>
    </w:rPr>
  </w:style>
  <w:style w:type="paragraph" w:customStyle="1" w:styleId="StileTitolo1Sinistro063cmPrimariga0cm">
    <w:name w:val="Stile Titolo 1 + Sinistro:  0.63 cm Prima riga:  0 cm"/>
    <w:basedOn w:val="Heading1"/>
    <w:uiPriority w:val="99"/>
    <w:rsid w:val="004F7D61"/>
    <w:pPr>
      <w:ind w:left="357" w:firstLine="0"/>
    </w:pPr>
    <w:rPr>
      <w:bCs w:val="0"/>
      <w:szCs w:val="20"/>
    </w:rPr>
  </w:style>
  <w:style w:type="paragraph" w:customStyle="1" w:styleId="Referencetext">
    <w:name w:val="Reference text"/>
    <w:basedOn w:val="Normal"/>
    <w:link w:val="ReferencetextChar"/>
    <w:uiPriority w:val="99"/>
    <w:rsid w:val="0053548D"/>
    <w:pPr>
      <w:widowControl w:val="0"/>
      <w:numPr>
        <w:numId w:val="3"/>
      </w:numPr>
      <w:spacing w:after="60"/>
      <w:ind w:left="357" w:hanging="357"/>
    </w:pPr>
    <w:rPr>
      <w:rFonts w:eastAsia="Calibri"/>
      <w:szCs w:val="20"/>
      <w:lang w:eastAsia="nl-NL"/>
    </w:rPr>
  </w:style>
  <w:style w:type="character" w:customStyle="1" w:styleId="ReferencetextChar">
    <w:name w:val="Reference text Char"/>
    <w:link w:val="Referencetext"/>
    <w:uiPriority w:val="99"/>
    <w:locked/>
    <w:rsid w:val="0053548D"/>
    <w:rPr>
      <w:rFonts w:ascii="Times New Roman" w:hAnsi="Times New Roman"/>
      <w:lang w:eastAsia="nl-NL"/>
    </w:rPr>
  </w:style>
  <w:style w:type="paragraph" w:customStyle="1" w:styleId="StileReferencetextCorsivo">
    <w:name w:val="Stile Reference text + Corsivo"/>
    <w:basedOn w:val="Referencetext"/>
    <w:link w:val="StileReferencetextCorsivoCarattere"/>
    <w:uiPriority w:val="99"/>
    <w:rsid w:val="004F7D61"/>
    <w:rPr>
      <w:i/>
    </w:rPr>
  </w:style>
  <w:style w:type="character" w:customStyle="1" w:styleId="StileReferencetextCorsivoCarattere">
    <w:name w:val="Stile Reference text + Corsivo Carattere"/>
    <w:link w:val="StileReferencetextCorsivo"/>
    <w:uiPriority w:val="99"/>
    <w:locked/>
    <w:rsid w:val="004F7D61"/>
    <w:rPr>
      <w:rFonts w:ascii="Times New Roman" w:hAnsi="Times New Roman"/>
      <w:i/>
      <w:lang w:eastAsia="nl-NL"/>
    </w:rPr>
  </w:style>
  <w:style w:type="paragraph" w:customStyle="1" w:styleId="StileReferencetextAllineatoasinistradopo3ptInterlinea">
    <w:name w:val="Stile Reference text + Allineato a sinistra  dopo 3 pt Interlinea..."/>
    <w:basedOn w:val="Referencetext"/>
    <w:uiPriority w:val="99"/>
    <w:rsid w:val="0053548D"/>
    <w:pPr>
      <w:jc w:val="left"/>
    </w:pPr>
    <w:rPr>
      <w:sz w:val="24"/>
    </w:rPr>
  </w:style>
  <w:style w:type="paragraph" w:styleId="ListParagraph">
    <w:name w:val="List Paragraph"/>
    <w:basedOn w:val="Normal"/>
    <w:uiPriority w:val="34"/>
    <w:qFormat/>
    <w:rsid w:val="00EE0581"/>
    <w:pPr>
      <w:ind w:left="708"/>
    </w:pPr>
  </w:style>
  <w:style w:type="paragraph" w:customStyle="1" w:styleId="StileDopo6pt">
    <w:name w:val="Stile Dopo:  6 pt"/>
    <w:basedOn w:val="Normal"/>
    <w:link w:val="StileDopo6ptChar"/>
    <w:uiPriority w:val="99"/>
    <w:rsid w:val="009711A2"/>
    <w:pPr>
      <w:widowControl w:val="0"/>
      <w:ind w:firstLine="170"/>
    </w:pPr>
    <w:rPr>
      <w:szCs w:val="20"/>
      <w:lang w:val="it-IT"/>
    </w:rPr>
  </w:style>
  <w:style w:type="character" w:customStyle="1" w:styleId="StileDopo6ptChar">
    <w:name w:val="Stile Dopo:  6 pt Char"/>
    <w:link w:val="StileDopo6pt"/>
    <w:uiPriority w:val="99"/>
    <w:locked/>
    <w:rsid w:val="009711A2"/>
    <w:rPr>
      <w:rFonts w:ascii="Times New Roman" w:eastAsia="SimSun" w:hAnsi="Times New Roman"/>
      <w:sz w:val="24"/>
      <w:lang w:val="it-IT" w:eastAsia="zh-CN"/>
    </w:rPr>
  </w:style>
  <w:style w:type="paragraph" w:customStyle="1" w:styleId="StileDidascaliaSinistro0cmPrimariga0cmprima0pt">
    <w:name w:val="Stile Didascalia + Sinistro:  0 cm Prima riga:  0 cm prima 0 pt"/>
    <w:basedOn w:val="Caption"/>
    <w:uiPriority w:val="99"/>
    <w:rsid w:val="00881539"/>
    <w:pPr>
      <w:tabs>
        <w:tab w:val="left" w:pos="1080"/>
      </w:tabs>
      <w:suppressAutoHyphens/>
      <w:autoSpaceDE w:val="0"/>
      <w:autoSpaceDN w:val="0"/>
      <w:adjustRightInd w:val="0"/>
      <w:spacing w:before="120" w:after="240"/>
    </w:pPr>
    <w:rPr>
      <w:rFonts w:eastAsia="SimSun"/>
      <w:bCs w:val="0"/>
      <w:color w:val="000000"/>
      <w:lang w:val="en-US" w:eastAsia="en-US"/>
    </w:rPr>
  </w:style>
  <w:style w:type="character" w:styleId="CommentReference">
    <w:name w:val="annotation reference"/>
    <w:basedOn w:val="DefaultParagraphFont"/>
    <w:uiPriority w:val="99"/>
    <w:semiHidden/>
    <w:rsid w:val="004147D2"/>
    <w:rPr>
      <w:rFonts w:cs="Times New Roman"/>
      <w:sz w:val="16"/>
    </w:rPr>
  </w:style>
  <w:style w:type="paragraph" w:styleId="CommentText">
    <w:name w:val="annotation text"/>
    <w:basedOn w:val="Normal"/>
    <w:link w:val="CommentTextChar"/>
    <w:uiPriority w:val="99"/>
    <w:rsid w:val="004147D2"/>
    <w:rPr>
      <w:szCs w:val="20"/>
    </w:rPr>
  </w:style>
  <w:style w:type="character" w:customStyle="1" w:styleId="CommentTextChar">
    <w:name w:val="Comment Text Char"/>
    <w:basedOn w:val="DefaultParagraphFont"/>
    <w:link w:val="CommentText"/>
    <w:uiPriority w:val="99"/>
    <w:locked/>
    <w:rsid w:val="004147D2"/>
    <w:rPr>
      <w:rFonts w:ascii="Times New Roman" w:eastAsia="SimSun" w:hAnsi="Times New Roman"/>
      <w:lang w:val="en-GB" w:eastAsia="zh-CN"/>
    </w:rPr>
  </w:style>
  <w:style w:type="paragraph" w:styleId="CommentSubject">
    <w:name w:val="annotation subject"/>
    <w:basedOn w:val="CommentText"/>
    <w:next w:val="CommentText"/>
    <w:link w:val="CommentSubjectChar"/>
    <w:uiPriority w:val="99"/>
    <w:semiHidden/>
    <w:rsid w:val="004147D2"/>
    <w:rPr>
      <w:b/>
      <w:bCs/>
    </w:rPr>
  </w:style>
  <w:style w:type="character" w:customStyle="1" w:styleId="CommentSubjectChar">
    <w:name w:val="Comment Subject Char"/>
    <w:basedOn w:val="CommentTextChar"/>
    <w:link w:val="CommentSubject"/>
    <w:uiPriority w:val="99"/>
    <w:semiHidden/>
    <w:locked/>
    <w:rsid w:val="004147D2"/>
    <w:rPr>
      <w:rFonts w:ascii="Times New Roman" w:eastAsia="SimSun" w:hAnsi="Times New Roman"/>
      <w:b/>
      <w:lang w:val="en-GB" w:eastAsia="zh-CN"/>
    </w:rPr>
  </w:style>
  <w:style w:type="paragraph" w:customStyle="1" w:styleId="StileReferencesdopo3ptInterlineadoppia">
    <w:name w:val="Stile References +  dopo 3 pt Interlinea doppia"/>
    <w:basedOn w:val="Normal"/>
    <w:uiPriority w:val="99"/>
    <w:rsid w:val="00A80BC7"/>
    <w:pPr>
      <w:widowControl w:val="0"/>
      <w:numPr>
        <w:numId w:val="2"/>
      </w:numPr>
      <w:tabs>
        <w:tab w:val="left" w:pos="1276"/>
        <w:tab w:val="left" w:pos="5529"/>
        <w:tab w:val="left" w:pos="8789"/>
      </w:tabs>
      <w:autoSpaceDE w:val="0"/>
      <w:autoSpaceDN w:val="0"/>
      <w:adjustRightInd w:val="0"/>
      <w:spacing w:after="60"/>
    </w:pPr>
    <w:rPr>
      <w:rFonts w:eastAsia="Calibri"/>
      <w:color w:val="000000"/>
      <w:szCs w:val="22"/>
      <w:lang w:val="en-US" w:eastAsia="en-US"/>
    </w:rPr>
  </w:style>
  <w:style w:type="table" w:styleId="TableGrid">
    <w:name w:val="Table Grid"/>
    <w:basedOn w:val="TableNormal"/>
    <w:uiPriority w:val="59"/>
    <w:rsid w:val="0013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209B"/>
    <w:rPr>
      <w:rFonts w:ascii="Times New Roman" w:eastAsia="SimSun" w:hAnsi="Times New Roman"/>
      <w:sz w:val="24"/>
      <w:szCs w:val="24"/>
      <w:lang w:eastAsia="zh-CN"/>
    </w:rPr>
  </w:style>
  <w:style w:type="paragraph" w:customStyle="1" w:styleId="Title2">
    <w:name w:val="Title2"/>
    <w:basedOn w:val="Normal"/>
    <w:autoRedefine/>
    <w:uiPriority w:val="99"/>
    <w:rsid w:val="00273353"/>
    <w:pPr>
      <w:widowControl w:val="0"/>
      <w:spacing w:before="120" w:after="60"/>
    </w:pPr>
    <w:rPr>
      <w:b/>
      <w:bCs/>
      <w:szCs w:val="20"/>
      <w:lang w:val="en-US"/>
    </w:rPr>
  </w:style>
  <w:style w:type="character" w:customStyle="1" w:styleId="Heading4Char">
    <w:name w:val="Heading 4 Char"/>
    <w:basedOn w:val="DefaultParagraphFont"/>
    <w:link w:val="Heading4"/>
    <w:rsid w:val="00D42E51"/>
    <w:rPr>
      <w:rFonts w:asciiTheme="majorHAnsi" w:eastAsiaTheme="majorEastAsia" w:hAnsiTheme="majorHAnsi" w:cstheme="majorBidi"/>
      <w:i/>
      <w:iCs/>
      <w:color w:val="365F91" w:themeColor="accent1" w:themeShade="BF"/>
      <w:szCs w:val="24"/>
      <w:lang w:eastAsia="zh-CN"/>
    </w:rPr>
  </w:style>
  <w:style w:type="paragraph" w:styleId="Header">
    <w:name w:val="header"/>
    <w:basedOn w:val="Normal"/>
    <w:link w:val="HeaderChar"/>
    <w:uiPriority w:val="99"/>
    <w:unhideWhenUsed/>
    <w:rsid w:val="00692578"/>
    <w:pPr>
      <w:tabs>
        <w:tab w:val="center" w:pos="4513"/>
        <w:tab w:val="right" w:pos="9026"/>
      </w:tabs>
    </w:pPr>
  </w:style>
  <w:style w:type="character" w:customStyle="1" w:styleId="HeaderChar">
    <w:name w:val="Header Char"/>
    <w:basedOn w:val="DefaultParagraphFont"/>
    <w:link w:val="Header"/>
    <w:uiPriority w:val="99"/>
    <w:rsid w:val="00692578"/>
    <w:rPr>
      <w:rFonts w:ascii="Times New Roman" w:eastAsia="SimSun" w:hAnsi="Times New Roman"/>
      <w:szCs w:val="24"/>
      <w:lang w:eastAsia="zh-CN"/>
    </w:rPr>
  </w:style>
  <w:style w:type="paragraph" w:styleId="Footer">
    <w:name w:val="footer"/>
    <w:basedOn w:val="Normal"/>
    <w:link w:val="FooterChar"/>
    <w:uiPriority w:val="99"/>
    <w:unhideWhenUsed/>
    <w:rsid w:val="00692578"/>
    <w:pPr>
      <w:tabs>
        <w:tab w:val="center" w:pos="4513"/>
        <w:tab w:val="right" w:pos="9026"/>
      </w:tabs>
    </w:pPr>
  </w:style>
  <w:style w:type="character" w:customStyle="1" w:styleId="FooterChar">
    <w:name w:val="Footer Char"/>
    <w:basedOn w:val="DefaultParagraphFont"/>
    <w:link w:val="Footer"/>
    <w:uiPriority w:val="99"/>
    <w:rsid w:val="00692578"/>
    <w:rPr>
      <w:rFonts w:ascii="Times New Roman" w:eastAsia="SimSun" w:hAnsi="Times New Roman"/>
      <w:szCs w:val="24"/>
      <w:lang w:eastAsia="zh-CN"/>
    </w:rPr>
  </w:style>
  <w:style w:type="table" w:customStyle="1" w:styleId="HelleSchattierung1">
    <w:name w:val="Helle Schattierung1"/>
    <w:basedOn w:val="TableNormal"/>
    <w:uiPriority w:val="60"/>
    <w:rsid w:val="00A72FCC"/>
    <w:rPr>
      <w:rFonts w:ascii="Times New Roman" w:eastAsia="Times New Roman" w:hAnsi="Times New Roman"/>
      <w:color w:val="000000" w:themeColor="text1" w:themeShade="BF"/>
      <w:lang w:val="en-US" w:eastAsia="zh-CN" w:bidi="th-TH"/>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aption">
    <w:name w:val="Table caption"/>
    <w:basedOn w:val="Caption"/>
    <w:link w:val="TablecaptionChar"/>
    <w:qFormat/>
    <w:rsid w:val="007C1192"/>
    <w:pPr>
      <w:keepNext/>
      <w:spacing w:before="240" w:after="60" w:line="264" w:lineRule="auto"/>
      <w:jc w:val="both"/>
    </w:pPr>
    <w:rPr>
      <w:b/>
      <w:color w:val="000000" w:themeColor="text1"/>
      <w:szCs w:val="14"/>
      <w:lang w:val="de-DE" w:eastAsia="de-DE"/>
    </w:rPr>
  </w:style>
  <w:style w:type="character" w:customStyle="1" w:styleId="TablecaptionChar">
    <w:name w:val="Table caption Char"/>
    <w:basedOn w:val="DefaultParagraphFont"/>
    <w:link w:val="Tablecaption"/>
    <w:rsid w:val="007C1192"/>
    <w:rPr>
      <w:rFonts w:ascii="Times New Roman" w:eastAsia="Times New Roman" w:hAnsi="Times New Roman"/>
      <w:b/>
      <w:bCs/>
      <w:color w:val="000000" w:themeColor="text1"/>
      <w:szCs w:val="14"/>
      <w:lang w:val="de-DE" w:eastAsia="de-DE"/>
    </w:rPr>
  </w:style>
  <w:style w:type="character" w:customStyle="1" w:styleId="CaptionChar">
    <w:name w:val="Caption Char"/>
    <w:basedOn w:val="DefaultParagraphFont"/>
    <w:link w:val="Caption"/>
    <w:uiPriority w:val="35"/>
    <w:rsid w:val="00C428B4"/>
    <w:rPr>
      <w:rFonts w:ascii="Times New Roman" w:eastAsia="Times New Roman" w:hAnsi="Times New Roman"/>
      <w:bCs/>
      <w:lang w:val="it-IT" w:eastAsia="it-IT"/>
    </w:rPr>
  </w:style>
  <w:style w:type="paragraph" w:customStyle="1" w:styleId="ListeLiteratur">
    <w:name w:val="Liste: Literatur"/>
    <w:basedOn w:val="Normal"/>
    <w:link w:val="ListeLiteraturZchn"/>
    <w:qFormat/>
    <w:rsid w:val="0033787A"/>
    <w:pPr>
      <w:widowControl w:val="0"/>
      <w:numPr>
        <w:numId w:val="4"/>
      </w:numPr>
      <w:spacing w:after="204" w:line="264" w:lineRule="auto"/>
      <w:ind w:left="357" w:hanging="357"/>
    </w:pPr>
    <w:rPr>
      <w:rFonts w:ascii="Lato" w:eastAsia="Times New Roman" w:hAnsi="Lato"/>
      <w:iCs/>
      <w:sz w:val="17"/>
      <w:szCs w:val="20"/>
      <w:lang w:val="de-DE" w:eastAsia="de-DE"/>
    </w:rPr>
  </w:style>
  <w:style w:type="character" w:customStyle="1" w:styleId="ListeLiteraturZchn">
    <w:name w:val="Liste: Literatur Zchn"/>
    <w:basedOn w:val="DefaultParagraphFont"/>
    <w:link w:val="ListeLiteratur"/>
    <w:rsid w:val="0033787A"/>
    <w:rPr>
      <w:rFonts w:ascii="Lato" w:eastAsia="Times New Roman" w:hAnsi="Lato"/>
      <w:iCs/>
      <w:sz w:val="17"/>
      <w:lang w:val="de-DE" w:eastAsia="de-DE"/>
    </w:rPr>
  </w:style>
  <w:style w:type="character" w:customStyle="1" w:styleId="Heading2Char">
    <w:name w:val="Heading 2 Char"/>
    <w:basedOn w:val="DefaultParagraphFont"/>
    <w:link w:val="Heading2"/>
    <w:semiHidden/>
    <w:rsid w:val="00405F03"/>
    <w:rPr>
      <w:rFonts w:asciiTheme="majorHAnsi" w:eastAsiaTheme="majorEastAsia" w:hAnsiTheme="majorHAnsi" w:cstheme="majorBidi"/>
      <w:color w:val="365F91" w:themeColor="accent1" w:themeShade="BF"/>
      <w:sz w:val="26"/>
      <w:szCs w:val="26"/>
      <w:lang w:eastAsia="zh-CN"/>
    </w:rPr>
  </w:style>
  <w:style w:type="character" w:customStyle="1" w:styleId="UnresolvedMention1">
    <w:name w:val="Unresolved Mention1"/>
    <w:basedOn w:val="DefaultParagraphFont"/>
    <w:uiPriority w:val="99"/>
    <w:semiHidden/>
    <w:unhideWhenUsed/>
    <w:rsid w:val="008D2178"/>
    <w:rPr>
      <w:color w:val="605E5C"/>
      <w:shd w:val="clear" w:color="auto" w:fill="E1DFDD"/>
    </w:rPr>
  </w:style>
  <w:style w:type="character" w:styleId="PlaceholderText">
    <w:name w:val="Placeholder Text"/>
    <w:basedOn w:val="DefaultParagraphFont"/>
    <w:uiPriority w:val="99"/>
    <w:semiHidden/>
    <w:rsid w:val="00540893"/>
    <w:rPr>
      <w:color w:val="808080"/>
    </w:rPr>
  </w:style>
  <w:style w:type="paragraph" w:styleId="FootnoteText">
    <w:name w:val="footnote text"/>
    <w:basedOn w:val="Normal"/>
    <w:link w:val="FootnoteTextChar"/>
    <w:uiPriority w:val="99"/>
    <w:semiHidden/>
    <w:unhideWhenUsed/>
    <w:rsid w:val="00A04A53"/>
    <w:rPr>
      <w:szCs w:val="20"/>
    </w:rPr>
  </w:style>
  <w:style w:type="character" w:customStyle="1" w:styleId="FootnoteTextChar">
    <w:name w:val="Footnote Text Char"/>
    <w:basedOn w:val="DefaultParagraphFont"/>
    <w:link w:val="FootnoteText"/>
    <w:uiPriority w:val="99"/>
    <w:semiHidden/>
    <w:rsid w:val="00A04A53"/>
    <w:rPr>
      <w:rFonts w:ascii="Times New Roman" w:eastAsia="SimSun" w:hAnsi="Times New Roman"/>
      <w:lang w:eastAsia="zh-CN"/>
    </w:rPr>
  </w:style>
  <w:style w:type="character" w:styleId="FootnoteReference">
    <w:name w:val="footnote reference"/>
    <w:basedOn w:val="DefaultParagraphFont"/>
    <w:uiPriority w:val="99"/>
    <w:semiHidden/>
    <w:unhideWhenUsed/>
    <w:rsid w:val="00A04A53"/>
    <w:rPr>
      <w:vertAlign w:val="superscript"/>
    </w:rPr>
  </w:style>
  <w:style w:type="paragraph" w:styleId="TOCHeading">
    <w:name w:val="TOC Heading"/>
    <w:basedOn w:val="Heading1"/>
    <w:next w:val="Normal"/>
    <w:uiPriority w:val="39"/>
    <w:unhideWhenUsed/>
    <w:qFormat/>
    <w:rsid w:val="000353D5"/>
    <w:pPr>
      <w:keepLines/>
      <w:widowControl/>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1">
    <w:name w:val="toc 1"/>
    <w:basedOn w:val="Normal"/>
    <w:next w:val="Normal"/>
    <w:autoRedefine/>
    <w:uiPriority w:val="39"/>
    <w:locked/>
    <w:rsid w:val="000353D5"/>
    <w:pPr>
      <w:spacing w:after="100"/>
    </w:pPr>
  </w:style>
  <w:style w:type="paragraph" w:styleId="TOC3">
    <w:name w:val="toc 3"/>
    <w:basedOn w:val="Normal"/>
    <w:next w:val="Normal"/>
    <w:autoRedefine/>
    <w:uiPriority w:val="39"/>
    <w:locked/>
    <w:rsid w:val="000353D5"/>
    <w:pPr>
      <w:spacing w:after="100"/>
      <w:ind w:left="400"/>
    </w:pPr>
  </w:style>
  <w:style w:type="character" w:styleId="LineNumber">
    <w:name w:val="line number"/>
    <w:basedOn w:val="DefaultParagraphFont"/>
    <w:uiPriority w:val="99"/>
    <w:semiHidden/>
    <w:unhideWhenUsed/>
    <w:rsid w:val="00DF3BB3"/>
  </w:style>
  <w:style w:type="paragraph" w:customStyle="1" w:styleId="References">
    <w:name w:val="References"/>
    <w:basedOn w:val="Normal"/>
    <w:link w:val="ReferencesChar"/>
    <w:qFormat/>
    <w:rsid w:val="004A5724"/>
    <w:pPr>
      <w:numPr>
        <w:numId w:val="17"/>
      </w:numPr>
      <w:tabs>
        <w:tab w:val="left" w:pos="360"/>
      </w:tabs>
      <w:autoSpaceDE w:val="0"/>
      <w:autoSpaceDN w:val="0"/>
      <w:spacing w:after="120" w:line="240" w:lineRule="auto"/>
      <w:ind w:left="357" w:hanging="357"/>
    </w:pPr>
    <w:rPr>
      <w:rFonts w:ascii="Calibri" w:eastAsia="Times New Roman" w:hAnsi="Calibri"/>
      <w:sz w:val="24"/>
      <w:lang w:val="de-DE" w:eastAsia="it-IT"/>
    </w:rPr>
  </w:style>
  <w:style w:type="character" w:customStyle="1" w:styleId="ReferencesChar">
    <w:name w:val="References Char"/>
    <w:link w:val="References"/>
    <w:rsid w:val="004A5724"/>
    <w:rPr>
      <w:rFonts w:eastAsia="Times New Roman"/>
      <w:sz w:val="24"/>
      <w:szCs w:val="24"/>
      <w:lang w:val="de-DE" w:eastAsia="it-IT"/>
    </w:rPr>
  </w:style>
  <w:style w:type="character" w:styleId="FollowedHyperlink">
    <w:name w:val="FollowedHyperlink"/>
    <w:basedOn w:val="DefaultParagraphFont"/>
    <w:uiPriority w:val="99"/>
    <w:semiHidden/>
    <w:unhideWhenUsed/>
    <w:rsid w:val="006C24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07821">
      <w:bodyDiv w:val="1"/>
      <w:marLeft w:val="0"/>
      <w:marRight w:val="0"/>
      <w:marTop w:val="0"/>
      <w:marBottom w:val="0"/>
      <w:divBdr>
        <w:top w:val="none" w:sz="0" w:space="0" w:color="auto"/>
        <w:left w:val="none" w:sz="0" w:space="0" w:color="auto"/>
        <w:bottom w:val="none" w:sz="0" w:space="0" w:color="auto"/>
        <w:right w:val="none" w:sz="0" w:space="0" w:color="auto"/>
      </w:divBdr>
    </w:div>
    <w:div w:id="665328098">
      <w:bodyDiv w:val="1"/>
      <w:marLeft w:val="0"/>
      <w:marRight w:val="0"/>
      <w:marTop w:val="0"/>
      <w:marBottom w:val="0"/>
      <w:divBdr>
        <w:top w:val="none" w:sz="0" w:space="0" w:color="auto"/>
        <w:left w:val="none" w:sz="0" w:space="0" w:color="auto"/>
        <w:bottom w:val="none" w:sz="0" w:space="0" w:color="auto"/>
        <w:right w:val="none" w:sz="0" w:space="0" w:color="auto"/>
      </w:divBdr>
    </w:div>
    <w:div w:id="687754712">
      <w:bodyDiv w:val="1"/>
      <w:marLeft w:val="0"/>
      <w:marRight w:val="0"/>
      <w:marTop w:val="0"/>
      <w:marBottom w:val="0"/>
      <w:divBdr>
        <w:top w:val="none" w:sz="0" w:space="0" w:color="auto"/>
        <w:left w:val="none" w:sz="0" w:space="0" w:color="auto"/>
        <w:bottom w:val="none" w:sz="0" w:space="0" w:color="auto"/>
        <w:right w:val="none" w:sz="0" w:space="0" w:color="auto"/>
      </w:divBdr>
    </w:div>
    <w:div w:id="809397807">
      <w:bodyDiv w:val="1"/>
      <w:marLeft w:val="0"/>
      <w:marRight w:val="0"/>
      <w:marTop w:val="0"/>
      <w:marBottom w:val="0"/>
      <w:divBdr>
        <w:top w:val="none" w:sz="0" w:space="0" w:color="auto"/>
        <w:left w:val="none" w:sz="0" w:space="0" w:color="auto"/>
        <w:bottom w:val="none" w:sz="0" w:space="0" w:color="auto"/>
        <w:right w:val="none" w:sz="0" w:space="0" w:color="auto"/>
      </w:divBdr>
    </w:div>
    <w:div w:id="825165781">
      <w:bodyDiv w:val="1"/>
      <w:marLeft w:val="0"/>
      <w:marRight w:val="0"/>
      <w:marTop w:val="0"/>
      <w:marBottom w:val="0"/>
      <w:divBdr>
        <w:top w:val="none" w:sz="0" w:space="0" w:color="auto"/>
        <w:left w:val="none" w:sz="0" w:space="0" w:color="auto"/>
        <w:bottom w:val="none" w:sz="0" w:space="0" w:color="auto"/>
        <w:right w:val="none" w:sz="0" w:space="0" w:color="auto"/>
      </w:divBdr>
    </w:div>
    <w:div w:id="843325861">
      <w:bodyDiv w:val="1"/>
      <w:marLeft w:val="0"/>
      <w:marRight w:val="0"/>
      <w:marTop w:val="0"/>
      <w:marBottom w:val="0"/>
      <w:divBdr>
        <w:top w:val="none" w:sz="0" w:space="0" w:color="auto"/>
        <w:left w:val="none" w:sz="0" w:space="0" w:color="auto"/>
        <w:bottom w:val="none" w:sz="0" w:space="0" w:color="auto"/>
        <w:right w:val="none" w:sz="0" w:space="0" w:color="auto"/>
      </w:divBdr>
      <w:divsChild>
        <w:div w:id="1636762252">
          <w:marLeft w:val="0"/>
          <w:marRight w:val="0"/>
          <w:marTop w:val="0"/>
          <w:marBottom w:val="0"/>
          <w:divBdr>
            <w:top w:val="none" w:sz="0" w:space="0" w:color="auto"/>
            <w:left w:val="none" w:sz="0" w:space="0" w:color="auto"/>
            <w:bottom w:val="none" w:sz="0" w:space="0" w:color="auto"/>
            <w:right w:val="none" w:sz="0" w:space="0" w:color="auto"/>
          </w:divBdr>
        </w:div>
      </w:divsChild>
    </w:div>
    <w:div w:id="1249535858">
      <w:marLeft w:val="0"/>
      <w:marRight w:val="0"/>
      <w:marTop w:val="0"/>
      <w:marBottom w:val="0"/>
      <w:divBdr>
        <w:top w:val="none" w:sz="0" w:space="0" w:color="auto"/>
        <w:left w:val="none" w:sz="0" w:space="0" w:color="auto"/>
        <w:bottom w:val="none" w:sz="0" w:space="0" w:color="auto"/>
        <w:right w:val="none" w:sz="0" w:space="0" w:color="auto"/>
      </w:divBdr>
      <w:divsChild>
        <w:div w:id="1249535855">
          <w:marLeft w:val="0"/>
          <w:marRight w:val="0"/>
          <w:marTop w:val="0"/>
          <w:marBottom w:val="0"/>
          <w:divBdr>
            <w:top w:val="none" w:sz="0" w:space="0" w:color="auto"/>
            <w:left w:val="none" w:sz="0" w:space="0" w:color="auto"/>
            <w:bottom w:val="none" w:sz="0" w:space="0" w:color="auto"/>
            <w:right w:val="none" w:sz="0" w:space="0" w:color="auto"/>
          </w:divBdr>
          <w:divsChild>
            <w:div w:id="1249535859">
              <w:marLeft w:val="0"/>
              <w:marRight w:val="0"/>
              <w:marTop w:val="0"/>
              <w:marBottom w:val="0"/>
              <w:divBdr>
                <w:top w:val="none" w:sz="0" w:space="0" w:color="auto"/>
                <w:left w:val="none" w:sz="0" w:space="0" w:color="auto"/>
                <w:bottom w:val="none" w:sz="0" w:space="0" w:color="auto"/>
                <w:right w:val="none" w:sz="0" w:space="0" w:color="auto"/>
              </w:divBdr>
              <w:divsChild>
                <w:div w:id="1249535856">
                  <w:marLeft w:val="0"/>
                  <w:marRight w:val="0"/>
                  <w:marTop w:val="0"/>
                  <w:marBottom w:val="0"/>
                  <w:divBdr>
                    <w:top w:val="none" w:sz="0" w:space="0" w:color="auto"/>
                    <w:left w:val="none" w:sz="0" w:space="0" w:color="auto"/>
                    <w:bottom w:val="none" w:sz="0" w:space="0" w:color="auto"/>
                    <w:right w:val="none" w:sz="0" w:space="0" w:color="auto"/>
                  </w:divBdr>
                  <w:divsChild>
                    <w:div w:id="1249535865">
                      <w:marLeft w:val="0"/>
                      <w:marRight w:val="0"/>
                      <w:marTop w:val="0"/>
                      <w:marBottom w:val="0"/>
                      <w:divBdr>
                        <w:top w:val="none" w:sz="0" w:space="0" w:color="auto"/>
                        <w:left w:val="none" w:sz="0" w:space="0" w:color="auto"/>
                        <w:bottom w:val="none" w:sz="0" w:space="0" w:color="auto"/>
                        <w:right w:val="none" w:sz="0" w:space="0" w:color="auto"/>
                      </w:divBdr>
                      <w:divsChild>
                        <w:div w:id="1249535870">
                          <w:marLeft w:val="0"/>
                          <w:marRight w:val="0"/>
                          <w:marTop w:val="0"/>
                          <w:marBottom w:val="0"/>
                          <w:divBdr>
                            <w:top w:val="none" w:sz="0" w:space="0" w:color="auto"/>
                            <w:left w:val="none" w:sz="0" w:space="0" w:color="auto"/>
                            <w:bottom w:val="none" w:sz="0" w:space="0" w:color="auto"/>
                            <w:right w:val="none" w:sz="0" w:space="0" w:color="auto"/>
                          </w:divBdr>
                          <w:divsChild>
                            <w:div w:id="12495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35862">
      <w:marLeft w:val="0"/>
      <w:marRight w:val="0"/>
      <w:marTop w:val="0"/>
      <w:marBottom w:val="0"/>
      <w:divBdr>
        <w:top w:val="none" w:sz="0" w:space="0" w:color="auto"/>
        <w:left w:val="none" w:sz="0" w:space="0" w:color="auto"/>
        <w:bottom w:val="none" w:sz="0" w:space="0" w:color="auto"/>
        <w:right w:val="none" w:sz="0" w:space="0" w:color="auto"/>
      </w:divBdr>
      <w:divsChild>
        <w:div w:id="1249535852">
          <w:marLeft w:val="0"/>
          <w:marRight w:val="0"/>
          <w:marTop w:val="0"/>
          <w:marBottom w:val="0"/>
          <w:divBdr>
            <w:top w:val="none" w:sz="0" w:space="0" w:color="auto"/>
            <w:left w:val="none" w:sz="0" w:space="0" w:color="auto"/>
            <w:bottom w:val="none" w:sz="0" w:space="0" w:color="auto"/>
            <w:right w:val="none" w:sz="0" w:space="0" w:color="auto"/>
          </w:divBdr>
          <w:divsChild>
            <w:div w:id="1249535863">
              <w:marLeft w:val="0"/>
              <w:marRight w:val="0"/>
              <w:marTop w:val="0"/>
              <w:marBottom w:val="0"/>
              <w:divBdr>
                <w:top w:val="none" w:sz="0" w:space="0" w:color="auto"/>
                <w:left w:val="none" w:sz="0" w:space="0" w:color="auto"/>
                <w:bottom w:val="none" w:sz="0" w:space="0" w:color="auto"/>
                <w:right w:val="none" w:sz="0" w:space="0" w:color="auto"/>
              </w:divBdr>
              <w:divsChild>
                <w:div w:id="1249535851">
                  <w:marLeft w:val="0"/>
                  <w:marRight w:val="0"/>
                  <w:marTop w:val="0"/>
                  <w:marBottom w:val="0"/>
                  <w:divBdr>
                    <w:top w:val="none" w:sz="0" w:space="0" w:color="auto"/>
                    <w:left w:val="none" w:sz="0" w:space="0" w:color="auto"/>
                    <w:bottom w:val="none" w:sz="0" w:space="0" w:color="auto"/>
                    <w:right w:val="none" w:sz="0" w:space="0" w:color="auto"/>
                  </w:divBdr>
                  <w:divsChild>
                    <w:div w:id="1249535867">
                      <w:marLeft w:val="0"/>
                      <w:marRight w:val="0"/>
                      <w:marTop w:val="0"/>
                      <w:marBottom w:val="0"/>
                      <w:divBdr>
                        <w:top w:val="none" w:sz="0" w:space="0" w:color="auto"/>
                        <w:left w:val="none" w:sz="0" w:space="0" w:color="auto"/>
                        <w:bottom w:val="none" w:sz="0" w:space="0" w:color="auto"/>
                        <w:right w:val="none" w:sz="0" w:space="0" w:color="auto"/>
                      </w:divBdr>
                      <w:divsChild>
                        <w:div w:id="1249535853">
                          <w:marLeft w:val="0"/>
                          <w:marRight w:val="0"/>
                          <w:marTop w:val="0"/>
                          <w:marBottom w:val="0"/>
                          <w:divBdr>
                            <w:top w:val="none" w:sz="0" w:space="0" w:color="auto"/>
                            <w:left w:val="none" w:sz="0" w:space="0" w:color="auto"/>
                            <w:bottom w:val="none" w:sz="0" w:space="0" w:color="auto"/>
                            <w:right w:val="none" w:sz="0" w:space="0" w:color="auto"/>
                          </w:divBdr>
                          <w:divsChild>
                            <w:div w:id="12495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35869">
      <w:marLeft w:val="0"/>
      <w:marRight w:val="0"/>
      <w:marTop w:val="0"/>
      <w:marBottom w:val="0"/>
      <w:divBdr>
        <w:top w:val="none" w:sz="0" w:space="0" w:color="auto"/>
        <w:left w:val="none" w:sz="0" w:space="0" w:color="auto"/>
        <w:bottom w:val="none" w:sz="0" w:space="0" w:color="auto"/>
        <w:right w:val="none" w:sz="0" w:space="0" w:color="auto"/>
      </w:divBdr>
      <w:divsChild>
        <w:div w:id="1249535857">
          <w:marLeft w:val="0"/>
          <w:marRight w:val="0"/>
          <w:marTop w:val="0"/>
          <w:marBottom w:val="0"/>
          <w:divBdr>
            <w:top w:val="none" w:sz="0" w:space="0" w:color="auto"/>
            <w:left w:val="none" w:sz="0" w:space="0" w:color="auto"/>
            <w:bottom w:val="none" w:sz="0" w:space="0" w:color="auto"/>
            <w:right w:val="none" w:sz="0" w:space="0" w:color="auto"/>
          </w:divBdr>
          <w:divsChild>
            <w:div w:id="1249535871">
              <w:marLeft w:val="0"/>
              <w:marRight w:val="0"/>
              <w:marTop w:val="0"/>
              <w:marBottom w:val="0"/>
              <w:divBdr>
                <w:top w:val="none" w:sz="0" w:space="0" w:color="auto"/>
                <w:left w:val="none" w:sz="0" w:space="0" w:color="auto"/>
                <w:bottom w:val="none" w:sz="0" w:space="0" w:color="auto"/>
                <w:right w:val="none" w:sz="0" w:space="0" w:color="auto"/>
              </w:divBdr>
              <w:divsChild>
                <w:div w:id="1249535854">
                  <w:marLeft w:val="0"/>
                  <w:marRight w:val="0"/>
                  <w:marTop w:val="0"/>
                  <w:marBottom w:val="0"/>
                  <w:divBdr>
                    <w:top w:val="none" w:sz="0" w:space="0" w:color="auto"/>
                    <w:left w:val="none" w:sz="0" w:space="0" w:color="auto"/>
                    <w:bottom w:val="none" w:sz="0" w:space="0" w:color="auto"/>
                    <w:right w:val="none" w:sz="0" w:space="0" w:color="auto"/>
                  </w:divBdr>
                  <w:divsChild>
                    <w:div w:id="1249535861">
                      <w:marLeft w:val="0"/>
                      <w:marRight w:val="0"/>
                      <w:marTop w:val="0"/>
                      <w:marBottom w:val="0"/>
                      <w:divBdr>
                        <w:top w:val="none" w:sz="0" w:space="0" w:color="auto"/>
                        <w:left w:val="none" w:sz="0" w:space="0" w:color="auto"/>
                        <w:bottom w:val="none" w:sz="0" w:space="0" w:color="auto"/>
                        <w:right w:val="none" w:sz="0" w:space="0" w:color="auto"/>
                      </w:divBdr>
                      <w:divsChild>
                        <w:div w:id="1249535860">
                          <w:marLeft w:val="0"/>
                          <w:marRight w:val="0"/>
                          <w:marTop w:val="0"/>
                          <w:marBottom w:val="0"/>
                          <w:divBdr>
                            <w:top w:val="none" w:sz="0" w:space="0" w:color="auto"/>
                            <w:left w:val="none" w:sz="0" w:space="0" w:color="auto"/>
                            <w:bottom w:val="none" w:sz="0" w:space="0" w:color="auto"/>
                            <w:right w:val="none" w:sz="0" w:space="0" w:color="auto"/>
                          </w:divBdr>
                          <w:divsChild>
                            <w:div w:id="12495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64076">
      <w:bodyDiv w:val="1"/>
      <w:marLeft w:val="0"/>
      <w:marRight w:val="0"/>
      <w:marTop w:val="0"/>
      <w:marBottom w:val="0"/>
      <w:divBdr>
        <w:top w:val="none" w:sz="0" w:space="0" w:color="auto"/>
        <w:left w:val="none" w:sz="0" w:space="0" w:color="auto"/>
        <w:bottom w:val="none" w:sz="0" w:space="0" w:color="auto"/>
        <w:right w:val="none" w:sz="0" w:space="0" w:color="auto"/>
      </w:divBdr>
    </w:div>
    <w:div w:id="1403023523">
      <w:bodyDiv w:val="1"/>
      <w:marLeft w:val="0"/>
      <w:marRight w:val="0"/>
      <w:marTop w:val="0"/>
      <w:marBottom w:val="0"/>
      <w:divBdr>
        <w:top w:val="none" w:sz="0" w:space="0" w:color="auto"/>
        <w:left w:val="none" w:sz="0" w:space="0" w:color="auto"/>
        <w:bottom w:val="none" w:sz="0" w:space="0" w:color="auto"/>
        <w:right w:val="none" w:sz="0" w:space="0" w:color="auto"/>
      </w:divBdr>
    </w:div>
    <w:div w:id="1405882574">
      <w:bodyDiv w:val="1"/>
      <w:marLeft w:val="0"/>
      <w:marRight w:val="0"/>
      <w:marTop w:val="0"/>
      <w:marBottom w:val="0"/>
      <w:divBdr>
        <w:top w:val="none" w:sz="0" w:space="0" w:color="auto"/>
        <w:left w:val="none" w:sz="0" w:space="0" w:color="auto"/>
        <w:bottom w:val="none" w:sz="0" w:space="0" w:color="auto"/>
        <w:right w:val="none" w:sz="0" w:space="0" w:color="auto"/>
      </w:divBdr>
    </w:div>
    <w:div w:id="1521354191">
      <w:bodyDiv w:val="1"/>
      <w:marLeft w:val="0"/>
      <w:marRight w:val="0"/>
      <w:marTop w:val="0"/>
      <w:marBottom w:val="0"/>
      <w:divBdr>
        <w:top w:val="none" w:sz="0" w:space="0" w:color="auto"/>
        <w:left w:val="none" w:sz="0" w:space="0" w:color="auto"/>
        <w:bottom w:val="none" w:sz="0" w:space="0" w:color="auto"/>
        <w:right w:val="none" w:sz="0" w:space="0" w:color="auto"/>
      </w:divBdr>
    </w:div>
    <w:div w:id="1652251056">
      <w:bodyDiv w:val="1"/>
      <w:marLeft w:val="0"/>
      <w:marRight w:val="0"/>
      <w:marTop w:val="0"/>
      <w:marBottom w:val="0"/>
      <w:divBdr>
        <w:top w:val="none" w:sz="0" w:space="0" w:color="auto"/>
        <w:left w:val="none" w:sz="0" w:space="0" w:color="auto"/>
        <w:bottom w:val="none" w:sz="0" w:space="0" w:color="auto"/>
        <w:right w:val="none" w:sz="0" w:space="0" w:color="auto"/>
      </w:divBdr>
    </w:div>
    <w:div w:id="1740899542">
      <w:bodyDiv w:val="1"/>
      <w:marLeft w:val="0"/>
      <w:marRight w:val="0"/>
      <w:marTop w:val="0"/>
      <w:marBottom w:val="0"/>
      <w:divBdr>
        <w:top w:val="none" w:sz="0" w:space="0" w:color="auto"/>
        <w:left w:val="none" w:sz="0" w:space="0" w:color="auto"/>
        <w:bottom w:val="none" w:sz="0" w:space="0" w:color="auto"/>
        <w:right w:val="none" w:sz="0" w:space="0" w:color="auto"/>
      </w:divBdr>
    </w:div>
    <w:div w:id="1898204490">
      <w:bodyDiv w:val="1"/>
      <w:marLeft w:val="0"/>
      <w:marRight w:val="0"/>
      <w:marTop w:val="0"/>
      <w:marBottom w:val="0"/>
      <w:divBdr>
        <w:top w:val="none" w:sz="0" w:space="0" w:color="auto"/>
        <w:left w:val="none" w:sz="0" w:space="0" w:color="auto"/>
        <w:bottom w:val="none" w:sz="0" w:space="0" w:color="auto"/>
        <w:right w:val="none" w:sz="0" w:space="0" w:color="auto"/>
      </w:divBdr>
    </w:div>
    <w:div w:id="212241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PEE11</b:Tag>
    <b:SourceType>InternetSite</b:SourceType>
    <b:Guid>{97BF4AD2-A635-4A9C-B9DF-ED6A108670E1}</b:Guid>
    <b:Title>Pacific Earthquake Engineering Research Center PEER Strong Motion Database</b:Title>
    <b:Year>2011</b:Year>
    <b:Author>
      <b:Author>
        <b:NameList>
          <b:Person>
            <b:Last>PEER</b:Last>
          </b:Person>
        </b:NameList>
      </b:Author>
    </b:Author>
    <b:Month>October</b:Month>
    <b:Day>01</b:Day>
    <b:URL>http://peer.berkeley.edu/peer_ground_motion_database/spectras/16318/unscaled_searches/new</b:URL>
    <b:RefOrder>1</b:RefOrder>
  </b:Source>
  <b:Source>
    <b:Tag>God15</b:Tag>
    <b:SourceType>JournalArticle</b:SourceType>
    <b:Guid>{8784014A-96B2-4989-BC1A-2A368CF5A77F}</b:Guid>
    <b:Author>
      <b:Author>
        <b:NameList>
          <b:Person>
            <b:Last>Goda</b:Last>
            <b:First>K.</b:First>
          </b:Person>
          <b:Person>
            <b:Last>Wenzel</b:Last>
            <b:First>F.</b:First>
          </b:Person>
          <b:Person>
            <b:Last>De Risi</b:Last>
            <b:First>R.</b:First>
          </b:Person>
        </b:NameList>
      </b:Author>
    </b:Author>
    <b:Title>Empirical assessment of nonlinear seismic demand of mainshock-aftershock ground motion sequences for Japanese earthquakes</b:Title>
    <b:JournalName>Frontiers in Built Environment</b:JournalName>
    <b:Year>2015</b:Year>
    <b:Volume>6</b:Volume>
    <b:Issue>1</b:Issue>
    <b:RefOrder>2</b:RefOrder>
  </b:Source>
</b:Sources>
</file>

<file path=customXml/itemProps1.xml><?xml version="1.0" encoding="utf-8"?>
<ds:datastoreItem xmlns:ds="http://schemas.openxmlformats.org/officeDocument/2006/customXml" ds:itemID="{450DA972-97AC-4723-9FBF-667D2965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73620</Words>
  <Characters>419640</Characters>
  <Application>Microsoft Office Word</Application>
  <DocSecurity>0</DocSecurity>
  <Lines>3497</Lines>
  <Paragraphs>984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Seismic performance of dual moment-resisting frames with buckling-restrained braced frames</vt:lpstr>
      <vt:lpstr>Seismic performance of dual moment-resisting frames with buckling-restrained braced frames</vt:lpstr>
    </vt:vector>
  </TitlesOfParts>
  <Company>Microsoft</Company>
  <LinksUpToDate>false</LinksUpToDate>
  <CharactersWithSpaces>492276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 performance of dual moment-resisting frames with buckling-restrained braced frames</dc:title>
  <dc:subject/>
  <dc:creator>MYPC</dc:creator>
  <cp:keywords/>
  <dc:description/>
  <cp:lastModifiedBy>Luis Fernando</cp:lastModifiedBy>
  <cp:revision>13</cp:revision>
  <cp:lastPrinted>2021-02-07T02:10:00Z</cp:lastPrinted>
  <dcterms:created xsi:type="dcterms:W3CDTF">2021-02-03T01:53:00Z</dcterms:created>
  <dcterms:modified xsi:type="dcterms:W3CDTF">2021-02-07T12:29:00Z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http://www.zotero.org/styles/earthquake-engineering-and-structural-dynamics</vt:lpwstr>
  </property>
  <property fmtid="{D5CDD505-2E9C-101B-9397-08002B2CF9AE}" pid="13" name="Mendeley Recent Style Name 5_1">
    <vt:lpwstr>Earthquake Engineering &amp; Structural Dynamics</vt:lpwstr>
  </property>
  <property fmtid="{D5CDD505-2E9C-101B-9397-08002B2CF9AE}" pid="14" name="Mendeley Recent Style Id 6_1">
    <vt:lpwstr>http://www.zotero.org/styles/international-journal-of-disaster-risk-reduction</vt:lpwstr>
  </property>
  <property fmtid="{D5CDD505-2E9C-101B-9397-08002B2CF9AE}" pid="15" name="Mendeley Recent Style Name 6_1">
    <vt:lpwstr>International Journal of Disaster Risk Reduction</vt:lpwstr>
  </property>
  <property fmtid="{D5CDD505-2E9C-101B-9397-08002B2CF9AE}" pid="16" name="Mendeley Recent Style Id 7_1">
    <vt:lpwstr>http://www.zotero.org/styles/journal-of-constructional-steel-research</vt:lpwstr>
  </property>
  <property fmtid="{D5CDD505-2E9C-101B-9397-08002B2CF9AE}" pid="17" name="Mendeley Recent Style Name 7_1">
    <vt:lpwstr>Journal of Constructional Steel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29404bd1-7c18-35c1-93bb-115ad4ced383</vt:lpwstr>
  </property>
  <property fmtid="{D5CDD505-2E9C-101B-9397-08002B2CF9AE}" pid="24" name="Mendeley Citation Style_1">
    <vt:lpwstr>http://www.zotero.org/styles/journal-of-constructional-steel-research</vt:lpwstr>
  </property>
</Properties>
</file>