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D9B7E" w14:textId="1512F6D6" w:rsidR="00E6379C" w:rsidRDefault="00E6379C" w:rsidP="004561EB">
      <w:pPr>
        <w:jc w:val="both"/>
        <w:rPr>
          <w:b/>
          <w:bCs/>
          <w:sz w:val="36"/>
          <w:szCs w:val="36"/>
        </w:rPr>
      </w:pPr>
    </w:p>
    <w:p w14:paraId="06112D2F" w14:textId="56D3321A" w:rsidR="007F1D34" w:rsidRPr="007F1D34" w:rsidRDefault="00CD5BCE" w:rsidP="00EB64ED">
      <w:pPr>
        <w:jc w:val="center"/>
        <w:rPr>
          <w:b/>
          <w:bCs/>
          <w:sz w:val="44"/>
          <w:szCs w:val="44"/>
        </w:rPr>
      </w:pPr>
      <w:r>
        <w:rPr>
          <w:b/>
          <w:bCs/>
          <w:sz w:val="44"/>
          <w:szCs w:val="44"/>
        </w:rPr>
        <w:t xml:space="preserve">PROGRAMMATIC APPROACHES TO REALISING SOCIO-ECONOMIC RIGHTS: DEBATES, DEFINITIONS AND TRENDS </w:t>
      </w:r>
    </w:p>
    <w:p w14:paraId="61856CEE" w14:textId="77777777" w:rsidR="007F1D34" w:rsidRDefault="007F1D34" w:rsidP="00EB64ED">
      <w:pPr>
        <w:jc w:val="center"/>
        <w:rPr>
          <w:b/>
          <w:bCs/>
          <w:sz w:val="28"/>
          <w:szCs w:val="28"/>
        </w:rPr>
      </w:pPr>
    </w:p>
    <w:p w14:paraId="474EC9C5" w14:textId="3B70321A" w:rsidR="00EB64ED" w:rsidRPr="00A46AA1" w:rsidRDefault="003417C1" w:rsidP="00A609BE">
      <w:pPr>
        <w:jc w:val="both"/>
        <w:rPr>
          <w:i/>
          <w:iCs/>
          <w:color w:val="000000"/>
        </w:rPr>
      </w:pPr>
      <w:r w:rsidRPr="00E32FE2">
        <w:rPr>
          <w:i/>
          <w:iCs/>
        </w:rPr>
        <w:t xml:space="preserve">The </w:t>
      </w:r>
      <w:r w:rsidR="00FB1017" w:rsidRPr="00E32FE2">
        <w:rPr>
          <w:i/>
          <w:iCs/>
        </w:rPr>
        <w:t xml:space="preserve">now </w:t>
      </w:r>
      <w:r w:rsidR="00127B84">
        <w:rPr>
          <w:i/>
          <w:iCs/>
        </w:rPr>
        <w:t>obsolete</w:t>
      </w:r>
      <w:r w:rsidR="00FB1017" w:rsidRPr="00E32FE2">
        <w:rPr>
          <w:i/>
          <w:iCs/>
        </w:rPr>
        <w:t xml:space="preserve"> </w:t>
      </w:r>
      <w:r w:rsidRPr="00E32FE2">
        <w:rPr>
          <w:i/>
          <w:iCs/>
        </w:rPr>
        <w:t xml:space="preserve">‘justiciable versus programmatic’ debate in socio-economic rights </w:t>
      </w:r>
      <w:r w:rsidR="00127B84">
        <w:rPr>
          <w:i/>
          <w:iCs/>
        </w:rPr>
        <w:t xml:space="preserve">discourse </w:t>
      </w:r>
      <w:r w:rsidRPr="00E32FE2">
        <w:rPr>
          <w:i/>
          <w:iCs/>
        </w:rPr>
        <w:t xml:space="preserve">was important </w:t>
      </w:r>
      <w:r w:rsidR="00127B84">
        <w:rPr>
          <w:i/>
          <w:iCs/>
        </w:rPr>
        <w:t xml:space="preserve">in establishing the salience of </w:t>
      </w:r>
      <w:r w:rsidR="00515492">
        <w:rPr>
          <w:i/>
          <w:iCs/>
        </w:rPr>
        <w:t>these</w:t>
      </w:r>
      <w:r w:rsidR="00127B84">
        <w:rPr>
          <w:i/>
          <w:iCs/>
        </w:rPr>
        <w:t xml:space="preserve"> rights </w:t>
      </w:r>
      <w:r w:rsidRPr="00E32FE2">
        <w:rPr>
          <w:i/>
          <w:iCs/>
        </w:rPr>
        <w:t xml:space="preserve">given the tendency on the part of state actors to </w:t>
      </w:r>
      <w:r w:rsidR="00515492">
        <w:rPr>
          <w:i/>
          <w:iCs/>
        </w:rPr>
        <w:t>falsely assert</w:t>
      </w:r>
      <w:r w:rsidRPr="00E32FE2">
        <w:rPr>
          <w:i/>
          <w:iCs/>
        </w:rPr>
        <w:t xml:space="preserve"> the</w:t>
      </w:r>
      <w:r w:rsidR="00127B84">
        <w:rPr>
          <w:i/>
          <w:iCs/>
        </w:rPr>
        <w:t>ir</w:t>
      </w:r>
      <w:r w:rsidRPr="00E32FE2">
        <w:rPr>
          <w:i/>
          <w:iCs/>
        </w:rPr>
        <w:t xml:space="preserve"> </w:t>
      </w:r>
      <w:r w:rsidR="00535955">
        <w:rPr>
          <w:i/>
          <w:iCs/>
        </w:rPr>
        <w:t xml:space="preserve">exclusively </w:t>
      </w:r>
      <w:r w:rsidRPr="00E32FE2">
        <w:rPr>
          <w:i/>
          <w:iCs/>
        </w:rPr>
        <w:t>programmatic nature to the detriment of properly grasping legal obligations that attached in the here and now</w:t>
      </w:r>
      <w:r w:rsidR="00FB1017" w:rsidRPr="00E32FE2">
        <w:rPr>
          <w:i/>
          <w:iCs/>
        </w:rPr>
        <w:t xml:space="preserve">. Now that the justiciability of socio-economic rights is firmly established, scholars acknowledge that </w:t>
      </w:r>
      <w:r w:rsidR="00FB1017" w:rsidRPr="00E32FE2">
        <w:rPr>
          <w:i/>
          <w:iCs/>
          <w:color w:val="000000"/>
        </w:rPr>
        <w:t>the distinction between the justiciable and the programmatic is an artifact of explanation, not an aspect of legal reality. We readily accept that socio-economic rights are both justiciable and programmatic. Nevertheless,</w:t>
      </w:r>
      <w:r w:rsidR="00A46AA1">
        <w:rPr>
          <w:i/>
          <w:iCs/>
          <w:color w:val="000000"/>
        </w:rPr>
        <w:t xml:space="preserve"> in the past </w:t>
      </w:r>
      <w:r w:rsidR="00A46AA1" w:rsidRPr="00A46AA1">
        <w:rPr>
          <w:i/>
          <w:iCs/>
        </w:rPr>
        <w:t xml:space="preserve">debate revolved largely around refuting an unhelpfully pejorative understanding of the programmatic, undermining systematic analysis and </w:t>
      </w:r>
      <w:r w:rsidR="00B7531D">
        <w:rPr>
          <w:i/>
          <w:iCs/>
        </w:rPr>
        <w:t>inhibit</w:t>
      </w:r>
      <w:r w:rsidR="00A46AA1">
        <w:rPr>
          <w:i/>
          <w:iCs/>
        </w:rPr>
        <w:t>ing</w:t>
      </w:r>
      <w:r w:rsidR="00EB64ED" w:rsidRPr="00E32FE2">
        <w:rPr>
          <w:i/>
          <w:iCs/>
        </w:rPr>
        <w:t xml:space="preserve"> practical discussion of the policy frameworks necessary to make them a reality. </w:t>
      </w:r>
      <w:r w:rsidR="00FB1017" w:rsidRPr="00E32FE2">
        <w:rPr>
          <w:i/>
          <w:iCs/>
        </w:rPr>
        <w:t xml:space="preserve">In the present, </w:t>
      </w:r>
      <w:r w:rsidR="00127B84">
        <w:rPr>
          <w:i/>
          <w:iCs/>
        </w:rPr>
        <w:t xml:space="preserve">the now-discarded debate </w:t>
      </w:r>
      <w:r w:rsidR="00A46AA1">
        <w:rPr>
          <w:i/>
          <w:iCs/>
        </w:rPr>
        <w:t xml:space="preserve">continues to </w:t>
      </w:r>
      <w:r w:rsidR="00127B84">
        <w:rPr>
          <w:i/>
          <w:iCs/>
        </w:rPr>
        <w:t xml:space="preserve">echo - </w:t>
      </w:r>
      <w:proofErr w:type="spellStart"/>
      <w:r w:rsidR="00F12BD1" w:rsidRPr="00E32FE2">
        <w:rPr>
          <w:i/>
          <w:iCs/>
          <w:color w:val="000000"/>
        </w:rPr>
        <w:t>judiciali</w:t>
      </w:r>
      <w:r w:rsidR="00DA2677">
        <w:rPr>
          <w:i/>
          <w:iCs/>
          <w:color w:val="000000"/>
        </w:rPr>
        <w:t>s</w:t>
      </w:r>
      <w:r w:rsidR="00F12BD1" w:rsidRPr="00E32FE2">
        <w:rPr>
          <w:i/>
          <w:iCs/>
          <w:color w:val="000000"/>
        </w:rPr>
        <w:t>ation</w:t>
      </w:r>
      <w:proofErr w:type="spellEnd"/>
      <w:r w:rsidR="00F12BD1" w:rsidRPr="00E32FE2">
        <w:rPr>
          <w:i/>
          <w:iCs/>
          <w:color w:val="000000"/>
        </w:rPr>
        <w:t xml:space="preserve"> and litigation-based strategies remain the perceived lodestar of socio-economic rights realisation, implicitly (and at time explicitly) marginalising programmatic approaches. This is to be regretted - d</w:t>
      </w:r>
      <w:r w:rsidR="00EB64ED" w:rsidRPr="00E32FE2">
        <w:rPr>
          <w:i/>
          <w:iCs/>
          <w:color w:val="000000"/>
        </w:rPr>
        <w:t>efining, explaining and justifying th</w:t>
      </w:r>
      <w:r w:rsidR="00D91621" w:rsidRPr="00E32FE2">
        <w:rPr>
          <w:i/>
          <w:iCs/>
          <w:color w:val="000000"/>
        </w:rPr>
        <w:t>e</w:t>
      </w:r>
      <w:r w:rsidR="00EB64ED" w:rsidRPr="00E32FE2">
        <w:rPr>
          <w:i/>
          <w:iCs/>
          <w:color w:val="000000"/>
        </w:rPr>
        <w:t>s</w:t>
      </w:r>
      <w:r w:rsidR="00D91621" w:rsidRPr="00E32FE2">
        <w:rPr>
          <w:i/>
          <w:iCs/>
          <w:color w:val="000000"/>
        </w:rPr>
        <w:t>e</w:t>
      </w:r>
      <w:r w:rsidR="00EB64ED" w:rsidRPr="00E32FE2">
        <w:rPr>
          <w:i/>
          <w:iCs/>
          <w:color w:val="000000"/>
        </w:rPr>
        <w:t xml:space="preserve"> programmatic aspect</w:t>
      </w:r>
      <w:r w:rsidR="00D91621" w:rsidRPr="00E32FE2">
        <w:rPr>
          <w:i/>
          <w:iCs/>
          <w:color w:val="000000"/>
        </w:rPr>
        <w:t>s</w:t>
      </w:r>
      <w:r w:rsidR="00EB64ED" w:rsidRPr="00E32FE2">
        <w:rPr>
          <w:i/>
          <w:iCs/>
          <w:color w:val="000000"/>
        </w:rPr>
        <w:t xml:space="preserve"> serves to improve the </w:t>
      </w:r>
      <w:r w:rsidR="00EB64ED" w:rsidRPr="00E32FE2">
        <w:rPr>
          <w:i/>
          <w:iCs/>
        </w:rPr>
        <w:t>practical operationalisation these rights</w:t>
      </w:r>
      <w:r w:rsidR="00D91621" w:rsidRPr="00E32FE2">
        <w:rPr>
          <w:i/>
          <w:iCs/>
        </w:rPr>
        <w:t xml:space="preserve">. </w:t>
      </w:r>
      <w:r w:rsidR="00892F9C">
        <w:rPr>
          <w:i/>
          <w:iCs/>
        </w:rPr>
        <w:t>It helps us understand the underlaps and overlaps between these aspects, why f</w:t>
      </w:r>
      <w:r w:rsidR="00892F9C" w:rsidRPr="00CD5BCE">
        <w:rPr>
          <w:i/>
          <w:iCs/>
        </w:rPr>
        <w:t xml:space="preserve">amiliar touchstones of the justiciability debate </w:t>
      </w:r>
      <w:r w:rsidR="00892F9C">
        <w:rPr>
          <w:i/>
          <w:iCs/>
        </w:rPr>
        <w:t>(</w:t>
      </w:r>
      <w:r w:rsidR="00892F9C" w:rsidRPr="00CD5BCE">
        <w:rPr>
          <w:i/>
          <w:iCs/>
        </w:rPr>
        <w:t>like the respect/protect/fulfil framework, maximum available resources and minimum core</w:t>
      </w:r>
      <w:r w:rsidR="00892F9C">
        <w:rPr>
          <w:i/>
          <w:iCs/>
        </w:rPr>
        <w:t>)</w:t>
      </w:r>
      <w:r w:rsidR="00892F9C" w:rsidRPr="00CD5BCE">
        <w:rPr>
          <w:i/>
          <w:iCs/>
        </w:rPr>
        <w:t xml:space="preserve"> </w:t>
      </w:r>
      <w:r w:rsidR="00535955">
        <w:rPr>
          <w:i/>
          <w:iCs/>
        </w:rPr>
        <w:t>seldom find purchase at the policy level</w:t>
      </w:r>
      <w:r w:rsidR="00892F9C">
        <w:rPr>
          <w:i/>
          <w:iCs/>
        </w:rPr>
        <w:t xml:space="preserve"> and why human rights actors might consciously eschew litigation. </w:t>
      </w:r>
      <w:r w:rsidR="00D91621" w:rsidRPr="00E32FE2">
        <w:rPr>
          <w:i/>
          <w:iCs/>
        </w:rPr>
        <w:t xml:space="preserve">A programmatic approach shifts focus from the undoubtedly important, but crucially limited, arena of courts to the policy-making process where state bureaucrats, donors, and civil society become involved in campaigning, deliberating and deciding on </w:t>
      </w:r>
      <w:r w:rsidR="00515492">
        <w:rPr>
          <w:i/>
          <w:iCs/>
        </w:rPr>
        <w:t>how to realise</w:t>
      </w:r>
      <w:r w:rsidR="00796357">
        <w:rPr>
          <w:i/>
          <w:iCs/>
        </w:rPr>
        <w:t xml:space="preserve"> </w:t>
      </w:r>
      <w:r w:rsidR="00D91621" w:rsidRPr="00E32FE2">
        <w:rPr>
          <w:i/>
          <w:iCs/>
        </w:rPr>
        <w:t>socio-economic right</w:t>
      </w:r>
      <w:r w:rsidR="00796357">
        <w:rPr>
          <w:i/>
          <w:iCs/>
        </w:rPr>
        <w:t>s</w:t>
      </w:r>
      <w:r w:rsidR="00D91621" w:rsidRPr="00E32FE2">
        <w:rPr>
          <w:i/>
          <w:iCs/>
        </w:rPr>
        <w:t xml:space="preserve">. Three areas – national human rights action plans, human rights-based approaches to development, and civil society mobilisation – are explored as arenas where programmatic approaches </w:t>
      </w:r>
      <w:r w:rsidR="00C77E47">
        <w:rPr>
          <w:i/>
          <w:iCs/>
        </w:rPr>
        <w:t>consciously marginalise</w:t>
      </w:r>
      <w:r w:rsidR="00D91621" w:rsidRPr="00E32FE2">
        <w:rPr>
          <w:i/>
          <w:iCs/>
        </w:rPr>
        <w:t xml:space="preserve"> litigation-based strategies</w:t>
      </w:r>
      <w:r w:rsidR="00D91621">
        <w:t>.</w:t>
      </w:r>
      <w:r w:rsidR="00CD5BCE">
        <w:t xml:space="preserve"> </w:t>
      </w:r>
    </w:p>
    <w:p w14:paraId="450AB2C9" w14:textId="77777777" w:rsidR="00EB64ED" w:rsidRDefault="00EB64ED" w:rsidP="00A609BE">
      <w:pPr>
        <w:jc w:val="both"/>
      </w:pPr>
    </w:p>
    <w:p w14:paraId="405383B9" w14:textId="61B0E160" w:rsidR="00D91621" w:rsidRDefault="00D91621" w:rsidP="00A609BE">
      <w:pPr>
        <w:jc w:val="both"/>
      </w:pPr>
      <w:r>
        <w:t>Word Count: 1</w:t>
      </w:r>
      <w:r w:rsidR="007F1D34">
        <w:t>1</w:t>
      </w:r>
      <w:r>
        <w:t>,</w:t>
      </w:r>
      <w:r w:rsidR="00773354">
        <w:t>494</w:t>
      </w:r>
      <w:r>
        <w:t xml:space="preserve"> excluding abstract</w:t>
      </w:r>
      <w:r w:rsidR="00AB4D88">
        <w:t>,</w:t>
      </w:r>
      <w:r w:rsidR="007F1D34">
        <w:t xml:space="preserve"> contents</w:t>
      </w:r>
      <w:r>
        <w:t xml:space="preserve"> and </w:t>
      </w:r>
      <w:r w:rsidR="007F1D34">
        <w:t>footnote</w:t>
      </w:r>
      <w:r>
        <w:t>s</w:t>
      </w:r>
    </w:p>
    <w:p w14:paraId="2689D6BC" w14:textId="10FFAEC9" w:rsidR="007F1D34" w:rsidRDefault="007F1D34" w:rsidP="00A609BE">
      <w:pPr>
        <w:jc w:val="both"/>
      </w:pPr>
    </w:p>
    <w:p w14:paraId="3BE1093F" w14:textId="68EA2725" w:rsidR="007F1D34" w:rsidRPr="007F1D34" w:rsidRDefault="007F1D34" w:rsidP="007F1D34">
      <w:pPr>
        <w:jc w:val="center"/>
        <w:rPr>
          <w:sz w:val="36"/>
          <w:szCs w:val="36"/>
        </w:rPr>
      </w:pPr>
      <w:r w:rsidRPr="007F1D34">
        <w:rPr>
          <w:sz w:val="36"/>
          <w:szCs w:val="36"/>
        </w:rPr>
        <w:t>C</w:t>
      </w:r>
      <w:r w:rsidRPr="007F1D34">
        <w:rPr>
          <w:sz w:val="32"/>
          <w:szCs w:val="32"/>
        </w:rPr>
        <w:t>ONTENTS</w:t>
      </w:r>
    </w:p>
    <w:p w14:paraId="0EDE32A7" w14:textId="54D4B9B8" w:rsidR="00E32FE2" w:rsidRDefault="00E32FE2" w:rsidP="00E32FE2">
      <w:pPr>
        <w:jc w:val="both"/>
      </w:pPr>
    </w:p>
    <w:p w14:paraId="7FE59D55" w14:textId="1C8E5729" w:rsidR="00E32FE2" w:rsidRPr="00DB5F8B" w:rsidRDefault="00E32FE2" w:rsidP="00E32FE2">
      <w:pPr>
        <w:jc w:val="both"/>
      </w:pPr>
      <w:r w:rsidRPr="00DB5F8B">
        <w:t>I       The ‘Justiciable Versus Programmatic Paradigm’</w:t>
      </w:r>
    </w:p>
    <w:p w14:paraId="59991142" w14:textId="051E6480" w:rsidR="00E32FE2" w:rsidRPr="00DB5F8B" w:rsidRDefault="00E32FE2" w:rsidP="00E32FE2">
      <w:pPr>
        <w:pStyle w:val="ListParagraph"/>
        <w:numPr>
          <w:ilvl w:val="0"/>
          <w:numId w:val="5"/>
        </w:numPr>
      </w:pPr>
      <w:r w:rsidRPr="00DB5F8B">
        <w:t>Moving Beyond Justiciability</w:t>
      </w:r>
    </w:p>
    <w:p w14:paraId="442DAEDA" w14:textId="4E8C3B83" w:rsidR="00E32FE2" w:rsidRPr="00DB5F8B" w:rsidRDefault="00E32FE2" w:rsidP="00E32FE2">
      <w:pPr>
        <w:pStyle w:val="ListParagraph"/>
        <w:numPr>
          <w:ilvl w:val="0"/>
          <w:numId w:val="5"/>
        </w:numPr>
      </w:pPr>
      <w:r w:rsidRPr="00DB5F8B">
        <w:t>The Terms of the Debate</w:t>
      </w:r>
    </w:p>
    <w:p w14:paraId="05E63656" w14:textId="24F082DE" w:rsidR="00EB64ED" w:rsidRPr="00DB5F8B" w:rsidRDefault="00E32FE2" w:rsidP="00A609BE">
      <w:pPr>
        <w:jc w:val="both"/>
      </w:pPr>
      <w:r w:rsidRPr="00DB5F8B">
        <w:t xml:space="preserve">II      </w:t>
      </w:r>
      <w:r w:rsidR="00C109D6">
        <w:t>Tracing the Contours of the</w:t>
      </w:r>
      <w:r w:rsidRPr="00DB5F8B">
        <w:t xml:space="preserve"> Programmatic</w:t>
      </w:r>
    </w:p>
    <w:p w14:paraId="33FC9871" w14:textId="5EF3844E" w:rsidR="00E32FE2" w:rsidRPr="00DB5F8B" w:rsidRDefault="00E32FE2" w:rsidP="00E32FE2">
      <w:pPr>
        <w:pStyle w:val="ListParagraph"/>
        <w:numPr>
          <w:ilvl w:val="0"/>
          <w:numId w:val="6"/>
        </w:numPr>
      </w:pPr>
      <w:r w:rsidRPr="00DB5F8B">
        <w:t>Towards a Definition</w:t>
      </w:r>
    </w:p>
    <w:p w14:paraId="3F279A33" w14:textId="7BAA88AB" w:rsidR="00E32FE2" w:rsidRPr="00DB5F8B" w:rsidRDefault="00C109D6" w:rsidP="00E32FE2">
      <w:pPr>
        <w:pStyle w:val="ListParagraph"/>
        <w:numPr>
          <w:ilvl w:val="0"/>
          <w:numId w:val="6"/>
        </w:numPr>
      </w:pPr>
      <w:r>
        <w:t>Programmatic Aspects of the ICESCR</w:t>
      </w:r>
    </w:p>
    <w:p w14:paraId="37532966" w14:textId="77777777" w:rsidR="00C109D6" w:rsidRPr="00DB5F8B" w:rsidRDefault="00C109D6" w:rsidP="00C109D6">
      <w:pPr>
        <w:pStyle w:val="ListParagraph"/>
        <w:numPr>
          <w:ilvl w:val="0"/>
          <w:numId w:val="6"/>
        </w:numPr>
        <w:jc w:val="both"/>
      </w:pPr>
      <w:r>
        <w:t xml:space="preserve">Proactive </w:t>
      </w:r>
      <w:proofErr w:type="gramStart"/>
      <w:r>
        <w:t>Policy-Making</w:t>
      </w:r>
      <w:proofErr w:type="gramEnd"/>
      <w:r>
        <w:t xml:space="preserve"> and the Limitations of Violation-Based Approaches</w:t>
      </w:r>
    </w:p>
    <w:p w14:paraId="3A21D20E" w14:textId="0E0EDEE8" w:rsidR="007F1D34" w:rsidRPr="00DB5F8B" w:rsidRDefault="00E32FE2" w:rsidP="00A609BE">
      <w:pPr>
        <w:jc w:val="both"/>
      </w:pPr>
      <w:r w:rsidRPr="00DB5F8B">
        <w:t>III      The Ascent of the Programmatic in Contemporary ESR Practise</w:t>
      </w:r>
    </w:p>
    <w:p w14:paraId="356FC03A" w14:textId="4D96D4D2" w:rsidR="00E32FE2" w:rsidRPr="00DB5F8B" w:rsidRDefault="00E32FE2" w:rsidP="00E32FE2">
      <w:pPr>
        <w:pStyle w:val="ListParagraph"/>
        <w:numPr>
          <w:ilvl w:val="0"/>
          <w:numId w:val="12"/>
        </w:numPr>
      </w:pPr>
      <w:r w:rsidRPr="00DB5F8B">
        <w:t>National Human Rights Action Plans</w:t>
      </w:r>
    </w:p>
    <w:p w14:paraId="733B8629" w14:textId="3D3D44CF" w:rsidR="00E32FE2" w:rsidRPr="00DB5F8B" w:rsidRDefault="00E32FE2" w:rsidP="00E32FE2">
      <w:pPr>
        <w:pStyle w:val="ListParagraph"/>
        <w:numPr>
          <w:ilvl w:val="0"/>
          <w:numId w:val="12"/>
        </w:numPr>
      </w:pPr>
      <w:r w:rsidRPr="00DB5F8B">
        <w:t>Human Rights-Based Approaches to Development</w:t>
      </w:r>
    </w:p>
    <w:p w14:paraId="1B2E4F1C" w14:textId="703FEE06" w:rsidR="00E32FE2" w:rsidRPr="00DB5F8B" w:rsidRDefault="00E32FE2" w:rsidP="00E32FE2">
      <w:pPr>
        <w:pStyle w:val="ListParagraph"/>
        <w:numPr>
          <w:ilvl w:val="0"/>
          <w:numId w:val="12"/>
        </w:numPr>
        <w:jc w:val="both"/>
      </w:pPr>
      <w:r w:rsidRPr="00DB5F8B">
        <w:rPr>
          <w:color w:val="000000" w:themeColor="text1"/>
        </w:rPr>
        <w:t>Civil Society and Grassroots Mobilisation</w:t>
      </w:r>
    </w:p>
    <w:p w14:paraId="7255DF70" w14:textId="60B2A6B2" w:rsidR="007F1D34" w:rsidRPr="00DB5F8B" w:rsidRDefault="00E32FE2" w:rsidP="00A609BE">
      <w:pPr>
        <w:jc w:val="both"/>
      </w:pPr>
      <w:r w:rsidRPr="00DB5F8B">
        <w:t>IV       Conclusion</w:t>
      </w:r>
    </w:p>
    <w:p w14:paraId="38236FA1" w14:textId="427E544C" w:rsidR="007F1D34" w:rsidRDefault="007F1D34" w:rsidP="00A609BE">
      <w:pPr>
        <w:jc w:val="both"/>
      </w:pPr>
    </w:p>
    <w:p w14:paraId="0374B52A" w14:textId="77777777" w:rsidR="007F1D34" w:rsidRDefault="007F1D34" w:rsidP="00A609BE">
      <w:pPr>
        <w:jc w:val="both"/>
      </w:pPr>
    </w:p>
    <w:p w14:paraId="08818FD6" w14:textId="18469D2D" w:rsidR="004D5376" w:rsidRDefault="00E6379C" w:rsidP="00A609BE">
      <w:pPr>
        <w:jc w:val="both"/>
      </w:pPr>
      <w:r>
        <w:t xml:space="preserve">The argument in this article proceeds in three parts. </w:t>
      </w:r>
      <w:r w:rsidR="0076559D">
        <w:t>Part I</w:t>
      </w:r>
      <w:r>
        <w:t xml:space="preserve"> outlines</w:t>
      </w:r>
      <w:r w:rsidRPr="005278DE">
        <w:t xml:space="preserve"> </w:t>
      </w:r>
      <w:r w:rsidR="00B50926">
        <w:t xml:space="preserve">the </w:t>
      </w:r>
      <w:r>
        <w:t xml:space="preserve">‘justiciable versus programmatic’ debate in </w:t>
      </w:r>
      <w:r w:rsidR="00532C66">
        <w:t>economic and social rights (</w:t>
      </w:r>
      <w:r>
        <w:t>ESR</w:t>
      </w:r>
      <w:r w:rsidR="00532C66">
        <w:t>)</w:t>
      </w:r>
      <w:r>
        <w:t xml:space="preserve"> theorisation</w:t>
      </w:r>
      <w:r w:rsidR="00D42B21">
        <w:t xml:space="preserve">. </w:t>
      </w:r>
      <w:r w:rsidR="002235BE">
        <w:t>The valorisation of justiciability in contrast with</w:t>
      </w:r>
      <w:r w:rsidR="002235BE" w:rsidRPr="00DE6793">
        <w:t xml:space="preserve"> a</w:t>
      </w:r>
      <w:r w:rsidR="002235BE">
        <w:t xml:space="preserve">n unhelpfully </w:t>
      </w:r>
      <w:r w:rsidR="002235BE" w:rsidRPr="00DE6793">
        <w:t xml:space="preserve">pejorative understanding of the </w:t>
      </w:r>
      <w:r w:rsidR="002235BE">
        <w:t>programmatic</w:t>
      </w:r>
      <w:r w:rsidR="002235BE" w:rsidRPr="00DE6793">
        <w:t xml:space="preserve"> in this conceptual debate has </w:t>
      </w:r>
      <w:r w:rsidR="002235BE">
        <w:t xml:space="preserve">had a complexity-flattening effect on our understanding of what is needed to realise socio-economic rights. This has </w:t>
      </w:r>
      <w:r w:rsidR="00B7531D">
        <w:t>inhibited</w:t>
      </w:r>
      <w:r w:rsidR="002235BE" w:rsidRPr="00DE6793">
        <w:t xml:space="preserve"> practical discussion of those essentially programmatic institutional and policy frameworks necessary to a </w:t>
      </w:r>
      <w:r w:rsidR="00C77E47">
        <w:t xml:space="preserve">realise the duties </w:t>
      </w:r>
      <w:r w:rsidR="00091D54">
        <w:t xml:space="preserve">contained </w:t>
      </w:r>
      <w:r w:rsidR="00C77E47">
        <w:t>in the International Covenant on Economic, Social and Cultural Rights</w:t>
      </w:r>
      <w:r w:rsidR="00091D54">
        <w:t xml:space="preserve"> (ICESCR)</w:t>
      </w:r>
      <w:r w:rsidR="0057216F">
        <w:t>.</w:t>
      </w:r>
      <w:r w:rsidR="00C77E47">
        <w:rPr>
          <w:rStyle w:val="FootnoteReference"/>
        </w:rPr>
        <w:footnoteReference w:id="1"/>
      </w:r>
      <w:r w:rsidR="0057216F">
        <w:t xml:space="preserve"> It furthermore</w:t>
      </w:r>
      <w:r w:rsidR="002235BE">
        <w:t xml:space="preserve"> prevented a constructive understanding of both the overlaps and (more pertinently) the underlaps between the justiciable and programmatic aspects of ESR. </w:t>
      </w:r>
      <w:r w:rsidR="00A609BE" w:rsidRPr="00DE6793">
        <w:t>Now that ESR theorisation</w:t>
      </w:r>
      <w:r w:rsidR="00B50926" w:rsidRPr="00DE6793">
        <w:t xml:space="preserve"> has emerged from its defensive crouch, </w:t>
      </w:r>
      <w:r w:rsidR="00A609BE" w:rsidRPr="00DE6793">
        <w:t>no longer the second</w:t>
      </w:r>
      <w:r w:rsidR="006B47FD">
        <w:t>-</w:t>
      </w:r>
      <w:r w:rsidR="00A609BE" w:rsidRPr="00DE6793">
        <w:t>class ‘Cinderella of the international human rights corpus,’</w:t>
      </w:r>
      <w:r w:rsidR="00A609BE" w:rsidRPr="00DE6793">
        <w:rPr>
          <w:rStyle w:val="FootnoteReference"/>
        </w:rPr>
        <w:footnoteReference w:id="2"/>
      </w:r>
      <w:r w:rsidR="00A609BE" w:rsidRPr="00DE6793">
        <w:t xml:space="preserve"> there is greater scope to </w:t>
      </w:r>
      <w:r w:rsidR="00535955">
        <w:t xml:space="preserve">fully </w:t>
      </w:r>
      <w:r w:rsidR="00A609BE" w:rsidRPr="00DE6793">
        <w:t xml:space="preserve">acknowledge </w:t>
      </w:r>
      <w:r w:rsidR="008910CC">
        <w:t>those</w:t>
      </w:r>
      <w:r w:rsidR="00A609BE" w:rsidRPr="00DE6793">
        <w:t xml:space="preserve"> programmatic implications. </w:t>
      </w:r>
      <w:r w:rsidR="00DE6793" w:rsidRPr="00DE6793">
        <w:t>The debate has moved beyond justiciability, not merely towards remedies or enforcement</w:t>
      </w:r>
      <w:r w:rsidR="00535955">
        <w:t>,</w:t>
      </w:r>
      <w:r w:rsidR="00DE6793" w:rsidRPr="00DE6793">
        <w:t xml:space="preserve"> but towards the practical operationalisation of ESR.</w:t>
      </w:r>
      <w:r w:rsidR="00DE6793" w:rsidRPr="00DE6793">
        <w:rPr>
          <w:rStyle w:val="FootnoteReference"/>
        </w:rPr>
        <w:footnoteReference w:id="3"/>
      </w:r>
      <w:r w:rsidR="00DE6793">
        <w:t xml:space="preserve"> </w:t>
      </w:r>
    </w:p>
    <w:p w14:paraId="0C2FC65B" w14:textId="3F278E93" w:rsidR="004D5376" w:rsidRDefault="00736038" w:rsidP="00A609BE">
      <w:pPr>
        <w:jc w:val="both"/>
      </w:pPr>
      <w:r>
        <w:t xml:space="preserve">        </w:t>
      </w:r>
      <w:r w:rsidR="0076559D">
        <w:t xml:space="preserve">Part II </w:t>
      </w:r>
      <w:r w:rsidR="005B5C77">
        <w:t>draws on this idea of practical operationalisation to outline a fairly capacious definition</w:t>
      </w:r>
      <w:r w:rsidR="00E6379C">
        <w:t xml:space="preserve"> </w:t>
      </w:r>
      <w:r w:rsidR="005B5C77">
        <w:t xml:space="preserve">of the </w:t>
      </w:r>
      <w:r w:rsidR="00E6379C">
        <w:t xml:space="preserve">‘programmatic’ </w:t>
      </w:r>
      <w:r w:rsidR="005B5C77">
        <w:t xml:space="preserve">in </w:t>
      </w:r>
      <w:r w:rsidR="00E6379C">
        <w:t>ESR</w:t>
      </w:r>
      <w:r w:rsidR="00D42B21">
        <w:t>,</w:t>
      </w:r>
      <w:r w:rsidR="006B47FD">
        <w:t xml:space="preserve"> namely </w:t>
      </w:r>
      <w:r w:rsidR="00AF50A9">
        <w:t xml:space="preserve">all strategies </w:t>
      </w:r>
      <w:r w:rsidR="00AB4D88">
        <w:t>to realise</w:t>
      </w:r>
      <w:r w:rsidR="006B47FD">
        <w:t xml:space="preserve"> ESR excluding </w:t>
      </w:r>
      <w:r w:rsidR="006B47FD" w:rsidRPr="007E2370">
        <w:t xml:space="preserve">immediate </w:t>
      </w:r>
      <w:r w:rsidR="006B47FD">
        <w:t xml:space="preserve">judicial </w:t>
      </w:r>
      <w:r w:rsidR="006B47FD" w:rsidRPr="007E2370">
        <w:t xml:space="preserve">enforcement </w:t>
      </w:r>
      <w:r w:rsidR="006B47FD">
        <w:t>that</w:t>
      </w:r>
      <w:r w:rsidR="006B47FD" w:rsidRPr="007E2370">
        <w:t xml:space="preserve"> are deliberately targeted to </w:t>
      </w:r>
      <w:r w:rsidR="004D5376">
        <w:t xml:space="preserve">progressively </w:t>
      </w:r>
      <w:r w:rsidR="006B47FD" w:rsidRPr="007E2370">
        <w:t xml:space="preserve">achieve certain human rights objectives operating via a series of policy instruments (legislation, administration, budget, macroeconomics, subsidies, promotion) </w:t>
      </w:r>
      <w:r w:rsidR="006B47FD" w:rsidRPr="00F33B86">
        <w:t>implemented by actors primarily but not exclusively in the public sphere</w:t>
      </w:r>
      <w:r w:rsidR="00684CF7">
        <w:t xml:space="preserve">. </w:t>
      </w:r>
      <w:r w:rsidR="00D42B21">
        <w:t xml:space="preserve">It argues that </w:t>
      </w:r>
      <w:r w:rsidR="00D42B21" w:rsidRPr="00D42B21">
        <w:t>ES</w:t>
      </w:r>
      <w:r w:rsidR="00D42B21">
        <w:t>R</w:t>
      </w:r>
      <w:r w:rsidR="00D42B21" w:rsidRPr="00D42B21">
        <w:t xml:space="preserve"> are the product of a wide range of processes and institutions that mediate </w:t>
      </w:r>
      <w:r w:rsidR="00B7531D">
        <w:t xml:space="preserve">a </w:t>
      </w:r>
      <w:r w:rsidR="00D42B21" w:rsidRPr="00D42B21">
        <w:t>people</w:t>
      </w:r>
      <w:r w:rsidR="00B7531D">
        <w:t>’s</w:t>
      </w:r>
      <w:r w:rsidR="00D42B21" w:rsidRPr="00D42B21">
        <w:t xml:space="preserve"> experience with the state, entitlements and public well-being</w:t>
      </w:r>
      <w:r w:rsidR="00535955">
        <w:t>, not all of which are justiciable</w:t>
      </w:r>
      <w:r w:rsidR="00D42B21" w:rsidRPr="00D42B21">
        <w:t>.</w:t>
      </w:r>
      <w:r w:rsidR="004D5376">
        <w:t xml:space="preserve"> </w:t>
      </w:r>
      <w:r w:rsidR="006974FD">
        <w:t>The violations approach foregrounded in argument</w:t>
      </w:r>
      <w:r w:rsidR="00B7531D">
        <w:t>s</w:t>
      </w:r>
      <w:r w:rsidR="006974FD">
        <w:t xml:space="preserve"> for justiciability is too circumscribed when we conceive of state responsibilities primarily in terms of those elements of ESR that are amenable to legally justiciable claims by groups or individuals. The duties outlined in the ICESCR ‘speaks to a broader state responsibility’ to create and maintain a facilitative environment for self-determination and welfare that cannot be reduced to individual entitlement.</w:t>
      </w:r>
      <w:r w:rsidR="006974FD">
        <w:rPr>
          <w:rStyle w:val="FootnoteReference"/>
        </w:rPr>
        <w:footnoteReference w:id="4"/>
      </w:r>
      <w:r w:rsidR="006974FD">
        <w:t xml:space="preserve"> Programmatic approaches therefore draw</w:t>
      </w:r>
      <w:r w:rsidR="00684CF7">
        <w:t xml:space="preserve"> upon </w:t>
      </w:r>
      <w:r w:rsidR="006B47FD">
        <w:t xml:space="preserve">what </w:t>
      </w:r>
      <w:r w:rsidR="00B7531D">
        <w:t>Hunt</w:t>
      </w:r>
      <w:r w:rsidR="0057216F">
        <w:t xml:space="preserve"> </w:t>
      </w:r>
      <w:r w:rsidR="006B47FD">
        <w:t xml:space="preserve">refers to as the policy approach to ESR, insofar as it </w:t>
      </w:r>
      <w:r w:rsidR="008910CC">
        <w:t xml:space="preserve">(a) </w:t>
      </w:r>
      <w:r w:rsidR="006B47FD">
        <w:t>emphasises</w:t>
      </w:r>
      <w:r w:rsidR="006B47FD" w:rsidRPr="00845050">
        <w:t xml:space="preserve"> ‘techniques and tools that are not usually in a lawyer's brief case or repertoire’, </w:t>
      </w:r>
      <w:r w:rsidR="008910CC">
        <w:t xml:space="preserve">(b) </w:t>
      </w:r>
      <w:r w:rsidR="006B47FD" w:rsidRPr="00845050">
        <w:t xml:space="preserve">depends upon cooperation across a range of disciplines and policy experts, and </w:t>
      </w:r>
      <w:r w:rsidR="008910CC">
        <w:t>(c)</w:t>
      </w:r>
      <w:r w:rsidR="006B47FD" w:rsidRPr="00845050">
        <w:t xml:space="preserve"> it demands vigilant monitoring and accountability, but these do not have to be judicial.</w:t>
      </w:r>
      <w:r w:rsidR="006B47FD" w:rsidRPr="00845050">
        <w:rPr>
          <w:rStyle w:val="FootnoteReference"/>
        </w:rPr>
        <w:footnoteReference w:id="5"/>
      </w:r>
      <w:r w:rsidR="006B47FD">
        <w:t xml:space="preserve"> </w:t>
      </w:r>
      <w:r w:rsidR="00B11D7E">
        <w:t>As such, it marks a shift in emphasis from identifying violations of ESR in courts towards the emerging focus on mainstreaming ESR protection into the daily work of government.</w:t>
      </w:r>
      <w:r w:rsidR="00B11D7E">
        <w:rPr>
          <w:rStyle w:val="FootnoteReference"/>
        </w:rPr>
        <w:footnoteReference w:id="6"/>
      </w:r>
    </w:p>
    <w:p w14:paraId="3898483C" w14:textId="3A0B4A5E" w:rsidR="00A609BE" w:rsidRPr="0057216F" w:rsidRDefault="00736038" w:rsidP="00614AD5">
      <w:pPr>
        <w:jc w:val="both"/>
      </w:pPr>
      <w:r>
        <w:lastRenderedPageBreak/>
        <w:t xml:space="preserve">        </w:t>
      </w:r>
      <w:r w:rsidR="00E6379C">
        <w:t xml:space="preserve">Consequently, </w:t>
      </w:r>
      <w:r w:rsidR="0076559D">
        <w:t>Part III</w:t>
      </w:r>
      <w:r w:rsidR="00E6379C">
        <w:t xml:space="preserve"> explains the </w:t>
      </w:r>
      <w:r w:rsidR="00AB4D88">
        <w:t xml:space="preserve">deliberate </w:t>
      </w:r>
      <w:r w:rsidR="00E6379C">
        <w:t>eclipse of litigation</w:t>
      </w:r>
      <w:r w:rsidR="00B9231D">
        <w:t>-</w:t>
      </w:r>
      <w:r w:rsidR="00B11D7E">
        <w:t xml:space="preserve"> or violation-</w:t>
      </w:r>
      <w:r w:rsidR="00B9231D">
        <w:t>based strategies</w:t>
      </w:r>
      <w:r w:rsidR="00E6379C">
        <w:t xml:space="preserve"> by programmatic approaches across three contemporary sites of ESR promotion, namely (a) National Human Rights Action Plans, (b) human rights-based approaches to development, and (c) civil society mobilisation for ESR. </w:t>
      </w:r>
      <w:r w:rsidR="004C0FAB">
        <w:t xml:space="preserve">These new forms of ESR planning and advocacy consciously depart from </w:t>
      </w:r>
      <w:r w:rsidR="00B7531D">
        <w:t xml:space="preserve">litigation or </w:t>
      </w:r>
      <w:r w:rsidR="004C0FAB">
        <w:t xml:space="preserve">‘naming and shaming’ techniques </w:t>
      </w:r>
      <w:r w:rsidR="00B7531D">
        <w:t xml:space="preserve">to instead </w:t>
      </w:r>
      <w:r w:rsidR="004C0FAB">
        <w:t xml:space="preserve">seek more structural solutions to rights deprivation. </w:t>
      </w:r>
      <w:r w:rsidR="00A609BE">
        <w:t>This article does not qualify</w:t>
      </w:r>
      <w:r w:rsidR="00532C66">
        <w:t>, minimise</w:t>
      </w:r>
      <w:r w:rsidR="00A609BE">
        <w:t xml:space="preserve"> or deny the justiciable status of ESR. </w:t>
      </w:r>
      <w:r w:rsidR="00E6379C">
        <w:t xml:space="preserve">The argument here </w:t>
      </w:r>
      <w:r w:rsidR="00E6379C" w:rsidRPr="005278DE">
        <w:t xml:space="preserve">is </w:t>
      </w:r>
      <w:r w:rsidR="00E6379C">
        <w:t xml:space="preserve">an </w:t>
      </w:r>
      <w:r w:rsidR="00E6379C" w:rsidRPr="005278DE">
        <w:t>empirical</w:t>
      </w:r>
      <w:r w:rsidR="00E6379C">
        <w:t xml:space="preserve"> one about how </w:t>
      </w:r>
      <w:r w:rsidR="004C0FAB">
        <w:t>socio-economic</w:t>
      </w:r>
      <w:r w:rsidR="00E6379C">
        <w:t xml:space="preserve"> rights are used</w:t>
      </w:r>
      <w:r w:rsidR="00E6379C" w:rsidRPr="005278DE">
        <w:t xml:space="preserve">, not </w:t>
      </w:r>
      <w:r w:rsidR="000E043B">
        <w:t xml:space="preserve">a </w:t>
      </w:r>
      <w:r w:rsidR="00E6379C" w:rsidRPr="005278DE">
        <w:t>normative statement about the</w:t>
      </w:r>
      <w:r w:rsidR="00A609BE">
        <w:t>ir</w:t>
      </w:r>
      <w:r w:rsidR="00E6379C" w:rsidRPr="005278DE">
        <w:t xml:space="preserve"> </w:t>
      </w:r>
      <w:r w:rsidR="00A609BE">
        <w:t xml:space="preserve">legal </w:t>
      </w:r>
      <w:r w:rsidR="00E6379C" w:rsidRPr="005278DE">
        <w:t>status</w:t>
      </w:r>
      <w:r w:rsidR="00E6379C">
        <w:t>.</w:t>
      </w:r>
      <w:r w:rsidR="00CE2F39">
        <w:t xml:space="preserve"> It does, </w:t>
      </w:r>
      <w:r w:rsidR="00B9231D">
        <w:t xml:space="preserve">however, per </w:t>
      </w:r>
      <w:proofErr w:type="spellStart"/>
      <w:r w:rsidR="00B9231D">
        <w:t>Beitz</w:t>
      </w:r>
      <w:proofErr w:type="spellEnd"/>
      <w:r w:rsidR="00B9231D">
        <w:t xml:space="preserve">, underscore how substantially the repertoire of ESR implementation measures </w:t>
      </w:r>
      <w:r w:rsidR="0057216F">
        <w:t xml:space="preserve">can </w:t>
      </w:r>
      <w:r w:rsidR="00B9231D">
        <w:t>diverge from the judicial paradigm.</w:t>
      </w:r>
      <w:r w:rsidR="00B9231D">
        <w:rPr>
          <w:rStyle w:val="FootnoteReference"/>
        </w:rPr>
        <w:footnoteReference w:id="7"/>
      </w:r>
      <w:r w:rsidR="008910CC">
        <w:t xml:space="preserve"> </w:t>
      </w:r>
    </w:p>
    <w:p w14:paraId="3FC6742D" w14:textId="77777777" w:rsidR="00861138" w:rsidRDefault="00861138" w:rsidP="006D2830">
      <w:pPr>
        <w:jc w:val="center"/>
        <w:rPr>
          <w:sz w:val="28"/>
          <w:szCs w:val="28"/>
        </w:rPr>
      </w:pPr>
    </w:p>
    <w:p w14:paraId="0C70A474" w14:textId="0C51BF76" w:rsidR="00774B53" w:rsidRPr="00DB5F8B" w:rsidRDefault="0076559D" w:rsidP="006D2830">
      <w:pPr>
        <w:jc w:val="center"/>
        <w:rPr>
          <w:sz w:val="28"/>
          <w:szCs w:val="28"/>
        </w:rPr>
      </w:pPr>
      <w:r>
        <w:rPr>
          <w:sz w:val="28"/>
          <w:szCs w:val="28"/>
        </w:rPr>
        <w:t>I</w:t>
      </w:r>
      <w:r w:rsidR="005E7A31" w:rsidRPr="00DB5F8B">
        <w:rPr>
          <w:sz w:val="28"/>
          <w:szCs w:val="28"/>
        </w:rPr>
        <w:t>.</w:t>
      </w:r>
      <w:r w:rsidR="00614AD5" w:rsidRPr="00DB5F8B">
        <w:rPr>
          <w:sz w:val="28"/>
          <w:szCs w:val="28"/>
        </w:rPr>
        <w:t xml:space="preserve"> </w:t>
      </w:r>
      <w:r w:rsidR="006D2830" w:rsidRPr="00DB5F8B">
        <w:rPr>
          <w:sz w:val="28"/>
          <w:szCs w:val="28"/>
        </w:rPr>
        <w:t>THE ‘JUSTICIABLE VERSUS PROGRAMMATIC</w:t>
      </w:r>
      <w:r w:rsidR="008A0F50">
        <w:rPr>
          <w:sz w:val="28"/>
          <w:szCs w:val="28"/>
        </w:rPr>
        <w:t>’</w:t>
      </w:r>
      <w:r w:rsidR="006D2830" w:rsidRPr="00DB5F8B">
        <w:rPr>
          <w:sz w:val="28"/>
          <w:szCs w:val="28"/>
        </w:rPr>
        <w:t xml:space="preserve"> PARADIGM</w:t>
      </w:r>
    </w:p>
    <w:p w14:paraId="3A2268A9" w14:textId="5515E7AC" w:rsidR="00B64C54" w:rsidRPr="005278DE" w:rsidRDefault="00B64C54" w:rsidP="004561EB">
      <w:pPr>
        <w:jc w:val="both"/>
      </w:pPr>
    </w:p>
    <w:p w14:paraId="61847CF7" w14:textId="58E83DCD" w:rsidR="004E6B52" w:rsidRPr="005278DE" w:rsidRDefault="00AE4428" w:rsidP="004561EB">
      <w:pPr>
        <w:jc w:val="both"/>
      </w:pPr>
      <w:r>
        <w:t xml:space="preserve">Advocates of </w:t>
      </w:r>
      <w:r w:rsidR="003A37E7" w:rsidRPr="005278DE">
        <w:t xml:space="preserve">ESR have always been locked in a battle </w:t>
      </w:r>
      <w:r>
        <w:t xml:space="preserve">with sceptics </w:t>
      </w:r>
      <w:r w:rsidR="003A37E7" w:rsidRPr="005278DE">
        <w:t>over their</w:t>
      </w:r>
      <w:r>
        <w:t xml:space="preserve"> </w:t>
      </w:r>
      <w:r w:rsidR="00033F7D" w:rsidRPr="005278DE">
        <w:t>nature, scope and justiciability</w:t>
      </w:r>
      <w:r w:rsidR="003A37E7" w:rsidRPr="005278DE">
        <w:t>. For decades, it was common to posit that ESR were not absolute in the sense that civil and political rights were because their realisation was progressive and dependent on the existence of sufficient resources</w:t>
      </w:r>
      <w:r w:rsidR="00C4049E">
        <w:t>.</w:t>
      </w:r>
      <w:r w:rsidR="00C4049E">
        <w:rPr>
          <w:rStyle w:val="FootnoteReference"/>
        </w:rPr>
        <w:footnoteReference w:id="8"/>
      </w:r>
      <w:r w:rsidR="003A37E7" w:rsidRPr="005278DE">
        <w:t xml:space="preserve"> </w:t>
      </w:r>
      <w:r w:rsidR="00C77E47">
        <w:t>It was argued that t</w:t>
      </w:r>
      <w:r w:rsidR="001B58F5" w:rsidRPr="005278DE">
        <w:t xml:space="preserve">heir alleged vagueness meant they could not offer comprehensible standards for what they require and hence could not constitute the basis for a judicial determination of a violation. </w:t>
      </w:r>
      <w:r w:rsidR="003A37E7" w:rsidRPr="005278DE">
        <w:t xml:space="preserve">It was </w:t>
      </w:r>
      <w:r w:rsidR="00AA0D1F" w:rsidRPr="005278DE">
        <w:t>contende</w:t>
      </w:r>
      <w:r w:rsidR="003A37E7" w:rsidRPr="005278DE">
        <w:t>d that only those rights amenable to immediate implementation qualified as human rights – where this was not the case, they amounted to moral ideals.</w:t>
      </w:r>
      <w:r w:rsidR="00C4049E">
        <w:rPr>
          <w:rStyle w:val="FootnoteReference"/>
        </w:rPr>
        <w:footnoteReference w:id="9"/>
      </w:r>
      <w:r w:rsidR="00AA0D1F" w:rsidRPr="005278DE">
        <w:rPr>
          <w:rStyle w:val="CommentReference"/>
          <w:sz w:val="24"/>
          <w:szCs w:val="24"/>
        </w:rPr>
        <w:t xml:space="preserve"> </w:t>
      </w:r>
      <w:r w:rsidR="00AA0D1F" w:rsidRPr="005278DE">
        <w:t xml:space="preserve"> This was augmented by </w:t>
      </w:r>
      <w:r w:rsidR="001379D4">
        <w:t>democratic legitimacy and</w:t>
      </w:r>
      <w:r w:rsidR="00AA0D1F" w:rsidRPr="005278DE">
        <w:t xml:space="preserve"> separation of powers argument</w:t>
      </w:r>
      <w:r w:rsidR="001379D4">
        <w:t>s</w:t>
      </w:r>
      <w:r w:rsidR="00AA0D1F" w:rsidRPr="005278DE">
        <w:t xml:space="preserve"> to the effect that while ESR established legitimate objectives to be discharged by the executive and legislative branches of the state</w:t>
      </w:r>
      <w:r w:rsidR="00033F7D" w:rsidRPr="005278DE">
        <w:t>,</w:t>
      </w:r>
      <w:r w:rsidR="00AA0D1F" w:rsidRPr="005278DE">
        <w:t xml:space="preserve"> </w:t>
      </w:r>
      <w:r w:rsidR="00033F7D" w:rsidRPr="005278DE">
        <w:t>enforcement was</w:t>
      </w:r>
      <w:r w:rsidR="00AA0D1F" w:rsidRPr="005278DE">
        <w:t xml:space="preserve"> not subject to review by judges</w:t>
      </w:r>
      <w:r w:rsidR="00033F7D" w:rsidRPr="005278DE">
        <w:t xml:space="preserve"> as it would usurp the proper role of government</w:t>
      </w:r>
      <w:r w:rsidR="00AA0D1F" w:rsidRPr="005278DE">
        <w:t xml:space="preserve">. </w:t>
      </w:r>
      <w:r w:rsidR="001B58F5" w:rsidRPr="005278DE">
        <w:t xml:space="preserve">Fighting this </w:t>
      </w:r>
      <w:r w:rsidR="00AA0D1F" w:rsidRPr="005278DE">
        <w:t>battle was important</w:t>
      </w:r>
      <w:r w:rsidR="001B58F5" w:rsidRPr="005278DE">
        <w:t xml:space="preserve"> for advocates of ESR</w:t>
      </w:r>
      <w:r w:rsidR="00AA0D1F" w:rsidRPr="005278DE">
        <w:t>.</w:t>
      </w:r>
      <w:r w:rsidR="00033F7D" w:rsidRPr="005278DE">
        <w:t xml:space="preserve"> </w:t>
      </w:r>
      <w:r w:rsidR="005B0FF9" w:rsidRPr="005278DE">
        <w:t>It was doubts over justiciability that crystallised ESR’s apparent relegation to the position of second-class rights</w:t>
      </w:r>
      <w:r w:rsidR="00535955">
        <w:t>.</w:t>
      </w:r>
      <w:r w:rsidR="005B0FF9" w:rsidRPr="005278DE">
        <w:rPr>
          <w:rStyle w:val="FootnoteReference"/>
        </w:rPr>
        <w:footnoteReference w:id="10"/>
      </w:r>
      <w:r w:rsidR="005B0FF9" w:rsidRPr="005278DE">
        <w:t xml:space="preserve"> </w:t>
      </w:r>
      <w:r w:rsidR="00535955">
        <w:t>These doubts</w:t>
      </w:r>
      <w:r w:rsidR="00663A6E" w:rsidRPr="005278DE">
        <w:t xml:space="preserve"> served as a synecdoche for some of the simplistic dichotomies (</w:t>
      </w:r>
      <w:proofErr w:type="gramStart"/>
      <w:r w:rsidR="00663A6E" w:rsidRPr="005278DE">
        <w:t>e.g.</w:t>
      </w:r>
      <w:proofErr w:type="gramEnd"/>
      <w:r w:rsidR="00663A6E" w:rsidRPr="005278DE">
        <w:t xml:space="preserve"> resource-intensive versus cost-free, complex versus manageable) that characterised </w:t>
      </w:r>
      <w:r w:rsidR="005C7C1E">
        <w:t xml:space="preserve">discourse </w:t>
      </w:r>
      <w:r w:rsidR="00A75D3C">
        <w:t>surrounding</w:t>
      </w:r>
      <w:r w:rsidR="005C7C1E">
        <w:t xml:space="preserve"> </w:t>
      </w:r>
      <w:r w:rsidR="00663A6E" w:rsidRPr="005278DE">
        <w:t>the field</w:t>
      </w:r>
      <w:r w:rsidR="00663A6E">
        <w:t>.</w:t>
      </w:r>
      <w:r w:rsidR="0032532C" w:rsidRPr="005278DE">
        <w:t xml:space="preserve"> </w:t>
      </w:r>
      <w:r w:rsidR="00033F7D" w:rsidRPr="005278DE">
        <w:t xml:space="preserve">Objections to the status of </w:t>
      </w:r>
      <w:r w:rsidR="004E3A17">
        <w:t>socio-economic rights</w:t>
      </w:r>
      <w:r w:rsidR="00033F7D" w:rsidRPr="005278DE">
        <w:t xml:space="preserve"> </w:t>
      </w:r>
      <w:r w:rsidR="00033F7D" w:rsidRPr="004E3A17">
        <w:rPr>
          <w:i/>
          <w:iCs/>
        </w:rPr>
        <w:t>qua</w:t>
      </w:r>
      <w:r w:rsidR="00033F7D" w:rsidRPr="005278DE">
        <w:t xml:space="preserve"> rights </w:t>
      </w:r>
      <w:r w:rsidR="004E3A17">
        <w:t xml:space="preserve">was believed to </w:t>
      </w:r>
      <w:r w:rsidR="00033F7D" w:rsidRPr="005278DE">
        <w:t>inhibit the use of litigation where breaches of obligations occurred</w:t>
      </w:r>
      <w:r w:rsidR="00774B53">
        <w:t>.</w:t>
      </w:r>
      <w:r w:rsidR="006D2357" w:rsidRPr="005278DE">
        <w:rPr>
          <w:rStyle w:val="FootnoteReference"/>
        </w:rPr>
        <w:t xml:space="preserve"> </w:t>
      </w:r>
      <w:r w:rsidR="006D2357" w:rsidRPr="005278DE">
        <w:rPr>
          <w:rStyle w:val="FootnoteReference"/>
        </w:rPr>
        <w:footnoteReference w:id="11"/>
      </w:r>
      <w:r w:rsidR="006D2357" w:rsidRPr="005278DE">
        <w:t xml:space="preserve"> </w:t>
      </w:r>
      <w:r w:rsidR="007E48E7" w:rsidRPr="005278DE">
        <w:t xml:space="preserve"> Enforcing rights judicially has a significance beyond the individual case insofar as it bolster</w:t>
      </w:r>
      <w:r w:rsidR="004E3A17">
        <w:t>s</w:t>
      </w:r>
      <w:r w:rsidR="007E48E7" w:rsidRPr="005278DE">
        <w:t xml:space="preserve"> the legitimacy of these ESR in their translation from rhetoric into a</w:t>
      </w:r>
      <w:r w:rsidR="00E200D0" w:rsidRPr="005278DE">
        <w:t xml:space="preserve"> tangible </w:t>
      </w:r>
      <w:r w:rsidR="007E48E7" w:rsidRPr="005278DE">
        <w:t xml:space="preserve">policy </w:t>
      </w:r>
      <w:r w:rsidR="00E200D0" w:rsidRPr="005278DE">
        <w:t>reality</w:t>
      </w:r>
      <w:r w:rsidR="007E48E7" w:rsidRPr="005278DE">
        <w:t>.</w:t>
      </w:r>
      <w:r w:rsidR="007E48E7" w:rsidRPr="005278DE">
        <w:rPr>
          <w:rStyle w:val="FootnoteReference"/>
        </w:rPr>
        <w:footnoteReference w:id="12"/>
      </w:r>
      <w:r w:rsidR="00390AD8" w:rsidRPr="005278DE">
        <w:t xml:space="preserve"> </w:t>
      </w:r>
    </w:p>
    <w:p w14:paraId="2801B687" w14:textId="757CC159" w:rsidR="00E36C13" w:rsidRPr="005278DE" w:rsidRDefault="00736038" w:rsidP="00E36C13">
      <w:pPr>
        <w:jc w:val="both"/>
      </w:pPr>
      <w:r>
        <w:t xml:space="preserve">        </w:t>
      </w:r>
      <w:r w:rsidR="00D12635">
        <w:t xml:space="preserve">In rights-based theorisation and in </w:t>
      </w:r>
      <w:r w:rsidR="00D12635" w:rsidRPr="00D12635">
        <w:rPr>
          <w:i/>
          <w:iCs/>
        </w:rPr>
        <w:t>some</w:t>
      </w:r>
      <w:r w:rsidR="00D12635">
        <w:t xml:space="preserve"> jurisdictions, the</w:t>
      </w:r>
      <w:r w:rsidR="00663A6E">
        <w:t xml:space="preserve"> battle over </w:t>
      </w:r>
      <w:r w:rsidR="00D12635">
        <w:t xml:space="preserve">the theoretical </w:t>
      </w:r>
      <w:r w:rsidR="00663A6E">
        <w:t xml:space="preserve">justiciability </w:t>
      </w:r>
      <w:r w:rsidR="00D12635">
        <w:t xml:space="preserve">of ESR </w:t>
      </w:r>
      <w:r w:rsidR="00663A6E">
        <w:t>has largely been won</w:t>
      </w:r>
      <w:r w:rsidR="00AE4428">
        <w:t xml:space="preserve">, </w:t>
      </w:r>
      <w:r w:rsidR="00AE4428" w:rsidRPr="005278DE">
        <w:t>‘perhaps not yet dead and buried</w:t>
      </w:r>
      <w:r w:rsidR="00AE4428">
        <w:t>’</w:t>
      </w:r>
      <w:r w:rsidR="00AE4428" w:rsidRPr="005278DE">
        <w:t xml:space="preserve"> but </w:t>
      </w:r>
      <w:r w:rsidR="00AE4428">
        <w:t>most apparent today</w:t>
      </w:r>
      <w:r w:rsidR="00AE4428" w:rsidRPr="005278DE">
        <w:t xml:space="preserve"> </w:t>
      </w:r>
      <w:r w:rsidR="00AE4428">
        <w:t>‘</w:t>
      </w:r>
      <w:r w:rsidR="00AE4428" w:rsidRPr="005278DE">
        <w:t xml:space="preserve">as a quiet echo from the </w:t>
      </w:r>
      <w:r w:rsidR="00AE4428" w:rsidRPr="00AE4428">
        <w:t>past.’</w:t>
      </w:r>
      <w:r w:rsidR="00AE4428" w:rsidRPr="00AE4428">
        <w:rPr>
          <w:rStyle w:val="FootnoteReference"/>
        </w:rPr>
        <w:footnoteReference w:id="13"/>
      </w:r>
      <w:r w:rsidR="00663A6E">
        <w:t xml:space="preserve"> </w:t>
      </w:r>
      <w:r w:rsidR="00C77E47">
        <w:t>N</w:t>
      </w:r>
      <w:r w:rsidR="005C7C1E" w:rsidRPr="005278DE">
        <w:t>on-justiciability argument</w:t>
      </w:r>
      <w:r w:rsidR="00C77E47">
        <w:t>s</w:t>
      </w:r>
      <w:r w:rsidR="008A0F50">
        <w:t xml:space="preserve"> have</w:t>
      </w:r>
      <w:r w:rsidR="005C7C1E" w:rsidRPr="005278DE">
        <w:t xml:space="preserve"> been </w:t>
      </w:r>
      <w:r w:rsidR="00E30D36">
        <w:t>largely rebutted</w:t>
      </w:r>
      <w:r w:rsidR="005C7C1E" w:rsidRPr="005278DE">
        <w:t xml:space="preserve"> </w:t>
      </w:r>
      <w:r w:rsidR="005C7C1E" w:rsidRPr="005278DE">
        <w:lastRenderedPageBreak/>
        <w:t>in the scholarly literature through strong conceptual analysis</w:t>
      </w:r>
      <w:r w:rsidR="008A0F50">
        <w:t xml:space="preserve"> in the last thirty years,</w:t>
      </w:r>
      <w:r w:rsidR="005C7C1E" w:rsidRPr="005278DE">
        <w:rPr>
          <w:rStyle w:val="FootnoteReference"/>
        </w:rPr>
        <w:footnoteReference w:id="14"/>
      </w:r>
      <w:r w:rsidR="005C7C1E" w:rsidRPr="005278DE">
        <w:t xml:space="preserve"> </w:t>
      </w:r>
      <w:r w:rsidR="005C7C1E">
        <w:t>while</w:t>
      </w:r>
      <w:r w:rsidR="005C7C1E" w:rsidRPr="005278DE">
        <w:t xml:space="preserve"> the self-evident success of various courts </w:t>
      </w:r>
      <w:r w:rsidR="007735B4" w:rsidRPr="005278DE">
        <w:t xml:space="preserve">in Europe, Latin America, South Asia and South Africa </w:t>
      </w:r>
      <w:r w:rsidR="005C7C1E" w:rsidRPr="005278DE">
        <w:t xml:space="preserve">in surmounting the philosophical concerns of rights sceptics </w:t>
      </w:r>
      <w:r w:rsidR="007735B4">
        <w:t>‘</w:t>
      </w:r>
      <w:r w:rsidR="00F22B5A" w:rsidRPr="005278DE">
        <w:t>makes it difficult to argue against the possibility of social right</w:t>
      </w:r>
      <w:r w:rsidR="00AE4428">
        <w:t>s</w:t>
      </w:r>
      <w:r w:rsidR="00F22B5A" w:rsidRPr="005278DE">
        <w:t xml:space="preserve"> justiciability.’</w:t>
      </w:r>
      <w:r w:rsidR="00F22B5A" w:rsidRPr="005278DE">
        <w:rPr>
          <w:rStyle w:val="FootnoteReference"/>
        </w:rPr>
        <w:footnoteReference w:id="15"/>
      </w:r>
      <w:r w:rsidR="005B0FF9" w:rsidRPr="005278DE">
        <w:t xml:space="preserve"> The </w:t>
      </w:r>
      <w:r w:rsidR="00E200D0" w:rsidRPr="005278DE">
        <w:t xml:space="preserve">adoption of the </w:t>
      </w:r>
      <w:r w:rsidR="005B0FF9" w:rsidRPr="005278DE">
        <w:t>Optional Protocol</w:t>
      </w:r>
      <w:r w:rsidR="00E200D0" w:rsidRPr="005278DE">
        <w:t xml:space="preserve"> to the ICESCR rendered arguments of non-justiciability otiose</w:t>
      </w:r>
      <w:r w:rsidR="00390AD8" w:rsidRPr="005278DE">
        <w:t xml:space="preserve">, while the </w:t>
      </w:r>
      <w:r w:rsidR="00A75D3C">
        <w:t>trend</w:t>
      </w:r>
      <w:r w:rsidR="00390AD8" w:rsidRPr="005278DE">
        <w:t xml:space="preserve"> </w:t>
      </w:r>
      <w:r w:rsidR="00A75D3C">
        <w:t xml:space="preserve">across the globe </w:t>
      </w:r>
      <w:r w:rsidR="00390AD8" w:rsidRPr="005278DE">
        <w:t xml:space="preserve">to enshrine ESR alongside civil and political rights in constitutions has attenuated the </w:t>
      </w:r>
      <w:r w:rsidR="00AE4428">
        <w:t xml:space="preserve">ostensibly </w:t>
      </w:r>
      <w:r w:rsidR="00390AD8" w:rsidRPr="005278DE">
        <w:t xml:space="preserve">sharp distinction </w:t>
      </w:r>
      <w:r w:rsidR="008A0F50">
        <w:t>civil and political rights, on the one hand, and socio-economic rights on the other</w:t>
      </w:r>
      <w:r w:rsidR="00E200D0" w:rsidRPr="005278DE">
        <w:t>.</w:t>
      </w:r>
      <w:r w:rsidR="00390AD8" w:rsidRPr="005278DE">
        <w:rPr>
          <w:rStyle w:val="FootnoteReference"/>
        </w:rPr>
        <w:footnoteReference w:id="16"/>
      </w:r>
      <w:r w:rsidR="00E200D0" w:rsidRPr="005278DE">
        <w:t xml:space="preserve"> </w:t>
      </w:r>
      <w:r w:rsidR="00E36C13">
        <w:t xml:space="preserve"> At the level of theory t</w:t>
      </w:r>
      <w:r w:rsidR="00E36C13" w:rsidRPr="005278DE">
        <w:t xml:space="preserve">he question of justiciability no longer </w:t>
      </w:r>
      <w:r w:rsidR="00E36C13">
        <w:t xml:space="preserve">addresses the issue of </w:t>
      </w:r>
      <w:r w:rsidR="00DA2677">
        <w:t>whether or not judges can enforce socio-economic rights</w:t>
      </w:r>
      <w:r w:rsidR="00E36C13" w:rsidRPr="005278DE">
        <w:t>, but rather which layer in the tripartite respect-protect-fulfil obligation applies. C</w:t>
      </w:r>
      <w:r w:rsidR="00E36C13">
        <w:t>ontemporary c</w:t>
      </w:r>
      <w:r w:rsidR="00E36C13" w:rsidRPr="005278DE">
        <w:t xml:space="preserve">ritiques </w:t>
      </w:r>
      <w:r w:rsidR="00E36C13">
        <w:t>of ESR instead address</w:t>
      </w:r>
      <w:r w:rsidR="00E36C13" w:rsidRPr="005278DE">
        <w:t xml:space="preserve"> the emerging jurisprudence</w:t>
      </w:r>
      <w:r w:rsidR="0057216F">
        <w:t xml:space="preserve"> in various national jurisdictions</w:t>
      </w:r>
      <w:r w:rsidR="00E36C13">
        <w:t>,</w:t>
      </w:r>
      <w:r w:rsidR="00E36C13" w:rsidRPr="005278DE">
        <w:t xml:space="preserve"> </w:t>
      </w:r>
      <w:r w:rsidR="00E36C13">
        <w:t>while</w:t>
      </w:r>
      <w:r w:rsidR="00E36C13" w:rsidRPr="005278DE">
        <w:t xml:space="preserve"> issues of post-judgment implementation</w:t>
      </w:r>
      <w:r w:rsidR="00E36C13">
        <w:t xml:space="preserve"> and </w:t>
      </w:r>
      <w:r w:rsidR="00E36C13" w:rsidRPr="005278DE">
        <w:t xml:space="preserve">compliance </w:t>
      </w:r>
      <w:r w:rsidR="00E36C13">
        <w:t xml:space="preserve">issues </w:t>
      </w:r>
      <w:r w:rsidR="00E36C13" w:rsidRPr="005278DE">
        <w:t>are increasingly to the fore.</w:t>
      </w:r>
      <w:r w:rsidR="00E36C13" w:rsidRPr="005278DE">
        <w:rPr>
          <w:rStyle w:val="FootnoteReference"/>
        </w:rPr>
        <w:footnoteReference w:id="17"/>
      </w:r>
      <w:r w:rsidR="00E36C13" w:rsidRPr="005278DE">
        <w:t xml:space="preserve"> </w:t>
      </w:r>
    </w:p>
    <w:p w14:paraId="7201A325" w14:textId="2F147BDE" w:rsidR="00E36C13" w:rsidRPr="004E6B52" w:rsidRDefault="009F4A5D" w:rsidP="001738F8">
      <w:pPr>
        <w:jc w:val="both"/>
      </w:pPr>
      <w:r>
        <w:t xml:space="preserve">        </w:t>
      </w:r>
      <w:r w:rsidR="001379D4">
        <w:t xml:space="preserve">Of course, </w:t>
      </w:r>
      <w:r>
        <w:t xml:space="preserve">contemporary </w:t>
      </w:r>
      <w:r w:rsidR="001379D4">
        <w:t xml:space="preserve">cynicism about the status and worth of ESR lies </w:t>
      </w:r>
      <w:r>
        <w:t xml:space="preserve">not </w:t>
      </w:r>
      <w:r w:rsidR="001379D4">
        <w:t>in theory</w:t>
      </w:r>
      <w:r w:rsidR="00561852">
        <w:t>,</w:t>
      </w:r>
      <w:r w:rsidR="001379D4">
        <w:t xml:space="preserve"> as </w:t>
      </w:r>
      <w:r w:rsidR="00561852">
        <w:t xml:space="preserve">it </w:t>
      </w:r>
      <w:r w:rsidR="00C77E47">
        <w:t>did</w:t>
      </w:r>
      <w:r w:rsidR="00561852">
        <w:t xml:space="preserve"> </w:t>
      </w:r>
      <w:r w:rsidR="001379D4">
        <w:t>in the past</w:t>
      </w:r>
      <w:r w:rsidR="00561852">
        <w:t>,</w:t>
      </w:r>
      <w:r>
        <w:t xml:space="preserve"> </w:t>
      </w:r>
      <w:r w:rsidR="001379D4">
        <w:t xml:space="preserve">but rather in the </w:t>
      </w:r>
      <w:r>
        <w:t>manner by</w:t>
      </w:r>
      <w:r w:rsidR="001379D4">
        <w:t xml:space="preserve"> which individual states deprecate socio-economic rights </w:t>
      </w:r>
      <w:r>
        <w:t>to shield themselves</w:t>
      </w:r>
      <w:r w:rsidR="001379D4">
        <w:t xml:space="preserve"> against assertions at the domestic or international level that they are failing in their obligations.</w:t>
      </w:r>
      <w:r w:rsidR="001379D4">
        <w:rPr>
          <w:rStyle w:val="FootnoteReference"/>
        </w:rPr>
        <w:footnoteReference w:id="18"/>
      </w:r>
      <w:r w:rsidR="001379D4">
        <w:t xml:space="preserve"> </w:t>
      </w:r>
      <w:r w:rsidR="00E36C13" w:rsidRPr="00DB5EBE">
        <w:t xml:space="preserve">It remains the case that in </w:t>
      </w:r>
      <w:r w:rsidR="00B35F58" w:rsidRPr="00DB5EBE">
        <w:t>many</w:t>
      </w:r>
      <w:r w:rsidR="00E36C13" w:rsidRPr="00DB5EBE">
        <w:t xml:space="preserve"> jurisdictions in the world, </w:t>
      </w:r>
      <w:r w:rsidR="00E36C13" w:rsidRPr="00475E9F">
        <w:t xml:space="preserve">the justiciability of socio-economic rights is </w:t>
      </w:r>
      <w:r w:rsidR="00E36C13" w:rsidRPr="00DB5EBE">
        <w:t xml:space="preserve">not </w:t>
      </w:r>
      <w:r w:rsidR="00E36C13" w:rsidRPr="00475E9F">
        <w:t>firmly establishe</w:t>
      </w:r>
      <w:r w:rsidR="00E36C13" w:rsidRPr="00DB5EBE">
        <w:t>d – rights to basic material</w:t>
      </w:r>
      <w:r w:rsidR="00830916">
        <w:t>s</w:t>
      </w:r>
      <w:r w:rsidR="00E36C13" w:rsidRPr="00DB5EBE">
        <w:t xml:space="preserve"> interests like housing, food, education and healthcare may at best be directive principles of state policy to guide the executive</w:t>
      </w:r>
      <w:r w:rsidR="00830916">
        <w:t xml:space="preserve"> and/or legislature</w:t>
      </w:r>
      <w:r w:rsidR="00E36C13" w:rsidRPr="00DB5EBE">
        <w:t xml:space="preserve">, as opposed to something enforceable in a court of law. </w:t>
      </w:r>
      <w:r w:rsidR="00AA4E44" w:rsidRPr="00DB5EBE">
        <w:t>ESR are most likely to be considered justiciable in state</w:t>
      </w:r>
      <w:r w:rsidR="005B234B" w:rsidRPr="00DB5EBE">
        <w:t>s</w:t>
      </w:r>
      <w:r w:rsidR="00AA4E44" w:rsidRPr="00DB5EBE">
        <w:t xml:space="preserve"> where significant constitutional reform has occurred and </w:t>
      </w:r>
      <w:r w:rsidR="005B234B" w:rsidRPr="00DB5EBE">
        <w:t xml:space="preserve">where </w:t>
      </w:r>
      <w:r w:rsidR="00AA4E44" w:rsidRPr="00DB5EBE">
        <w:t>progressive judiciaries (most notably South Africa</w:t>
      </w:r>
      <w:r w:rsidR="00DA2677">
        <w:t>, Colombia</w:t>
      </w:r>
      <w:r w:rsidR="00AA4E44" w:rsidRPr="00DB5EBE">
        <w:t xml:space="preserve"> and </w:t>
      </w:r>
      <w:r w:rsidR="00DA2677">
        <w:t xml:space="preserve">latterly </w:t>
      </w:r>
      <w:r w:rsidR="00AA4E44" w:rsidRPr="00DB5EBE">
        <w:t xml:space="preserve">Nepal) are willing to robustly </w:t>
      </w:r>
      <w:r w:rsidR="00830916">
        <w:t>enforc</w:t>
      </w:r>
      <w:r w:rsidR="00AA4E44" w:rsidRPr="00DB5EBE">
        <w:t>e E</w:t>
      </w:r>
      <w:r w:rsidR="005B234B" w:rsidRPr="00DB5EBE">
        <w:t>S</w:t>
      </w:r>
      <w:r w:rsidR="00AA4E44" w:rsidRPr="00DB5EBE">
        <w:t xml:space="preserve">R provisions. In other states such as Ireland, the UK and the United States, courts have explicitly rejected the justiciability of ESR. There are two </w:t>
      </w:r>
      <w:r w:rsidR="005B234B" w:rsidRPr="00DB5EBE">
        <w:t xml:space="preserve">plausible, </w:t>
      </w:r>
      <w:r w:rsidR="00A75D3C">
        <w:t>mutually compatible</w:t>
      </w:r>
      <w:r w:rsidR="00AA4E44" w:rsidRPr="00DB5EBE">
        <w:t xml:space="preserve"> responses to this. The first is to </w:t>
      </w:r>
      <w:r w:rsidR="005B234B" w:rsidRPr="00DB5EBE">
        <w:t xml:space="preserve">patiently </w:t>
      </w:r>
      <w:r w:rsidR="00AA4E44" w:rsidRPr="00DB5EBE">
        <w:t xml:space="preserve">reiterate the justiciability of ESR in litigation, civil society </w:t>
      </w:r>
      <w:r w:rsidR="005B234B" w:rsidRPr="00DB5EBE">
        <w:t>campaigns</w:t>
      </w:r>
      <w:r w:rsidR="00AA4E44" w:rsidRPr="00DB5EBE">
        <w:t xml:space="preserve"> and theory while awaiting a change in the constitution or in judicial attitudes. </w:t>
      </w:r>
      <w:r w:rsidR="005B234B" w:rsidRPr="00DB5EBE">
        <w:t xml:space="preserve">The second </w:t>
      </w:r>
      <w:r w:rsidR="00B35F58" w:rsidRPr="00DB5EBE">
        <w:t xml:space="preserve">is to </w:t>
      </w:r>
      <w:r w:rsidR="0036713C">
        <w:t xml:space="preserve">acknowledge that the failure to make ESR justiciable places a premium on </w:t>
      </w:r>
      <w:r w:rsidR="005B234B" w:rsidRPr="00DB5EBE">
        <w:t xml:space="preserve">those programmatic aspects of rights in institutions outside the judiciary. </w:t>
      </w:r>
      <w:r w:rsidR="00B35F58" w:rsidRPr="00DB5EBE">
        <w:t xml:space="preserve">In a world </w:t>
      </w:r>
      <w:r w:rsidR="00DB5EBE" w:rsidRPr="00DB5EBE">
        <w:t xml:space="preserve">polarised </w:t>
      </w:r>
      <w:r w:rsidR="00B35F58" w:rsidRPr="00DB5EBE">
        <w:t xml:space="preserve">between jurisdictions where </w:t>
      </w:r>
      <w:r w:rsidR="00DB5EBE" w:rsidRPr="00DB5EBE">
        <w:t xml:space="preserve">development in jurisprudence of socio-economic rights is proceeding apace and </w:t>
      </w:r>
      <w:r w:rsidR="00A75D3C">
        <w:t xml:space="preserve">those </w:t>
      </w:r>
      <w:r w:rsidR="00DB5EBE" w:rsidRPr="00DB5EBE">
        <w:t>where resistance to justiciability becomes more entrenched, t</w:t>
      </w:r>
      <w:r w:rsidR="00B35F58" w:rsidRPr="00DB5EBE">
        <w:t>he ‘more useful intellectual question’, as Singh puts it, ‘is how to make these rights realizable rather than to ask whether they are justiciable rights in the first place.’</w:t>
      </w:r>
      <w:r w:rsidR="00DB5EBE" w:rsidRPr="00DB5EBE">
        <w:rPr>
          <w:rStyle w:val="FootnoteReference"/>
        </w:rPr>
        <w:t xml:space="preserve"> </w:t>
      </w:r>
      <w:r w:rsidR="00DB5EBE" w:rsidRPr="00DB5EBE">
        <w:rPr>
          <w:rStyle w:val="FootnoteReference"/>
        </w:rPr>
        <w:footnoteReference w:id="19"/>
      </w:r>
    </w:p>
    <w:p w14:paraId="3EB0BAD5" w14:textId="5906D69D" w:rsidR="00033F7D" w:rsidRPr="005278DE" w:rsidRDefault="00033F7D" w:rsidP="004561EB">
      <w:pPr>
        <w:jc w:val="both"/>
      </w:pPr>
    </w:p>
    <w:p w14:paraId="3E7F866E" w14:textId="77DF9793" w:rsidR="005E7A31" w:rsidRPr="00572A4B" w:rsidRDefault="004A12E6" w:rsidP="00E32FE2">
      <w:pPr>
        <w:pStyle w:val="ListParagraph"/>
        <w:numPr>
          <w:ilvl w:val="0"/>
          <w:numId w:val="10"/>
        </w:numPr>
        <w:jc w:val="center"/>
      </w:pPr>
      <w:r w:rsidRPr="00572A4B">
        <w:t xml:space="preserve">Moving Beyond </w:t>
      </w:r>
      <w:r w:rsidR="005E7A31" w:rsidRPr="00572A4B">
        <w:t>Justiciability</w:t>
      </w:r>
    </w:p>
    <w:p w14:paraId="029C3458" w14:textId="77777777" w:rsidR="005E7A31" w:rsidRDefault="005E7A31" w:rsidP="00D70454">
      <w:pPr>
        <w:jc w:val="both"/>
      </w:pPr>
    </w:p>
    <w:p w14:paraId="6EB22B5A" w14:textId="1FBA77C5" w:rsidR="002660AF" w:rsidRDefault="00721AD3" w:rsidP="00A74F3E">
      <w:pPr>
        <w:jc w:val="both"/>
      </w:pPr>
      <w:r>
        <w:lastRenderedPageBreak/>
        <w:t>The historic</w:t>
      </w:r>
      <w:r w:rsidR="001738F8" w:rsidRPr="005278DE">
        <w:t xml:space="preserve"> preoccupation with ESR justiciability meant that scholarship in the area has largely been defined by a ‘siege mentality’. Now that this siege is lift</w:t>
      </w:r>
      <w:r w:rsidR="00F20D08">
        <w:t>ing</w:t>
      </w:r>
      <w:r w:rsidR="001738F8" w:rsidRPr="005278DE">
        <w:t xml:space="preserve">, space has opened up to discuss matters </w:t>
      </w:r>
      <w:r w:rsidR="00663A6E">
        <w:t xml:space="preserve">(some might say doubts) </w:t>
      </w:r>
      <w:r w:rsidR="001738F8" w:rsidRPr="005278DE">
        <w:t xml:space="preserve">that </w:t>
      </w:r>
      <w:r w:rsidR="00663A6E">
        <w:t xml:space="preserve">may hitherto have </w:t>
      </w:r>
      <w:r w:rsidR="001738F8" w:rsidRPr="005278DE">
        <w:t>present</w:t>
      </w:r>
      <w:r w:rsidR="00663A6E">
        <w:t>ed</w:t>
      </w:r>
      <w:r w:rsidR="001738F8" w:rsidRPr="005278DE">
        <w:t xml:space="preserve"> a challenge to the consensus generated by this defensive solidarity.</w:t>
      </w:r>
      <w:r w:rsidR="001738F8" w:rsidRPr="005278DE">
        <w:rPr>
          <w:rStyle w:val="FootnoteReference"/>
        </w:rPr>
        <w:footnoteReference w:id="20"/>
      </w:r>
      <w:r w:rsidR="006C2802" w:rsidRPr="005278DE">
        <w:t xml:space="preserve"> </w:t>
      </w:r>
      <w:r w:rsidR="00993498">
        <w:t>As Craven notes,</w:t>
      </w:r>
      <w:r w:rsidR="004E3A17">
        <w:t xml:space="preserve"> s</w:t>
      </w:r>
      <w:r w:rsidR="00DD453B" w:rsidRPr="005278DE">
        <w:t xml:space="preserve">cholars have </w:t>
      </w:r>
      <w:r w:rsidR="00993498">
        <w:t xml:space="preserve">historically </w:t>
      </w:r>
      <w:r w:rsidR="00DD453B" w:rsidRPr="005278DE">
        <w:t xml:space="preserve">been keener to assert the </w:t>
      </w:r>
      <w:r w:rsidR="00663A6E">
        <w:t xml:space="preserve">undoubted </w:t>
      </w:r>
      <w:r w:rsidR="00DD453B" w:rsidRPr="005278DE">
        <w:t xml:space="preserve">validity of adjudication in legitimating ESR claims than they have been to critically grapple with the </w:t>
      </w:r>
      <w:r w:rsidR="00663A6E">
        <w:t xml:space="preserve">more uncertain </w:t>
      </w:r>
      <w:r w:rsidR="00DD453B" w:rsidRPr="005278DE">
        <w:t xml:space="preserve">centrality of </w:t>
      </w:r>
      <w:r w:rsidR="00E30D36">
        <w:t>adjudication</w:t>
      </w:r>
      <w:r w:rsidR="00DD453B" w:rsidRPr="005278DE">
        <w:t xml:space="preserve"> to the real</w:t>
      </w:r>
      <w:r w:rsidR="00830916">
        <w:t>-</w:t>
      </w:r>
      <w:r w:rsidR="00DD453B" w:rsidRPr="005278DE">
        <w:t>world realisation of ESR.</w:t>
      </w:r>
      <w:r w:rsidR="00DD453B" w:rsidRPr="005278DE">
        <w:rPr>
          <w:rStyle w:val="FootnoteReference"/>
        </w:rPr>
        <w:footnoteReference w:id="21"/>
      </w:r>
      <w:r w:rsidR="00993498">
        <w:rPr>
          <w:color w:val="000000" w:themeColor="text1"/>
        </w:rPr>
        <w:t xml:space="preserve"> T</w:t>
      </w:r>
      <w:r w:rsidR="00DD453B" w:rsidRPr="005278DE">
        <w:t xml:space="preserve">he enthusiastic promotion of the </w:t>
      </w:r>
      <w:proofErr w:type="spellStart"/>
      <w:r w:rsidR="00DD453B" w:rsidRPr="005278DE">
        <w:t>judicialisation</w:t>
      </w:r>
      <w:proofErr w:type="spellEnd"/>
      <w:r w:rsidR="00DD453B" w:rsidRPr="005278DE">
        <w:t xml:space="preserve"> of human rights </w:t>
      </w:r>
      <w:r w:rsidR="006C2802" w:rsidRPr="005278DE">
        <w:t>has largely proceeded without</w:t>
      </w:r>
      <w:r w:rsidR="00DD453B" w:rsidRPr="005278DE">
        <w:t xml:space="preserve"> due regard to </w:t>
      </w:r>
      <w:r w:rsidR="006C2802" w:rsidRPr="005278DE">
        <w:t>its</w:t>
      </w:r>
      <w:r w:rsidR="00DD453B" w:rsidRPr="005278DE">
        <w:t xml:space="preserve"> </w:t>
      </w:r>
      <w:r w:rsidR="00497108" w:rsidRPr="005278DE">
        <w:t xml:space="preserve">actual </w:t>
      </w:r>
      <w:r w:rsidR="00DD453B" w:rsidRPr="005278DE">
        <w:t>efficacy</w:t>
      </w:r>
      <w:r w:rsidR="006C2802" w:rsidRPr="005278DE">
        <w:t>.</w:t>
      </w:r>
      <w:r w:rsidR="006C2802" w:rsidRPr="005278DE">
        <w:rPr>
          <w:rStyle w:val="FootnoteReference"/>
        </w:rPr>
        <w:footnoteReference w:id="22"/>
      </w:r>
      <w:r w:rsidR="00DD453B" w:rsidRPr="005278DE">
        <w:t xml:space="preserve"> </w:t>
      </w:r>
      <w:r w:rsidR="00F91863">
        <w:t xml:space="preserve"> </w:t>
      </w:r>
      <w:r w:rsidR="00993498">
        <w:t>The more frequent turn to judicial remedies for ESR violations</w:t>
      </w:r>
      <w:r w:rsidR="00F91863">
        <w:t xml:space="preserve"> has drawn attention to the limitations with which we are now familiar – procedural difficulties faced by poor litigants, the consequent bias in favour of middle-class litigants, the privileging of retrospective remedies over prospective provision, the focus on individual litigation over collective suffering, judicial deference to state authorities. </w:t>
      </w:r>
      <w:r w:rsidR="00E30D36">
        <w:t>More pertinently for the focus of this paper</w:t>
      </w:r>
      <w:r w:rsidR="006C2802" w:rsidRPr="005278DE">
        <w:t>, it seems clear that progress in establishing the justiciability of ESR has not been matched with commensurate success in the area of politics and public policy, creating a gap that increasingly concerns policy</w:t>
      </w:r>
      <w:r w:rsidR="00E30D36">
        <w:t>-</w:t>
      </w:r>
      <w:r w:rsidR="006C2802" w:rsidRPr="005278DE">
        <w:t>makers.</w:t>
      </w:r>
      <w:r w:rsidR="006C2802" w:rsidRPr="005278DE">
        <w:rPr>
          <w:rStyle w:val="FootnoteReference"/>
        </w:rPr>
        <w:footnoteReference w:id="23"/>
      </w:r>
      <w:r w:rsidR="00017868" w:rsidRPr="005278DE">
        <w:t xml:space="preserve"> </w:t>
      </w:r>
      <w:r w:rsidR="00A50D05" w:rsidRPr="005278DE">
        <w:t>Scholars, NGOs and the Committee of Economic, Social and Cultural Rights (CESCR) have tended to focus more on those justiciable immediate obligations related to rights that are not dependent on resource availability at the expense of progressive realisation, ‘severely constrain[</w:t>
      </w:r>
      <w:proofErr w:type="spellStart"/>
      <w:r w:rsidR="00A50D05" w:rsidRPr="005278DE">
        <w:t>ing</w:t>
      </w:r>
      <w:proofErr w:type="spellEnd"/>
      <w:r w:rsidR="00A50D05" w:rsidRPr="005278DE">
        <w:t>] the ability of the human rights movement to address broader issues of public policy that have a huge impact on the realization of ESC rights.</w:t>
      </w:r>
      <w:r w:rsidR="00D53E11">
        <w:t>’</w:t>
      </w:r>
      <w:r w:rsidR="00A50D05" w:rsidRPr="005278DE">
        <w:rPr>
          <w:rStyle w:val="FootnoteReference"/>
        </w:rPr>
        <w:footnoteReference w:id="24"/>
      </w:r>
      <w:r w:rsidR="00A50D05" w:rsidRPr="005278DE">
        <w:t xml:space="preserve"> </w:t>
      </w:r>
      <w:r w:rsidR="00614CF9">
        <w:t xml:space="preserve">It is for this reason that scholars </w:t>
      </w:r>
      <w:r w:rsidR="00993498">
        <w:t xml:space="preserve">are beginning to </w:t>
      </w:r>
      <w:r w:rsidR="00614CF9">
        <w:t>argue that human rights study is often too legalistic</w:t>
      </w:r>
      <w:r w:rsidR="0036713C">
        <w:t>,</w:t>
      </w:r>
      <w:r w:rsidR="00614CF9">
        <w:t xml:space="preserve"> emphasising </w:t>
      </w:r>
      <w:r w:rsidR="00E30D36">
        <w:t>case-law</w:t>
      </w:r>
      <w:r w:rsidR="00614CF9">
        <w:t xml:space="preserve"> to the exclusion of other factor</w:t>
      </w:r>
      <w:r w:rsidR="004A12E6">
        <w:t>s</w:t>
      </w:r>
      <w:r w:rsidR="00614CF9">
        <w:t xml:space="preserve"> that affect the achievement of rights outcomes.</w:t>
      </w:r>
      <w:r w:rsidR="00614CF9">
        <w:rPr>
          <w:rStyle w:val="FootnoteReference"/>
        </w:rPr>
        <w:footnoteReference w:id="25"/>
      </w:r>
      <w:r w:rsidR="00614CF9">
        <w:t xml:space="preserve">  </w:t>
      </w:r>
      <w:r w:rsidR="005809D2">
        <w:t>Most rights, after all, are realised through ‘active respect’ (whereby the duty bearer take</w:t>
      </w:r>
      <w:r w:rsidR="00CC5782">
        <w:t>s</w:t>
      </w:r>
      <w:r w:rsidR="005809D2">
        <w:t xml:space="preserve"> a right into account during policy-making, even where judicial enforcement has never been activated) than via the ‘assertive exercise’ by a rights-holder making a claim.</w:t>
      </w:r>
      <w:r w:rsidR="00DE7D5E">
        <w:rPr>
          <w:rStyle w:val="FootnoteReference"/>
        </w:rPr>
        <w:footnoteReference w:id="26"/>
      </w:r>
      <w:r w:rsidR="005809D2">
        <w:t xml:space="preserve"> </w:t>
      </w:r>
      <w:r w:rsidR="00464FBA" w:rsidRPr="00AE4428">
        <w:t>Even those who advocate justiciability most strongly acknowledge that litigation alone is inadequate to fully secure rights</w:t>
      </w:r>
      <w:r w:rsidR="00A74F3E">
        <w:t xml:space="preserve">. Courts have limitations in terms of planning and implementation of public policy relative to the </w:t>
      </w:r>
      <w:r w:rsidR="00464FBA" w:rsidRPr="00AE4428">
        <w:t>executive and legislative branches of the State.</w:t>
      </w:r>
      <w:r w:rsidR="00464FBA" w:rsidRPr="00AE4428">
        <w:rPr>
          <w:rStyle w:val="FootnoteReference"/>
        </w:rPr>
        <w:footnoteReference w:id="27"/>
      </w:r>
    </w:p>
    <w:p w14:paraId="676D158B" w14:textId="337B7EC7" w:rsidR="008D65BB" w:rsidRPr="004E1BE7" w:rsidRDefault="00736038" w:rsidP="004E1BE7">
      <w:pPr>
        <w:jc w:val="both"/>
      </w:pPr>
      <w:r>
        <w:t xml:space="preserve">        </w:t>
      </w:r>
      <w:r w:rsidR="00A74F3E">
        <w:t xml:space="preserve">The strong emphasis on the justiciability </w:t>
      </w:r>
      <w:r w:rsidR="0020739D">
        <w:t xml:space="preserve">of </w:t>
      </w:r>
      <w:r w:rsidR="00A74F3E">
        <w:t xml:space="preserve">socio-economic rights </w:t>
      </w:r>
      <w:r w:rsidR="00F907B8">
        <w:t xml:space="preserve">might have come as a surprise to the drafters of the ICESCR. The </w:t>
      </w:r>
      <w:r w:rsidR="00A74F3E" w:rsidRPr="004E1BE7">
        <w:t xml:space="preserve">initial impetus underpinning the development of the </w:t>
      </w:r>
      <w:r w:rsidR="00F907B8">
        <w:t>Covenant</w:t>
      </w:r>
      <w:r w:rsidR="00A74F3E" w:rsidRPr="004E1BE7">
        <w:t xml:space="preserve"> emphasised the </w:t>
      </w:r>
      <w:r w:rsidR="00A74F3E">
        <w:t>state’s executive, legislative and administrative duty</w:t>
      </w:r>
      <w:r w:rsidR="00A74F3E" w:rsidRPr="004E1BE7">
        <w:t xml:space="preserve"> </w:t>
      </w:r>
      <w:r w:rsidR="00A74F3E">
        <w:t>to intervene to ameliorate</w:t>
      </w:r>
      <w:r w:rsidR="00A74F3E" w:rsidRPr="004E1BE7">
        <w:t xml:space="preserve"> </w:t>
      </w:r>
      <w:r w:rsidR="00A74F3E">
        <w:t>the</w:t>
      </w:r>
      <w:r w:rsidR="00A74F3E" w:rsidRPr="004E1BE7">
        <w:t xml:space="preserve"> experience of </w:t>
      </w:r>
      <w:proofErr w:type="spellStart"/>
      <w:r w:rsidR="00A74F3E" w:rsidRPr="004E1BE7">
        <w:t>collectivities</w:t>
      </w:r>
      <w:proofErr w:type="spellEnd"/>
      <w:r w:rsidR="00A74F3E" w:rsidRPr="004E1BE7">
        <w:t xml:space="preserve"> like the unemployed, the homeless and the </w:t>
      </w:r>
      <w:r w:rsidR="00A74F3E" w:rsidRPr="004E1BE7">
        <w:lastRenderedPageBreak/>
        <w:t>starving, with justiciability something of an afterthought.</w:t>
      </w:r>
      <w:r w:rsidR="00A74F3E" w:rsidRPr="004E1BE7">
        <w:rPr>
          <w:rStyle w:val="FootnoteReference"/>
        </w:rPr>
        <w:footnoteReference w:id="28"/>
      </w:r>
      <w:r w:rsidR="00F907B8">
        <w:t xml:space="preserve"> The main objective of the</w:t>
      </w:r>
      <w:r w:rsidR="00F907B8" w:rsidRPr="004E1BE7">
        <w:t xml:space="preserve"> state reporting process has </w:t>
      </w:r>
      <w:r w:rsidR="00830916">
        <w:t xml:space="preserve">always </w:t>
      </w:r>
      <w:r w:rsidR="00F907B8" w:rsidRPr="004E1BE7">
        <w:t>been to ensure that governments have undertaken ‘principled policy-making’ that draws on the Covenant.</w:t>
      </w:r>
      <w:r w:rsidR="00F907B8">
        <w:rPr>
          <w:rStyle w:val="FootnoteReference"/>
        </w:rPr>
        <w:footnoteReference w:id="29"/>
      </w:r>
      <w:r w:rsidR="00F907B8" w:rsidRPr="004E1BE7">
        <w:t xml:space="preserve"> </w:t>
      </w:r>
      <w:r w:rsidR="0020739D">
        <w:t>For some, the</w:t>
      </w:r>
      <w:r w:rsidR="007D24D7" w:rsidRPr="004E1BE7">
        <w:t xml:space="preserve"> </w:t>
      </w:r>
      <w:r w:rsidR="00D70454" w:rsidRPr="004E1BE7">
        <w:t xml:space="preserve">domain </w:t>
      </w:r>
      <w:r w:rsidR="007D24D7" w:rsidRPr="004E1BE7">
        <w:t xml:space="preserve">of the courts </w:t>
      </w:r>
      <w:r w:rsidR="0020739D">
        <w:t>is</w:t>
      </w:r>
      <w:r w:rsidR="007D24D7" w:rsidRPr="004E1BE7">
        <w:t xml:space="preserve"> </w:t>
      </w:r>
      <w:r w:rsidR="00830916">
        <w:t xml:space="preserve">best </w:t>
      </w:r>
      <w:r w:rsidR="007D24D7" w:rsidRPr="004E1BE7">
        <w:t xml:space="preserve">approached as </w:t>
      </w:r>
      <w:r w:rsidR="00830916">
        <w:t xml:space="preserve">a </w:t>
      </w:r>
      <w:r w:rsidR="007D24D7" w:rsidRPr="004E1BE7">
        <w:t>‘secondary consideration’</w:t>
      </w:r>
      <w:r w:rsidR="0020739D">
        <w:t xml:space="preserve"> in realising ESR</w:t>
      </w:r>
      <w:r w:rsidR="00294032" w:rsidRPr="004E1BE7">
        <w:t>, ceding</w:t>
      </w:r>
      <w:r w:rsidR="007D24D7" w:rsidRPr="004E1BE7">
        <w:t xml:space="preserve"> </w:t>
      </w:r>
      <w:r w:rsidR="00294032" w:rsidRPr="004E1BE7">
        <w:t>analytical and practice-based primacy to</w:t>
      </w:r>
      <w:r w:rsidR="007D24D7" w:rsidRPr="004E1BE7">
        <w:t xml:space="preserve"> the use of ESR </w:t>
      </w:r>
      <w:r w:rsidR="0084196D" w:rsidRPr="004E1BE7">
        <w:t xml:space="preserve">in the political realm </w:t>
      </w:r>
      <w:r w:rsidR="007D24D7" w:rsidRPr="004E1BE7">
        <w:t xml:space="preserve">as regulatory principles by which </w:t>
      </w:r>
      <w:r w:rsidR="00F907B8">
        <w:t>governments</w:t>
      </w:r>
      <w:r w:rsidR="007D24D7" w:rsidRPr="004E1BE7">
        <w:t xml:space="preserve"> are held to account in terms </w:t>
      </w:r>
      <w:r w:rsidR="0084196D" w:rsidRPr="004E1BE7">
        <w:t xml:space="preserve">of </w:t>
      </w:r>
      <w:r w:rsidR="00D70454" w:rsidRPr="004E1BE7">
        <w:t>policy drafting, deployment of physical and human capital and redistribution of resources.</w:t>
      </w:r>
      <w:r w:rsidR="00D5187D" w:rsidRPr="004E1BE7">
        <w:rPr>
          <w:rStyle w:val="FootnoteReference"/>
        </w:rPr>
        <w:footnoteReference w:id="30"/>
      </w:r>
      <w:r w:rsidR="0033775C" w:rsidRPr="004E1BE7">
        <w:t xml:space="preserve"> </w:t>
      </w:r>
      <w:r w:rsidR="00464FBA" w:rsidRPr="004E1BE7">
        <w:t xml:space="preserve">However, </w:t>
      </w:r>
      <w:r w:rsidR="00464FBA" w:rsidRPr="004E1BE7">
        <w:rPr>
          <w:color w:val="000000" w:themeColor="text1"/>
        </w:rPr>
        <w:t>a</w:t>
      </w:r>
      <w:r w:rsidR="00A50D05" w:rsidRPr="004E1BE7">
        <w:rPr>
          <w:color w:val="000000" w:themeColor="text1"/>
        </w:rPr>
        <w:t>s Dowell-Jones argue</w:t>
      </w:r>
      <w:r w:rsidR="00E30D36">
        <w:rPr>
          <w:color w:val="000000" w:themeColor="text1"/>
        </w:rPr>
        <w:t>d fifteen years ago</w:t>
      </w:r>
      <w:r w:rsidR="00A50D05" w:rsidRPr="004E1BE7">
        <w:t>, i</w:t>
      </w:r>
      <w:r w:rsidR="00497108" w:rsidRPr="004E1BE7">
        <w:t xml:space="preserve">t would seem that the justiciability debate </w:t>
      </w:r>
      <w:r w:rsidR="00464FBA" w:rsidRPr="004E1BE7">
        <w:t xml:space="preserve">that emerged in the battle over the status of ESR </w:t>
      </w:r>
      <w:r w:rsidR="00497108" w:rsidRPr="004E1BE7">
        <w:t>has directed effort away from these programmatic implications of the ICESCR</w:t>
      </w:r>
      <w:r w:rsidR="00DF7A70" w:rsidRPr="004E1BE7">
        <w:t>, obscuring the broader contextual complexity and policy challenges of Covenant implementation</w:t>
      </w:r>
      <w:r w:rsidR="008D65BB" w:rsidRPr="004E1BE7">
        <w:t>.</w:t>
      </w:r>
      <w:r w:rsidR="00A50D05" w:rsidRPr="004E1BE7">
        <w:rPr>
          <w:rStyle w:val="FootnoteReference"/>
        </w:rPr>
        <w:footnoteReference w:id="31"/>
      </w:r>
      <w:r w:rsidR="008D65BB" w:rsidRPr="004E1BE7">
        <w:t xml:space="preserve"> </w:t>
      </w:r>
      <w:r w:rsidR="00E30D36">
        <w:t xml:space="preserve">Changes since (explored in </w:t>
      </w:r>
      <w:r w:rsidR="0076559D">
        <w:t>Part III</w:t>
      </w:r>
      <w:r w:rsidR="00E30D36">
        <w:t xml:space="preserve">) have been partial. </w:t>
      </w:r>
      <w:r w:rsidR="001350B3" w:rsidRPr="004E1BE7">
        <w:t xml:space="preserve">There should be little surprise here – to </w:t>
      </w:r>
      <w:r w:rsidR="00830916">
        <w:t>shift</w:t>
      </w:r>
      <w:r w:rsidR="001350B3" w:rsidRPr="004E1BE7">
        <w:t xml:space="preserve"> from the legalistic suppositions of the human rights world to the world of classic planning and programming means a ‘move away from its traditional and therefore comfortable positions into territories that are unfamiliar and perhaps unsettling.’</w:t>
      </w:r>
      <w:r w:rsidR="001350B3" w:rsidRPr="004E1BE7">
        <w:rPr>
          <w:rStyle w:val="FootnoteReference"/>
        </w:rPr>
        <w:footnoteReference w:id="32"/>
      </w:r>
      <w:r w:rsidR="001350B3" w:rsidRPr="004E1BE7">
        <w:t xml:space="preserve"> </w:t>
      </w:r>
      <w:r w:rsidR="00F907B8">
        <w:t>This discomfort is most evident in the ‘</w:t>
      </w:r>
      <w:proofErr w:type="spellStart"/>
      <w:r w:rsidR="00F907B8">
        <w:t>judicialisation</w:t>
      </w:r>
      <w:proofErr w:type="spellEnd"/>
      <w:r w:rsidR="00F907B8">
        <w:t xml:space="preserve"> versus programmatic’ debate that surrounded the Covenant.</w:t>
      </w:r>
    </w:p>
    <w:p w14:paraId="53D4C141" w14:textId="28E415CE" w:rsidR="00DD453B" w:rsidRDefault="00DD453B" w:rsidP="00A50D05">
      <w:pPr>
        <w:jc w:val="both"/>
      </w:pPr>
    </w:p>
    <w:p w14:paraId="5B5CF17C" w14:textId="17A917C3" w:rsidR="00721AD3" w:rsidRDefault="00721AD3" w:rsidP="00A50D05">
      <w:pPr>
        <w:jc w:val="both"/>
      </w:pPr>
    </w:p>
    <w:p w14:paraId="4D015507" w14:textId="59632098" w:rsidR="00721AD3" w:rsidRPr="00DB5F8B" w:rsidRDefault="00721AD3" w:rsidP="00E32FE2">
      <w:pPr>
        <w:pStyle w:val="ListParagraph"/>
        <w:numPr>
          <w:ilvl w:val="0"/>
          <w:numId w:val="10"/>
        </w:numPr>
        <w:jc w:val="center"/>
      </w:pPr>
      <w:r w:rsidRPr="00DB5F8B">
        <w:t>The Terms of the Debate</w:t>
      </w:r>
    </w:p>
    <w:p w14:paraId="1DF65F16" w14:textId="2406BFC5" w:rsidR="00390AD8" w:rsidRPr="005278DE" w:rsidRDefault="00390AD8" w:rsidP="004561EB">
      <w:pPr>
        <w:jc w:val="both"/>
      </w:pPr>
    </w:p>
    <w:p w14:paraId="731F6504" w14:textId="68A02A29" w:rsidR="00CF4BD0" w:rsidRDefault="00802295" w:rsidP="00CF4BD0">
      <w:pPr>
        <w:jc w:val="both"/>
      </w:pPr>
      <w:r>
        <w:t xml:space="preserve">It should be clear from the foregoing </w:t>
      </w:r>
      <w:r w:rsidR="00FE549D">
        <w:t xml:space="preserve">that </w:t>
      </w:r>
      <w:r w:rsidRPr="004E1BE7">
        <w:t xml:space="preserve">it is only by understanding these </w:t>
      </w:r>
      <w:r>
        <w:t xml:space="preserve">programmatic </w:t>
      </w:r>
      <w:r w:rsidRPr="004E1BE7">
        <w:t>implications can the considerable gap between the near-universal consensus regarding ESR’s general importance, on the one hand, and its conspicuously thin record of policy accomplishment on the other, be closed.</w:t>
      </w:r>
      <w:r>
        <w:t xml:space="preserve"> </w:t>
      </w:r>
      <w:r w:rsidRPr="00802295">
        <w:t xml:space="preserve">However, the idea that ESR are significantly programmatic is redolent of the </w:t>
      </w:r>
      <w:r>
        <w:t>‘</w:t>
      </w:r>
      <w:r w:rsidRPr="00802295">
        <w:t>siege</w:t>
      </w:r>
      <w:r>
        <w:t xml:space="preserve">’ </w:t>
      </w:r>
      <w:r w:rsidR="007B5708" w:rsidRPr="005278DE">
        <w:t xml:space="preserve">that has just been relieved. Traditionally, to describe ESR as ‘programmatic’ </w:t>
      </w:r>
      <w:r w:rsidR="00F20D08">
        <w:t xml:space="preserve">has been interpreted as </w:t>
      </w:r>
      <w:r w:rsidR="007B5708" w:rsidRPr="005278DE">
        <w:t>impl</w:t>
      </w:r>
      <w:r w:rsidR="00F20D08">
        <w:t>ying</w:t>
      </w:r>
      <w:r w:rsidR="007B5708" w:rsidRPr="005278DE">
        <w:t xml:space="preserve"> that they should </w:t>
      </w:r>
      <w:r w:rsidR="007B5708" w:rsidRPr="005278DE">
        <w:rPr>
          <w:i/>
          <w:iCs/>
        </w:rPr>
        <w:t xml:space="preserve">only </w:t>
      </w:r>
      <w:r w:rsidR="007B5708" w:rsidRPr="005278DE">
        <w:t xml:space="preserve">be understood as guidelines for legislative or administrative </w:t>
      </w:r>
      <w:proofErr w:type="gramStart"/>
      <w:r w:rsidR="007B5708" w:rsidRPr="005278DE">
        <w:t>action</w:t>
      </w:r>
      <w:proofErr w:type="gramEnd"/>
      <w:r w:rsidR="007B5708" w:rsidRPr="005278DE">
        <w:t xml:space="preserve"> but not as justiciable rules applied by </w:t>
      </w:r>
      <w:r w:rsidR="0020739D">
        <w:t>the bench</w:t>
      </w:r>
      <w:r w:rsidR="007B5708" w:rsidRPr="005278DE">
        <w:t>.</w:t>
      </w:r>
      <w:r w:rsidR="007B5708" w:rsidRPr="005278DE">
        <w:rPr>
          <w:rStyle w:val="FootnoteReference"/>
        </w:rPr>
        <w:footnoteReference w:id="33"/>
      </w:r>
      <w:r w:rsidR="007B5708" w:rsidRPr="005278DE">
        <w:t xml:space="preserve"> </w:t>
      </w:r>
      <w:r w:rsidR="00D24317" w:rsidRPr="005278DE">
        <w:t xml:space="preserve">The classic iterations of this argument </w:t>
      </w:r>
      <w:r w:rsidR="00FE549D">
        <w:t xml:space="preserve">by ESR-sceptics </w:t>
      </w:r>
      <w:r w:rsidR="007F3C09" w:rsidRPr="005278DE">
        <w:t>drew on the language of ‘undertakes to take steps’, ‘to the maximum of available resources</w:t>
      </w:r>
      <w:r w:rsidR="005278DE">
        <w:t>,</w:t>
      </w:r>
      <w:r w:rsidR="007F3C09" w:rsidRPr="005278DE">
        <w:t xml:space="preserve">’ and progressive </w:t>
      </w:r>
      <w:r w:rsidR="005278DE" w:rsidRPr="005278DE">
        <w:t>realisation</w:t>
      </w:r>
      <w:r w:rsidR="007F3C09" w:rsidRPr="005278DE">
        <w:t xml:space="preserve"> to cast ESR as something less than fully legal. </w:t>
      </w:r>
      <w:proofErr w:type="spellStart"/>
      <w:r w:rsidR="00D24317" w:rsidRPr="005278DE">
        <w:t>Brownlie</w:t>
      </w:r>
      <w:proofErr w:type="spellEnd"/>
      <w:r w:rsidR="00561852">
        <w:t xml:space="preserve">, for example,  </w:t>
      </w:r>
      <w:r w:rsidR="00D24317" w:rsidRPr="005278DE">
        <w:t>contrasted the ‘programmatic and promotional’ essence of the ICESCR with the ‘more specific delineation of rights’ in the ICCPR</w:t>
      </w:r>
      <w:r w:rsidR="007F3C09" w:rsidRPr="005278DE">
        <w:t>,</w:t>
      </w:r>
      <w:r w:rsidR="00D24317" w:rsidRPr="005278DE">
        <w:rPr>
          <w:rStyle w:val="FootnoteReference"/>
        </w:rPr>
        <w:footnoteReference w:id="34"/>
      </w:r>
      <w:r w:rsidR="00D24317" w:rsidRPr="005278DE">
        <w:t xml:space="preserve"> </w:t>
      </w:r>
      <w:r w:rsidR="007F3C09" w:rsidRPr="005278DE">
        <w:t>while</w:t>
      </w:r>
      <w:r w:rsidR="00D24317" w:rsidRPr="005278DE">
        <w:t xml:space="preserve"> </w:t>
      </w:r>
      <w:proofErr w:type="spellStart"/>
      <w:r w:rsidR="00D24317" w:rsidRPr="005278DE">
        <w:t>Vierdag</w:t>
      </w:r>
      <w:proofErr w:type="spellEnd"/>
      <w:r w:rsidR="00D24317" w:rsidRPr="005278DE">
        <w:t xml:space="preserve"> </w:t>
      </w:r>
      <w:r w:rsidR="007F3C09" w:rsidRPr="005278DE">
        <w:t xml:space="preserve">argued that </w:t>
      </w:r>
      <w:r w:rsidR="00D24317" w:rsidRPr="005278DE">
        <w:t>the right to food was merely a broadly formulated programme for governmental policies and not an individual right</w:t>
      </w:r>
      <w:r w:rsidR="007F3C09" w:rsidRPr="005278DE">
        <w:t>.</w:t>
      </w:r>
      <w:r w:rsidR="00D24317" w:rsidRPr="005278DE">
        <w:rPr>
          <w:rStyle w:val="FootnoteReference"/>
        </w:rPr>
        <w:footnoteReference w:id="35"/>
      </w:r>
      <w:r w:rsidR="00D24317" w:rsidRPr="005278DE">
        <w:t xml:space="preserve"> </w:t>
      </w:r>
      <w:r w:rsidR="00227F5C">
        <w:t xml:space="preserve"> </w:t>
      </w:r>
      <w:r w:rsidR="00A93153" w:rsidRPr="005278DE">
        <w:t xml:space="preserve">The ‘programmatic’ versus ‘judicial’ dichotomy </w:t>
      </w:r>
      <w:r w:rsidR="00A93153">
        <w:t>remains</w:t>
      </w:r>
      <w:r w:rsidR="00A93153" w:rsidRPr="005278DE">
        <w:t xml:space="preserve"> a feature of state rhetoric and CESCR Concluding Observations.</w:t>
      </w:r>
      <w:r w:rsidR="00A93153" w:rsidRPr="005278DE">
        <w:rPr>
          <w:rStyle w:val="FootnoteReference"/>
        </w:rPr>
        <w:footnoteReference w:id="36"/>
      </w:r>
      <w:r w:rsidR="00A93153" w:rsidRPr="005278DE">
        <w:t xml:space="preserve"> </w:t>
      </w:r>
      <w:r w:rsidR="00CF4BD0">
        <w:rPr>
          <w:color w:val="000000"/>
        </w:rPr>
        <w:t xml:space="preserve">Notwithstanding the general sense that the debate over </w:t>
      </w:r>
      <w:r w:rsidR="00CF4BD0">
        <w:rPr>
          <w:color w:val="000000"/>
        </w:rPr>
        <w:lastRenderedPageBreak/>
        <w:t>justiciability has been won, engagement with the programmatic aspects of ESR still carries a residual connotation that ICESCR obligations are somehow ‘“softer” obligations that do not carry the same force of legal justiciability as civil and political rights.’</w:t>
      </w:r>
      <w:r w:rsidR="00CF4BD0">
        <w:rPr>
          <w:rStyle w:val="FootnoteReference"/>
          <w:color w:val="000000"/>
        </w:rPr>
        <w:footnoteReference w:id="37"/>
      </w:r>
    </w:p>
    <w:p w14:paraId="551EBEA6" w14:textId="71455B52" w:rsidR="007D3E95" w:rsidRDefault="00FE549D" w:rsidP="007D3E95">
      <w:pPr>
        <w:jc w:val="both"/>
      </w:pPr>
      <w:r>
        <w:t xml:space="preserve">         </w:t>
      </w:r>
      <w:r w:rsidR="007D3E95">
        <w:t xml:space="preserve">It should be noted from the outset that the vast majority of ESR scholars have always accepted that ESR are both justiciable </w:t>
      </w:r>
      <w:r w:rsidR="007D3E95" w:rsidRPr="008A0F50">
        <w:rPr>
          <w:i/>
          <w:iCs/>
        </w:rPr>
        <w:t>and</w:t>
      </w:r>
      <w:r w:rsidR="007D3E95">
        <w:t xml:space="preserve"> programmatic.</w:t>
      </w:r>
      <w:r w:rsidR="007D3E95">
        <w:rPr>
          <w:rStyle w:val="FootnoteReference"/>
        </w:rPr>
        <w:footnoteReference w:id="38"/>
      </w:r>
      <w:r w:rsidR="007D3E95">
        <w:t xml:space="preserve"> Justiciability has never been regarded as the only, or even primary, means of realising ESR. </w:t>
      </w:r>
      <w:r>
        <w:t xml:space="preserve">Judicial approaches that </w:t>
      </w:r>
      <w:r w:rsidRPr="00B15B4E">
        <w:t>us</w:t>
      </w:r>
      <w:r>
        <w:t>e</w:t>
      </w:r>
      <w:r w:rsidRPr="00B15B4E">
        <w:t xml:space="preserve"> courts and tribunals to </w:t>
      </w:r>
      <w:r>
        <w:t>direct the state apparatus to redress ESR violations co-exist unproblematically with</w:t>
      </w:r>
      <w:r w:rsidR="007D3E95" w:rsidRPr="00B15B4E">
        <w:t xml:space="preserve"> policy</w:t>
      </w:r>
      <w:r>
        <w:t>-based</w:t>
      </w:r>
      <w:r w:rsidR="007D3E95" w:rsidRPr="00B15B4E">
        <w:t xml:space="preserve"> approach</w:t>
      </w:r>
      <w:r>
        <w:t>es</w:t>
      </w:r>
      <w:r w:rsidR="007D3E95" w:rsidRPr="00B15B4E">
        <w:t xml:space="preserve"> that bring ESR to bear upon policy-making processes </w:t>
      </w:r>
      <w:r>
        <w:t xml:space="preserve">that put </w:t>
      </w:r>
      <w:r w:rsidR="007D3E95" w:rsidRPr="00B15B4E">
        <w:t xml:space="preserve">programmes in place </w:t>
      </w:r>
      <w:r>
        <w:t>to</w:t>
      </w:r>
      <w:r w:rsidR="007D3E95" w:rsidRPr="00B15B4E">
        <w:t xml:space="preserve"> promote and </w:t>
      </w:r>
      <w:r>
        <w:t>fulfil</w:t>
      </w:r>
      <w:r w:rsidR="007D3E95" w:rsidRPr="00B15B4E">
        <w:t xml:space="preserve"> human rights. </w:t>
      </w:r>
      <w:r>
        <w:t>In this schema, t</w:t>
      </w:r>
      <w:r w:rsidR="006439F9">
        <w:t>he courts are generally envisaged as a last resort where other institutions of implementation responsible for realising human rights (executives, legislatures, civil services, private bodies) fail and must be held to account.</w:t>
      </w:r>
      <w:r w:rsidR="006439F9">
        <w:rPr>
          <w:rStyle w:val="FootnoteReference"/>
        </w:rPr>
        <w:footnoteReference w:id="39"/>
      </w:r>
      <w:r w:rsidR="006439F9">
        <w:t xml:space="preserve"> </w:t>
      </w:r>
      <w:r w:rsidR="00227F5C">
        <w:rPr>
          <w:color w:val="000000" w:themeColor="text1"/>
        </w:rPr>
        <w:t>T</w:t>
      </w:r>
      <w:r w:rsidR="007D3E95" w:rsidRPr="00DA2677">
        <w:rPr>
          <w:color w:val="000000" w:themeColor="text1"/>
        </w:rPr>
        <w:t xml:space="preserve">he fulfilment of </w:t>
      </w:r>
      <w:r w:rsidR="00227F5C">
        <w:rPr>
          <w:color w:val="000000" w:themeColor="text1"/>
        </w:rPr>
        <w:t>many</w:t>
      </w:r>
      <w:r w:rsidR="007D3E95" w:rsidRPr="00DA2677">
        <w:rPr>
          <w:color w:val="000000" w:themeColor="text1"/>
        </w:rPr>
        <w:t xml:space="preserve"> programmatic obligations </w:t>
      </w:r>
      <w:r w:rsidR="00227F5C">
        <w:rPr>
          <w:color w:val="000000" w:themeColor="text1"/>
        </w:rPr>
        <w:t>have</w:t>
      </w:r>
      <w:r w:rsidR="007D3E95" w:rsidRPr="00DA2677">
        <w:rPr>
          <w:color w:val="000000" w:themeColor="text1"/>
        </w:rPr>
        <w:t xml:space="preserve"> been found susceptible to judicial enforcement and</w:t>
      </w:r>
      <w:r w:rsidR="00227F5C">
        <w:rPr>
          <w:color w:val="000000" w:themeColor="text1"/>
        </w:rPr>
        <w:t>/or</w:t>
      </w:r>
      <w:r w:rsidR="007D3E95" w:rsidRPr="00DA2677">
        <w:rPr>
          <w:color w:val="000000" w:themeColor="text1"/>
        </w:rPr>
        <w:t xml:space="preserve"> oversight</w:t>
      </w:r>
      <w:r w:rsidR="000367ED">
        <w:rPr>
          <w:color w:val="000000" w:themeColor="text1"/>
        </w:rPr>
        <w:t>.</w:t>
      </w:r>
      <w:r w:rsidR="007D3E95" w:rsidRPr="00DA2677">
        <w:rPr>
          <w:rStyle w:val="FootnoteReference"/>
          <w:color w:val="000000" w:themeColor="text1"/>
        </w:rPr>
        <w:footnoteReference w:id="40"/>
      </w:r>
      <w:r w:rsidR="007D3E95" w:rsidRPr="00DA2677">
        <w:rPr>
          <w:color w:val="000000" w:themeColor="text1"/>
        </w:rPr>
        <w:t xml:space="preserve"> </w:t>
      </w:r>
      <w:r w:rsidR="000367ED">
        <w:rPr>
          <w:color w:val="000000" w:themeColor="text1"/>
        </w:rPr>
        <w:t>J</w:t>
      </w:r>
      <w:r w:rsidR="00DA2677" w:rsidRPr="00DA2677">
        <w:rPr>
          <w:color w:val="000000" w:themeColor="text1"/>
        </w:rPr>
        <w:t>udicial enforcement often has a distinctly programmatic aspect</w:t>
      </w:r>
      <w:r w:rsidR="000367ED">
        <w:rPr>
          <w:color w:val="000000" w:themeColor="text1"/>
        </w:rPr>
        <w:t xml:space="preserve"> – the seminal </w:t>
      </w:r>
      <w:r w:rsidR="000367ED" w:rsidRPr="001D4081">
        <w:rPr>
          <w:i/>
          <w:iCs/>
          <w:color w:val="000000" w:themeColor="text1"/>
        </w:rPr>
        <w:t>Grootboom</w:t>
      </w:r>
      <w:r w:rsidR="000367ED">
        <w:rPr>
          <w:color w:val="000000" w:themeColor="text1"/>
        </w:rPr>
        <w:t xml:space="preserve"> decision</w:t>
      </w:r>
      <w:r w:rsidR="001D4081">
        <w:rPr>
          <w:color w:val="000000" w:themeColor="text1"/>
        </w:rPr>
        <w:t xml:space="preserve"> did not confer any direct individual claim to delivery of goods immediately, but instead conferred the right to require the South African government to adopt a reasonable programme</w:t>
      </w:r>
      <w:r w:rsidR="00DA2677" w:rsidRPr="00DA2677">
        <w:rPr>
          <w:color w:val="000000" w:themeColor="text1"/>
        </w:rPr>
        <w:t>.</w:t>
      </w:r>
      <w:r w:rsidR="001D4081">
        <w:rPr>
          <w:rStyle w:val="FootnoteReference"/>
          <w:color w:val="000000" w:themeColor="text1"/>
        </w:rPr>
        <w:footnoteReference w:id="41"/>
      </w:r>
      <w:r w:rsidR="00DA2677" w:rsidRPr="00DA2677">
        <w:rPr>
          <w:color w:val="000000" w:themeColor="text1"/>
        </w:rPr>
        <w:t xml:space="preserve"> </w:t>
      </w:r>
      <w:r w:rsidR="00DA2677">
        <w:t xml:space="preserve">For </w:t>
      </w:r>
      <w:r w:rsidR="00C6408E">
        <w:t>socio-economic rights</w:t>
      </w:r>
      <w:r w:rsidR="00DA2677">
        <w:t xml:space="preserve"> advocates, the</w:t>
      </w:r>
      <w:r w:rsidR="007D3E95">
        <w:t xml:space="preserve"> emphasis </w:t>
      </w:r>
      <w:r w:rsidR="00C6408E">
        <w:t xml:space="preserve">of ESR-sceptics </w:t>
      </w:r>
      <w:r w:rsidR="007D3E95">
        <w:t xml:space="preserve">on the </w:t>
      </w:r>
      <w:r w:rsidR="007D3E95" w:rsidRPr="005278DE">
        <w:t xml:space="preserve">distinction </w:t>
      </w:r>
      <w:r w:rsidR="007D3E95">
        <w:t xml:space="preserve">between ‘justiciable’ and ‘programmatic’ </w:t>
      </w:r>
      <w:r w:rsidR="007D3E95" w:rsidRPr="005278DE">
        <w:t>is overdrawn because</w:t>
      </w:r>
      <w:r>
        <w:t xml:space="preserve"> both aspects</w:t>
      </w:r>
      <w:r w:rsidR="007D3E95" w:rsidRPr="005278DE">
        <w:t xml:space="preserve"> denote different facets </w:t>
      </w:r>
      <w:r>
        <w:t>of</w:t>
      </w:r>
      <w:r w:rsidR="007D3E95" w:rsidRPr="005278DE">
        <w:t xml:space="preserve"> the same set of phenomena, namely the branching, variable and interlocking institutions/practices that </w:t>
      </w:r>
      <w:r w:rsidR="007D3E95">
        <w:t xml:space="preserve">that help ESR move from promise to actuality. </w:t>
      </w:r>
    </w:p>
    <w:p w14:paraId="15D6B0C1" w14:textId="53A737A5" w:rsidR="005659B3" w:rsidRPr="005278DE" w:rsidRDefault="00FE549D" w:rsidP="00516DF3">
      <w:pPr>
        <w:jc w:val="both"/>
      </w:pPr>
      <w:r>
        <w:t xml:space="preserve">         </w:t>
      </w:r>
      <w:r w:rsidR="007D3E95">
        <w:t xml:space="preserve">As such, the dispute regarding the status of ESR has always been less a contest internal to those who theorise and advocate ESR than one against external </w:t>
      </w:r>
      <w:r w:rsidR="00971A8C">
        <w:t>critics</w:t>
      </w:r>
      <w:r w:rsidR="007D3E95">
        <w:t xml:space="preserve"> who reject their equivalence to civil and political rights. However, e</w:t>
      </w:r>
      <w:r w:rsidR="00D24317" w:rsidRPr="005278DE">
        <w:t xml:space="preserve">ven among those who reject the idea that ESR are non-justiciable, </w:t>
      </w:r>
      <w:r w:rsidR="006439F9">
        <w:t xml:space="preserve">denying </w:t>
      </w:r>
      <w:r>
        <w:t>the sceptic’s</w:t>
      </w:r>
      <w:r w:rsidR="007B5708" w:rsidRPr="005278DE">
        <w:t xml:space="preserve"> equation of ‘programmatic’ with ‘non-justiciable’ is a recurrent feature of the literature</w:t>
      </w:r>
      <w:r w:rsidR="007D3E95">
        <w:t xml:space="preserve">, </w:t>
      </w:r>
      <w:r w:rsidR="00C6408E">
        <w:t xml:space="preserve">seemingly </w:t>
      </w:r>
      <w:r w:rsidR="007D3E95">
        <w:t>a battle no advocate of ESR can avoid fighting</w:t>
      </w:r>
      <w:r w:rsidR="00AB3983" w:rsidRPr="005278DE">
        <w:t>. For example, the International Commission of Jurists contrast</w:t>
      </w:r>
      <w:r w:rsidR="0025351F">
        <w:t>s</w:t>
      </w:r>
      <w:r w:rsidR="00AB3983" w:rsidRPr="005278DE">
        <w:t xml:space="preserve"> the justiciability of ESR with </w:t>
      </w:r>
      <w:r w:rsidR="00721AD3">
        <w:t>the</w:t>
      </w:r>
      <w:r w:rsidR="00F05366">
        <w:t xml:space="preserve"> </w:t>
      </w:r>
      <w:r w:rsidR="006439F9">
        <w:t xml:space="preserve">mistaken </w:t>
      </w:r>
      <w:r w:rsidR="00AB3983" w:rsidRPr="005278DE">
        <w:t xml:space="preserve">belief in their </w:t>
      </w:r>
      <w:r w:rsidR="00D24317" w:rsidRPr="005278DE">
        <w:t xml:space="preserve">merely </w:t>
      </w:r>
      <w:r w:rsidR="00AB3983" w:rsidRPr="005278DE">
        <w:t>programmatic nature,</w:t>
      </w:r>
      <w:r w:rsidR="007B5708" w:rsidRPr="005278DE">
        <w:rPr>
          <w:rStyle w:val="FootnoteReference"/>
        </w:rPr>
        <w:footnoteReference w:id="42"/>
      </w:r>
      <w:r w:rsidR="00AB3983" w:rsidRPr="005278DE">
        <w:t xml:space="preserve"> Koch points to the adoption of the tripartite division in case-law across the world as affirming the legal as opposed to </w:t>
      </w:r>
      <w:r w:rsidR="006439F9">
        <w:t xml:space="preserve">purely </w:t>
      </w:r>
      <w:r w:rsidR="00AB3983" w:rsidRPr="005278DE">
        <w:t>programmatic nature of ESR,</w:t>
      </w:r>
      <w:r w:rsidR="00AB3983" w:rsidRPr="005278DE">
        <w:rPr>
          <w:rStyle w:val="FootnoteReference"/>
        </w:rPr>
        <w:footnoteReference w:id="43"/>
      </w:r>
      <w:r w:rsidR="003E13BC" w:rsidRPr="005278DE">
        <w:t xml:space="preserve"> </w:t>
      </w:r>
      <w:r w:rsidR="002E6B49" w:rsidRPr="005278DE">
        <w:t xml:space="preserve">and Leckie posits that the identification of violations of </w:t>
      </w:r>
      <w:r w:rsidR="00EC56F7">
        <w:t xml:space="preserve">socio-economic </w:t>
      </w:r>
      <w:r w:rsidR="002E6B49" w:rsidRPr="005278DE">
        <w:t>rights challenges their purported programmatic nature.</w:t>
      </w:r>
      <w:r w:rsidR="002E6B49" w:rsidRPr="005278DE">
        <w:rPr>
          <w:rStyle w:val="FootnoteReference"/>
        </w:rPr>
        <w:footnoteReference w:id="44"/>
      </w:r>
      <w:r w:rsidR="007F3C09" w:rsidRPr="005278DE">
        <w:t xml:space="preserve"> </w:t>
      </w:r>
      <w:r w:rsidR="00F20D08">
        <w:t>To be clear</w:t>
      </w:r>
      <w:r w:rsidR="00F05366">
        <w:t xml:space="preserve">, neither the International Commission of Jurists nor Koch nor Leckie agree with this rigid distinction between the programmatic and the judicial, but nevertheless feel compelled to </w:t>
      </w:r>
      <w:r w:rsidR="007D3E95">
        <w:t xml:space="preserve">employ this </w:t>
      </w:r>
      <w:r w:rsidR="007D3E95">
        <w:lastRenderedPageBreak/>
        <w:t>analytic heuristic</w:t>
      </w:r>
      <w:r w:rsidR="00F05366">
        <w:t xml:space="preserve">. </w:t>
      </w:r>
      <w:r w:rsidR="00A47648" w:rsidRPr="00A47648">
        <w:t xml:space="preserve"> </w:t>
      </w:r>
      <w:r w:rsidR="00A47648">
        <w:t>T</w:t>
      </w:r>
      <w:r w:rsidR="00A47648" w:rsidRPr="005278DE">
        <w:t xml:space="preserve">he ‘programmatic versus justiciable’ argument </w:t>
      </w:r>
      <w:r w:rsidR="00A47648">
        <w:t>wa</w:t>
      </w:r>
      <w:r w:rsidR="00A47648" w:rsidRPr="005278DE">
        <w:t xml:space="preserve">s usually phrased </w:t>
      </w:r>
      <w:r w:rsidR="00A47648">
        <w:t xml:space="preserve">by scholars </w:t>
      </w:r>
      <w:r w:rsidR="00A47648" w:rsidRPr="005278DE">
        <w:t xml:space="preserve">as a rejection of </w:t>
      </w:r>
      <w:r w:rsidR="00A47648">
        <w:t>an apparently</w:t>
      </w:r>
      <w:r w:rsidR="00A47648" w:rsidRPr="005278DE">
        <w:t xml:space="preserve"> </w:t>
      </w:r>
      <w:r w:rsidR="00A47648">
        <w:t xml:space="preserve">widespread </w:t>
      </w:r>
      <w:r w:rsidR="00A47648" w:rsidRPr="005A704D">
        <w:t>misconception</w:t>
      </w:r>
      <w:r w:rsidR="00A47648" w:rsidRPr="005278DE">
        <w:t xml:space="preserve"> </w:t>
      </w:r>
      <w:r w:rsidR="00971A8C">
        <w:t xml:space="preserve">by critics and states </w:t>
      </w:r>
      <w:r w:rsidR="00A47648" w:rsidRPr="005278DE">
        <w:t xml:space="preserve">that </w:t>
      </w:r>
      <w:r w:rsidR="00A47648">
        <w:t>ESR</w:t>
      </w:r>
      <w:r w:rsidR="00A47648" w:rsidRPr="005278DE">
        <w:t xml:space="preserve"> are </w:t>
      </w:r>
      <w:r w:rsidR="00A47648" w:rsidRPr="005278DE">
        <w:rPr>
          <w:i/>
          <w:iCs/>
        </w:rPr>
        <w:t>exclusively</w:t>
      </w:r>
      <w:r w:rsidR="00A47648" w:rsidRPr="005278DE">
        <w:t xml:space="preserve"> programmatic. Consequently, very few explicitly den</w:t>
      </w:r>
      <w:r w:rsidR="00A47648">
        <w:t>ied</w:t>
      </w:r>
      <w:r w:rsidR="00A47648" w:rsidRPr="005278DE">
        <w:t xml:space="preserve"> that ESR have a programmatic aspect. Instead, there </w:t>
      </w:r>
      <w:r w:rsidR="00971A8C">
        <w:t>is</w:t>
      </w:r>
      <w:r w:rsidR="00A47648" w:rsidRPr="005278DE">
        <w:t xml:space="preserve"> a subtle rhetorical sleight of hand that doesn’t reject the programmatic nature of ESR </w:t>
      </w:r>
      <w:r w:rsidR="00A47648" w:rsidRPr="001660D0">
        <w:rPr>
          <w:i/>
          <w:iCs/>
        </w:rPr>
        <w:t>per se</w:t>
      </w:r>
      <w:r w:rsidR="00A47648" w:rsidRPr="005278DE">
        <w:t xml:space="preserve"> (or some parts thereof), but rather rejects the idea put forward </w:t>
      </w:r>
      <w:r w:rsidR="00A47648" w:rsidRPr="005278DE">
        <w:rPr>
          <w:i/>
          <w:iCs/>
        </w:rPr>
        <w:t>by others</w:t>
      </w:r>
      <w:r w:rsidR="00A47648" w:rsidRPr="005278DE">
        <w:t xml:space="preserve"> that any argument that rights are programmatic automatically precludes justiciability.</w:t>
      </w:r>
      <w:r w:rsidR="00A47648" w:rsidRPr="005278DE">
        <w:rPr>
          <w:rStyle w:val="FootnoteReference"/>
        </w:rPr>
        <w:footnoteReference w:id="45"/>
      </w:r>
      <w:r w:rsidR="00A47648" w:rsidRPr="005278DE">
        <w:t xml:space="preserve"> Craven puts it best</w:t>
      </w:r>
      <w:r w:rsidR="00A47648">
        <w:t xml:space="preserve"> when he points to ‘the </w:t>
      </w:r>
      <w:r w:rsidR="00A47648" w:rsidRPr="005278DE">
        <w:t>somewhat overextended claim that ESC rights were, in their very nature, non-justiciable rights, that they were programmatic goals, incapable of enforcement by means of adjudication.’</w:t>
      </w:r>
      <w:r w:rsidR="00A47648" w:rsidRPr="005278DE">
        <w:rPr>
          <w:rStyle w:val="FootnoteReference"/>
        </w:rPr>
        <w:footnoteReference w:id="46"/>
      </w:r>
      <w:r w:rsidR="00A47648">
        <w:t xml:space="preserve"> </w:t>
      </w:r>
    </w:p>
    <w:p w14:paraId="109659C8" w14:textId="012769D6" w:rsidR="0017253B" w:rsidRPr="00055243" w:rsidRDefault="00736038" w:rsidP="00055243">
      <w:pPr>
        <w:jc w:val="both"/>
      </w:pPr>
      <w:r>
        <w:t xml:space="preserve">        </w:t>
      </w:r>
      <w:r w:rsidR="005278DE" w:rsidRPr="00055243">
        <w:t xml:space="preserve">One of the most notable features of this dichotomy </w:t>
      </w:r>
      <w:r w:rsidR="00424FA3" w:rsidRPr="00055243">
        <w:t>wa</w:t>
      </w:r>
      <w:r w:rsidR="005278DE" w:rsidRPr="00055243">
        <w:t xml:space="preserve">s that </w:t>
      </w:r>
      <w:r w:rsidR="005659B3" w:rsidRPr="00055243">
        <w:t>few scholars</w:t>
      </w:r>
      <w:r w:rsidR="005278DE" w:rsidRPr="00055243">
        <w:t xml:space="preserve"> </w:t>
      </w:r>
      <w:r w:rsidR="005659B3" w:rsidRPr="00055243">
        <w:t xml:space="preserve">ever defined </w:t>
      </w:r>
      <w:r w:rsidR="005278DE" w:rsidRPr="00055243">
        <w:t xml:space="preserve">precisely </w:t>
      </w:r>
      <w:r w:rsidR="005659B3" w:rsidRPr="00055243">
        <w:t>what they meant by ‘programmatic’ (</w:t>
      </w:r>
      <w:r w:rsidR="004D5376" w:rsidRPr="00055243">
        <w:t xml:space="preserve">a </w:t>
      </w:r>
      <w:r w:rsidR="005400A2" w:rsidRPr="00055243">
        <w:t>couple of rare</w:t>
      </w:r>
      <w:r w:rsidR="004D5376" w:rsidRPr="00055243">
        <w:t xml:space="preserve"> example</w:t>
      </w:r>
      <w:r w:rsidR="005400A2" w:rsidRPr="00055243">
        <w:t>s are</w:t>
      </w:r>
      <w:r w:rsidR="005659B3" w:rsidRPr="00055243">
        <w:t xml:space="preserve"> </w:t>
      </w:r>
      <w:r w:rsidR="004D5376" w:rsidRPr="00055243">
        <w:t>highlighted</w:t>
      </w:r>
      <w:r w:rsidR="005659B3" w:rsidRPr="00055243">
        <w:t xml:space="preserve"> in </w:t>
      </w:r>
      <w:r w:rsidR="0076559D">
        <w:t>Part II</w:t>
      </w:r>
      <w:r w:rsidR="00721AD3" w:rsidRPr="00055243">
        <w:t>).</w:t>
      </w:r>
      <w:r w:rsidR="005659B3" w:rsidRPr="00055243">
        <w:t xml:space="preserve"> </w:t>
      </w:r>
      <w:r w:rsidR="004D5376" w:rsidRPr="00055243">
        <w:t xml:space="preserve">Instead, what emerges are </w:t>
      </w:r>
      <w:r w:rsidR="005400A2" w:rsidRPr="00055243">
        <w:t>a number of</w:t>
      </w:r>
      <w:r w:rsidR="005659B3" w:rsidRPr="00055243">
        <w:t xml:space="preserve"> distinct, if somewhat mutually contradictory, </w:t>
      </w:r>
      <w:r w:rsidR="00D64253" w:rsidRPr="00055243">
        <w:t>mis</w:t>
      </w:r>
      <w:r w:rsidR="005278DE" w:rsidRPr="00055243">
        <w:t xml:space="preserve">understandings </w:t>
      </w:r>
      <w:r w:rsidR="00205610">
        <w:t xml:space="preserve">on the part of ESR-sceptics </w:t>
      </w:r>
      <w:r w:rsidR="00D64253" w:rsidRPr="00055243">
        <w:t xml:space="preserve">which </w:t>
      </w:r>
      <w:r w:rsidR="0080408C">
        <w:t xml:space="preserve">in turn </w:t>
      </w:r>
      <w:r w:rsidR="005659B3" w:rsidRPr="00055243">
        <w:t xml:space="preserve">are </w:t>
      </w:r>
      <w:r w:rsidR="00D64253" w:rsidRPr="00055243">
        <w:t xml:space="preserve">assailed </w:t>
      </w:r>
      <w:r w:rsidR="005659B3" w:rsidRPr="00055243">
        <w:t>in the literature</w:t>
      </w:r>
      <w:r w:rsidR="00F86C14" w:rsidRPr="00055243">
        <w:t xml:space="preserve"> </w:t>
      </w:r>
      <w:r w:rsidR="00D64253" w:rsidRPr="00055243">
        <w:t>by</w:t>
      </w:r>
      <w:r w:rsidR="00F86C14" w:rsidRPr="00055243">
        <w:t xml:space="preserve"> ESR</w:t>
      </w:r>
      <w:r w:rsidR="00205610">
        <w:t xml:space="preserve"> advocates</w:t>
      </w:r>
      <w:r w:rsidR="005659B3" w:rsidRPr="00055243">
        <w:t xml:space="preserve">. The first </w:t>
      </w:r>
      <w:r w:rsidR="00D64253" w:rsidRPr="00055243">
        <w:t>misunderstanding equates programmatic positive duties with indeterminacy. Here, ESR scholars reject the suggestion that ESR are too multifaceted and vague a concept to operate as a guiding value in jurisprudence.</w:t>
      </w:r>
      <w:r w:rsidR="00D64253" w:rsidRPr="00055243">
        <w:rPr>
          <w:rStyle w:val="FootnoteReference"/>
        </w:rPr>
        <w:footnoteReference w:id="47"/>
      </w:r>
      <w:r w:rsidR="00D64253" w:rsidRPr="00055243">
        <w:t xml:space="preserve"> </w:t>
      </w:r>
      <w:r w:rsidR="004C0FAB" w:rsidRPr="00055243">
        <w:t xml:space="preserve">The second </w:t>
      </w:r>
      <w:r w:rsidR="00D64253" w:rsidRPr="00055243">
        <w:t xml:space="preserve">misunderstanding assailed by ESR theorists </w:t>
      </w:r>
      <w:r w:rsidR="00A20784" w:rsidRPr="00055243">
        <w:t>associates</w:t>
      </w:r>
      <w:r w:rsidR="009456D3" w:rsidRPr="00055243">
        <w:t xml:space="preserve"> programmatic with</w:t>
      </w:r>
      <w:r w:rsidR="00CE05EA" w:rsidRPr="00055243">
        <w:t xml:space="preserve"> </w:t>
      </w:r>
      <w:r w:rsidR="00A20784" w:rsidRPr="00055243">
        <w:t xml:space="preserve">an </w:t>
      </w:r>
      <w:r w:rsidR="00CE05EA" w:rsidRPr="00055243">
        <w:t>‘aspirational’</w:t>
      </w:r>
      <w:r w:rsidR="00976484" w:rsidRPr="00055243">
        <w:rPr>
          <w:rStyle w:val="FootnoteReference"/>
        </w:rPr>
        <w:footnoteReference w:id="48"/>
      </w:r>
      <w:r w:rsidR="00CE05EA" w:rsidRPr="00055243">
        <w:t xml:space="preserve"> or ‘promotional’</w:t>
      </w:r>
      <w:r w:rsidR="00CE05EA" w:rsidRPr="00055243">
        <w:rPr>
          <w:rStyle w:val="FootnoteReference"/>
        </w:rPr>
        <w:footnoteReference w:id="49"/>
      </w:r>
      <w:r w:rsidR="00A20784" w:rsidRPr="00055243">
        <w:t xml:space="preserve"> view of ESR</w:t>
      </w:r>
      <w:r w:rsidR="00CE05EA" w:rsidRPr="00055243">
        <w:t xml:space="preserve">, </w:t>
      </w:r>
      <w:r w:rsidR="00E4103D" w:rsidRPr="00055243">
        <w:t>a</w:t>
      </w:r>
      <w:r w:rsidR="00A20784" w:rsidRPr="00055243">
        <w:t xml:space="preserve"> characterisation </w:t>
      </w:r>
      <w:r w:rsidR="00E4103D" w:rsidRPr="00055243">
        <w:t xml:space="preserve">rejected by supportive ESR theorists </w:t>
      </w:r>
      <w:r w:rsidR="00A20784" w:rsidRPr="00055243">
        <w:t xml:space="preserve">lest it suggest </w:t>
      </w:r>
      <w:r w:rsidR="00CE05EA" w:rsidRPr="00055243">
        <w:t>non-justiciab</w:t>
      </w:r>
      <w:r w:rsidR="00A20784" w:rsidRPr="00055243">
        <w:t>ility</w:t>
      </w:r>
      <w:r w:rsidR="00CE05EA" w:rsidRPr="00055243">
        <w:t>.</w:t>
      </w:r>
      <w:r w:rsidR="00F86C14" w:rsidRPr="00055243">
        <w:t xml:space="preserve"> </w:t>
      </w:r>
      <w:r w:rsidR="00704FF9" w:rsidRPr="00055243">
        <w:t xml:space="preserve">Though </w:t>
      </w:r>
      <w:r w:rsidR="006C506D" w:rsidRPr="00055243">
        <w:t xml:space="preserve">they accept that </w:t>
      </w:r>
      <w:r w:rsidR="00704FF9" w:rsidRPr="00055243">
        <w:t>viewing ESR as a standard of aspiration is valuable as a basis for political criticism or as a shared moral language,</w:t>
      </w:r>
      <w:r w:rsidR="002A2D2D" w:rsidRPr="00055243">
        <w:rPr>
          <w:rStyle w:val="FootnoteReference"/>
        </w:rPr>
        <w:footnoteReference w:id="50"/>
      </w:r>
      <w:r w:rsidR="002A2D2D" w:rsidRPr="00055243">
        <w:t xml:space="preserve"> </w:t>
      </w:r>
      <w:r w:rsidR="00721AD3" w:rsidRPr="00055243">
        <w:t xml:space="preserve">scholars have argued that </w:t>
      </w:r>
      <w:r w:rsidR="002A2D2D" w:rsidRPr="00055243">
        <w:t>p</w:t>
      </w:r>
      <w:r w:rsidR="00F86C14" w:rsidRPr="00055243">
        <w:t>resenting ESR in this light discredits the very idea of rights, fostering a sense of laxity that is detrimental to compliance.</w:t>
      </w:r>
      <w:r w:rsidR="00F86C14" w:rsidRPr="00055243">
        <w:rPr>
          <w:rStyle w:val="FootnoteReference"/>
        </w:rPr>
        <w:footnoteReference w:id="51"/>
      </w:r>
      <w:r w:rsidR="0004407E" w:rsidRPr="00055243">
        <w:t xml:space="preserve"> </w:t>
      </w:r>
      <w:r w:rsidR="009456D3" w:rsidRPr="00055243">
        <w:t>Th</w:t>
      </w:r>
      <w:r w:rsidR="002A2D2D" w:rsidRPr="00055243">
        <w:t>e</w:t>
      </w:r>
      <w:r w:rsidR="009456D3" w:rsidRPr="00055243">
        <w:t xml:space="preserve"> </w:t>
      </w:r>
      <w:r w:rsidR="00D64253" w:rsidRPr="00055243">
        <w:t>third</w:t>
      </w:r>
      <w:r w:rsidR="00793C5C" w:rsidRPr="00055243">
        <w:t xml:space="preserve"> </w:t>
      </w:r>
      <w:r w:rsidR="00055243" w:rsidRPr="00055243">
        <w:t>mis</w:t>
      </w:r>
      <w:r w:rsidR="00793C5C" w:rsidRPr="00055243">
        <w:t>understanding</w:t>
      </w:r>
      <w:r w:rsidR="00690FC6" w:rsidRPr="00055243">
        <w:t>, by contrast,</w:t>
      </w:r>
      <w:r w:rsidR="009456D3" w:rsidRPr="00055243">
        <w:t xml:space="preserve"> </w:t>
      </w:r>
      <w:r w:rsidR="006C506D" w:rsidRPr="00055243">
        <w:t>comprehends</w:t>
      </w:r>
      <w:r w:rsidR="005C71FF" w:rsidRPr="00055243">
        <w:t xml:space="preserve"> the programmatic as </w:t>
      </w:r>
      <w:r w:rsidR="00690FC6" w:rsidRPr="00055243">
        <w:t xml:space="preserve">an obligatory </w:t>
      </w:r>
      <w:r w:rsidR="005C71FF" w:rsidRPr="00055243">
        <w:t>instruction to States</w:t>
      </w:r>
      <w:r w:rsidR="005278DE" w:rsidRPr="00055243">
        <w:t xml:space="preserve"> </w:t>
      </w:r>
      <w:r w:rsidR="00424FA3" w:rsidRPr="00055243">
        <w:t xml:space="preserve">to </w:t>
      </w:r>
      <w:r w:rsidR="005C71FF" w:rsidRPr="00055243">
        <w:t>promote realisation of the guarantees contained in</w:t>
      </w:r>
      <w:r w:rsidR="005278DE" w:rsidRPr="00055243">
        <w:t xml:space="preserve"> the ICESCR</w:t>
      </w:r>
      <w:r w:rsidR="0014726B" w:rsidRPr="00055243">
        <w:t xml:space="preserve"> that is ‘directive’, but not ‘binding’</w:t>
      </w:r>
      <w:r w:rsidR="005278DE" w:rsidRPr="00055243">
        <w:t>.</w:t>
      </w:r>
      <w:r w:rsidR="0014726B" w:rsidRPr="00055243">
        <w:rPr>
          <w:rStyle w:val="FootnoteReference"/>
        </w:rPr>
        <w:footnoteReference w:id="52"/>
      </w:r>
      <w:r w:rsidR="005278DE" w:rsidRPr="00055243">
        <w:t xml:space="preserve"> </w:t>
      </w:r>
      <w:r w:rsidR="0014726B" w:rsidRPr="00055243">
        <w:t xml:space="preserve">Here, there is an acceptance that </w:t>
      </w:r>
      <w:r w:rsidR="002A2D2D" w:rsidRPr="00055243">
        <w:t>government</w:t>
      </w:r>
      <w:r w:rsidR="0014726B" w:rsidRPr="00055243">
        <w:t>s</w:t>
      </w:r>
      <w:r w:rsidR="002A2D2D" w:rsidRPr="00055243">
        <w:t xml:space="preserve"> are ‘not entitled to content themselves with making a vague general commitment to take steps to ensure that their people did not suffer from hunger, but should be obliged to adopt a precise programme for the implementation of rights.’</w:t>
      </w:r>
      <w:r w:rsidR="002A2D2D" w:rsidRPr="00055243">
        <w:rPr>
          <w:rStyle w:val="FootnoteReference"/>
        </w:rPr>
        <w:footnoteReference w:id="53"/>
      </w:r>
      <w:r w:rsidR="002A2D2D" w:rsidRPr="00055243">
        <w:t xml:space="preserve"> </w:t>
      </w:r>
      <w:r w:rsidR="0014726B" w:rsidRPr="00055243">
        <w:t>T</w:t>
      </w:r>
      <w:r w:rsidR="00721AD3" w:rsidRPr="00055243">
        <w:t>his approach</w:t>
      </w:r>
      <w:r w:rsidR="005278DE" w:rsidRPr="00055243">
        <w:t xml:space="preserve"> </w:t>
      </w:r>
      <w:r w:rsidR="0014726B" w:rsidRPr="00055243">
        <w:t>comprehends</w:t>
      </w:r>
      <w:r w:rsidR="005659B3" w:rsidRPr="00055243">
        <w:t xml:space="preserve"> </w:t>
      </w:r>
      <w:r w:rsidR="009456D3" w:rsidRPr="00055243">
        <w:t>‘</w:t>
      </w:r>
      <w:r w:rsidR="005659B3" w:rsidRPr="00055243">
        <w:t>programmatic</w:t>
      </w:r>
      <w:r w:rsidR="009456D3" w:rsidRPr="00055243">
        <w:t>’</w:t>
      </w:r>
      <w:r w:rsidR="00A31CC7" w:rsidRPr="00055243">
        <w:t xml:space="preserve"> </w:t>
      </w:r>
      <w:r w:rsidR="0014726B" w:rsidRPr="00055243">
        <w:t>as</w:t>
      </w:r>
      <w:r w:rsidR="002121F4" w:rsidRPr="00055243">
        <w:t xml:space="preserve"> </w:t>
      </w:r>
      <w:r w:rsidR="00690FC6" w:rsidRPr="00055243">
        <w:t xml:space="preserve">actual </w:t>
      </w:r>
      <w:r w:rsidR="00A31CC7" w:rsidRPr="00055243">
        <w:t xml:space="preserve">plans </w:t>
      </w:r>
      <w:r w:rsidR="00690FC6" w:rsidRPr="00055243">
        <w:t>to be pursued in good faith</w:t>
      </w:r>
      <w:r w:rsidR="00721AD3" w:rsidRPr="00055243">
        <w:t xml:space="preserve">. However, </w:t>
      </w:r>
      <w:r w:rsidR="00A20784" w:rsidRPr="00055243">
        <w:t xml:space="preserve">for some </w:t>
      </w:r>
      <w:r w:rsidR="00721AD3" w:rsidRPr="00055243">
        <w:t>these plans are</w:t>
      </w:r>
      <w:r w:rsidR="00690FC6" w:rsidRPr="00055243">
        <w:t xml:space="preserve"> </w:t>
      </w:r>
      <w:r w:rsidR="00721AD3" w:rsidRPr="00055243">
        <w:t xml:space="preserve">limited or </w:t>
      </w:r>
      <w:r w:rsidR="00690FC6" w:rsidRPr="00055243">
        <w:t xml:space="preserve">qualified as </w:t>
      </w:r>
      <w:r w:rsidR="005278DE" w:rsidRPr="00055243">
        <w:t>amounting to</w:t>
      </w:r>
      <w:r w:rsidR="00A31CC7" w:rsidRPr="00055243">
        <w:t xml:space="preserve"> ‘a political matter, not a matter of law</w:t>
      </w:r>
      <w:r w:rsidR="00E4103D" w:rsidRPr="00055243">
        <w:t>.</w:t>
      </w:r>
      <w:r w:rsidR="00821183" w:rsidRPr="00055243">
        <w:t>’</w:t>
      </w:r>
      <w:r w:rsidR="00A31CC7" w:rsidRPr="00055243">
        <w:rPr>
          <w:rStyle w:val="FootnoteReference"/>
        </w:rPr>
        <w:footnoteReference w:id="54"/>
      </w:r>
      <w:r w:rsidR="00A31CC7" w:rsidRPr="00055243">
        <w:t xml:space="preserve"> </w:t>
      </w:r>
      <w:r w:rsidR="00682016" w:rsidRPr="00055243">
        <w:t xml:space="preserve"> </w:t>
      </w:r>
      <w:r w:rsidR="00E4103D" w:rsidRPr="00055243">
        <w:t>This equation of</w:t>
      </w:r>
      <w:r w:rsidR="00821183" w:rsidRPr="00055243">
        <w:t xml:space="preserve"> the </w:t>
      </w:r>
      <w:r w:rsidR="006C506D" w:rsidRPr="00055243">
        <w:t>‘</w:t>
      </w:r>
      <w:r w:rsidR="00682016" w:rsidRPr="00055243">
        <w:t>programmatic</w:t>
      </w:r>
      <w:r w:rsidR="006C506D" w:rsidRPr="00055243">
        <w:t xml:space="preserve">’ </w:t>
      </w:r>
      <w:r w:rsidR="00682016" w:rsidRPr="00055243">
        <w:t xml:space="preserve">with the status </w:t>
      </w:r>
      <w:r w:rsidR="007F3C09" w:rsidRPr="00055243">
        <w:t>of public policy goals</w:t>
      </w:r>
      <w:r w:rsidR="00226E11" w:rsidRPr="00055243">
        <w:t xml:space="preserve"> not giving rise to legal duties</w:t>
      </w:r>
      <w:r w:rsidR="00E4103D" w:rsidRPr="00055243">
        <w:t xml:space="preserve"> troubles ESR advocates</w:t>
      </w:r>
      <w:r w:rsidR="00226E11" w:rsidRPr="00055243">
        <w:t>.</w:t>
      </w:r>
      <w:r w:rsidR="00682016" w:rsidRPr="00055243">
        <w:rPr>
          <w:rStyle w:val="FootnoteReference"/>
        </w:rPr>
        <w:footnoteReference w:id="55"/>
      </w:r>
      <w:r w:rsidR="00516DF3" w:rsidRPr="00055243">
        <w:t xml:space="preserve"> </w:t>
      </w:r>
      <w:r w:rsidR="00821183" w:rsidRPr="00055243">
        <w:t>The underlying suspicion about such a view of ESR</w:t>
      </w:r>
      <w:r w:rsidR="00417DA1" w:rsidRPr="00055243">
        <w:t xml:space="preserve"> is that t</w:t>
      </w:r>
      <w:r w:rsidR="00226E11" w:rsidRPr="00055243">
        <w:t xml:space="preserve">he greater the extent to which a right is </w:t>
      </w:r>
      <w:r w:rsidR="00C363D7" w:rsidRPr="00055243">
        <w:t xml:space="preserve">equated </w:t>
      </w:r>
      <w:r w:rsidR="00226E11" w:rsidRPr="00055243">
        <w:t xml:space="preserve">with goal-type qualities, the greater the </w:t>
      </w:r>
      <w:r w:rsidR="00226E11" w:rsidRPr="00055243">
        <w:lastRenderedPageBreak/>
        <w:t>discretion enjoyed by the addresse</w:t>
      </w:r>
      <w:r w:rsidR="005278DE" w:rsidRPr="00055243">
        <w:t>e</w:t>
      </w:r>
      <w:r w:rsidR="00226E11" w:rsidRPr="00055243">
        <w:t>s about when to do something and how much to do.</w:t>
      </w:r>
      <w:r w:rsidR="00226E11" w:rsidRPr="00055243">
        <w:rPr>
          <w:rStyle w:val="FootnoteReference"/>
        </w:rPr>
        <w:footnoteReference w:id="56"/>
      </w:r>
      <w:r w:rsidR="00417DA1" w:rsidRPr="00055243">
        <w:t xml:space="preserve"> The flexibility that flows from </w:t>
      </w:r>
      <w:r w:rsidR="005A704D" w:rsidRPr="00055243">
        <w:t>Article 2(1)’s</w:t>
      </w:r>
      <w:r w:rsidR="00417DA1" w:rsidRPr="00055243">
        <w:t xml:space="preserve"> wide margin of discretion creates </w:t>
      </w:r>
      <w:r w:rsidR="0017329E" w:rsidRPr="00055243">
        <w:t>an unwanted</w:t>
      </w:r>
      <w:r w:rsidR="00417DA1" w:rsidRPr="00055243">
        <w:t xml:space="preserve"> risk that ESR are seen as in some way less binding or less right-like than their civil and political equivalents which are assumed to need more concrete steps.</w:t>
      </w:r>
      <w:r w:rsidR="00417DA1" w:rsidRPr="00055243">
        <w:rPr>
          <w:rStyle w:val="FootnoteReference"/>
        </w:rPr>
        <w:footnoteReference w:id="57"/>
      </w:r>
      <w:r w:rsidR="00417DA1" w:rsidRPr="00055243">
        <w:t xml:space="preserve"> </w:t>
      </w:r>
      <w:r w:rsidR="00516DF3" w:rsidRPr="00055243">
        <w:t>As Porter argues, ‘</w:t>
      </w:r>
      <w:r w:rsidR="00516DF3" w:rsidRPr="00055243">
        <w:rPr>
          <w:rStyle w:val="highlight"/>
        </w:rPr>
        <w:t>any int</w:t>
      </w:r>
      <w:r w:rsidR="00516DF3" w:rsidRPr="00055243">
        <w:t xml:space="preserve">erpretation of domestic law which downgrades ESC rights to mere policy objectives and thereby deprives affected constituencies </w:t>
      </w:r>
      <w:r w:rsidR="00EC56F7" w:rsidRPr="00055243">
        <w:t xml:space="preserve">of </w:t>
      </w:r>
      <w:r w:rsidR="00516DF3" w:rsidRPr="00055243">
        <w:t>an effective remedy is clearly incompatible with the ICESCR.’</w:t>
      </w:r>
      <w:r w:rsidR="00516DF3" w:rsidRPr="00055243">
        <w:rPr>
          <w:rStyle w:val="FootnoteReference"/>
        </w:rPr>
        <w:footnoteReference w:id="58"/>
      </w:r>
      <w:r w:rsidR="00387CD1" w:rsidRPr="00055243">
        <w:t xml:space="preserve">  The resistance to equating ESR with policy-making r</w:t>
      </w:r>
      <w:r w:rsidR="00C363D7" w:rsidRPr="00055243">
        <w:t xml:space="preserve">eflects </w:t>
      </w:r>
      <w:r w:rsidR="00F034A0">
        <w:t>a</w:t>
      </w:r>
      <w:r w:rsidR="00C363D7" w:rsidRPr="00055243">
        <w:t xml:space="preserve"> consensus in </w:t>
      </w:r>
      <w:r w:rsidR="00387CD1" w:rsidRPr="00055243">
        <w:t>the field’s</w:t>
      </w:r>
      <w:r w:rsidR="00C363D7" w:rsidRPr="00055243">
        <w:t xml:space="preserve"> scholarship that access to housing, welfare and education </w:t>
      </w:r>
      <w:r w:rsidR="003357C7" w:rsidRPr="00055243">
        <w:t>are</w:t>
      </w:r>
      <w:r w:rsidR="00C363D7" w:rsidRPr="00055243">
        <w:t xml:space="preserve"> secured with greater efficacy as rights issues than as welfare issues, and that citizens should be rights holders, as opposed to passive beneficiaries.</w:t>
      </w:r>
      <w:r w:rsidR="00387CD1" w:rsidRPr="00055243">
        <w:t xml:space="preserve"> Domestic </w:t>
      </w:r>
      <w:proofErr w:type="spellStart"/>
      <w:r w:rsidR="00387CD1" w:rsidRPr="00055243">
        <w:t>judiciali</w:t>
      </w:r>
      <w:r w:rsidR="003357C7" w:rsidRPr="00055243">
        <w:t>s</w:t>
      </w:r>
      <w:r w:rsidR="00387CD1" w:rsidRPr="00055243">
        <w:t>ation</w:t>
      </w:r>
      <w:proofErr w:type="spellEnd"/>
      <w:r w:rsidR="00387CD1" w:rsidRPr="00055243">
        <w:t xml:space="preserve"> is considered essential if full realisation of the rights is not to be ‘purely superficial and vacuous’ given the apparently wide freedom of choice and action as to how the rights should be implemented.</w:t>
      </w:r>
      <w:r w:rsidR="00387CD1" w:rsidRPr="00055243">
        <w:rPr>
          <w:rStyle w:val="FootnoteReference"/>
        </w:rPr>
        <w:footnoteReference w:id="59"/>
      </w:r>
      <w:r w:rsidR="00424FA3" w:rsidRPr="00055243">
        <w:t xml:space="preserve"> </w:t>
      </w:r>
    </w:p>
    <w:p w14:paraId="64685932" w14:textId="46F8D293" w:rsidR="006E74A1" w:rsidRPr="00CD2845" w:rsidRDefault="00F034A0" w:rsidP="0017253B">
      <w:pPr>
        <w:jc w:val="both"/>
        <w:rPr>
          <w:color w:val="000000" w:themeColor="text1"/>
        </w:rPr>
      </w:pPr>
      <w:r>
        <w:t xml:space="preserve">        </w:t>
      </w:r>
      <w:r w:rsidR="00332792" w:rsidRPr="0017253B">
        <w:t xml:space="preserve">Of course, as </w:t>
      </w:r>
      <w:proofErr w:type="spellStart"/>
      <w:r w:rsidR="00332792" w:rsidRPr="0017253B">
        <w:t>Dudai</w:t>
      </w:r>
      <w:proofErr w:type="spellEnd"/>
      <w:r w:rsidR="00332792" w:rsidRPr="0017253B">
        <w:t xml:space="preserve"> points out, the idea that human rights are non-negotiable rules delineating what is impermissible </w:t>
      </w:r>
      <w:r w:rsidR="00450879" w:rsidRPr="0017253B">
        <w:t>in policy terms</w:t>
      </w:r>
      <w:r w:rsidR="00332792" w:rsidRPr="0017253B">
        <w:t xml:space="preserve"> positions ESR above the political fray</w:t>
      </w:r>
      <w:r w:rsidR="00450879" w:rsidRPr="0017253B">
        <w:t xml:space="preserve">. This approach </w:t>
      </w:r>
      <w:r w:rsidR="00332792" w:rsidRPr="0017253B">
        <w:t>mak</w:t>
      </w:r>
      <w:r w:rsidR="00450879" w:rsidRPr="0017253B">
        <w:t>es</w:t>
      </w:r>
      <w:r w:rsidR="00332792" w:rsidRPr="0017253B">
        <w:t xml:space="preserve"> a virtue of being </w:t>
      </w:r>
      <w:r w:rsidR="004D5376" w:rsidRPr="0017253B">
        <w:t xml:space="preserve">(as he puts it) </w:t>
      </w:r>
      <w:r w:rsidR="00332792" w:rsidRPr="0017253B">
        <w:t>‘non-programmatic</w:t>
      </w:r>
      <w:r w:rsidR="00450879" w:rsidRPr="0017253B">
        <w:t>,</w:t>
      </w:r>
      <w:r w:rsidR="00332792" w:rsidRPr="0017253B">
        <w:t>’ but foste</w:t>
      </w:r>
      <w:r w:rsidR="00450879" w:rsidRPr="0017253B">
        <w:t>rs a sense of distance from making these rights real in practice, consciously eschewing the difficult task of taking sides in choosing between different policy paths.</w:t>
      </w:r>
      <w:r w:rsidR="00450879" w:rsidRPr="0017253B">
        <w:rPr>
          <w:rStyle w:val="FootnoteReference"/>
        </w:rPr>
        <w:footnoteReference w:id="60"/>
      </w:r>
      <w:r w:rsidR="00450879" w:rsidRPr="0017253B">
        <w:t xml:space="preserve"> This is problematic </w:t>
      </w:r>
      <w:r>
        <w:t>if we accept</w:t>
      </w:r>
      <w:r w:rsidR="00450879" w:rsidRPr="0017253B">
        <w:t xml:space="preserve"> that </w:t>
      </w:r>
      <w:r w:rsidR="004D5376" w:rsidRPr="0017253B">
        <w:t xml:space="preserve">a </w:t>
      </w:r>
      <w:r w:rsidR="00E4103D">
        <w:t xml:space="preserve">wide </w:t>
      </w:r>
      <w:r w:rsidR="004D5376" w:rsidRPr="0017253B">
        <w:t>margin of appreciation</w:t>
      </w:r>
      <w:r w:rsidR="00450879" w:rsidRPr="0017253B">
        <w:t xml:space="preserve"> </w:t>
      </w:r>
      <w:r w:rsidR="004D5376" w:rsidRPr="0017253B">
        <w:t>in matters of economic and social policy</w:t>
      </w:r>
      <w:r w:rsidR="00450879" w:rsidRPr="0017253B">
        <w:t xml:space="preserve"> is an inevitable consequence of seriously pursuing obligations under the ICESCR</w:t>
      </w:r>
      <w:r w:rsidR="00FB3E9C">
        <w:t>.</w:t>
      </w:r>
      <w:r w:rsidR="00976484" w:rsidRPr="0017253B">
        <w:t xml:space="preserve"> </w:t>
      </w:r>
      <w:r w:rsidR="00FB3E9C">
        <w:t>S</w:t>
      </w:r>
      <w:r w:rsidR="004D5376" w:rsidRPr="0017253B">
        <w:t>tates are</w:t>
      </w:r>
      <w:r w:rsidR="00FB3E9C">
        <w:t>, after all,</w:t>
      </w:r>
      <w:r w:rsidR="00976484" w:rsidRPr="0017253B">
        <w:t xml:space="preserve"> </w:t>
      </w:r>
      <w:r>
        <w:t>usually presented with</w:t>
      </w:r>
      <w:r w:rsidR="00976484" w:rsidRPr="0017253B">
        <w:t xml:space="preserve"> </w:t>
      </w:r>
      <w:r>
        <w:t>difficult</w:t>
      </w:r>
      <w:r w:rsidR="00976484" w:rsidRPr="0017253B">
        <w:t xml:space="preserve"> choices regarding the resources to be </w:t>
      </w:r>
      <w:r>
        <w:t>apportioned</w:t>
      </w:r>
      <w:r w:rsidR="00976484" w:rsidRPr="0017253B">
        <w:t xml:space="preserve"> to competing </w:t>
      </w:r>
      <w:r>
        <w:t xml:space="preserve">economic or social </w:t>
      </w:r>
      <w:r w:rsidR="00976484" w:rsidRPr="0017253B">
        <w:t xml:space="preserve">policy priorities within </w:t>
      </w:r>
      <w:r>
        <w:t xml:space="preserve">extant </w:t>
      </w:r>
      <w:r w:rsidR="00976484" w:rsidRPr="0017253B">
        <w:t>budgetary constraints.</w:t>
      </w:r>
      <w:r w:rsidR="00976484" w:rsidRPr="0017253B">
        <w:rPr>
          <w:rStyle w:val="FootnoteReference"/>
        </w:rPr>
        <w:footnoteReference w:id="61"/>
      </w:r>
      <w:r w:rsidR="00F86C14" w:rsidRPr="0017253B">
        <w:t xml:space="preserve"> The</w:t>
      </w:r>
      <w:r w:rsidR="00E871AB">
        <w:t>se</w:t>
      </w:r>
      <w:r w:rsidR="00F86C14" w:rsidRPr="0017253B">
        <w:t xml:space="preserve"> choices will inevitably be made by politicians, economists</w:t>
      </w:r>
      <w:r w:rsidR="00852ADE">
        <w:t xml:space="preserve"> and</w:t>
      </w:r>
      <w:r w:rsidR="00F86C14" w:rsidRPr="0017253B">
        <w:t xml:space="preserve"> bureaucrats, though this is not to deny a role for the courts in deciding whether their choices fall within the framework of international human rights obligations.</w:t>
      </w:r>
      <w:r w:rsidR="001E380A" w:rsidRPr="0017253B">
        <w:t xml:space="preserve"> However, the move from ‘</w:t>
      </w:r>
      <w:proofErr w:type="spellStart"/>
      <w:r w:rsidR="001E380A" w:rsidRPr="0017253B">
        <w:t>antipolitics</w:t>
      </w:r>
      <w:proofErr w:type="spellEnd"/>
      <w:r w:rsidR="001E380A" w:rsidRPr="0017253B">
        <w:t xml:space="preserve"> to program’, from legalism</w:t>
      </w:r>
      <w:r w:rsidR="0017253B" w:rsidRPr="0017253B">
        <w:t xml:space="preserve"> </w:t>
      </w:r>
      <w:r w:rsidR="001E380A" w:rsidRPr="0017253B">
        <w:t>to the wor</w:t>
      </w:r>
      <w:r w:rsidR="0017253B" w:rsidRPr="0017253B">
        <w:t>l</w:t>
      </w:r>
      <w:r w:rsidR="001E380A" w:rsidRPr="0017253B">
        <w:t>d of hard choices and political compromise,</w:t>
      </w:r>
      <w:r w:rsidR="006553E9">
        <w:t xml:space="preserve"> </w:t>
      </w:r>
      <w:r w:rsidR="006553E9" w:rsidRPr="0017253B">
        <w:t>remains partial</w:t>
      </w:r>
      <w:r w:rsidR="001E380A" w:rsidRPr="0017253B">
        <w:t>.</w:t>
      </w:r>
      <w:r w:rsidR="008C1D73" w:rsidRPr="0017253B">
        <w:rPr>
          <w:rStyle w:val="FootnoteReference"/>
        </w:rPr>
        <w:footnoteReference w:id="62"/>
      </w:r>
      <w:r w:rsidR="007D3E95" w:rsidRPr="0017253B">
        <w:t xml:space="preserve"> Attention to the justiciable aspects of ESR has tended to obscure discussion of what programmatic obligations mean</w:t>
      </w:r>
      <w:r w:rsidR="007D3E95">
        <w:t>.</w:t>
      </w:r>
      <w:r w:rsidR="006E74A1">
        <w:t xml:space="preserve"> This may reflect a </w:t>
      </w:r>
      <w:r w:rsidR="006E74A1" w:rsidRPr="004A196F">
        <w:rPr>
          <w:color w:val="000000" w:themeColor="text1"/>
        </w:rPr>
        <w:t>natural disciplinary bias of international human rights lawyers</w:t>
      </w:r>
      <w:r w:rsidR="004A196F">
        <w:rPr>
          <w:color w:val="000000" w:themeColor="text1"/>
        </w:rPr>
        <w:t xml:space="preserve"> </w:t>
      </w:r>
      <w:r w:rsidR="00E4103D">
        <w:rPr>
          <w:color w:val="000000" w:themeColor="text1"/>
        </w:rPr>
        <w:t>in favour of</w:t>
      </w:r>
      <w:r w:rsidR="004A196F">
        <w:rPr>
          <w:color w:val="000000" w:themeColor="text1"/>
        </w:rPr>
        <w:t xml:space="preserve"> litigation</w:t>
      </w:r>
      <w:r w:rsidR="006E74A1" w:rsidRPr="004A196F">
        <w:rPr>
          <w:color w:val="000000" w:themeColor="text1"/>
        </w:rPr>
        <w:t xml:space="preserve">. However, given the terms under which the ‘programmatic v justiciable’ debate was undertaken, it </w:t>
      </w:r>
      <w:r w:rsidR="00E4103D">
        <w:rPr>
          <w:color w:val="000000" w:themeColor="text1"/>
        </w:rPr>
        <w:t>also</w:t>
      </w:r>
      <w:r w:rsidR="006E74A1" w:rsidRPr="004A196F">
        <w:rPr>
          <w:color w:val="000000" w:themeColor="text1"/>
        </w:rPr>
        <w:t xml:space="preserve"> reflect</w:t>
      </w:r>
      <w:r w:rsidR="00E4103D">
        <w:rPr>
          <w:color w:val="000000" w:themeColor="text1"/>
        </w:rPr>
        <w:t>s</w:t>
      </w:r>
      <w:r w:rsidR="006E74A1" w:rsidRPr="004A196F">
        <w:rPr>
          <w:color w:val="000000" w:themeColor="text1"/>
        </w:rPr>
        <w:t xml:space="preserve"> a fear that any acknowledgment that some ESR obligations are not easily made justiciable, even where they have efficacy as a mandatory priority for state policy,</w:t>
      </w:r>
      <w:r w:rsidR="006E74A1" w:rsidRPr="004A196F">
        <w:rPr>
          <w:rStyle w:val="FootnoteReference"/>
          <w:color w:val="000000" w:themeColor="text1"/>
        </w:rPr>
        <w:footnoteReference w:id="63"/>
      </w:r>
      <w:r w:rsidR="006E74A1" w:rsidRPr="004A196F">
        <w:rPr>
          <w:color w:val="000000" w:themeColor="text1"/>
        </w:rPr>
        <w:t xml:space="preserve"> might in fact undermine the legal status of ESR.</w:t>
      </w:r>
      <w:r w:rsidR="006276D0">
        <w:rPr>
          <w:color w:val="000000" w:themeColor="text1"/>
        </w:rPr>
        <w:t xml:space="preserve"> </w:t>
      </w:r>
      <w:r w:rsidR="006C230F">
        <w:t xml:space="preserve">The ‘justiciable versus programmatic’ debate is a textbook example of how, in polarised human rights debates, </w:t>
      </w:r>
      <w:r w:rsidR="006C230F" w:rsidRPr="005278DE">
        <w:t>each aspect is ‘understood in such compromising terms that the price of one prevailing is the exclusion or marginalisation of the other.’</w:t>
      </w:r>
      <w:r w:rsidR="006C230F" w:rsidRPr="005278DE">
        <w:rPr>
          <w:rStyle w:val="FootnoteReference"/>
        </w:rPr>
        <w:footnoteReference w:id="64"/>
      </w:r>
      <w:r w:rsidR="006C230F">
        <w:t xml:space="preserve"> </w:t>
      </w:r>
      <w:r w:rsidR="006276D0">
        <w:rPr>
          <w:color w:val="000000" w:themeColor="text1"/>
        </w:rPr>
        <w:t xml:space="preserve">Acknowledging the fact that ESR are programmatic, even if ‘only in some respects’, may carry </w:t>
      </w:r>
      <w:r w:rsidR="006276D0" w:rsidRPr="006276D0">
        <w:rPr>
          <w:i/>
          <w:iCs/>
          <w:color w:val="000000" w:themeColor="text1"/>
        </w:rPr>
        <w:t>for others</w:t>
      </w:r>
      <w:r w:rsidR="006276D0">
        <w:rPr>
          <w:color w:val="000000" w:themeColor="text1"/>
        </w:rPr>
        <w:t xml:space="preserve"> the misleading connotation </w:t>
      </w:r>
      <w:r w:rsidR="006276D0">
        <w:rPr>
          <w:color w:val="000000" w:themeColor="text1"/>
        </w:rPr>
        <w:lastRenderedPageBreak/>
        <w:t>that these rights ‘are implemented through social programs rather than via courts.’</w:t>
      </w:r>
      <w:r w:rsidR="006276D0">
        <w:rPr>
          <w:rStyle w:val="FootnoteReference"/>
          <w:color w:val="000000" w:themeColor="text1"/>
        </w:rPr>
        <w:footnoteReference w:id="65"/>
      </w:r>
      <w:r w:rsidR="00A93153">
        <w:rPr>
          <w:color w:val="000000" w:themeColor="text1"/>
        </w:rPr>
        <w:t xml:space="preserve"> This </w:t>
      </w:r>
      <w:r w:rsidR="00467D79">
        <w:rPr>
          <w:color w:val="000000" w:themeColor="text1"/>
        </w:rPr>
        <w:t>reluctance to fully accept the programmatic aspects of ESR</w:t>
      </w:r>
      <w:r w:rsidR="00A93153">
        <w:rPr>
          <w:color w:val="000000" w:themeColor="text1"/>
        </w:rPr>
        <w:t xml:space="preserve"> has had an inhibiting effect on ESR </w:t>
      </w:r>
      <w:r w:rsidR="00467D79">
        <w:rPr>
          <w:color w:val="000000" w:themeColor="text1"/>
        </w:rPr>
        <w:t>within the field</w:t>
      </w:r>
      <w:r w:rsidR="00A93153">
        <w:rPr>
          <w:color w:val="000000" w:themeColor="text1"/>
        </w:rPr>
        <w:t xml:space="preserve">, given that many of the most meaningful aspects of ESR realisation are not justiciable, as </w:t>
      </w:r>
      <w:r w:rsidR="0076559D">
        <w:rPr>
          <w:color w:val="000000" w:themeColor="text1"/>
        </w:rPr>
        <w:t xml:space="preserve">section </w:t>
      </w:r>
      <w:r w:rsidR="00A93153">
        <w:rPr>
          <w:color w:val="000000" w:themeColor="text1"/>
        </w:rPr>
        <w:t xml:space="preserve">B of </w:t>
      </w:r>
      <w:r w:rsidR="0076559D">
        <w:rPr>
          <w:color w:val="000000" w:themeColor="text1"/>
        </w:rPr>
        <w:t>Part II</w:t>
      </w:r>
      <w:r w:rsidR="00A93153">
        <w:rPr>
          <w:color w:val="000000" w:themeColor="text1"/>
        </w:rPr>
        <w:t xml:space="preserve"> goes on to examine.</w:t>
      </w:r>
    </w:p>
    <w:p w14:paraId="27F03C37" w14:textId="4642C819" w:rsidR="005A704D" w:rsidRPr="00DB5F8B" w:rsidRDefault="005A704D" w:rsidP="00F86C14">
      <w:pPr>
        <w:jc w:val="both"/>
      </w:pPr>
    </w:p>
    <w:p w14:paraId="1F7FC670" w14:textId="77777777" w:rsidR="001660D0" w:rsidRPr="005278DE" w:rsidRDefault="001660D0" w:rsidP="001660D0">
      <w:pPr>
        <w:jc w:val="both"/>
      </w:pPr>
    </w:p>
    <w:p w14:paraId="7A25CE02" w14:textId="22701486" w:rsidR="001543C7" w:rsidRPr="00572A4B" w:rsidRDefault="0076559D" w:rsidP="006D2830">
      <w:pPr>
        <w:jc w:val="center"/>
        <w:rPr>
          <w:sz w:val="28"/>
          <w:szCs w:val="28"/>
        </w:rPr>
      </w:pPr>
      <w:r>
        <w:rPr>
          <w:sz w:val="28"/>
          <w:szCs w:val="28"/>
        </w:rPr>
        <w:t>II</w:t>
      </w:r>
      <w:r w:rsidR="005E7A31" w:rsidRPr="00572A4B">
        <w:rPr>
          <w:sz w:val="28"/>
          <w:szCs w:val="28"/>
        </w:rPr>
        <w:t>.</w:t>
      </w:r>
      <w:r w:rsidR="001543C7" w:rsidRPr="00572A4B">
        <w:rPr>
          <w:sz w:val="28"/>
          <w:szCs w:val="28"/>
        </w:rPr>
        <w:t xml:space="preserve"> </w:t>
      </w:r>
      <w:r w:rsidR="00C109D6">
        <w:rPr>
          <w:sz w:val="28"/>
          <w:szCs w:val="28"/>
        </w:rPr>
        <w:t>TRACING THE CONTOURS</w:t>
      </w:r>
      <w:r w:rsidR="00C6408E">
        <w:rPr>
          <w:sz w:val="28"/>
          <w:szCs w:val="28"/>
        </w:rPr>
        <w:t xml:space="preserve"> </w:t>
      </w:r>
      <w:r w:rsidR="006D2830" w:rsidRPr="00572A4B">
        <w:rPr>
          <w:sz w:val="28"/>
          <w:szCs w:val="28"/>
        </w:rPr>
        <w:t>THE PROGRAMMATIC</w:t>
      </w:r>
    </w:p>
    <w:p w14:paraId="68CD3054" w14:textId="7DD88FE4" w:rsidR="001543C7" w:rsidRDefault="001543C7" w:rsidP="00BA7018">
      <w:pPr>
        <w:jc w:val="both"/>
      </w:pPr>
    </w:p>
    <w:p w14:paraId="5B942FC0" w14:textId="4A299C81" w:rsidR="006276D0" w:rsidRDefault="00A47648" w:rsidP="003F68EB">
      <w:pPr>
        <w:jc w:val="both"/>
      </w:pPr>
      <w:r>
        <w:t xml:space="preserve">Now that </w:t>
      </w:r>
      <w:r w:rsidR="00231E02">
        <w:t>scholars are beginning to consider the justiciable and programmatic in less artificially binary terms</w:t>
      </w:r>
      <w:r>
        <w:t xml:space="preserve">, </w:t>
      </w:r>
      <w:r w:rsidRPr="005278DE">
        <w:t xml:space="preserve">Dowell-Jones’s </w:t>
      </w:r>
      <w:r>
        <w:t xml:space="preserve">aforementioned </w:t>
      </w:r>
      <w:r w:rsidR="005F12B0">
        <w:t>invitation</w:t>
      </w:r>
      <w:r w:rsidRPr="005278DE">
        <w:t xml:space="preserve"> to </w:t>
      </w:r>
      <w:r w:rsidR="005F12B0">
        <w:t xml:space="preserve">more fully </w:t>
      </w:r>
      <w:r w:rsidRPr="005278DE">
        <w:t xml:space="preserve">explore the programmatic implications of the ICESCR should </w:t>
      </w:r>
      <w:r>
        <w:t xml:space="preserve">now </w:t>
      </w:r>
      <w:r w:rsidRPr="005278DE">
        <w:t xml:space="preserve">appear less threatening. </w:t>
      </w:r>
      <w:r w:rsidR="00892F9C">
        <w:t>However, t</w:t>
      </w:r>
      <w:r>
        <w:t>o date, there has been little attempt even to define the ‘programmatic’</w:t>
      </w:r>
      <w:r w:rsidRPr="003F68EB">
        <w:t xml:space="preserve">. </w:t>
      </w:r>
      <w:r w:rsidR="00355B4D" w:rsidRPr="003F68EB">
        <w:t xml:space="preserve">The few attempts to </w:t>
      </w:r>
      <w:r w:rsidR="00355B4D">
        <w:t>do so</w:t>
      </w:r>
      <w:r w:rsidR="00355B4D" w:rsidRPr="003F68EB">
        <w:t xml:space="preserve"> communicate something of its essence but border on the tautologous (see for example Steiner, Alston and Goodman’s  definition of the programmatic as those ‘obligations to be fulfilled incrementally through the ongoing execution of a programme’</w:t>
      </w:r>
      <w:r w:rsidR="00355B4D">
        <w:t>,</w:t>
      </w:r>
      <w:r w:rsidR="00355B4D" w:rsidRPr="001D4081">
        <w:rPr>
          <w:rStyle w:val="FootnoteReference"/>
        </w:rPr>
        <w:t xml:space="preserve"> </w:t>
      </w:r>
      <w:r w:rsidR="00355B4D" w:rsidRPr="003F68EB">
        <w:rPr>
          <w:rStyle w:val="FootnoteReference"/>
        </w:rPr>
        <w:footnoteReference w:id="66"/>
      </w:r>
      <w:r w:rsidR="00355B4D">
        <w:t xml:space="preserve"> or </w:t>
      </w:r>
      <w:proofErr w:type="spellStart"/>
      <w:r w:rsidR="00355B4D">
        <w:t>Fredman’s</w:t>
      </w:r>
      <w:proofErr w:type="spellEnd"/>
      <w:r w:rsidR="00355B4D">
        <w:t xml:space="preserve"> elaboration of the programmatic as ‘the sense that  the duty requires the state to “roll out” its programme progressively over time’</w:t>
      </w:r>
      <w:r w:rsidR="00355B4D" w:rsidRPr="003F68EB">
        <w:t>).</w:t>
      </w:r>
      <w:r w:rsidR="00355B4D">
        <w:rPr>
          <w:rStyle w:val="FootnoteReference"/>
        </w:rPr>
        <w:footnoteReference w:id="67"/>
      </w:r>
      <w:r w:rsidR="00355B4D" w:rsidRPr="003F68EB">
        <w:t xml:space="preserve"> </w:t>
      </w:r>
      <w:r w:rsidR="00355B4D">
        <w:t>Elsewhere</w:t>
      </w:r>
      <w:r>
        <w:t xml:space="preserve"> </w:t>
      </w:r>
      <w:r w:rsidR="006C230F">
        <w:t xml:space="preserve">it </w:t>
      </w:r>
      <w:r>
        <w:t xml:space="preserve">is situated at the rhetorical level of discursive practices, presented </w:t>
      </w:r>
      <w:r w:rsidR="00892F9C">
        <w:t>in an ‘I know it when I see it’ fashion,</w:t>
      </w:r>
      <w:r>
        <w:t xml:space="preserve"> a self-evident notion that requires no definition</w:t>
      </w:r>
      <w:r w:rsidR="00892F9C">
        <w:t>, let alone elaboration</w:t>
      </w:r>
      <w:r>
        <w:t xml:space="preserve">. This may be a function of </w:t>
      </w:r>
      <w:r w:rsidR="00892F9C">
        <w:t>the way</w:t>
      </w:r>
      <w:r>
        <w:t xml:space="preserve"> the ICESCR is phrased</w:t>
      </w:r>
      <w:r w:rsidR="00231E02">
        <w:t xml:space="preserve"> in implicitly</w:t>
      </w:r>
      <w:r w:rsidRPr="005278DE">
        <w:t xml:space="preserve"> programmatic</w:t>
      </w:r>
      <w:r w:rsidR="00231E02">
        <w:t xml:space="preserve"> terms</w:t>
      </w:r>
      <w:r w:rsidRPr="005278DE">
        <w:t xml:space="preserve">. </w:t>
      </w:r>
      <w:r w:rsidR="00454B79">
        <w:t>Article 2(1)</w:t>
      </w:r>
      <w:r w:rsidR="00231E02">
        <w:t xml:space="preserve">, with its references to taking steps and achieving progressively, </w:t>
      </w:r>
      <w:r w:rsidR="00454B79">
        <w:t xml:space="preserve"> </w:t>
      </w:r>
      <w:r w:rsidRPr="004771F3">
        <w:t>makes it incumbent on states to transform the</w:t>
      </w:r>
      <w:r w:rsidR="00892F9C">
        <w:t xml:space="preserve"> Covenant’s</w:t>
      </w:r>
      <w:r w:rsidRPr="004771F3">
        <w:t xml:space="preserve"> norms </w:t>
      </w:r>
      <w:r w:rsidR="00892F9C">
        <w:t>‘</w:t>
      </w:r>
      <w:r w:rsidRPr="004771F3">
        <w:t>into specific policy objectives, for the short-term and medium-term.’</w:t>
      </w:r>
      <w:r w:rsidRPr="004771F3">
        <w:rPr>
          <w:rStyle w:val="FootnoteReference"/>
        </w:rPr>
        <w:footnoteReference w:id="68"/>
      </w:r>
      <w:r>
        <w:t xml:space="preserve"> </w:t>
      </w:r>
      <w:r w:rsidR="000367ED">
        <w:t xml:space="preserve">CESCR’s General Comment No. 3 holds that State parties have an immediate obligation to ‘devise strategies and programmes’ for the </w:t>
      </w:r>
      <w:r w:rsidR="000367ED" w:rsidRPr="004771F3">
        <w:t>promotion of ESR bearing in mind that the enjoyment of rights in the Convention can only be promoted ‘in part’ through the provision of judicial remedies.</w:t>
      </w:r>
      <w:r w:rsidR="000367ED" w:rsidRPr="004771F3">
        <w:rPr>
          <w:rStyle w:val="FootnoteReference"/>
        </w:rPr>
        <w:footnoteReference w:id="69"/>
      </w:r>
      <w:r w:rsidR="000367ED" w:rsidRPr="004771F3">
        <w:t xml:space="preserve"> </w:t>
      </w:r>
      <w:r w:rsidRPr="004771F3">
        <w:t>The Limburg Principles</w:t>
      </w:r>
      <w:r>
        <w:t xml:space="preserve"> </w:t>
      </w:r>
      <w:r w:rsidRPr="004771F3">
        <w:t>make clear that judicial remedies must be supplemented by the vaguely worded ‘administrative’ and ‘economic, social and educational’ measures.</w:t>
      </w:r>
      <w:r w:rsidRPr="004771F3">
        <w:rPr>
          <w:rStyle w:val="FootnoteReference"/>
        </w:rPr>
        <w:footnoteReference w:id="70"/>
      </w:r>
      <w:r w:rsidRPr="004771F3">
        <w:t xml:space="preserve"> </w:t>
      </w:r>
      <w:r w:rsidR="005F12B0">
        <w:t>Above all, t</w:t>
      </w:r>
      <w:r w:rsidR="000367ED">
        <w:t>he obligation to fulfil in the tripartite respect-protect-fulfil is implicitly programmatic insofar as it requires States to take appropriate legislative, budgetary, administrative and other measures towards the full realisation of ICESCR rights.</w:t>
      </w:r>
      <w:r w:rsidR="00755D05">
        <w:t xml:space="preserve"> </w:t>
      </w:r>
      <w:r w:rsidR="00892F9C">
        <w:t xml:space="preserve">It might therefore be assumed that the duty to fulfil encapsulates </w:t>
      </w:r>
      <w:r w:rsidR="00355B4D">
        <w:t xml:space="preserve">or condenses </w:t>
      </w:r>
      <w:r w:rsidR="00892F9C">
        <w:t xml:space="preserve">the programmatic. </w:t>
      </w:r>
      <w:r w:rsidR="00755D05">
        <w:t xml:space="preserve">However, the way the duty to </w:t>
      </w:r>
      <w:r w:rsidR="00231E02">
        <w:t>fulfil</w:t>
      </w:r>
      <w:r w:rsidR="00755D05">
        <w:t xml:space="preserve"> is elaborated in General Comments (and to a lesser extent in Concluding Observations) means it serves as </w:t>
      </w:r>
      <w:r w:rsidR="005A2C2D">
        <w:t xml:space="preserve">more as a list of normative expectations than any roadmap for getting there. The emphasis is </w:t>
      </w:r>
      <w:r w:rsidR="00231E02">
        <w:t>more ‘</w:t>
      </w:r>
      <w:r w:rsidR="005A2C2D">
        <w:t>on determining criteria for clear violations of economic and social rights’ than</w:t>
      </w:r>
      <w:r w:rsidR="009E07A6">
        <w:t xml:space="preserve"> on</w:t>
      </w:r>
      <w:r w:rsidR="00231E02">
        <w:t xml:space="preserve"> the public policies, social infrastructures and </w:t>
      </w:r>
      <w:r w:rsidR="001F4932">
        <w:t>material conditions</w:t>
      </w:r>
      <w:r w:rsidR="00231E02">
        <w:t xml:space="preserve"> needed to realis</w:t>
      </w:r>
      <w:r w:rsidR="00892F9C">
        <w:t>e</w:t>
      </w:r>
      <w:r w:rsidR="00231E02">
        <w:t xml:space="preserve"> them.</w:t>
      </w:r>
      <w:r w:rsidR="005A2C2D" w:rsidRPr="00231E02">
        <w:rPr>
          <w:rStyle w:val="FootnoteReference"/>
        </w:rPr>
        <w:footnoteReference w:id="71"/>
      </w:r>
      <w:r w:rsidR="005A2C2D">
        <w:t xml:space="preserve"> </w:t>
      </w:r>
      <w:r w:rsidR="001F4932">
        <w:t>N</w:t>
      </w:r>
      <w:r w:rsidR="005A2C2D">
        <w:t>otwithstanding its implicit presence in</w:t>
      </w:r>
      <w:r>
        <w:t xml:space="preserve"> the </w:t>
      </w:r>
      <w:r w:rsidR="005A2C2D">
        <w:t xml:space="preserve">ICESCR and related doctrinal developments, the </w:t>
      </w:r>
      <w:r>
        <w:t xml:space="preserve">programmatic </w:t>
      </w:r>
      <w:r w:rsidR="00FC5DAC">
        <w:t>serv</w:t>
      </w:r>
      <w:r>
        <w:t>es</w:t>
      </w:r>
      <w:r w:rsidR="00FC5DAC">
        <w:t xml:space="preserve"> more as a heuristic marker among </w:t>
      </w:r>
      <w:r w:rsidR="00FC5DAC" w:rsidRPr="001841BE">
        <w:t xml:space="preserve">ESR theorists than </w:t>
      </w:r>
      <w:r w:rsidR="00FC5DAC" w:rsidRPr="001841BE">
        <w:lastRenderedPageBreak/>
        <w:t>as a descriptive concept</w:t>
      </w:r>
      <w:r w:rsidR="001F4932" w:rsidRPr="001841BE">
        <w:t xml:space="preserve">, more a method </w:t>
      </w:r>
      <w:r w:rsidR="005F12B0">
        <w:t>to illustrate</w:t>
      </w:r>
      <w:r w:rsidR="001F4932" w:rsidRPr="001841BE">
        <w:t xml:space="preserve"> the significance of justiciability by means of contrast than a set of principles and institutions underlying the policy content of ESR</w:t>
      </w:r>
      <w:r w:rsidR="00FC5DAC" w:rsidRPr="001841BE">
        <w:t>.</w:t>
      </w:r>
      <w:r w:rsidR="00FC5DAC">
        <w:t xml:space="preserve"> </w:t>
      </w:r>
    </w:p>
    <w:p w14:paraId="41820BAB" w14:textId="764F2724" w:rsidR="002321E6" w:rsidRDefault="001F4932" w:rsidP="003F68EB">
      <w:pPr>
        <w:jc w:val="both"/>
      </w:pPr>
      <w:r>
        <w:t xml:space="preserve">        </w:t>
      </w:r>
      <w:r w:rsidR="009E07A6">
        <w:t xml:space="preserve">How then might we </w:t>
      </w:r>
      <w:r w:rsidR="00355B4D">
        <w:t>understand</w:t>
      </w:r>
      <w:r w:rsidR="009E07A6">
        <w:t xml:space="preserve"> the programmatic? </w:t>
      </w:r>
      <w:r w:rsidR="004C03CF" w:rsidRPr="003F68EB">
        <w:t>If, as scholar</w:t>
      </w:r>
      <w:r w:rsidR="00A47648">
        <w:t>ly</w:t>
      </w:r>
      <w:r w:rsidR="004C03CF" w:rsidRPr="003F68EB">
        <w:t xml:space="preserve"> </w:t>
      </w:r>
      <w:r w:rsidR="00A47648">
        <w:t xml:space="preserve">discourse </w:t>
      </w:r>
      <w:r w:rsidR="004C03CF" w:rsidRPr="003F68EB">
        <w:t xml:space="preserve">consistently </w:t>
      </w:r>
      <w:r w:rsidR="00A47648">
        <w:t>does</w:t>
      </w:r>
      <w:r w:rsidR="004C03CF" w:rsidRPr="003F68EB">
        <w:t xml:space="preserve">, we distinguish the judicial from the programmatic, then the latter might be said to involve a variety </w:t>
      </w:r>
      <w:r w:rsidR="003F68EB">
        <w:t xml:space="preserve">of actions </w:t>
      </w:r>
      <w:r w:rsidR="004C03CF" w:rsidRPr="003F68EB">
        <w:t xml:space="preserve">on a spectrum of specificity – </w:t>
      </w:r>
      <w:r w:rsidR="003F6D28">
        <w:t xml:space="preserve">entitlement-based legislation judicable </w:t>
      </w:r>
      <w:r w:rsidR="00DD6AAD">
        <w:t>in</w:t>
      </w:r>
      <w:r w:rsidR="003F6D28">
        <w:t xml:space="preserve"> the courts </w:t>
      </w:r>
      <w:r w:rsidR="004C03CF" w:rsidRPr="003F68EB">
        <w:t xml:space="preserve">being the most obviously specific </w:t>
      </w:r>
      <w:r w:rsidR="00BF1C9F">
        <w:t>but encompassing</w:t>
      </w:r>
      <w:r w:rsidR="004C03CF" w:rsidRPr="003F68EB">
        <w:t xml:space="preserve"> </w:t>
      </w:r>
      <w:r w:rsidR="004C03CF" w:rsidRPr="00A712EE">
        <w:t xml:space="preserve">administrative and budgetary activity, plus the </w:t>
      </w:r>
      <w:r w:rsidR="00BF1C9F">
        <w:t xml:space="preserve">more amorphous but essentially limitless </w:t>
      </w:r>
      <w:r w:rsidR="004C03CF" w:rsidRPr="00A712EE">
        <w:t>demand for promotional and other measures</w:t>
      </w:r>
      <w:r w:rsidR="00BF1C9F">
        <w:t xml:space="preserve"> within the </w:t>
      </w:r>
      <w:r w:rsidR="00FB3E9C">
        <w:t>rubric</w:t>
      </w:r>
      <w:r w:rsidR="00BF1C9F">
        <w:t xml:space="preserve"> of ‘appropriate </w:t>
      </w:r>
      <w:proofErr w:type="gramStart"/>
      <w:r w:rsidR="00BF1C9F">
        <w:t>means’</w:t>
      </w:r>
      <w:proofErr w:type="gramEnd"/>
      <w:r w:rsidR="00BF1C9F">
        <w:t xml:space="preserve"> under Article 2(1)</w:t>
      </w:r>
      <w:r w:rsidR="004C03CF" w:rsidRPr="00A712EE">
        <w:t>.</w:t>
      </w:r>
      <w:r w:rsidR="003F68EB" w:rsidRPr="00A712EE">
        <w:t xml:space="preserve"> All of these activities can be said to satisfy the injunction in Article 2(1) to ‘take steps’ towards the realisation of the rights contained in ICESCR. </w:t>
      </w:r>
      <w:r w:rsidR="002B677C" w:rsidRPr="00A712EE">
        <w:t>The</w:t>
      </w:r>
      <w:r w:rsidR="002B677C">
        <w:t xml:space="preserve"> s</w:t>
      </w:r>
      <w:r w:rsidR="002B677C" w:rsidRPr="00A712EE">
        <w:t xml:space="preserve">tate has </w:t>
      </w:r>
      <w:r w:rsidR="002B677C">
        <w:t xml:space="preserve">significant discretion </w:t>
      </w:r>
      <w:r w:rsidR="002B677C" w:rsidRPr="00A712EE">
        <w:t xml:space="preserve">in the conduct </w:t>
      </w:r>
      <w:r>
        <w:t xml:space="preserve">it </w:t>
      </w:r>
      <w:r w:rsidR="002B677C" w:rsidRPr="00A712EE">
        <w:t>pursue</w:t>
      </w:r>
      <w:r>
        <w:t>s</w:t>
      </w:r>
      <w:r w:rsidR="002B677C" w:rsidRPr="00A712EE">
        <w:t xml:space="preserve"> to</w:t>
      </w:r>
      <w:r w:rsidR="00FB3E9C">
        <w:t>wards</w:t>
      </w:r>
      <w:r w:rsidR="002B677C" w:rsidRPr="00A712EE">
        <w:t xml:space="preserve"> th</w:t>
      </w:r>
      <w:r w:rsidR="00615CB5">
        <w:t>ese</w:t>
      </w:r>
      <w:r w:rsidR="002B677C" w:rsidRPr="00A712EE">
        <w:t xml:space="preserve"> end</w:t>
      </w:r>
      <w:r w:rsidR="00615CB5">
        <w:t>s</w:t>
      </w:r>
      <w:r w:rsidR="002B677C" w:rsidRPr="00A712EE">
        <w:t xml:space="preserve"> provided those steps </w:t>
      </w:r>
      <w:r w:rsidR="000A50EC">
        <w:t>are</w:t>
      </w:r>
      <w:r w:rsidR="002B677C">
        <w:t xml:space="preserve"> </w:t>
      </w:r>
      <w:r w:rsidR="002B677C" w:rsidRPr="00A712EE">
        <w:t>‘</w:t>
      </w:r>
      <w:r w:rsidR="002B677C" w:rsidRPr="003F6D28">
        <w:rPr>
          <w:color w:val="000000" w:themeColor="text1"/>
        </w:rPr>
        <w:t xml:space="preserve">deliberate, concrete, targeted as clearly as possible towards’ </w:t>
      </w:r>
      <w:r w:rsidR="002B677C" w:rsidRPr="00A712EE">
        <w:t>realisation of the rights.</w:t>
      </w:r>
      <w:r w:rsidR="002B677C" w:rsidRPr="00A712EE">
        <w:rPr>
          <w:rStyle w:val="FootnoteReference"/>
        </w:rPr>
        <w:footnoteReference w:id="72"/>
      </w:r>
      <w:r w:rsidR="002B677C" w:rsidRPr="00A712EE">
        <w:t xml:space="preserve">  </w:t>
      </w:r>
      <w:r w:rsidR="00EA6412" w:rsidRPr="00A712EE">
        <w:t xml:space="preserve">It is in this idea that action </w:t>
      </w:r>
      <w:r w:rsidR="000A50EC">
        <w:t xml:space="preserve">be </w:t>
      </w:r>
      <w:r w:rsidR="00EA6412" w:rsidRPr="00A712EE">
        <w:t>targeted that the essence of the programmatic is to be found</w:t>
      </w:r>
      <w:r w:rsidR="00615CB5">
        <w:t xml:space="preserve">. </w:t>
      </w:r>
      <w:r w:rsidR="002321E6" w:rsidRPr="00EB2C76">
        <w:t xml:space="preserve">This is also what distinguishes </w:t>
      </w:r>
      <w:r w:rsidR="002321E6">
        <w:t>the programmatic</w:t>
      </w:r>
      <w:r w:rsidR="002321E6" w:rsidRPr="00EB2C76">
        <w:t xml:space="preserve"> from largely aspirational directive principles of state policy like those found in the Irish and Indian constitutions, which lack</w:t>
      </w:r>
      <w:r w:rsidR="002321E6">
        <w:t xml:space="preserve"> </w:t>
      </w:r>
      <w:r w:rsidR="002321E6" w:rsidRPr="00EB2C76">
        <w:t xml:space="preserve">this degree of detail and </w:t>
      </w:r>
      <w:r w:rsidR="002321E6">
        <w:t xml:space="preserve">instead </w:t>
      </w:r>
      <w:r w:rsidR="002321E6" w:rsidRPr="00EB2C76">
        <w:t>operate merely as interpretative assumptions that cannot compel the executive or legislature to implement provisions or aims contained within that set of principles.</w:t>
      </w:r>
      <w:r w:rsidR="000806A0">
        <w:t xml:space="preserve"> </w:t>
      </w:r>
    </w:p>
    <w:p w14:paraId="323F9EF4" w14:textId="4DC1CD55" w:rsidR="002321E6" w:rsidRDefault="002321E6" w:rsidP="003F68EB">
      <w:pPr>
        <w:jc w:val="both"/>
      </w:pPr>
    </w:p>
    <w:p w14:paraId="1EEF15CA" w14:textId="0ED9B1F1" w:rsidR="002321E6" w:rsidRPr="00DB5F8B" w:rsidRDefault="002321E6" w:rsidP="00E32FE2">
      <w:pPr>
        <w:pStyle w:val="ListParagraph"/>
        <w:numPr>
          <w:ilvl w:val="0"/>
          <w:numId w:val="11"/>
        </w:numPr>
        <w:jc w:val="center"/>
      </w:pPr>
      <w:r w:rsidRPr="00DB5F8B">
        <w:t>Towards a Definition</w:t>
      </w:r>
    </w:p>
    <w:p w14:paraId="5FE5345C" w14:textId="77169B57" w:rsidR="00EA6412" w:rsidRPr="00503C4D" w:rsidRDefault="00EA6412" w:rsidP="003F68EB">
      <w:pPr>
        <w:jc w:val="both"/>
      </w:pPr>
    </w:p>
    <w:p w14:paraId="42ED9C3C" w14:textId="183A68DE" w:rsidR="002321E6" w:rsidRPr="00D256F0" w:rsidRDefault="008830EB" w:rsidP="00D256F0">
      <w:pPr>
        <w:jc w:val="both"/>
      </w:pPr>
      <w:r w:rsidRPr="00D256F0">
        <w:t xml:space="preserve">Insofar as they impose tightly-defined </w:t>
      </w:r>
      <w:r w:rsidR="004A7280" w:rsidRPr="00D256F0">
        <w:t xml:space="preserve">and immediate </w:t>
      </w:r>
      <w:r w:rsidRPr="00D256F0">
        <w:t xml:space="preserve">obligations, duties of immediate effect like non-discrimination </w:t>
      </w:r>
      <w:r w:rsidR="004A7280" w:rsidRPr="00D256F0">
        <w:t xml:space="preserve">and the minimum core </w:t>
      </w:r>
      <w:r w:rsidRPr="00D256F0">
        <w:t>are clearly not programmatic.</w:t>
      </w:r>
      <w:r w:rsidRPr="00D256F0">
        <w:rPr>
          <w:rStyle w:val="FootnoteReference"/>
        </w:rPr>
        <w:footnoteReference w:id="73"/>
      </w:r>
      <w:r w:rsidRPr="00D256F0">
        <w:t xml:space="preserve"> </w:t>
      </w:r>
      <w:r w:rsidR="006D69A0" w:rsidRPr="00D256F0">
        <w:t>We might define the programmatic</w:t>
      </w:r>
      <w:r w:rsidR="00A712EE" w:rsidRPr="00D256F0">
        <w:t>, therefore,</w:t>
      </w:r>
      <w:r w:rsidR="006D69A0" w:rsidRPr="00D256F0">
        <w:t xml:space="preserve"> as </w:t>
      </w:r>
      <w:r w:rsidR="0014321A" w:rsidRPr="00D256F0">
        <w:t xml:space="preserve">all </w:t>
      </w:r>
      <w:r w:rsidR="006D69A0" w:rsidRPr="00D256F0">
        <w:t xml:space="preserve">strategies </w:t>
      </w:r>
      <w:r w:rsidR="00F12BD1">
        <w:t>(primarily, but not exclusively, state-based) f</w:t>
      </w:r>
      <w:r w:rsidR="00E96345" w:rsidRPr="00D256F0">
        <w:t xml:space="preserve">or </w:t>
      </w:r>
      <w:r w:rsidR="00DD477B" w:rsidRPr="00D256F0">
        <w:t xml:space="preserve">the practical operationalisation </w:t>
      </w:r>
      <w:r w:rsidR="002B677C" w:rsidRPr="00D256F0">
        <w:t xml:space="preserve">of ESR </w:t>
      </w:r>
      <w:r w:rsidR="006F5E81" w:rsidRPr="00D256F0">
        <w:t>that</w:t>
      </w:r>
      <w:r w:rsidR="00E031FB" w:rsidRPr="00D256F0">
        <w:t xml:space="preserve"> are </w:t>
      </w:r>
      <w:r w:rsidR="0014321A" w:rsidRPr="00D256F0">
        <w:t xml:space="preserve">deliberately targeted </w:t>
      </w:r>
      <w:r w:rsidR="006D69A0" w:rsidRPr="00D256F0">
        <w:t xml:space="preserve">to achieve certain human rights objectives </w:t>
      </w:r>
      <w:r w:rsidR="004D5376">
        <w:t xml:space="preserve">progressively </w:t>
      </w:r>
      <w:r w:rsidR="006D69A0" w:rsidRPr="00D256F0">
        <w:t xml:space="preserve">operating via a series of policy instruments (legislation, administration, budget, macroeconomics, subsidies, promotion) implemented by actors </w:t>
      </w:r>
      <w:r w:rsidR="00207026">
        <w:t>(</w:t>
      </w:r>
      <w:r w:rsidR="006D69A0" w:rsidRPr="00D256F0">
        <w:t>primarily but not exclusively</w:t>
      </w:r>
      <w:r w:rsidR="00207026">
        <w:t>)</w:t>
      </w:r>
      <w:r w:rsidR="006D69A0" w:rsidRPr="00D256F0">
        <w:t xml:space="preserve"> in the public sphere</w:t>
      </w:r>
      <w:r w:rsidR="0014321A" w:rsidRPr="00D256F0">
        <w:t xml:space="preserve">. </w:t>
      </w:r>
      <w:r w:rsidR="007544A0">
        <w:t>T</w:t>
      </w:r>
      <w:r w:rsidR="005B5C77" w:rsidRPr="00D256F0">
        <w:t>his in an undoubtedly capacious definition</w:t>
      </w:r>
      <w:r w:rsidR="007544A0">
        <w:t>. I</w:t>
      </w:r>
      <w:r w:rsidR="0014321A" w:rsidRPr="00D256F0">
        <w:t>t captures the idea that rights realisation by states</w:t>
      </w:r>
      <w:r w:rsidR="00F12BD1">
        <w:t xml:space="preserve"> and non-state actors</w:t>
      </w:r>
      <w:r w:rsidR="0014321A" w:rsidRPr="00D256F0">
        <w:t xml:space="preserve"> involves </w:t>
      </w:r>
      <w:r w:rsidR="00317D7D" w:rsidRPr="00D256F0">
        <w:t xml:space="preserve">active, </w:t>
      </w:r>
      <w:r w:rsidR="0049011F" w:rsidRPr="00D256F0">
        <w:t xml:space="preserve">often </w:t>
      </w:r>
      <w:r w:rsidR="00317D7D" w:rsidRPr="00D256F0">
        <w:t>lengthy and complex operational interventions to meet those four criteria – availability, accessibility, acceptability and quality – with which we evaluate their attainment</w:t>
      </w:r>
      <w:r w:rsidR="0014321A" w:rsidRPr="00D256F0">
        <w:t>.</w:t>
      </w:r>
      <w:r w:rsidR="00317D7D" w:rsidRPr="00D256F0">
        <w:rPr>
          <w:rStyle w:val="FootnoteReference"/>
        </w:rPr>
        <w:footnoteReference w:id="74"/>
      </w:r>
      <w:r w:rsidR="0014321A" w:rsidRPr="00D256F0">
        <w:t xml:space="preserve"> The programmatic means </w:t>
      </w:r>
      <w:r w:rsidR="002B677C" w:rsidRPr="00D256F0">
        <w:t xml:space="preserve">permanent or </w:t>
      </w:r>
      <w:r w:rsidR="00E031FB" w:rsidRPr="00D256F0">
        <w:t xml:space="preserve">semi-permanent </w:t>
      </w:r>
      <w:r w:rsidR="0014321A" w:rsidRPr="00D256F0">
        <w:t xml:space="preserve">policy frameworks that </w:t>
      </w:r>
      <w:r w:rsidR="00E031FB" w:rsidRPr="00D256F0">
        <w:t xml:space="preserve">give effect to allocative priorities and </w:t>
      </w:r>
      <w:r w:rsidR="0014321A" w:rsidRPr="00D256F0">
        <w:t>take into account questions of capacity, implementation and the fiscus</w:t>
      </w:r>
      <w:r w:rsidR="00E031FB" w:rsidRPr="00D256F0">
        <w:t xml:space="preserve"> – ‘constant endeavours to reach a better level of protection’ </w:t>
      </w:r>
      <w:r w:rsidR="00317D7D" w:rsidRPr="00D256F0">
        <w:t xml:space="preserve">over a period of years across all layers of government </w:t>
      </w:r>
      <w:r w:rsidR="00E42928" w:rsidRPr="00D256F0">
        <w:t xml:space="preserve">(most notably sector ministries) </w:t>
      </w:r>
      <w:r w:rsidR="00E031FB" w:rsidRPr="00D256F0">
        <w:t>as opposed to ‘passively awaiting’ better conditions.</w:t>
      </w:r>
      <w:r w:rsidR="00E031FB" w:rsidRPr="00D256F0">
        <w:rPr>
          <w:rStyle w:val="FootnoteReference"/>
        </w:rPr>
        <w:footnoteReference w:id="75"/>
      </w:r>
      <w:r w:rsidR="00BF1C9F" w:rsidRPr="00D256F0">
        <w:t xml:space="preserve"> </w:t>
      </w:r>
      <w:r w:rsidR="001E7BF4" w:rsidRPr="00D256F0">
        <w:t>The success or failure of these endeavours may manifest in the realisation or violation of an individual</w:t>
      </w:r>
      <w:r w:rsidR="00D256F0" w:rsidRPr="00D256F0">
        <w:t>’</w:t>
      </w:r>
      <w:r w:rsidR="001E7BF4" w:rsidRPr="00D256F0">
        <w:t xml:space="preserve">s rights, but will be most apparent in statistical measures, benchmarks and aggregate welfare. </w:t>
      </w:r>
    </w:p>
    <w:p w14:paraId="546DCC00" w14:textId="759897AC" w:rsidR="00246D1F" w:rsidRDefault="00736038" w:rsidP="00246D1F">
      <w:pPr>
        <w:jc w:val="both"/>
      </w:pPr>
      <w:r>
        <w:t xml:space="preserve">        </w:t>
      </w:r>
      <w:r w:rsidR="00503C4D" w:rsidRPr="007E2370">
        <w:t xml:space="preserve">Liebenberg distils from </w:t>
      </w:r>
      <w:r w:rsidR="00BF1C9F" w:rsidRPr="007E2370">
        <w:rPr>
          <w:i/>
          <w:iCs/>
        </w:rPr>
        <w:t>Grootboom</w:t>
      </w:r>
      <w:r w:rsidR="00BF1C9F" w:rsidRPr="007E2370">
        <w:t xml:space="preserve"> a coherent set of standards for what a ‘reasonable’ programme for ESR re</w:t>
      </w:r>
      <w:r w:rsidR="000A50EC">
        <w:t>a</w:t>
      </w:r>
      <w:r w:rsidR="00BF1C9F" w:rsidRPr="007E2370">
        <w:t>l</w:t>
      </w:r>
      <w:r w:rsidR="000A50EC">
        <w:t>is</w:t>
      </w:r>
      <w:r w:rsidR="00BF1C9F" w:rsidRPr="007E2370">
        <w:t>ation should encompass</w:t>
      </w:r>
      <w:r w:rsidR="00503C4D" w:rsidRPr="007E2370">
        <w:t>. Any programme must (a) be ‘comprehensive, coherent, coordinated’, (b) be ‘balanced and flexible, and make appropriate prevention for short, medium and long-term needs’, and (c) must be ‘reasonably conceived and implemented.’</w:t>
      </w:r>
      <w:r w:rsidR="00503C4D" w:rsidRPr="007E2370">
        <w:rPr>
          <w:rStyle w:val="FootnoteReference"/>
        </w:rPr>
        <w:footnoteReference w:id="76"/>
      </w:r>
      <w:r w:rsidR="00DD6AAD" w:rsidRPr="007E2370">
        <w:t xml:space="preserve"> </w:t>
      </w:r>
      <w:r w:rsidR="00CA5D05" w:rsidRPr="007E2370">
        <w:t xml:space="preserve">Principled, </w:t>
      </w:r>
      <w:r w:rsidR="00CA5D05" w:rsidRPr="007E2370">
        <w:rPr>
          <w:i/>
          <w:iCs/>
        </w:rPr>
        <w:t xml:space="preserve">potentially </w:t>
      </w:r>
      <w:r w:rsidR="00CA5D05" w:rsidRPr="007E2370">
        <w:t xml:space="preserve">effective domestic policy-making where states </w:t>
      </w:r>
      <w:r w:rsidR="00CA5D05" w:rsidRPr="007E2370">
        <w:lastRenderedPageBreak/>
        <w:t>‘regularly and consciously consider the best possible way under the circumstances to advance the protection of rights’</w:t>
      </w:r>
      <w:r w:rsidR="00CA5D05" w:rsidRPr="007E2370">
        <w:rPr>
          <w:rStyle w:val="FootnoteReference"/>
        </w:rPr>
        <w:footnoteReference w:id="77"/>
      </w:r>
      <w:r w:rsidR="00CA5D05" w:rsidRPr="007E2370">
        <w:t xml:space="preserve"> </w:t>
      </w:r>
      <w:r w:rsidR="00DD6AAD" w:rsidRPr="007E2370">
        <w:t>marks the programmatic.</w:t>
      </w:r>
      <w:r w:rsidR="007E2370" w:rsidRPr="007E2370">
        <w:t xml:space="preserve"> </w:t>
      </w:r>
      <w:r w:rsidR="00EA2713" w:rsidRPr="007E2370">
        <w:t>F</w:t>
      </w:r>
      <w:r w:rsidR="00DD6AAD" w:rsidRPr="007E2370">
        <w:t>ulfilment of rights like that to education is secured primarily through the administrative functions of the state embodied in resource allocations and service delivery</w:t>
      </w:r>
      <w:r w:rsidR="00661A1C" w:rsidRPr="007E2370">
        <w:t xml:space="preserve">. The same is true of the right to an adequate standard of living. </w:t>
      </w:r>
      <w:r w:rsidR="007544A0">
        <w:t>To take but one example, i</w:t>
      </w:r>
      <w:r w:rsidR="00661A1C" w:rsidRPr="007E2370">
        <w:t xml:space="preserve">n a survey of twenty developing countries </w:t>
      </w:r>
      <w:r w:rsidR="007E2370" w:rsidRPr="007E2370">
        <w:t xml:space="preserve">‘increasing the poorest </w:t>
      </w:r>
      <w:r w:rsidR="007E2370" w:rsidRPr="007E2370">
        <w:rPr>
          <w:rStyle w:val="highlight"/>
        </w:rPr>
        <w:t>quintile</w:t>
      </w:r>
      <w:r w:rsidR="007E2370" w:rsidRPr="007E2370">
        <w:t>’s access to piped water from its dismally low 3 percent level to the level of the richest quintile at 55 percent would eliminate more than a quarter of the difference in infant mortality between these two groups, and more than a third of the difference in child mortality</w:t>
      </w:r>
      <w:r w:rsidR="00661A1C" w:rsidRPr="007E2370">
        <w:t>.’</w:t>
      </w:r>
      <w:r w:rsidR="00661A1C" w:rsidRPr="007E2370">
        <w:rPr>
          <w:rStyle w:val="FootnoteReference"/>
        </w:rPr>
        <w:footnoteReference w:id="78"/>
      </w:r>
      <w:r w:rsidR="00DD6AAD" w:rsidRPr="007E2370">
        <w:t xml:space="preserve"> </w:t>
      </w:r>
      <w:r w:rsidR="00661A1C" w:rsidRPr="007E2370">
        <w:t>R</w:t>
      </w:r>
      <w:r w:rsidR="00DD6AAD" w:rsidRPr="007E2370">
        <w:t xml:space="preserve">ights to livelihood and housing are typically secured less by direct provision than by the creation </w:t>
      </w:r>
      <w:r w:rsidR="00EA2713" w:rsidRPr="007E2370">
        <w:t xml:space="preserve">through policy of an enabling environment for people to attain and retain </w:t>
      </w:r>
      <w:r w:rsidR="002B677C">
        <w:t>such minima</w:t>
      </w:r>
      <w:r w:rsidR="00EA2713" w:rsidRPr="007E2370">
        <w:t xml:space="preserve"> themselves.</w:t>
      </w:r>
      <w:r w:rsidR="00EA2713" w:rsidRPr="007E2370">
        <w:rPr>
          <w:rStyle w:val="FootnoteReference"/>
        </w:rPr>
        <w:footnoteReference w:id="79"/>
      </w:r>
      <w:r w:rsidR="00661A1C" w:rsidRPr="007E2370">
        <w:t xml:space="preserve"> </w:t>
      </w:r>
      <w:r w:rsidR="00F17B22" w:rsidRPr="007E2370">
        <w:t xml:space="preserve">It reflects the </w:t>
      </w:r>
      <w:r w:rsidR="00B62235" w:rsidRPr="007E2370">
        <w:t>reality</w:t>
      </w:r>
      <w:r w:rsidR="00F17B22" w:rsidRPr="007E2370">
        <w:t xml:space="preserve"> that most rights are enjoyed</w:t>
      </w:r>
      <w:r w:rsidR="00F17B22" w:rsidRPr="007E2370">
        <w:rPr>
          <w:i/>
          <w:iCs/>
        </w:rPr>
        <w:t xml:space="preserve"> </w:t>
      </w:r>
      <w:r w:rsidR="00F17B22" w:rsidRPr="007E2370">
        <w:t xml:space="preserve">as passive </w:t>
      </w:r>
      <w:r w:rsidR="00F33B86">
        <w:t>beneficiaries of regulation or</w:t>
      </w:r>
      <w:r w:rsidR="007038CC" w:rsidRPr="007E2370">
        <w:t xml:space="preserve"> of bureaucratically managed programme delivery</w:t>
      </w:r>
      <w:r w:rsidR="00F17B22" w:rsidRPr="007E2370">
        <w:t>, as opposed to as active claimants through the legal system.</w:t>
      </w:r>
      <w:r w:rsidR="00A256F6" w:rsidRPr="007E2370">
        <w:t xml:space="preserve"> </w:t>
      </w:r>
    </w:p>
    <w:p w14:paraId="238FB6C9" w14:textId="369FC77E" w:rsidR="00503C4D" w:rsidRDefault="00736038" w:rsidP="007E2370">
      <w:pPr>
        <w:jc w:val="both"/>
      </w:pPr>
      <w:r>
        <w:t xml:space="preserve">        </w:t>
      </w:r>
    </w:p>
    <w:p w14:paraId="5C4F1CEC" w14:textId="621573D5" w:rsidR="002528DE" w:rsidRDefault="002528DE" w:rsidP="007E2370">
      <w:pPr>
        <w:jc w:val="both"/>
      </w:pPr>
    </w:p>
    <w:p w14:paraId="6C099402" w14:textId="60B8CCAC" w:rsidR="002528DE" w:rsidRPr="00DB5F8B" w:rsidRDefault="00207026" w:rsidP="00E32FE2">
      <w:pPr>
        <w:pStyle w:val="ListParagraph"/>
        <w:numPr>
          <w:ilvl w:val="0"/>
          <w:numId w:val="11"/>
        </w:numPr>
        <w:jc w:val="center"/>
      </w:pPr>
      <w:r>
        <w:t>Programmatic Aspects of the ICESCR</w:t>
      </w:r>
    </w:p>
    <w:p w14:paraId="3B97A840" w14:textId="3BDECB47" w:rsidR="00F17B22" w:rsidRDefault="00F17B22" w:rsidP="00503C4D">
      <w:pPr>
        <w:jc w:val="both"/>
      </w:pPr>
    </w:p>
    <w:p w14:paraId="0BE92643" w14:textId="45FC5ABD" w:rsidR="00F33B86" w:rsidRDefault="00F33B86" w:rsidP="003F68EB">
      <w:pPr>
        <w:jc w:val="both"/>
      </w:pPr>
      <w:r w:rsidRPr="00551BA5">
        <w:t xml:space="preserve">General Comment No. 9 on the domestic application of the Covenant confirms that </w:t>
      </w:r>
      <w:r w:rsidR="002B677C">
        <w:t>‘</w:t>
      </w:r>
      <w:r w:rsidRPr="00551BA5">
        <w:t>by all appropriate means</w:t>
      </w:r>
      <w:r w:rsidR="002B677C">
        <w:t>’</w:t>
      </w:r>
      <w:r w:rsidRPr="00551BA5">
        <w:t>, the ICESCR ‘adopts a broad and flexible approach which enables the particularities of the legal and administrative systems of each State, as well as other relevant considerations, to be taken into account</w:t>
      </w:r>
      <w:r>
        <w:t>.</w:t>
      </w:r>
      <w:r w:rsidRPr="00551BA5">
        <w:t>’</w:t>
      </w:r>
      <w:r w:rsidRPr="00551BA5">
        <w:rPr>
          <w:rStyle w:val="FootnoteReference"/>
        </w:rPr>
        <w:footnoteReference w:id="80"/>
      </w:r>
      <w:r>
        <w:t xml:space="preserve"> </w:t>
      </w:r>
      <w:r w:rsidR="00F17B22">
        <w:t>Of course,</w:t>
      </w:r>
      <w:r w:rsidR="008830EB">
        <w:t xml:space="preserve"> where legislation and supplementary administrative regulations define the content of a right, </w:t>
      </w:r>
      <w:r w:rsidR="004B7D2E">
        <w:t xml:space="preserve">its financing and responsibilities at different levels of government, </w:t>
      </w:r>
      <w:r w:rsidR="008830EB">
        <w:t>this offers the most propitious opportunity for judicial enforcement.</w:t>
      </w:r>
      <w:r w:rsidR="001C0269">
        <w:t xml:space="preserve"> </w:t>
      </w:r>
      <w:r w:rsidR="009E4E3F">
        <w:t xml:space="preserve">Most social </w:t>
      </w:r>
      <w:r w:rsidR="001C0269">
        <w:t>benefits</w:t>
      </w:r>
      <w:r w:rsidR="009E4E3F">
        <w:t xml:space="preserve"> become</w:t>
      </w:r>
      <w:r w:rsidR="001C0269">
        <w:t xml:space="preserve"> operative after </w:t>
      </w:r>
      <w:r>
        <w:t xml:space="preserve">the </w:t>
      </w:r>
      <w:r w:rsidR="001C0269">
        <w:t>legislature enact</w:t>
      </w:r>
      <w:r>
        <w:t>s</w:t>
      </w:r>
      <w:r w:rsidR="001C0269">
        <w:t xml:space="preserve"> implementing laws.</w:t>
      </w:r>
      <w:r w:rsidR="008830EB">
        <w:t xml:space="preserve"> </w:t>
      </w:r>
      <w:r w:rsidR="00F63A91">
        <w:t xml:space="preserve">The CESCR recognises that ‘in many instances legislation is highly desirable </w:t>
      </w:r>
      <w:proofErr w:type="gramStart"/>
      <w:r w:rsidR="00F63A91">
        <w:t>and in some cases</w:t>
      </w:r>
      <w:proofErr w:type="gramEnd"/>
      <w:r w:rsidR="00F63A91">
        <w:t xml:space="preserve"> may even be indispensable’ </w:t>
      </w:r>
      <w:r w:rsidR="00551BA5">
        <w:t>in areas like non-discrimination,</w:t>
      </w:r>
      <w:r w:rsidR="00551BA5" w:rsidRPr="00551BA5">
        <w:rPr>
          <w:rStyle w:val="FootnoteReference"/>
        </w:rPr>
        <w:t xml:space="preserve"> </w:t>
      </w:r>
      <w:r w:rsidR="00551BA5">
        <w:rPr>
          <w:rStyle w:val="FootnoteReference"/>
        </w:rPr>
        <w:footnoteReference w:id="81"/>
      </w:r>
      <w:r w:rsidR="00551BA5">
        <w:t xml:space="preserve"> forced eviction</w:t>
      </w:r>
      <w:r w:rsidR="00551BA5">
        <w:rPr>
          <w:rStyle w:val="FootnoteReference"/>
        </w:rPr>
        <w:footnoteReference w:id="82"/>
      </w:r>
      <w:r w:rsidR="00551BA5">
        <w:t xml:space="preserve"> or </w:t>
      </w:r>
      <w:r w:rsidR="008217ED">
        <w:t>protecting workers in the informal economy</w:t>
      </w:r>
      <w:r w:rsidR="004B7D2E">
        <w:t>.</w:t>
      </w:r>
      <w:r w:rsidR="00551BA5">
        <w:rPr>
          <w:rStyle w:val="FootnoteReference"/>
        </w:rPr>
        <w:footnoteReference w:id="83"/>
      </w:r>
      <w:r w:rsidR="00551BA5">
        <w:t xml:space="preserve"> </w:t>
      </w:r>
    </w:p>
    <w:p w14:paraId="29950E4C" w14:textId="4D417EBA" w:rsidR="00246D1F" w:rsidRDefault="00736038" w:rsidP="00FB5A66">
      <w:pPr>
        <w:jc w:val="both"/>
      </w:pPr>
      <w:r>
        <w:t xml:space="preserve">        </w:t>
      </w:r>
      <w:r w:rsidR="00DC02B6">
        <w:t xml:space="preserve">However, not all human rights can </w:t>
      </w:r>
      <w:r w:rsidR="002528DE">
        <w:t>b</w:t>
      </w:r>
      <w:r w:rsidR="00DC02B6">
        <w:t>e realised through prolix, detailed legislative requirements</w:t>
      </w:r>
      <w:r w:rsidR="00EC6DE8">
        <w:t xml:space="preserve"> amenable to adjudication</w:t>
      </w:r>
      <w:r w:rsidR="0098619B">
        <w:t>. At the micro- or day-to-day level,</w:t>
      </w:r>
      <w:r w:rsidR="00604474">
        <w:t xml:space="preserve"> rights to health, education and</w:t>
      </w:r>
      <w:r w:rsidR="00AF50A9">
        <w:t>/</w:t>
      </w:r>
      <w:r w:rsidR="00604474">
        <w:t>or welfare cannot be legislated</w:t>
      </w:r>
      <w:r w:rsidR="004B7D2E">
        <w:t xml:space="preserve"> for</w:t>
      </w:r>
      <w:r w:rsidR="00604474">
        <w:t xml:space="preserve"> </w:t>
      </w:r>
      <w:r w:rsidR="004B7D2E">
        <w:t>with absolute precision</w:t>
      </w:r>
      <w:r w:rsidR="008360C0">
        <w:t xml:space="preserve"> given the variety of mechanisms </w:t>
      </w:r>
      <w:r w:rsidR="00AF50A9">
        <w:t>required</w:t>
      </w:r>
      <w:r w:rsidR="008360C0">
        <w:t xml:space="preserve"> to secure a right</w:t>
      </w:r>
      <w:r w:rsidR="00604474">
        <w:t xml:space="preserve">. </w:t>
      </w:r>
      <w:r w:rsidR="004B7D2E">
        <w:t>Significant</w:t>
      </w:r>
      <w:r w:rsidR="00604474">
        <w:t xml:space="preserve"> discretion</w:t>
      </w:r>
      <w:r w:rsidR="004B7D2E">
        <w:t>, therefore,</w:t>
      </w:r>
      <w:r w:rsidR="00604474">
        <w:t xml:space="preserve"> must be left to administrative bodies </w:t>
      </w:r>
      <w:r w:rsidR="004B7D2E">
        <w:t>across different level</w:t>
      </w:r>
      <w:r w:rsidR="009E68D8">
        <w:t>s</w:t>
      </w:r>
      <w:r w:rsidR="004B7D2E">
        <w:t xml:space="preserve"> as </w:t>
      </w:r>
      <w:r w:rsidR="00604474">
        <w:t>to the recipients, character and size of provision.</w:t>
      </w:r>
      <w:r w:rsidR="00604474">
        <w:rPr>
          <w:rStyle w:val="FootnoteReference"/>
        </w:rPr>
        <w:footnoteReference w:id="84"/>
      </w:r>
      <w:r w:rsidR="0004409D">
        <w:t xml:space="preserve"> </w:t>
      </w:r>
      <w:r w:rsidR="00B409D6">
        <w:t xml:space="preserve">In terms of </w:t>
      </w:r>
      <w:r w:rsidR="0066203F">
        <w:t>macro-level</w:t>
      </w:r>
      <w:r w:rsidR="00F33B86">
        <w:t xml:space="preserve"> </w:t>
      </w:r>
      <w:r w:rsidR="009F6D21">
        <w:t>realisation of ESR</w:t>
      </w:r>
      <w:r w:rsidR="00B409D6">
        <w:t>,</w:t>
      </w:r>
      <w:r w:rsidR="009F6D21">
        <w:t xml:space="preserve"> targeted legislation often plays second fiddle to indirect policy interventions that address broader socio-economic or cultural factors carried out across multiple ministries. </w:t>
      </w:r>
      <w:r w:rsidR="002868B2">
        <w:t>Any</w:t>
      </w:r>
      <w:r w:rsidR="009F6D21">
        <w:t xml:space="preserve"> strategy for poverty reduction </w:t>
      </w:r>
      <w:r w:rsidR="00B62235">
        <w:t>cannot be purely legislation</w:t>
      </w:r>
      <w:r w:rsidR="00F33B86">
        <w:t>-</w:t>
      </w:r>
      <w:r w:rsidR="00B62235">
        <w:t>based, requiring</w:t>
      </w:r>
      <w:r w:rsidR="009F6D21">
        <w:t xml:space="preserve"> </w:t>
      </w:r>
      <w:r w:rsidR="00B62235">
        <w:t>‘</w:t>
      </w:r>
      <w:r w:rsidR="009F6D21">
        <w:t>a multi-sectored approach in order to undertake a whole set of macroeconomic, structural and social policies and programmes.’</w:t>
      </w:r>
      <w:r w:rsidR="00A2406A">
        <w:rPr>
          <w:rStyle w:val="FootnoteReference"/>
        </w:rPr>
        <w:footnoteReference w:id="85"/>
      </w:r>
      <w:r w:rsidR="00A51DAC">
        <w:t xml:space="preserve"> </w:t>
      </w:r>
      <w:r w:rsidR="002868B2">
        <w:t xml:space="preserve">The right to food is realised </w:t>
      </w:r>
      <w:r w:rsidR="002868B2">
        <w:lastRenderedPageBreak/>
        <w:t>best where the state fosters enabling market conditions that make prices affordable in relation to average wages and low incomes, or where those who produce their own food enjoy unimpeded access to the means of production.</w:t>
      </w:r>
      <w:r w:rsidR="002868B2">
        <w:rPr>
          <w:rStyle w:val="FootnoteReference"/>
        </w:rPr>
        <w:footnoteReference w:id="86"/>
      </w:r>
      <w:r w:rsidR="002868B2">
        <w:t xml:space="preserve"> </w:t>
      </w:r>
      <w:r w:rsidR="008360C0">
        <w:t xml:space="preserve">As </w:t>
      </w:r>
      <w:r w:rsidR="0076559D">
        <w:t>Part III</w:t>
      </w:r>
      <w:r w:rsidR="00FA071E">
        <w:t>(B)</w:t>
      </w:r>
      <w:r w:rsidR="00EC6DE8">
        <w:t xml:space="preserve"> </w:t>
      </w:r>
      <w:r w:rsidR="008360C0">
        <w:t xml:space="preserve">goes on to demonstrate, </w:t>
      </w:r>
      <w:r w:rsidR="00A51DAC">
        <w:t xml:space="preserve">CESCR often recommends </w:t>
      </w:r>
      <w:r w:rsidR="009E68D8">
        <w:t xml:space="preserve">that </w:t>
      </w:r>
      <w:r w:rsidR="00A51DAC">
        <w:t>states develop strategies and action plans to protect, promote and fulfil rights</w:t>
      </w:r>
      <w:r w:rsidR="002528DE">
        <w:t xml:space="preserve"> that transcend the legislative</w:t>
      </w:r>
      <w:r w:rsidR="008360C0">
        <w:t>.</w:t>
      </w:r>
      <w:r w:rsidR="00EC6DE8">
        <w:t xml:space="preserve"> </w:t>
      </w:r>
      <w:r w:rsidR="004176B3">
        <w:t xml:space="preserve">Programmatic understandings of ESR are therefore valuable insofar as they treat </w:t>
      </w:r>
      <w:r w:rsidR="00AF50A9">
        <w:t>these rights</w:t>
      </w:r>
      <w:r w:rsidR="004176B3">
        <w:t xml:space="preserve"> as continuing obligations where design, implementation and impacts must be managed in light of contingencies like economic growth, increased labour demand or natural disasters. Courts are undoubtedly capable of resolving some of the polycentric problems in the allocation of resources these obligations give rise to. However, </w:t>
      </w:r>
      <w:r w:rsidR="00EC6DE8">
        <w:t xml:space="preserve">as </w:t>
      </w:r>
      <w:proofErr w:type="spellStart"/>
      <w:r w:rsidR="00EC6DE8">
        <w:t>Fredman</w:t>
      </w:r>
      <w:proofErr w:type="spellEnd"/>
      <w:r w:rsidR="00EC6DE8">
        <w:t xml:space="preserve"> argues, goal-oriented duties </w:t>
      </w:r>
      <w:r w:rsidR="00B12454">
        <w:t>like ESR ‘</w:t>
      </w:r>
      <w:r w:rsidR="00EC6DE8">
        <w:t>are challenging for legal regulation because effective compliance defies a monolithic solution. Instead, compliance with positive human rights duties necessitates problem-solving and continuing review by the actors themselves.’</w:t>
      </w:r>
      <w:r w:rsidR="00EC6DE8">
        <w:rPr>
          <w:rStyle w:val="FootnoteReference"/>
        </w:rPr>
        <w:footnoteReference w:id="87"/>
      </w:r>
      <w:r w:rsidR="008365A4">
        <w:t xml:space="preserve"> </w:t>
      </w:r>
      <w:r w:rsidR="00A168FC">
        <w:t xml:space="preserve">There is, therefore, significant </w:t>
      </w:r>
      <w:r w:rsidR="00B12454">
        <w:t xml:space="preserve">but insufficiently acknowledged </w:t>
      </w:r>
      <w:r w:rsidR="00A168FC">
        <w:t xml:space="preserve">underlap between </w:t>
      </w:r>
      <w:r w:rsidR="00AF50A9">
        <w:t>some</w:t>
      </w:r>
      <w:r w:rsidR="00A168FC">
        <w:t xml:space="preserve"> justiciable and the programmatic aspects of ESR.</w:t>
      </w:r>
    </w:p>
    <w:p w14:paraId="44369790" w14:textId="225A6089" w:rsidR="00BE405B" w:rsidRPr="00106D62" w:rsidRDefault="00736038" w:rsidP="00AC71AF">
      <w:pPr>
        <w:jc w:val="both"/>
        <w:rPr>
          <w:color w:val="000000" w:themeColor="text1"/>
        </w:rPr>
      </w:pPr>
      <w:r>
        <w:t xml:space="preserve">        </w:t>
      </w:r>
      <w:r w:rsidR="00B62235">
        <w:t>The programmatic</w:t>
      </w:r>
      <w:r w:rsidR="00A168FC">
        <w:t xml:space="preserve"> aspects of ESR, and the</w:t>
      </w:r>
      <w:r w:rsidR="003F4DE0">
        <w:t>ir</w:t>
      </w:r>
      <w:r w:rsidR="00A168FC">
        <w:t xml:space="preserve"> </w:t>
      </w:r>
      <w:r w:rsidR="003F4DE0">
        <w:t>evident</w:t>
      </w:r>
      <w:r w:rsidR="00A168FC">
        <w:t xml:space="preserve"> risk of underlap with justiciable aspects, </w:t>
      </w:r>
      <w:r w:rsidR="00B62235">
        <w:t>is best understood by using examples</w:t>
      </w:r>
      <w:r w:rsidR="00446220">
        <w:t xml:space="preserve"> of how </w:t>
      </w:r>
      <w:r w:rsidR="00A168FC">
        <w:t>the ICESCR</w:t>
      </w:r>
      <w:r w:rsidR="00446220">
        <w:t xml:space="preserve"> recognises the polycentric problems that the realisation of </w:t>
      </w:r>
      <w:r w:rsidR="008360C0">
        <w:t>socio-economic rights</w:t>
      </w:r>
      <w:r w:rsidR="00446220">
        <w:t xml:space="preserve"> inevitably gives rise to</w:t>
      </w:r>
      <w:r w:rsidR="00B62235">
        <w:t xml:space="preserve">. </w:t>
      </w:r>
      <w:r w:rsidR="00106D62">
        <w:rPr>
          <w:color w:val="000000" w:themeColor="text1"/>
        </w:rPr>
        <w:t>A number of</w:t>
      </w:r>
      <w:r w:rsidR="00A168FC">
        <w:rPr>
          <w:color w:val="000000" w:themeColor="text1"/>
        </w:rPr>
        <w:t xml:space="preserve"> Convention</w:t>
      </w:r>
      <w:r w:rsidR="00106D62">
        <w:rPr>
          <w:color w:val="000000" w:themeColor="text1"/>
        </w:rPr>
        <w:t xml:space="preserve"> </w:t>
      </w:r>
      <w:r w:rsidR="00106D62" w:rsidRPr="00106D62">
        <w:rPr>
          <w:color w:val="000000" w:themeColor="text1"/>
        </w:rPr>
        <w:t>articles</w:t>
      </w:r>
      <w:r w:rsidR="00106D62">
        <w:rPr>
          <w:color w:val="000000" w:themeColor="text1"/>
        </w:rPr>
        <w:t>, most notably</w:t>
      </w:r>
      <w:r w:rsidR="00106D62" w:rsidRPr="00106D62">
        <w:rPr>
          <w:color w:val="000000" w:themeColor="text1"/>
        </w:rPr>
        <w:t xml:space="preserve"> 6(2)</w:t>
      </w:r>
      <w:r w:rsidR="00106D62">
        <w:rPr>
          <w:color w:val="000000" w:themeColor="text1"/>
        </w:rPr>
        <w:t>,</w:t>
      </w:r>
      <w:r w:rsidR="00106D62" w:rsidRPr="00106D62">
        <w:rPr>
          <w:color w:val="000000" w:themeColor="text1"/>
        </w:rPr>
        <w:t xml:space="preserve"> 11(2)</w:t>
      </w:r>
      <w:r w:rsidR="00106D62">
        <w:rPr>
          <w:color w:val="000000" w:themeColor="text1"/>
        </w:rPr>
        <w:t>,</w:t>
      </w:r>
      <w:r w:rsidR="00106D62" w:rsidRPr="00106D62">
        <w:rPr>
          <w:color w:val="000000" w:themeColor="text1"/>
        </w:rPr>
        <w:t xml:space="preserve"> 12(2)</w:t>
      </w:r>
      <w:r w:rsidR="00106D62">
        <w:rPr>
          <w:color w:val="000000" w:themeColor="text1"/>
        </w:rPr>
        <w:t>,</w:t>
      </w:r>
      <w:r w:rsidR="00106D62" w:rsidRPr="00106D62">
        <w:rPr>
          <w:color w:val="000000" w:themeColor="text1"/>
        </w:rPr>
        <w:t xml:space="preserve"> 13(2) and 15(2) </w:t>
      </w:r>
      <w:r w:rsidR="00106D62">
        <w:rPr>
          <w:color w:val="000000" w:themeColor="text1"/>
        </w:rPr>
        <w:t xml:space="preserve">establish </w:t>
      </w:r>
      <w:r w:rsidR="00E851B9">
        <w:rPr>
          <w:color w:val="000000" w:themeColor="text1"/>
        </w:rPr>
        <w:t>duties that primarily</w:t>
      </w:r>
      <w:r w:rsidR="00106D62" w:rsidRPr="00106D62">
        <w:rPr>
          <w:color w:val="000000" w:themeColor="text1"/>
        </w:rPr>
        <w:t xml:space="preserve"> </w:t>
      </w:r>
      <w:r w:rsidR="00106D62">
        <w:rPr>
          <w:color w:val="000000" w:themeColor="text1"/>
        </w:rPr>
        <w:t>‘</w:t>
      </w:r>
      <w:r w:rsidR="00106D62" w:rsidRPr="00106D62">
        <w:rPr>
          <w:color w:val="000000" w:themeColor="text1"/>
        </w:rPr>
        <w:t>are programme and policy-based, not legislative</w:t>
      </w:r>
      <w:r w:rsidR="00106D62">
        <w:rPr>
          <w:color w:val="000000" w:themeColor="text1"/>
        </w:rPr>
        <w:t>.</w:t>
      </w:r>
      <w:r w:rsidR="00106D62" w:rsidRPr="00106D62">
        <w:rPr>
          <w:color w:val="000000" w:themeColor="text1"/>
        </w:rPr>
        <w:t>’</w:t>
      </w:r>
      <w:r w:rsidR="00106D62" w:rsidRPr="00106D62">
        <w:rPr>
          <w:rStyle w:val="FootnoteReference"/>
          <w:color w:val="000000" w:themeColor="text1"/>
        </w:rPr>
        <w:footnoteReference w:id="88"/>
      </w:r>
      <w:r w:rsidR="00486A43">
        <w:rPr>
          <w:color w:val="000000" w:themeColor="text1"/>
        </w:rPr>
        <w:t xml:space="preserve"> </w:t>
      </w:r>
      <w:r w:rsidR="00124F8C">
        <w:t>Article 6(2) on the right to work is the most obviously programmatic right insofar as t</w:t>
      </w:r>
      <w:r w:rsidR="00124F8C" w:rsidRPr="00124F8C">
        <w:t xml:space="preserve">he steps to be taken by a State Party to achieve </w:t>
      </w:r>
      <w:r w:rsidR="00124F8C">
        <w:t>its</w:t>
      </w:r>
      <w:r w:rsidR="00124F8C" w:rsidRPr="00124F8C">
        <w:t xml:space="preserve"> full reali</w:t>
      </w:r>
      <w:r w:rsidR="00124F8C">
        <w:t>s</w:t>
      </w:r>
      <w:r w:rsidR="00124F8C" w:rsidRPr="00124F8C">
        <w:t xml:space="preserve">ation </w:t>
      </w:r>
      <w:r w:rsidR="00124F8C">
        <w:t>includes ‘</w:t>
      </w:r>
      <w:r w:rsidR="00124F8C" w:rsidRPr="00124F8C">
        <w:t>policies and techniques to achieve steady economic, social and cultural development and full and productive employment</w:t>
      </w:r>
      <w:r w:rsidR="00124F8C">
        <w:t xml:space="preserve">.’ This is essentially a mandate to the state to develop programmes </w:t>
      </w:r>
      <w:r w:rsidR="009E68D8">
        <w:t xml:space="preserve">to </w:t>
      </w:r>
      <w:r w:rsidR="00124F8C">
        <w:t>stimulate employment (</w:t>
      </w:r>
      <w:proofErr w:type="gramStart"/>
      <w:r w:rsidR="00124F8C">
        <w:t>e.g</w:t>
      </w:r>
      <w:r w:rsidR="00B12454">
        <w:t>.</w:t>
      </w:r>
      <w:proofErr w:type="gramEnd"/>
      <w:r w:rsidR="00124F8C">
        <w:t xml:space="preserve"> pub</w:t>
      </w:r>
      <w:r w:rsidR="00AC71AF">
        <w:t>l</w:t>
      </w:r>
      <w:r w:rsidR="00124F8C">
        <w:t xml:space="preserve">ic works) and on a broader level </w:t>
      </w:r>
      <w:r w:rsidR="009E68D8">
        <w:t xml:space="preserve">to </w:t>
      </w:r>
      <w:r w:rsidR="00124F8C">
        <w:t xml:space="preserve">regulate a national economy such that employment opportunities became available to all jobseekers. While, for example, failure to provide unemployment assistance </w:t>
      </w:r>
      <w:r w:rsidR="00AC71AF">
        <w:t xml:space="preserve">or prevent forced labour </w:t>
      </w:r>
      <w:r w:rsidR="00124F8C">
        <w:t xml:space="preserve">might be a justiciable breach of Article 6, this general obligation to stimulate employment does not </w:t>
      </w:r>
      <w:r w:rsidR="00AC71AF" w:rsidRPr="005278DE">
        <w:t xml:space="preserve">refer to any individual claim to </w:t>
      </w:r>
      <w:r w:rsidR="00E851B9">
        <w:t xml:space="preserve">the aforementioned </w:t>
      </w:r>
      <w:r w:rsidR="00AC71AF" w:rsidRPr="005278DE">
        <w:t>policies and techniques to achieve full and productive employment.</w:t>
      </w:r>
      <w:r w:rsidR="00AC71AF">
        <w:t xml:space="preserve"> </w:t>
      </w:r>
      <w:r w:rsidR="00AC71AF" w:rsidRPr="005278DE">
        <w:t xml:space="preserve">This ‘promotional obligation’ (as </w:t>
      </w:r>
      <w:proofErr w:type="spellStart"/>
      <w:r w:rsidR="00AC71AF">
        <w:t>Tomuschat</w:t>
      </w:r>
      <w:proofErr w:type="spellEnd"/>
      <w:r w:rsidR="00AC71AF" w:rsidRPr="005278DE">
        <w:t xml:space="preserve"> puts it) ‘still connotes a genuine legal obligation’ even if aspects of it might not be contestable in a court of law by an individual</w:t>
      </w:r>
      <w:r w:rsidR="008F694F">
        <w:t xml:space="preserve"> deprived of her rights</w:t>
      </w:r>
      <w:r w:rsidR="00AC71AF" w:rsidRPr="005278DE">
        <w:t>.</w:t>
      </w:r>
      <w:r w:rsidR="00AC71AF" w:rsidRPr="005278DE">
        <w:rPr>
          <w:rStyle w:val="FootnoteReference"/>
        </w:rPr>
        <w:footnoteReference w:id="89"/>
      </w:r>
      <w:r w:rsidR="00AC71AF">
        <w:t xml:space="preserve"> </w:t>
      </w:r>
      <w:r w:rsidR="00124F8C" w:rsidRPr="005278DE">
        <w:t xml:space="preserve">Hertel and </w:t>
      </w:r>
      <w:proofErr w:type="spellStart"/>
      <w:r w:rsidR="00124F8C" w:rsidRPr="005278DE">
        <w:t>Minkler</w:t>
      </w:r>
      <w:proofErr w:type="spellEnd"/>
      <w:r w:rsidR="00AC71AF">
        <w:t>, likewise,</w:t>
      </w:r>
      <w:r w:rsidR="00124F8C" w:rsidRPr="005278DE">
        <w:t xml:space="preserve"> reject the idea that ESR are mere statements of public policy goals, but at the same time accept there are elements of labour rights that are readily justiciable and some that are not.</w:t>
      </w:r>
      <w:r w:rsidR="00124F8C" w:rsidRPr="005278DE">
        <w:rPr>
          <w:rStyle w:val="FootnoteReference"/>
        </w:rPr>
        <w:footnoteReference w:id="90"/>
      </w:r>
      <w:r w:rsidR="00124F8C">
        <w:t xml:space="preserve"> </w:t>
      </w:r>
    </w:p>
    <w:p w14:paraId="21690CCA" w14:textId="06FD7340" w:rsidR="00C268FA" w:rsidRDefault="00736038" w:rsidP="00C268FA">
      <w:pPr>
        <w:jc w:val="both"/>
      </w:pPr>
      <w:r>
        <w:t xml:space="preserve">        </w:t>
      </w:r>
      <w:r w:rsidR="00AC71AF">
        <w:t xml:space="preserve">The right to health has been that which has generated the most successful litigation and </w:t>
      </w:r>
      <w:r w:rsidR="007A448F">
        <w:t xml:space="preserve">hence </w:t>
      </w:r>
      <w:r w:rsidR="00AC71AF">
        <w:t xml:space="preserve">most </w:t>
      </w:r>
      <w:r w:rsidR="007A448F">
        <w:t>obviously proved the justiciability of ESR</w:t>
      </w:r>
      <w:r w:rsidR="00AC71AF">
        <w:t>. However</w:t>
      </w:r>
      <w:r w:rsidR="007A448F">
        <w:t>, the drafters deliberately chose not to define health</w:t>
      </w:r>
      <w:r w:rsidR="00E851B9">
        <w:t>.</w:t>
      </w:r>
      <w:r w:rsidR="007A448F">
        <w:t xml:space="preserve"> </w:t>
      </w:r>
      <w:r w:rsidR="002868B2">
        <w:t xml:space="preserve">Instead, </w:t>
      </w:r>
      <w:r w:rsidR="007A448F">
        <w:t>Article 12 operates to a significant extent by setting out the steps parties take to progressively realise the highest attainable standards thereof.</w:t>
      </w:r>
      <w:r w:rsidR="007A448F">
        <w:rPr>
          <w:rStyle w:val="FootnoteReference"/>
        </w:rPr>
        <w:footnoteReference w:id="91"/>
      </w:r>
      <w:r w:rsidR="007A448F">
        <w:t xml:space="preserve"> </w:t>
      </w:r>
      <w:r w:rsidR="00A256F6">
        <w:t>General Comment No. 14 requires state</w:t>
      </w:r>
      <w:r w:rsidR="009E68D8">
        <w:t>s</w:t>
      </w:r>
      <w:r w:rsidR="00A256F6">
        <w:t xml:space="preserve"> to adopt and implement a national health strategy and plan of action with health indicators and benchmarks.</w:t>
      </w:r>
      <w:r w:rsidR="00A256F6">
        <w:rPr>
          <w:rStyle w:val="FootnoteReference"/>
        </w:rPr>
        <w:footnoteReference w:id="92"/>
      </w:r>
      <w:r w:rsidR="00A256F6">
        <w:t xml:space="preserve"> </w:t>
      </w:r>
      <w:r w:rsidR="007A448F">
        <w:t xml:space="preserve">Multi-sectoral, cross-departmental steps to </w:t>
      </w:r>
      <w:r w:rsidR="00CC7066">
        <w:t xml:space="preserve">put in place adequate preventative and corrective measures for the enhancement </w:t>
      </w:r>
      <w:r w:rsidR="00A256F6">
        <w:t>o</w:t>
      </w:r>
      <w:r w:rsidR="00CC7066">
        <w:t>f people’s health</w:t>
      </w:r>
      <w:r w:rsidR="007A448F">
        <w:t xml:space="preserve"> like reduction of infant mortality, increase of life expectancy and elimination of malnutrition </w:t>
      </w:r>
      <w:r w:rsidR="007A448F">
        <w:lastRenderedPageBreak/>
        <w:t xml:space="preserve">are </w:t>
      </w:r>
      <w:r w:rsidR="000C4B09">
        <w:t xml:space="preserve">(in </w:t>
      </w:r>
      <w:proofErr w:type="spellStart"/>
      <w:r w:rsidR="00F70FE2">
        <w:t>Yamin’s</w:t>
      </w:r>
      <w:proofErr w:type="spellEnd"/>
      <w:r w:rsidR="000C4B09">
        <w:t xml:space="preserve"> words) </w:t>
      </w:r>
      <w:r w:rsidR="007A448F">
        <w:t>distinctly ‘programmatic obligations’</w:t>
      </w:r>
      <w:r w:rsidR="00CC7066">
        <w:t>.</w:t>
      </w:r>
      <w:r w:rsidR="007A448F">
        <w:rPr>
          <w:rStyle w:val="FootnoteReference"/>
        </w:rPr>
        <w:footnoteReference w:id="93"/>
      </w:r>
      <w:r w:rsidR="007A448F">
        <w:t xml:space="preserve"> Though some of these obligations are clearly justiciable,</w:t>
      </w:r>
      <w:r w:rsidR="007A448F">
        <w:rPr>
          <w:rStyle w:val="FootnoteReference"/>
        </w:rPr>
        <w:footnoteReference w:id="94"/>
      </w:r>
      <w:r w:rsidR="007A448F">
        <w:t xml:space="preserve"> </w:t>
      </w:r>
      <w:r w:rsidR="00CC7066">
        <w:t>products of a national health strategy</w:t>
      </w:r>
      <w:r w:rsidR="007A448F">
        <w:t xml:space="preserve"> like educating communities about health</w:t>
      </w:r>
      <w:r w:rsidR="00CC7066">
        <w:t>,</w:t>
      </w:r>
      <w:r w:rsidR="007A448F">
        <w:t xml:space="preserve"> addressing geographic access to health centres</w:t>
      </w:r>
      <w:r w:rsidR="00CC7066">
        <w:t>, training doctors or promoting medical research</w:t>
      </w:r>
      <w:r w:rsidR="007A448F">
        <w:t xml:space="preserve"> ‘for the most part requires an entirely different set of strategies from litigation’</w:t>
      </w:r>
      <w:r w:rsidR="00C268FA">
        <w:rPr>
          <w:rStyle w:val="FootnoteReference"/>
        </w:rPr>
        <w:footnoteReference w:id="95"/>
      </w:r>
      <w:r w:rsidR="00C268FA">
        <w:t xml:space="preserve"> and may not be enforceable by it.</w:t>
      </w:r>
      <w:r w:rsidR="00045736">
        <w:t xml:space="preserve"> The integration of human rights principles into programmes at national levels can facilitate non-discriminatory treatment, inform the mechanics of community participation and inform analysis of reform.</w:t>
      </w:r>
      <w:r w:rsidR="00045736">
        <w:rPr>
          <w:rStyle w:val="FootnoteReference"/>
        </w:rPr>
        <w:footnoteReference w:id="96"/>
      </w:r>
      <w:r w:rsidR="00045736">
        <w:t xml:space="preserve"> However,</w:t>
      </w:r>
      <w:r w:rsidR="00C268FA">
        <w:t xml:space="preserve"> </w:t>
      </w:r>
      <w:r w:rsidR="00045736">
        <w:t>h</w:t>
      </w:r>
      <w:r w:rsidR="00C268FA">
        <w:t>uman rights experts</w:t>
      </w:r>
      <w:r w:rsidR="00CC7066">
        <w:t xml:space="preserve"> </w:t>
      </w:r>
      <w:r w:rsidR="00C268FA">
        <w:t xml:space="preserve">who speak to state officials </w:t>
      </w:r>
      <w:r w:rsidR="002868B2">
        <w:t>primarily</w:t>
      </w:r>
      <w:r w:rsidR="00C268FA">
        <w:t xml:space="preserve"> in the language of laws, litigation and court orders ‘are likely to be heard with polite mystification.’</w:t>
      </w:r>
      <w:r w:rsidR="00C268FA">
        <w:rPr>
          <w:rStyle w:val="FootnoteReference"/>
        </w:rPr>
        <w:footnoteReference w:id="97"/>
      </w:r>
    </w:p>
    <w:p w14:paraId="6B83E150" w14:textId="3E2679F7" w:rsidR="00AC71AF" w:rsidRDefault="00736038" w:rsidP="004561EB">
      <w:pPr>
        <w:jc w:val="both"/>
      </w:pPr>
      <w:r>
        <w:t xml:space="preserve">       </w:t>
      </w:r>
      <w:r w:rsidR="00CC7066">
        <w:t xml:space="preserve">Article 14, likewise, has a distinctly programmatic element insofar as it obligates states to adopt a </w:t>
      </w:r>
      <w:r w:rsidR="00F6358F">
        <w:t xml:space="preserve">time-defined, ‘detailed </w:t>
      </w:r>
      <w:r w:rsidR="00CC7066">
        <w:t>plan of action</w:t>
      </w:r>
      <w:r w:rsidR="00F6358F">
        <w:t>’</w:t>
      </w:r>
      <w:r w:rsidR="00CC7066">
        <w:t xml:space="preserve"> for the progressive implementation of the principle of compulsory </w:t>
      </w:r>
      <w:r w:rsidR="002528DE">
        <w:t xml:space="preserve">primary </w:t>
      </w:r>
      <w:r w:rsidR="00CC7066">
        <w:t>education free of charge</w:t>
      </w:r>
      <w:r w:rsidR="002528DE">
        <w:t xml:space="preserve"> within two years</w:t>
      </w:r>
      <w:r w:rsidR="00CC7066">
        <w:t>, a requirement which requires at a minimum a national education strategy.</w:t>
      </w:r>
      <w:r w:rsidR="00CC7066">
        <w:rPr>
          <w:rStyle w:val="FootnoteReference"/>
        </w:rPr>
        <w:footnoteReference w:id="98"/>
      </w:r>
      <w:r w:rsidR="00B64C0D">
        <w:t xml:space="preserve"> Failure to adopt such a plan of action is a violation of the Covenant</w:t>
      </w:r>
      <w:r w:rsidR="00F6358F">
        <w:t xml:space="preserve"> </w:t>
      </w:r>
      <w:r w:rsidR="00B64C0D">
        <w:t xml:space="preserve">and potentially justiciable domestically. </w:t>
      </w:r>
      <w:r w:rsidR="004E662B">
        <w:t xml:space="preserve">However, the plan </w:t>
      </w:r>
      <w:r w:rsidR="002528DE">
        <w:t xml:space="preserve">itself </w:t>
      </w:r>
      <w:r w:rsidR="004E662B">
        <w:t xml:space="preserve">will be written in the programmatic language of objectives, targets, benchmarks and time frames, the identification and mobilisation of resources, the coordination of activities of different actors and monitoring, while at the same time </w:t>
      </w:r>
      <w:r w:rsidR="00F6358F">
        <w:t>retain</w:t>
      </w:r>
      <w:r w:rsidR="004E662B">
        <w:t>ing</w:t>
      </w:r>
      <w:r w:rsidR="00F6358F">
        <w:t xml:space="preserve"> flexibility as a continuing obligation.</w:t>
      </w:r>
      <w:r w:rsidR="00F6358F">
        <w:rPr>
          <w:rStyle w:val="FootnoteReference"/>
        </w:rPr>
        <w:footnoteReference w:id="99"/>
      </w:r>
      <w:r w:rsidR="00F6358F">
        <w:t xml:space="preserve"> </w:t>
      </w:r>
      <w:r w:rsidR="00DE6793">
        <w:t>Likewise, t</w:t>
      </w:r>
      <w:r w:rsidR="00DE6793" w:rsidRPr="00976D30">
        <w:t>he right to housing in Article 11 again establishes a programmatic state duty to adopt a national housing strategy which ‘defines the objectives for the development of shelter conditions, identifies the resources available to meet these goals and the most cost-effective way of using them and sets out the responsibilities and time frame for the implementation of the necessary measures.’</w:t>
      </w:r>
      <w:r w:rsidR="008360C0">
        <w:rPr>
          <w:rStyle w:val="FootnoteReference"/>
        </w:rPr>
        <w:footnoteReference w:id="100"/>
      </w:r>
      <w:r w:rsidR="008360C0">
        <w:t xml:space="preserve"> </w:t>
      </w:r>
      <w:r w:rsidR="00DE6793">
        <w:t xml:space="preserve">Some public policies with an obvious bearing on the supply of housing like those on eviction or compulsory purchase orders are clearly justiciable. However, others, like addressing the commodification of housing or the use of housing as an investment asset are necessary to give effect to the right but again may not be justiciable. In states that lack the resources to tackle serious housing shortages, the state duty is arguably even more abstracted from legislation and </w:t>
      </w:r>
      <w:proofErr w:type="spellStart"/>
      <w:r w:rsidR="00DE6793">
        <w:t>judiciali</w:t>
      </w:r>
      <w:r w:rsidR="003357C7">
        <w:t>s</w:t>
      </w:r>
      <w:r w:rsidR="00DE6793">
        <w:t>ation</w:t>
      </w:r>
      <w:proofErr w:type="spellEnd"/>
      <w:r w:rsidR="00DE6793">
        <w:t xml:space="preserve"> – the role of the government ‘is to create the </w:t>
      </w:r>
      <w:r w:rsidR="00DE6793">
        <w:softHyphen/>
      </w:r>
      <w:r w:rsidR="00DE6793">
        <w:softHyphen/>
      </w:r>
      <w:r w:rsidR="00DE6793">
        <w:softHyphen/>
      </w:r>
      <w:r w:rsidR="00DE6793">
        <w:softHyphen/>
      </w:r>
      <w:r w:rsidR="00B60CA8">
        <w:t xml:space="preserve"> conditions </w:t>
      </w:r>
      <w:r w:rsidR="00DE6793">
        <w:t>such that the process of housing can take place.’</w:t>
      </w:r>
      <w:r w:rsidR="00DE6793">
        <w:rPr>
          <w:rStyle w:val="FootnoteReference"/>
        </w:rPr>
        <w:footnoteReference w:id="101"/>
      </w:r>
    </w:p>
    <w:p w14:paraId="58109751" w14:textId="3F09B6B2" w:rsidR="00845050" w:rsidRPr="00B60CA8" w:rsidRDefault="00736038" w:rsidP="00971A89">
      <w:pPr>
        <w:jc w:val="both"/>
      </w:pPr>
      <w:r>
        <w:t xml:space="preserve">       </w:t>
      </w:r>
      <w:r w:rsidR="00A256F6" w:rsidRPr="00B60CA8">
        <w:t xml:space="preserve">As noted earlier, </w:t>
      </w:r>
      <w:r w:rsidR="00B3045F">
        <w:t>the reluctance</w:t>
      </w:r>
      <w:r w:rsidR="008F694F">
        <w:t xml:space="preserve"> to explicitly emphasis</w:t>
      </w:r>
      <w:r w:rsidR="00B3045F">
        <w:t>e</w:t>
      </w:r>
      <w:r w:rsidR="008F694F">
        <w:t xml:space="preserve"> the </w:t>
      </w:r>
      <w:r w:rsidR="00A256F6" w:rsidRPr="00B60CA8">
        <w:t xml:space="preserve">programmatic </w:t>
      </w:r>
      <w:r w:rsidR="00B3045F">
        <w:t>aspects of socio-economic rights realisation is based on an understandable</w:t>
      </w:r>
      <w:r w:rsidR="00A256F6" w:rsidRPr="00B60CA8">
        <w:t xml:space="preserve"> </w:t>
      </w:r>
      <w:r w:rsidR="00B3045F">
        <w:t xml:space="preserve">belief that </w:t>
      </w:r>
      <w:r w:rsidR="00A256F6" w:rsidRPr="00B60CA8">
        <w:t>the fundamental interests secured by</w:t>
      </w:r>
      <w:r w:rsidR="008F694F">
        <w:t xml:space="preserve"> these rights</w:t>
      </w:r>
      <w:r w:rsidR="00A256F6" w:rsidRPr="00B60CA8">
        <w:t xml:space="preserve"> ‘should not be at the mercy of changing governmental policies and programmes, but should be defined as entitlements’</w:t>
      </w:r>
      <w:r w:rsidR="00A256F6" w:rsidRPr="00B60CA8">
        <w:rPr>
          <w:rStyle w:val="FootnoteReference"/>
        </w:rPr>
        <w:footnoteReference w:id="102"/>
      </w:r>
      <w:r w:rsidR="00A256F6" w:rsidRPr="00B60CA8">
        <w:t xml:space="preserve"> However, </w:t>
      </w:r>
      <w:r w:rsidR="00B60CA8" w:rsidRPr="00B60CA8">
        <w:t xml:space="preserve">we know that </w:t>
      </w:r>
      <w:r w:rsidR="00A256F6" w:rsidRPr="00B60CA8">
        <w:t xml:space="preserve">not all state duties can be defined as entitlements. </w:t>
      </w:r>
      <w:r w:rsidR="00231587" w:rsidRPr="00B60CA8">
        <w:t xml:space="preserve">The right to food </w:t>
      </w:r>
      <w:r w:rsidR="004E662B" w:rsidRPr="00B60CA8">
        <w:t xml:space="preserve">is again programmatic in that it requires states to ‘improve methods of production, conservation and distribution of food by making full use of technical and scientific knowledge, by disseminating knowledge of the principles of nutrition and by developing or reforming agrarian systems in such a way as to achieve the most </w:t>
      </w:r>
      <w:r w:rsidR="004E662B" w:rsidRPr="00B60CA8">
        <w:lastRenderedPageBreak/>
        <w:t>efficient development and utilization of natural resource</w:t>
      </w:r>
      <w:r w:rsidR="003357C7">
        <w:t>s</w:t>
      </w:r>
      <w:r w:rsidR="00976D30" w:rsidRPr="00B60CA8">
        <w:t>.’</w:t>
      </w:r>
      <w:r w:rsidR="004E662B" w:rsidRPr="00B60CA8">
        <w:rPr>
          <w:rStyle w:val="FootnoteReference"/>
        </w:rPr>
        <w:footnoteReference w:id="103"/>
      </w:r>
      <w:r w:rsidR="004E662B" w:rsidRPr="00B60CA8">
        <w:t xml:space="preserve"> </w:t>
      </w:r>
      <w:r w:rsidR="00520166">
        <w:t>As such, t</w:t>
      </w:r>
      <w:r w:rsidR="004E662B" w:rsidRPr="00B60CA8">
        <w:t>h</w:t>
      </w:r>
      <w:r w:rsidR="002528DE" w:rsidRPr="00B60CA8">
        <w:t>e right to</w:t>
      </w:r>
      <w:r w:rsidR="004E662B" w:rsidRPr="00B60CA8">
        <w:t xml:space="preserve"> food security </w:t>
      </w:r>
      <w:r w:rsidR="00231587" w:rsidRPr="00B60CA8">
        <w:t xml:space="preserve">again requires </w:t>
      </w:r>
      <w:r w:rsidR="00B60CA8" w:rsidRPr="00B60CA8">
        <w:t xml:space="preserve">aggregated, </w:t>
      </w:r>
      <w:r w:rsidR="00231587" w:rsidRPr="00B60CA8">
        <w:t xml:space="preserve">multisectoral policy instruments </w:t>
      </w:r>
      <w:r w:rsidR="004E662B" w:rsidRPr="00B60CA8">
        <w:t xml:space="preserve">that cut across numerous national policies and projects </w:t>
      </w:r>
      <w:r w:rsidR="00231587" w:rsidRPr="00B60CA8">
        <w:t xml:space="preserve">like public investment in irrigation, subsidies for agricultural inputs and </w:t>
      </w:r>
      <w:r w:rsidR="004E662B" w:rsidRPr="00B60CA8">
        <w:t>strategies to address all aspects of food production, processing, distribution and marketing of food.</w:t>
      </w:r>
      <w:r w:rsidR="002B79E1" w:rsidRPr="00B60CA8">
        <w:rPr>
          <w:rStyle w:val="FootnoteReference"/>
        </w:rPr>
        <w:footnoteReference w:id="104"/>
      </w:r>
      <w:r w:rsidR="004E662B" w:rsidRPr="00B60CA8">
        <w:t xml:space="preserve"> Failure to do so progressively may constitute a breach</w:t>
      </w:r>
      <w:r w:rsidR="00976D30" w:rsidRPr="00B60CA8">
        <w:t xml:space="preserve"> of the state’s duty</w:t>
      </w:r>
      <w:r w:rsidR="004E662B" w:rsidRPr="00B60CA8">
        <w:t xml:space="preserve">, but it is unlikely </w:t>
      </w:r>
      <w:r w:rsidR="0029419F">
        <w:t xml:space="preserve">that </w:t>
      </w:r>
      <w:r w:rsidR="004E662B" w:rsidRPr="00B60CA8">
        <w:t xml:space="preserve">every such breach </w:t>
      </w:r>
      <w:r w:rsidR="00976D30" w:rsidRPr="00B60CA8">
        <w:t>(</w:t>
      </w:r>
      <w:proofErr w:type="spellStart"/>
      <w:r w:rsidR="00976D30" w:rsidRPr="00B60CA8">
        <w:t>e.g</w:t>
      </w:r>
      <w:proofErr w:type="spellEnd"/>
      <w:r w:rsidR="00976D30" w:rsidRPr="00B60CA8">
        <w:t xml:space="preserve"> failure to improve methods of production or to conduct national agrarian reform) </w:t>
      </w:r>
      <w:r w:rsidR="004E662B" w:rsidRPr="00B60CA8">
        <w:t>is justiciable.</w:t>
      </w:r>
      <w:r w:rsidR="006C04E7" w:rsidRPr="00B60CA8">
        <w:t xml:space="preserve"> </w:t>
      </w:r>
      <w:r w:rsidR="00971A89" w:rsidRPr="00B60CA8">
        <w:t>Th</w:t>
      </w:r>
      <w:r w:rsidR="009C2574" w:rsidRPr="00B60CA8">
        <w:t>ere</w:t>
      </w:r>
      <w:r w:rsidR="00971A89" w:rsidRPr="00B60CA8">
        <w:t xml:space="preserve"> are limitless theories about how to eradicate starvation, and it is the government's duty to choose among them. </w:t>
      </w:r>
      <w:r w:rsidR="006C04E7" w:rsidRPr="00B60CA8">
        <w:t xml:space="preserve">Courts will be reluctant to interfere with rational, programmes </w:t>
      </w:r>
      <w:r w:rsidR="00FA071E" w:rsidRPr="00B60CA8">
        <w:t xml:space="preserve">sincerely pursued </w:t>
      </w:r>
      <w:r w:rsidR="006C04E7" w:rsidRPr="00B60CA8">
        <w:t>to realise ESR even if</w:t>
      </w:r>
      <w:r w:rsidR="00971A89" w:rsidRPr="00B60CA8">
        <w:t xml:space="preserve"> it may not appear to </w:t>
      </w:r>
      <w:r w:rsidR="004D7231">
        <w:t>a</w:t>
      </w:r>
      <w:r w:rsidR="004D7231" w:rsidRPr="00B60CA8">
        <w:t xml:space="preserve"> </w:t>
      </w:r>
      <w:r w:rsidR="00971A89" w:rsidRPr="00B60CA8">
        <w:t>court to be the most efficacious course of action.</w:t>
      </w:r>
      <w:r w:rsidR="00971A89" w:rsidRPr="00B60CA8">
        <w:rPr>
          <w:rStyle w:val="FootnoteReference"/>
        </w:rPr>
        <w:footnoteReference w:id="105"/>
      </w:r>
      <w:r w:rsidR="00976D30" w:rsidRPr="00B60CA8">
        <w:t xml:space="preserve"> </w:t>
      </w:r>
    </w:p>
    <w:p w14:paraId="35409E31" w14:textId="0B01800A" w:rsidR="00BC199A" w:rsidRPr="00DB5F8B" w:rsidRDefault="00BC199A" w:rsidP="00971A89">
      <w:pPr>
        <w:jc w:val="both"/>
      </w:pPr>
    </w:p>
    <w:p w14:paraId="5399C8FD" w14:textId="23E33E9D" w:rsidR="00BC199A" w:rsidRPr="00DB5F8B" w:rsidRDefault="00B3045F" w:rsidP="00E32FE2">
      <w:pPr>
        <w:pStyle w:val="ListParagraph"/>
        <w:numPr>
          <w:ilvl w:val="0"/>
          <w:numId w:val="11"/>
        </w:numPr>
        <w:jc w:val="both"/>
      </w:pPr>
      <w:r>
        <w:t xml:space="preserve">Proactive </w:t>
      </w:r>
      <w:proofErr w:type="gramStart"/>
      <w:r>
        <w:t>Policy-Making</w:t>
      </w:r>
      <w:proofErr w:type="gramEnd"/>
      <w:r w:rsidR="00134638">
        <w:t xml:space="preserve"> and the Limitations of Violation-Based Approaches</w:t>
      </w:r>
    </w:p>
    <w:p w14:paraId="2AA9AE0B" w14:textId="33E33F04" w:rsidR="00976D30" w:rsidRPr="00976D30" w:rsidRDefault="00976D30" w:rsidP="00976D30">
      <w:pPr>
        <w:jc w:val="both"/>
      </w:pPr>
    </w:p>
    <w:p w14:paraId="12EE27C2" w14:textId="62DB129F" w:rsidR="00B3045F" w:rsidRDefault="00134638" w:rsidP="00B61088">
      <w:pPr>
        <w:jc w:val="both"/>
      </w:pPr>
      <w:r>
        <w:t>As argued earlier</w:t>
      </w:r>
      <w:r w:rsidR="00CF4A96" w:rsidRPr="009011BB">
        <w:t>, those who emphasise justiciability</w:t>
      </w:r>
      <w:r w:rsidR="00B3045F">
        <w:t xml:space="preserve"> as a core essence</w:t>
      </w:r>
      <w:r w:rsidR="00CF4A96" w:rsidRPr="009011BB">
        <w:t xml:space="preserve"> of ESR argue that the term ‘violations’ is generally preferable to phrases such as ‘failure to give effect to obligations’ on the basis that such phrases </w:t>
      </w:r>
      <w:r w:rsidR="00A168FC">
        <w:t>carry the mistaken implication</w:t>
      </w:r>
      <w:r w:rsidR="00CF4A96" w:rsidRPr="009011BB">
        <w:t xml:space="preserve"> that socio-economic rights are ‘exclusively programmatic in nature and thus lacking any individual rights components.’</w:t>
      </w:r>
      <w:r w:rsidR="00CF4A96" w:rsidRPr="009011BB">
        <w:rPr>
          <w:rStyle w:val="FootnoteReference"/>
        </w:rPr>
        <w:footnoteReference w:id="106"/>
      </w:r>
      <w:r w:rsidR="00CF4A96" w:rsidRPr="009011BB">
        <w:t xml:space="preserve"> </w:t>
      </w:r>
      <w:r w:rsidR="00A168FC">
        <w:t>Any such implication is false, however</w:t>
      </w:r>
      <w:r w:rsidR="00CF4A96" w:rsidRPr="009011BB">
        <w:t xml:space="preserve">. </w:t>
      </w:r>
      <w:r w:rsidR="00B61088">
        <w:t>It should be clear from the foregoing that r</w:t>
      </w:r>
      <w:r w:rsidR="00CF4A96" w:rsidRPr="009011BB">
        <w:t>ecognising some aspects of ESR are programmatic does not mean that ESR are exclusively programmatic. Recognising that some programmatic aspects of ESR may not be justiciable does not imply that all, or most ESR,</w:t>
      </w:r>
      <w:r w:rsidR="00CF4A96">
        <w:t xml:space="preserve"> are</w:t>
      </w:r>
      <w:r w:rsidR="00CF4A96" w:rsidRPr="009011BB">
        <w:t xml:space="preserve"> non-justiciable. The rights contained in the ICESCR are potentially as valuable in setting standards by which state policies should be assessed </w:t>
      </w:r>
      <w:r w:rsidR="00B3045F">
        <w:t xml:space="preserve">politically </w:t>
      </w:r>
      <w:r w:rsidR="00CF4A96" w:rsidRPr="009011BB">
        <w:t>as they are when manifest in constitutional welfare rights or statute</w:t>
      </w:r>
      <w:r w:rsidR="00B3045F">
        <w:t xml:space="preserve"> adjudicated in a court of law</w:t>
      </w:r>
      <w:r w:rsidR="00CF4A96" w:rsidRPr="009011BB">
        <w:t>.</w:t>
      </w:r>
      <w:r w:rsidR="00CF4A96" w:rsidRPr="009011BB">
        <w:rPr>
          <w:rStyle w:val="FootnoteReference"/>
        </w:rPr>
        <w:footnoteReference w:id="107"/>
      </w:r>
      <w:r w:rsidR="00CF4A96" w:rsidRPr="009011BB">
        <w:t xml:space="preserve"> It is for this reason that Young argues ESR ‘are meaningful even when they are judicially unenforceable,’ exerting pressure as objects of state policy, guiding statutory interpretation by judges and bureaucrats.</w:t>
      </w:r>
      <w:r w:rsidR="00CF4A96" w:rsidRPr="009011BB">
        <w:rPr>
          <w:rStyle w:val="FootnoteReference"/>
        </w:rPr>
        <w:footnoteReference w:id="108"/>
      </w:r>
      <w:r w:rsidR="00B61088">
        <w:t xml:space="preserve"> </w:t>
      </w:r>
    </w:p>
    <w:p w14:paraId="72D67A6E" w14:textId="357B4C4A" w:rsidR="00B61088" w:rsidRDefault="004176B3" w:rsidP="00B61088">
      <w:pPr>
        <w:jc w:val="both"/>
      </w:pPr>
      <w:r>
        <w:t xml:space="preserve">        </w:t>
      </w:r>
      <w:r w:rsidR="00B61088">
        <w:t>T</w:t>
      </w:r>
      <w:r w:rsidR="00B61088" w:rsidRPr="00E52865">
        <w:t xml:space="preserve">o argue that some aspects of ESR are programmatic and not fully justiciable is not to argue these aspects (let alone the ESR overall) are </w:t>
      </w:r>
      <w:r w:rsidR="00750262">
        <w:t>open-ended</w:t>
      </w:r>
      <w:r w:rsidR="00B61088" w:rsidRPr="00E52865">
        <w:t xml:space="preserve">, contingent, subjective, non-committal, vague, subordinate to cost-benefit decision-making, lacking in obligatory structure or any of the other descriptions/epithets typically associated by ESR scholars with any suggestion ESR justiciability might be qualified. </w:t>
      </w:r>
      <w:r w:rsidR="00B61088">
        <w:t xml:space="preserve">While the alleged </w:t>
      </w:r>
      <w:r w:rsidR="00454B79">
        <w:t>indeterminacy</w:t>
      </w:r>
      <w:r w:rsidR="00B61088">
        <w:t xml:space="preserve"> of ESR is what typically gave rise to scepticism about the status and justiciability of these rights, there is nothing inherently imprecise about a programmatic approach to realising them. The adoption of budgeted, prioritised and sequenced programmes of actions, the setting of time-bound objectives and monitoring </w:t>
      </w:r>
      <w:r w:rsidR="00FD1ED6">
        <w:t>of implementation measures</w:t>
      </w:r>
      <w:r w:rsidR="00B61088">
        <w:t xml:space="preserve"> provide strong starting points for defining appropriate measures for governments to take towards progressive realisation.</w:t>
      </w:r>
      <w:r w:rsidR="00B61088">
        <w:rPr>
          <w:rStyle w:val="FootnoteReference"/>
        </w:rPr>
        <w:footnoteReference w:id="109"/>
      </w:r>
      <w:r w:rsidR="00B61088">
        <w:t xml:space="preserve"> Whereas Article 9, for example, merely recognises the right to social security but does not specify steps towards its implementation, National Human Rights Action Plans (examined in </w:t>
      </w:r>
      <w:r w:rsidR="0076559D">
        <w:t>Part III</w:t>
      </w:r>
      <w:r w:rsidR="00B61088">
        <w:t xml:space="preserve">) and Poverty Reduction Strategy Papers make apparent that strategies can be results-focussed, tailored to emerging constraints and contingencies, endorsed at the level of the </w:t>
      </w:r>
      <w:r w:rsidR="00B61088">
        <w:lastRenderedPageBreak/>
        <w:t>executive, and typically encompass the responsibilities of the multiple agencies that need to be engaged if any programme is to be realised. The CESCR increasingly calls for benchmarks on which a state’s achievement in relation to a given right can be assessed using measures of risk, vulnerability and social capital indicators.</w:t>
      </w:r>
      <w:r w:rsidR="00B61088">
        <w:rPr>
          <w:rStyle w:val="FootnoteReference"/>
        </w:rPr>
        <w:footnoteReference w:id="110"/>
      </w:r>
      <w:r w:rsidR="00B61088">
        <w:t xml:space="preserve"> </w:t>
      </w:r>
    </w:p>
    <w:p w14:paraId="3BB5A427" w14:textId="1A8E8513" w:rsidR="005D6680" w:rsidRDefault="00A168FC" w:rsidP="00BF2A29">
      <w:pPr>
        <w:jc w:val="both"/>
      </w:pPr>
      <w:r>
        <w:t xml:space="preserve">        </w:t>
      </w:r>
      <w:r w:rsidR="00F60F6B">
        <w:t>It should be clear at this point that n</w:t>
      </w:r>
      <w:r w:rsidR="00B61088" w:rsidRPr="00E52865">
        <w:t xml:space="preserve">othing about considering aspects of rights as programmatic precludes an extensive or inclusive interpretation of the right in question. </w:t>
      </w:r>
      <w:r w:rsidR="00F60F6B">
        <w:t xml:space="preserve">Why then has there been a </w:t>
      </w:r>
      <w:r w:rsidR="00750262">
        <w:t>reluctance</w:t>
      </w:r>
      <w:r w:rsidR="00F60F6B">
        <w:t xml:space="preserve"> by advocates and theorists of ESR to </w:t>
      </w:r>
      <w:r w:rsidR="00750262">
        <w:t>fully</w:t>
      </w:r>
      <w:r w:rsidR="00F60F6B">
        <w:t xml:space="preserve"> </w:t>
      </w:r>
      <w:r w:rsidR="00750262">
        <w:t>acknowledge the programmatic nature of these rights</w:t>
      </w:r>
      <w:r w:rsidR="00F60F6B">
        <w:t xml:space="preserve">? As </w:t>
      </w:r>
      <w:r w:rsidR="0076559D">
        <w:t>Part I</w:t>
      </w:r>
      <w:r w:rsidR="00F60F6B">
        <w:t xml:space="preserve"> suggested, the perceived importance of justiciability to the status of ESR </w:t>
      </w:r>
      <w:r w:rsidR="00454B79">
        <w:t xml:space="preserve">lies in the </w:t>
      </w:r>
      <w:r w:rsidR="00FD1ED6">
        <w:t>assumption that</w:t>
      </w:r>
      <w:r w:rsidR="00750262">
        <w:t xml:space="preserve"> a </w:t>
      </w:r>
      <w:proofErr w:type="spellStart"/>
      <w:r w:rsidR="00750262">
        <w:t>violationist</w:t>
      </w:r>
      <w:proofErr w:type="spellEnd"/>
      <w:r w:rsidR="00750262">
        <w:t xml:space="preserve"> approach </w:t>
      </w:r>
      <w:r w:rsidR="00454B79">
        <w:t>inoculate</w:t>
      </w:r>
      <w:r w:rsidR="00FD1ED6">
        <w:t>s</w:t>
      </w:r>
      <w:r w:rsidR="00454B79">
        <w:t xml:space="preserve"> these rights against charges </w:t>
      </w:r>
      <w:r w:rsidR="00750262">
        <w:t xml:space="preserve">that they are </w:t>
      </w:r>
      <w:r w:rsidR="00454B79">
        <w:t>aspirational, indetermina</w:t>
      </w:r>
      <w:r w:rsidR="00750262">
        <w:t>te or merely directive</w:t>
      </w:r>
      <w:r w:rsidR="00454B79">
        <w:t xml:space="preserve"> that scholars associate with purely programmatic views of ESR.</w:t>
      </w:r>
      <w:r w:rsidR="00A32714">
        <w:t xml:space="preserve"> However, as suggested in </w:t>
      </w:r>
      <w:r w:rsidR="0076559D">
        <w:t>Part I</w:t>
      </w:r>
      <w:r w:rsidR="00A32714">
        <w:t xml:space="preserve">, contemporary ESR theorisation is beginning to systematically question </w:t>
      </w:r>
      <w:r w:rsidR="00CD46D2">
        <w:t xml:space="preserve">whether </w:t>
      </w:r>
      <w:r w:rsidR="008F2699">
        <w:t>adjudication of ESR deprivations</w:t>
      </w:r>
      <w:r w:rsidR="00A32714">
        <w:t xml:space="preserve"> </w:t>
      </w:r>
      <w:r w:rsidR="008F2699">
        <w:t xml:space="preserve">on the established model for civil and political rights violations actually works. Some of this concern is empirical and based on the limited success of judicial intervention. The solutions available in a number of legal systems do not fit </w:t>
      </w:r>
      <w:r w:rsidR="008F2699" w:rsidRPr="003357C7">
        <w:t>many</w:t>
      </w:r>
      <w:r w:rsidR="008F2699">
        <w:t xml:space="preserve"> of the most pressing ESR </w:t>
      </w:r>
      <w:r w:rsidR="008F2699" w:rsidRPr="00D70454">
        <w:t>dilemmas</w:t>
      </w:r>
      <w:r w:rsidR="008F2699">
        <w:t xml:space="preserve"> like fiscal crises, underdevelopment and climate change</w:t>
      </w:r>
      <w:r w:rsidR="008F2699" w:rsidRPr="00D70454">
        <w:t>.</w:t>
      </w:r>
      <w:r w:rsidR="008F2699">
        <w:t xml:space="preserve"> As one scholar puts it, ‘one must look high and low outside the field of public and international law to find policy makers in the health field who think day-to-day constitutional litigation driven by the better off will make the overall system more equitable.’</w:t>
      </w:r>
      <w:r w:rsidR="008F2699">
        <w:rPr>
          <w:rStyle w:val="FootnoteReference"/>
        </w:rPr>
        <w:footnoteReference w:id="111"/>
      </w:r>
      <w:r w:rsidR="008F2699">
        <w:t xml:space="preserve"> </w:t>
      </w:r>
      <w:r w:rsidR="00D34118">
        <w:t xml:space="preserve">Justiciability also struggles to take cognisance of progressive realisation. At the core of the violations approach is a premise that rectifying </w:t>
      </w:r>
      <w:r w:rsidR="00EA3402">
        <w:t xml:space="preserve">individual </w:t>
      </w:r>
      <w:r w:rsidR="00D34118">
        <w:t xml:space="preserve">abuses constitutes a </w:t>
      </w:r>
      <w:r w:rsidR="00EA3402">
        <w:t>‘</w:t>
      </w:r>
      <w:r w:rsidR="00D34118">
        <w:t>higher priority</w:t>
      </w:r>
      <w:r w:rsidR="00EA3402">
        <w:t>’</w:t>
      </w:r>
      <w:r w:rsidR="00D34118">
        <w:t xml:space="preserve"> than does promoting progressive realisation</w:t>
      </w:r>
      <w:r w:rsidR="00EA3402">
        <w:t xml:space="preserve"> more broadly</w:t>
      </w:r>
      <w:r w:rsidR="00D34118">
        <w:t>.</w:t>
      </w:r>
      <w:r w:rsidR="00D34118">
        <w:rPr>
          <w:rStyle w:val="FootnoteReference"/>
        </w:rPr>
        <w:footnoteReference w:id="112"/>
      </w:r>
      <w:r w:rsidR="00D34118">
        <w:t xml:space="preserve"> It is undoubtedly easier to establish a violation when looking at immediate duties like non-discrimination between men and women (Article 3)  or trade union membership (Article 8) than it would be to prove breaches in relation to failures to progressively realise, given that the latter are related to multidimensional public policies, structural issues and resource </w:t>
      </w:r>
      <w:r w:rsidR="00FD1ED6">
        <w:t>allocation</w:t>
      </w:r>
      <w:r w:rsidR="00D34118">
        <w:t>s. This difficulty of identifying clear breaches had led to progressive realisation being ‘</w:t>
      </w:r>
      <w:proofErr w:type="spellStart"/>
      <w:r w:rsidR="00D34118">
        <w:t>sidelined</w:t>
      </w:r>
      <w:proofErr w:type="spellEnd"/>
      <w:r w:rsidR="00D34118">
        <w:t>’ in approaches that emphasise justiciability.</w:t>
      </w:r>
      <w:r w:rsidR="00D34118">
        <w:rPr>
          <w:rStyle w:val="FootnoteReference"/>
        </w:rPr>
        <w:footnoteReference w:id="113"/>
      </w:r>
      <w:r w:rsidR="00D34118">
        <w:t xml:space="preserve"> </w:t>
      </w:r>
      <w:r w:rsidR="00750262">
        <w:t>Indeed, c</w:t>
      </w:r>
      <w:r w:rsidR="00D34118">
        <w:t xml:space="preserve">oncepts that underpin justiciability like the minimum core and non-retrogression are emphasised </w:t>
      </w:r>
      <w:r w:rsidR="00D34118" w:rsidRPr="00FD1ED6">
        <w:rPr>
          <w:i/>
          <w:iCs/>
        </w:rPr>
        <w:t>because</w:t>
      </w:r>
      <w:r w:rsidR="00D34118">
        <w:t xml:space="preserve"> they are immune from progressive realisation.</w:t>
      </w:r>
      <w:r w:rsidR="00D34118">
        <w:rPr>
          <w:rStyle w:val="FootnoteReference"/>
        </w:rPr>
        <w:footnoteReference w:id="114"/>
      </w:r>
      <w:r w:rsidR="00D34118">
        <w:t xml:space="preserve"> This has caused alarm insofar as it signals a primarily reactive ‘acceptable moderation’ or a ‘manageable legal impetus’</w:t>
      </w:r>
      <w:r w:rsidR="00D34118">
        <w:rPr>
          <w:rStyle w:val="FootnoteReference"/>
        </w:rPr>
        <w:footnoteReference w:id="115"/>
      </w:r>
      <w:r w:rsidR="00D34118">
        <w:t xml:space="preserve"> in place of more pro-active programmatic, and multidimensional approaches to ESR. </w:t>
      </w:r>
    </w:p>
    <w:p w14:paraId="678C26A9" w14:textId="460145F8" w:rsidR="0063274A" w:rsidRDefault="006974FD" w:rsidP="00BF2A29">
      <w:pPr>
        <w:jc w:val="both"/>
      </w:pPr>
      <w:r>
        <w:t xml:space="preserve">        </w:t>
      </w:r>
      <w:r w:rsidR="008F2699">
        <w:t xml:space="preserve">A corollary of this position is the argument that </w:t>
      </w:r>
      <w:r w:rsidR="00750262">
        <w:t>a</w:t>
      </w:r>
      <w:r w:rsidR="008F2699">
        <w:t xml:space="preserve"> violations approach </w:t>
      </w:r>
      <w:r w:rsidR="00CD46D2">
        <w:t xml:space="preserve">is unduly narrow, overlooking broader state responsibilities for ESR. </w:t>
      </w:r>
      <w:proofErr w:type="spellStart"/>
      <w:r w:rsidR="005D6680" w:rsidRPr="00BF2A29">
        <w:t>Fredman</w:t>
      </w:r>
      <w:proofErr w:type="spellEnd"/>
      <w:r w:rsidR="005D6680" w:rsidRPr="00BF2A29">
        <w:t xml:space="preserve">, </w:t>
      </w:r>
      <w:r w:rsidR="005D6680">
        <w:t>for example,</w:t>
      </w:r>
      <w:r w:rsidR="005D6680" w:rsidRPr="00BF2A29">
        <w:t xml:space="preserve"> argues that viewing r</w:t>
      </w:r>
      <w:r w:rsidR="005D6680" w:rsidRPr="00454B79">
        <w:t xml:space="preserve">ights and duties </w:t>
      </w:r>
      <w:r w:rsidR="005D6680" w:rsidRPr="00BF2A29">
        <w:t>primarily in terms</w:t>
      </w:r>
      <w:r w:rsidR="005D6680" w:rsidRPr="00454B79">
        <w:t xml:space="preserve"> of their enforceability </w:t>
      </w:r>
      <w:r w:rsidR="005D6680" w:rsidRPr="00BF2A29">
        <w:t xml:space="preserve">has the tendency to </w:t>
      </w:r>
      <w:r w:rsidR="005D6680" w:rsidRPr="00454B79">
        <w:t xml:space="preserve">skew </w:t>
      </w:r>
      <w:r w:rsidR="005D6680" w:rsidRPr="00BF2A29">
        <w:t>our attempts</w:t>
      </w:r>
      <w:r w:rsidR="005D6680" w:rsidRPr="00454B79">
        <w:t xml:space="preserve"> to understand and elaborate positive duties</w:t>
      </w:r>
      <w:r w:rsidR="005D6680" w:rsidRPr="00BF2A29">
        <w:t xml:space="preserve">. </w:t>
      </w:r>
      <w:r w:rsidR="005D6680" w:rsidRPr="00454B79">
        <w:t xml:space="preserve"> </w:t>
      </w:r>
      <w:r w:rsidR="005D6680" w:rsidRPr="00BF2A29">
        <w:t xml:space="preserve">Instead of attending to the proactive function of ESR in guiding political and executive decision-making to ensure legislation, policy, and administration address human rights demands, scholarship tends to </w:t>
      </w:r>
      <w:r w:rsidR="005D6680" w:rsidRPr="00454B79">
        <w:t>concentrat</w:t>
      </w:r>
      <w:r w:rsidR="005D6680" w:rsidRPr="00BF2A29">
        <w:t>e more</w:t>
      </w:r>
      <w:r w:rsidR="005D6680" w:rsidRPr="00454B79">
        <w:t xml:space="preserve"> on what happens </w:t>
      </w:r>
      <w:r w:rsidR="005D6680" w:rsidRPr="00BF2A29">
        <w:t>when those rights</w:t>
      </w:r>
      <w:r w:rsidR="005D6680" w:rsidRPr="00454B79">
        <w:t xml:space="preserve"> are violate</w:t>
      </w:r>
      <w:r w:rsidR="005D6680" w:rsidRPr="00BF2A29">
        <w:t>d.</w:t>
      </w:r>
      <w:r w:rsidR="005D6680" w:rsidRPr="00BF2A29">
        <w:rPr>
          <w:rStyle w:val="FootnoteReference"/>
        </w:rPr>
        <w:footnoteReference w:id="116"/>
      </w:r>
      <w:r w:rsidR="005D6680">
        <w:t xml:space="preserve"> </w:t>
      </w:r>
      <w:r w:rsidR="00134638">
        <w:t>By contrast</w:t>
      </w:r>
      <w:r w:rsidR="004176B3">
        <w:t xml:space="preserve">, a programmatic view of ESR allows scholars, policy-makers and the international community take fuller cognisance </w:t>
      </w:r>
      <w:r w:rsidR="005D6680">
        <w:t xml:space="preserve">of </w:t>
      </w:r>
      <w:r w:rsidR="004176B3">
        <w:t xml:space="preserve">progressive realisation given that advances in areas like health, welfare and education are achieved when </w:t>
      </w:r>
      <w:r w:rsidR="004176B3">
        <w:lastRenderedPageBreak/>
        <w:t xml:space="preserve">standards of living, pensions or access to schooling improve incrementally over time, usually via systematic state planning and/or market regulation. </w:t>
      </w:r>
      <w:r w:rsidR="000806A0">
        <w:rPr>
          <w:color w:val="000000" w:themeColor="text1"/>
        </w:rPr>
        <w:t>It should be obvious from the foregoing that some positive obligations increasingly acknowledged as being essential to the realisation of ICCPR rights (</w:t>
      </w:r>
      <w:proofErr w:type="spellStart"/>
      <w:r w:rsidR="000806A0">
        <w:rPr>
          <w:color w:val="000000" w:themeColor="text1"/>
        </w:rPr>
        <w:t>eg.</w:t>
      </w:r>
      <w:proofErr w:type="spellEnd"/>
      <w:r w:rsidR="000806A0">
        <w:rPr>
          <w:color w:val="000000" w:themeColor="text1"/>
        </w:rPr>
        <w:t xml:space="preserve"> to maintain a police force, to conduct judicial training) are also programmatic in this sense.</w:t>
      </w:r>
    </w:p>
    <w:p w14:paraId="0746AC4B" w14:textId="788CFAE6" w:rsidR="0063274A" w:rsidRDefault="00735DA4" w:rsidP="0063274A">
      <w:pPr>
        <w:jc w:val="both"/>
      </w:pPr>
      <w:r>
        <w:t xml:space="preserve">        </w:t>
      </w:r>
      <w:r w:rsidR="00D34118">
        <w:t xml:space="preserve">Far from </w:t>
      </w:r>
      <w:r w:rsidR="004176B3">
        <w:t xml:space="preserve">implicitly </w:t>
      </w:r>
      <w:r w:rsidR="00D34118">
        <w:t xml:space="preserve">undermining </w:t>
      </w:r>
      <w:r w:rsidR="004176B3">
        <w:t xml:space="preserve">the status </w:t>
      </w:r>
      <w:r w:rsidR="00D34118">
        <w:t xml:space="preserve">ESR, </w:t>
      </w:r>
      <w:r w:rsidR="0063274A">
        <w:t xml:space="preserve">therefore, </w:t>
      </w:r>
      <w:r w:rsidR="004176B3">
        <w:t>accepting that some</w:t>
      </w:r>
      <w:r w:rsidR="00D34118">
        <w:t xml:space="preserve"> Covenant duties </w:t>
      </w:r>
      <w:r w:rsidR="004176B3">
        <w:t>are mostly</w:t>
      </w:r>
      <w:r w:rsidR="00D34118">
        <w:t xml:space="preserve"> programmatic vindicates the idea that Covenant obligations require an ‘activist, committed State’ that elaborates a calibrated set of public policies relat</w:t>
      </w:r>
      <w:r w:rsidR="00A30028">
        <w:t>ing</w:t>
      </w:r>
      <w:r w:rsidR="00D34118">
        <w:t xml:space="preserve"> to rights.</w:t>
      </w:r>
      <w:r w:rsidR="00D34118">
        <w:rPr>
          <w:rStyle w:val="FootnoteReference"/>
        </w:rPr>
        <w:footnoteReference w:id="117"/>
      </w:r>
      <w:r w:rsidR="00D34118">
        <w:t xml:space="preserve"> </w:t>
      </w:r>
      <w:r w:rsidR="0063274A">
        <w:t>Multidimensional programmatic approaches are necessary if ESR are to operate as claims to a set of social arrangements like institutions, laws and an overall enabling environment to best secure their enjoyment</w:t>
      </w:r>
      <w:r>
        <w:t>.</w:t>
      </w:r>
      <w:r w:rsidR="0063274A">
        <w:rPr>
          <w:rStyle w:val="FootnoteReference"/>
        </w:rPr>
        <w:footnoteReference w:id="118"/>
      </w:r>
      <w:r w:rsidR="0063274A">
        <w:t xml:space="preserve"> </w:t>
      </w:r>
      <w:r w:rsidR="00D34118">
        <w:t>In areas like education, a programmatic approach compels attention to demand factors (like the cost of schooling) and supply factors (the number of schools), direct policy intervention (scholarships to aid school attendance) and indirect policy intervention (adopting macroeconomic policies that reduce poverty).</w:t>
      </w:r>
      <w:r w:rsidR="00D34118">
        <w:rPr>
          <w:rStyle w:val="FootnoteReference"/>
        </w:rPr>
        <w:footnoteReference w:id="119"/>
      </w:r>
      <w:r w:rsidR="00D34118">
        <w:t xml:space="preserve"> </w:t>
      </w:r>
      <w:r w:rsidR="0063274A">
        <w:t>Similarly, we understand that health, schooling and housing status reflect a wide range of non-medical, non-education and non-shelter-related underlying economic factors like levels of development, inflation, structural adjustment programmes and external debt that require wide-ranging policy approaches that condition ESR realisation. Taking ESR seriously as programmatic can comprehensively answer allegations that ESR advocates ‘duck hard decisions’ between competing goods or reject the discipline of working with limited resources.</w:t>
      </w:r>
      <w:r w:rsidR="0063274A">
        <w:rPr>
          <w:rStyle w:val="FootnoteReference"/>
        </w:rPr>
        <w:footnoteReference w:id="120"/>
      </w:r>
      <w:r w:rsidR="0063274A">
        <w:t xml:space="preserve"> </w:t>
      </w:r>
    </w:p>
    <w:p w14:paraId="479F871A" w14:textId="4202FD00" w:rsidR="00106D62" w:rsidRDefault="004176B3" w:rsidP="004561EB">
      <w:pPr>
        <w:jc w:val="both"/>
      </w:pPr>
      <w:r>
        <w:t xml:space="preserve">        </w:t>
      </w:r>
      <w:r w:rsidR="00BF2A29">
        <w:t xml:space="preserve">There is </w:t>
      </w:r>
      <w:r w:rsidR="0063274A">
        <w:t>little</w:t>
      </w:r>
      <w:r w:rsidR="00BF2A29">
        <w:t xml:space="preserve"> revelatory about these ideas. Most advocates of ESR would support the </w:t>
      </w:r>
      <w:r w:rsidR="0063274A">
        <w:t>position</w:t>
      </w:r>
      <w:r w:rsidR="00BF2A29">
        <w:t xml:space="preserve"> that the Covenant is about more than the atomised realisation of individual rights and that ESR should function as a framework for macroeconomic and social </w:t>
      </w:r>
      <w:r w:rsidR="00BF2A29" w:rsidRPr="005278DE">
        <w:t>policy</w:t>
      </w:r>
      <w:r w:rsidR="00BF2A29">
        <w:t>.</w:t>
      </w:r>
      <w:r w:rsidR="00BF2A29">
        <w:rPr>
          <w:rStyle w:val="FootnoteReference"/>
        </w:rPr>
        <w:footnoteReference w:id="121"/>
      </w:r>
      <w:r w:rsidR="00BF2A29">
        <w:t xml:space="preserve"> </w:t>
      </w:r>
      <w:r w:rsidR="007E0717">
        <w:t xml:space="preserve">The question of whether to label </w:t>
      </w:r>
      <w:r w:rsidR="00F2581C">
        <w:t xml:space="preserve">failed </w:t>
      </w:r>
      <w:r w:rsidR="007E0717">
        <w:t xml:space="preserve">good faith attempts to rectify ESR deprivations </w:t>
      </w:r>
      <w:r w:rsidR="00E84926">
        <w:t xml:space="preserve">through these frameworks </w:t>
      </w:r>
      <w:r w:rsidR="007E0717">
        <w:t>as violations is one that troubles some scholars</w:t>
      </w:r>
      <w:r w:rsidR="007E0717">
        <w:rPr>
          <w:rStyle w:val="FootnoteReference"/>
        </w:rPr>
        <w:footnoteReference w:id="122"/>
      </w:r>
      <w:r w:rsidR="007E0717">
        <w:t xml:space="preserve"> and </w:t>
      </w:r>
      <w:r w:rsidR="00C37990">
        <w:t>can</w:t>
      </w:r>
      <w:r w:rsidR="007E0717">
        <w:t>not be addressed</w:t>
      </w:r>
      <w:r w:rsidR="00C37990">
        <w:t xml:space="preserve"> here</w:t>
      </w:r>
      <w:r w:rsidR="007E0717">
        <w:t>. However</w:t>
      </w:r>
      <w:r w:rsidR="000C6727">
        <w:t xml:space="preserve">, programmatic </w:t>
      </w:r>
      <w:r w:rsidR="00113174">
        <w:t>understandings of ESR</w:t>
      </w:r>
      <w:r w:rsidR="000C6727">
        <w:t xml:space="preserve"> </w:t>
      </w:r>
      <w:r w:rsidR="00C37990">
        <w:t xml:space="preserve">still </w:t>
      </w:r>
      <w:r w:rsidR="000C6727">
        <w:t>provide that ‘determinate yardstick’</w:t>
      </w:r>
      <w:r w:rsidR="00F4577D">
        <w:rPr>
          <w:rStyle w:val="FootnoteReference"/>
        </w:rPr>
        <w:footnoteReference w:id="123"/>
      </w:r>
      <w:r w:rsidR="00F4577D">
        <w:t xml:space="preserve"> </w:t>
      </w:r>
      <w:r w:rsidR="002A0D0F">
        <w:t>for</w:t>
      </w:r>
      <w:r w:rsidR="000C6727">
        <w:t xml:space="preserve"> subjecting state policy to critical </w:t>
      </w:r>
      <w:r w:rsidR="00DA2125">
        <w:t>non-judicial accountability</w:t>
      </w:r>
      <w:r w:rsidR="000C6727">
        <w:t>, not only b</w:t>
      </w:r>
      <w:r w:rsidR="006E2B18">
        <w:t>y the</w:t>
      </w:r>
      <w:r w:rsidR="000C6727">
        <w:t xml:space="preserve"> CESCR but also by voters and civil society</w:t>
      </w:r>
      <w:r w:rsidR="00D506FB">
        <w:t>, to say nothing of bureaucratic accountability within ministries and the public sector</w:t>
      </w:r>
      <w:r w:rsidR="000C6727">
        <w:t>.</w:t>
      </w:r>
      <w:r w:rsidR="00F4577D">
        <w:t xml:space="preserve"> </w:t>
      </w:r>
      <w:r w:rsidR="007A1099">
        <w:t>As Forsythe reminds us, a political view of human rights obligations emphasises their role as a matter of formalised public policy, looking beyond legal text and legal reasoning to incorporate a broader range of factors</w:t>
      </w:r>
      <w:r w:rsidR="00FF652A">
        <w:t xml:space="preserve"> relating to how the state is really managed and how services are really provided</w:t>
      </w:r>
      <w:r w:rsidR="007A1099">
        <w:t>.</w:t>
      </w:r>
      <w:r w:rsidR="007A1099">
        <w:rPr>
          <w:rStyle w:val="FootnoteReference"/>
        </w:rPr>
        <w:footnoteReference w:id="124"/>
      </w:r>
      <w:r w:rsidR="00A96BEA">
        <w:t xml:space="preserve"> </w:t>
      </w:r>
      <w:r w:rsidR="0076559D">
        <w:t>Part III</w:t>
      </w:r>
      <w:r w:rsidR="00F2581C">
        <w:t xml:space="preserve"> explores this using three examples.</w:t>
      </w:r>
    </w:p>
    <w:p w14:paraId="5D8B53D5" w14:textId="451BFB94" w:rsidR="009B2086" w:rsidRPr="00D95AD9" w:rsidRDefault="009B2086" w:rsidP="004561EB">
      <w:pPr>
        <w:jc w:val="both"/>
        <w:rPr>
          <w:b/>
          <w:bCs/>
        </w:rPr>
      </w:pPr>
    </w:p>
    <w:p w14:paraId="05385CA7" w14:textId="69D8DD48" w:rsidR="00C268FA" w:rsidRPr="00572A4B" w:rsidRDefault="0076559D" w:rsidP="00736038">
      <w:pPr>
        <w:jc w:val="center"/>
        <w:rPr>
          <w:sz w:val="28"/>
          <w:szCs w:val="28"/>
        </w:rPr>
      </w:pPr>
      <w:r>
        <w:rPr>
          <w:sz w:val="28"/>
          <w:szCs w:val="28"/>
        </w:rPr>
        <w:t>III</w:t>
      </w:r>
      <w:r w:rsidR="005E7A31" w:rsidRPr="00572A4B">
        <w:rPr>
          <w:sz w:val="28"/>
          <w:szCs w:val="28"/>
        </w:rPr>
        <w:t>.</w:t>
      </w:r>
      <w:r w:rsidR="00B76158" w:rsidRPr="00572A4B">
        <w:rPr>
          <w:sz w:val="28"/>
          <w:szCs w:val="28"/>
        </w:rPr>
        <w:t xml:space="preserve"> </w:t>
      </w:r>
      <w:r w:rsidR="006D2830" w:rsidRPr="00572A4B">
        <w:rPr>
          <w:sz w:val="28"/>
          <w:szCs w:val="28"/>
        </w:rPr>
        <w:t>THE ASCENT OF</w:t>
      </w:r>
      <w:r w:rsidR="00736038" w:rsidRPr="00572A4B">
        <w:rPr>
          <w:sz w:val="28"/>
          <w:szCs w:val="28"/>
        </w:rPr>
        <w:t xml:space="preserve"> </w:t>
      </w:r>
      <w:r w:rsidR="00E32FE2" w:rsidRPr="00572A4B">
        <w:rPr>
          <w:sz w:val="28"/>
          <w:szCs w:val="28"/>
        </w:rPr>
        <w:t xml:space="preserve">THE </w:t>
      </w:r>
      <w:r w:rsidR="006D2830" w:rsidRPr="00572A4B">
        <w:rPr>
          <w:sz w:val="28"/>
          <w:szCs w:val="28"/>
        </w:rPr>
        <w:t>PROGRAMMATIC</w:t>
      </w:r>
      <w:r w:rsidR="00736038" w:rsidRPr="00572A4B">
        <w:rPr>
          <w:sz w:val="28"/>
          <w:szCs w:val="28"/>
        </w:rPr>
        <w:t xml:space="preserve"> IN CONTEMPORARY ESR PRACTICE</w:t>
      </w:r>
    </w:p>
    <w:p w14:paraId="6FA29404" w14:textId="4B154E98" w:rsidR="00051A76" w:rsidRDefault="00051A76" w:rsidP="004561EB">
      <w:pPr>
        <w:jc w:val="both"/>
      </w:pPr>
    </w:p>
    <w:p w14:paraId="0A0A1F96" w14:textId="4DD4B515" w:rsidR="00D50DED" w:rsidRDefault="00314CD3" w:rsidP="004561EB">
      <w:pPr>
        <w:jc w:val="both"/>
      </w:pPr>
      <w:r w:rsidRPr="001478A5">
        <w:t>Deprivations of rights, or the failure to progressively realise them, stem not from clear, isolated or time-bound events</w:t>
      </w:r>
      <w:r w:rsidR="00D95AD9">
        <w:t xml:space="preserve"> that </w:t>
      </w:r>
      <w:r w:rsidR="006F5E81">
        <w:t xml:space="preserve">are </w:t>
      </w:r>
      <w:r w:rsidR="00D95AD9">
        <w:t>most readily justiciable</w:t>
      </w:r>
      <w:r w:rsidRPr="001478A5">
        <w:t xml:space="preserve">, but rather from </w:t>
      </w:r>
      <w:r w:rsidR="00102482">
        <w:t>broader</w:t>
      </w:r>
      <w:r w:rsidR="00715454" w:rsidRPr="001478A5">
        <w:t xml:space="preserve"> </w:t>
      </w:r>
      <w:r w:rsidRPr="001478A5">
        <w:t xml:space="preserve">systemic failings </w:t>
      </w:r>
      <w:r w:rsidRPr="001478A5">
        <w:lastRenderedPageBreak/>
        <w:t>of socio-economic policy.</w:t>
      </w:r>
      <w:r w:rsidRPr="001478A5">
        <w:rPr>
          <w:rStyle w:val="FootnoteReference"/>
        </w:rPr>
        <w:footnoteReference w:id="125"/>
      </w:r>
      <w:r w:rsidRPr="001478A5">
        <w:t xml:space="preserve"> </w:t>
      </w:r>
      <w:r w:rsidR="00B00BD9" w:rsidRPr="001478A5">
        <w:t xml:space="preserve">A programmatic approach </w:t>
      </w:r>
      <w:r w:rsidRPr="001478A5">
        <w:t>emphasises</w:t>
      </w:r>
      <w:r w:rsidR="00B00BD9" w:rsidRPr="001478A5">
        <w:t xml:space="preserve"> the </w:t>
      </w:r>
      <w:r w:rsidR="006F5E81">
        <w:t xml:space="preserve">duty of the </w:t>
      </w:r>
      <w:r w:rsidR="00B00BD9" w:rsidRPr="001478A5">
        <w:t>executive</w:t>
      </w:r>
      <w:r w:rsidR="006F5E81">
        <w:t xml:space="preserve">, </w:t>
      </w:r>
      <w:r w:rsidR="00B00BD9" w:rsidRPr="001478A5">
        <w:t xml:space="preserve">legislature </w:t>
      </w:r>
      <w:r w:rsidR="006F5E81">
        <w:t>and state bureaucracy</w:t>
      </w:r>
      <w:r w:rsidRPr="001478A5">
        <w:t xml:space="preserve"> </w:t>
      </w:r>
      <w:r w:rsidR="006F5E81">
        <w:t>to</w:t>
      </w:r>
      <w:r w:rsidR="00B00BD9" w:rsidRPr="001478A5">
        <w:t xml:space="preserve"> </w:t>
      </w:r>
      <w:r w:rsidR="00D95AD9">
        <w:t xml:space="preserve">proactively </w:t>
      </w:r>
      <w:r w:rsidR="00E22109" w:rsidRPr="001478A5">
        <w:t xml:space="preserve">identify problematic situations and </w:t>
      </w:r>
      <w:r w:rsidR="00B00BD9" w:rsidRPr="001478A5">
        <w:t>provid</w:t>
      </w:r>
      <w:r w:rsidR="006F5E81">
        <w:t>e</w:t>
      </w:r>
      <w:r w:rsidR="00B00BD9" w:rsidRPr="001478A5">
        <w:t xml:space="preserve"> social minima though rules-driven </w:t>
      </w:r>
      <w:proofErr w:type="gramStart"/>
      <w:r w:rsidR="00B00BD9" w:rsidRPr="001478A5">
        <w:t>policy-making</w:t>
      </w:r>
      <w:proofErr w:type="gramEnd"/>
      <w:r w:rsidR="00B00BD9" w:rsidRPr="001478A5">
        <w:t>, regulation and macroeconomic arrangements</w:t>
      </w:r>
      <w:r w:rsidR="006F5E81">
        <w:t xml:space="preserve">. </w:t>
      </w:r>
      <w:r w:rsidR="00085FB5" w:rsidRPr="001478A5">
        <w:t xml:space="preserve">Decisions about how to secure appropriate levels of housing, health, </w:t>
      </w:r>
      <w:r w:rsidR="00F25616" w:rsidRPr="001478A5">
        <w:t>shelter etc. go to the heart of the political process, involving negotiation and compromise over costs and trade-offs that courts are institutionally less equipped to engage in</w:t>
      </w:r>
      <w:r w:rsidR="00D95AD9">
        <w:t>,</w:t>
      </w:r>
      <w:r w:rsidR="00E86A53" w:rsidRPr="001478A5">
        <w:rPr>
          <w:rStyle w:val="FootnoteReference"/>
        </w:rPr>
        <w:footnoteReference w:id="126"/>
      </w:r>
      <w:r w:rsidR="00D95AD9">
        <w:t xml:space="preserve"> even if </w:t>
      </w:r>
      <w:r w:rsidR="006F5E81">
        <w:t>the justiciability debate and jurisprudence from across the world clearly demonstrate</w:t>
      </w:r>
      <w:r w:rsidR="00D95AD9">
        <w:t xml:space="preserve"> that such engagement is n</w:t>
      </w:r>
      <w:r w:rsidR="00102482">
        <w:t>either</w:t>
      </w:r>
      <w:r w:rsidR="00D95AD9">
        <w:t xml:space="preserve"> impossible </w:t>
      </w:r>
      <w:r w:rsidR="00102482">
        <w:t>nor</w:t>
      </w:r>
      <w:r w:rsidR="00D95AD9">
        <w:t xml:space="preserve"> illegitimate</w:t>
      </w:r>
      <w:r w:rsidR="005242B4">
        <w:t>.</w:t>
      </w:r>
      <w:r w:rsidR="00D50DED" w:rsidRPr="001478A5">
        <w:rPr>
          <w:rStyle w:val="FootnoteReference"/>
        </w:rPr>
        <w:footnoteReference w:id="127"/>
      </w:r>
      <w:r w:rsidR="00D50DED">
        <w:t xml:space="preserve"> </w:t>
      </w:r>
      <w:r w:rsidR="00BF68F4">
        <w:t xml:space="preserve">Even the most </w:t>
      </w:r>
      <w:r w:rsidR="005242B4">
        <w:t>wide-ranging</w:t>
      </w:r>
      <w:r w:rsidR="00BF68F4">
        <w:t xml:space="preserve"> decision</w:t>
      </w:r>
      <w:r w:rsidR="005242B4">
        <w:t>s</w:t>
      </w:r>
      <w:r w:rsidR="00BF68F4">
        <w:t xml:space="preserve"> of ESR claims on a case-by-case basis produces piecemeal</w:t>
      </w:r>
      <w:r w:rsidR="005242B4">
        <w:t xml:space="preserve"> </w:t>
      </w:r>
      <w:r w:rsidR="00BF68F4">
        <w:t>policy</w:t>
      </w:r>
      <w:r w:rsidR="005242B4">
        <w:t>-making at an ‘interstitial’ (as opposed to macro) level</w:t>
      </w:r>
      <w:r w:rsidR="00BF68F4">
        <w:t>.</w:t>
      </w:r>
      <w:r w:rsidR="005242B4" w:rsidRPr="005242B4">
        <w:rPr>
          <w:rStyle w:val="FootnoteReference"/>
        </w:rPr>
        <w:t xml:space="preserve"> </w:t>
      </w:r>
      <w:r w:rsidR="005242B4" w:rsidRPr="001478A5">
        <w:rPr>
          <w:rStyle w:val="FootnoteReference"/>
        </w:rPr>
        <w:footnoteReference w:id="128"/>
      </w:r>
      <w:r w:rsidR="005242B4">
        <w:t xml:space="preserve"> </w:t>
      </w:r>
      <w:r w:rsidR="00BF68F4">
        <w:t xml:space="preserve"> </w:t>
      </w:r>
      <w:r w:rsidR="00D50DED">
        <w:t>It should come as no surprise that some human rights actors focus more on the u</w:t>
      </w:r>
      <w:r w:rsidR="00F62670">
        <w:t xml:space="preserve">pstream planning stage of ESR policy-making (defining the scope of provision, allocating resources for its realisation and establishing structural mechanisms for monitoring and enforcement) </w:t>
      </w:r>
      <w:r w:rsidR="00D50DED">
        <w:t>than on</w:t>
      </w:r>
      <w:r w:rsidR="00F62670">
        <w:t xml:space="preserve"> downstream rectification in </w:t>
      </w:r>
      <w:r w:rsidR="00311B66">
        <w:t xml:space="preserve">inevitably ‘compartmentalised’ and ‘reactive’ decisions by </w:t>
      </w:r>
      <w:r w:rsidR="00F62670">
        <w:t>the courts</w:t>
      </w:r>
      <w:r w:rsidR="00311B66">
        <w:t xml:space="preserve"> that </w:t>
      </w:r>
      <w:r w:rsidR="005242B4">
        <w:t xml:space="preserve">can </w:t>
      </w:r>
      <w:r w:rsidR="00311B66">
        <w:t xml:space="preserve">remain </w:t>
      </w:r>
      <w:r w:rsidR="00372CDE">
        <w:t>distanced</w:t>
      </w:r>
      <w:r w:rsidR="00311B66">
        <w:t xml:space="preserve"> from broader questions of justice</w:t>
      </w:r>
      <w:r w:rsidR="00F62670">
        <w:t>.</w:t>
      </w:r>
      <w:r w:rsidR="00D50DED">
        <w:rPr>
          <w:rStyle w:val="FootnoteReference"/>
        </w:rPr>
        <w:footnoteReference w:id="129"/>
      </w:r>
    </w:p>
    <w:p w14:paraId="528498B3" w14:textId="7EF8BDF2" w:rsidR="00F62670" w:rsidRDefault="00736038" w:rsidP="004561EB">
      <w:pPr>
        <w:jc w:val="both"/>
      </w:pPr>
      <w:r>
        <w:t xml:space="preserve">        </w:t>
      </w:r>
      <w:r w:rsidR="002F21F2">
        <w:t xml:space="preserve">This emphasis on the programmatic over the judicial is manifest in </w:t>
      </w:r>
      <w:r w:rsidR="00D95AD9">
        <w:t>three</w:t>
      </w:r>
      <w:r w:rsidR="002F21F2">
        <w:t xml:space="preserve"> distinct areas of </w:t>
      </w:r>
      <w:r w:rsidR="00A90E01">
        <w:t xml:space="preserve">human rights-based </w:t>
      </w:r>
      <w:r w:rsidR="002F21F2">
        <w:t>practice</w:t>
      </w:r>
      <w:r w:rsidR="00F311D1">
        <w:t xml:space="preserve"> </w:t>
      </w:r>
      <w:r w:rsidR="00AB09E0">
        <w:t>explored</w:t>
      </w:r>
      <w:r w:rsidR="00F311D1">
        <w:t xml:space="preserve"> in the remainder of this article – national human rights action plans, human rights-based approaches to development</w:t>
      </w:r>
      <w:r w:rsidR="00BF68F4">
        <w:t xml:space="preserve">, </w:t>
      </w:r>
      <w:r w:rsidR="00F311D1">
        <w:t xml:space="preserve">and civil society mobilisation. </w:t>
      </w:r>
      <w:r w:rsidR="00D9228A">
        <w:t>Th</w:t>
      </w:r>
      <w:r w:rsidR="003851A5">
        <w:t>ese examples</w:t>
      </w:r>
      <w:r w:rsidR="00D9228A">
        <w:t xml:space="preserve"> </w:t>
      </w:r>
      <w:r w:rsidR="003851A5">
        <w:t>are</w:t>
      </w:r>
      <w:r w:rsidR="00D9228A">
        <w:t xml:space="preserve"> not exhaustive.</w:t>
      </w:r>
      <w:r w:rsidR="003851A5">
        <w:t xml:space="preserve"> One could point to the work of </w:t>
      </w:r>
      <w:r w:rsidR="00512B0A">
        <w:t>the Committee on Economic, Social and Cultura</w:t>
      </w:r>
      <w:r w:rsidR="0083263A">
        <w:t>l</w:t>
      </w:r>
      <w:r w:rsidR="00512B0A">
        <w:t xml:space="preserve"> Rights</w:t>
      </w:r>
      <w:r w:rsidR="0083263A">
        <w:t xml:space="preserve">. State reports are primarily </w:t>
      </w:r>
      <w:r w:rsidR="000A5EA0">
        <w:t xml:space="preserve">submitted </w:t>
      </w:r>
      <w:r w:rsidR="0083263A">
        <w:t>in terms of the improvement of existing conditions by executive, legislative and administrative means. The Committee</w:t>
      </w:r>
      <w:r w:rsidR="003851A5">
        <w:t xml:space="preserve">, </w:t>
      </w:r>
      <w:r w:rsidR="0083263A">
        <w:t>in response,</w:t>
      </w:r>
      <w:r w:rsidR="003851A5">
        <w:t xml:space="preserve"> increasingly employs the core obligations doctrine to </w:t>
      </w:r>
      <w:r w:rsidR="00AB09E0">
        <w:t>elaborate</w:t>
      </w:r>
      <w:r w:rsidR="003851A5">
        <w:t xml:space="preserve"> steps </w:t>
      </w:r>
      <w:r w:rsidR="00AB09E0">
        <w:t xml:space="preserve">necessary to operationalise </w:t>
      </w:r>
      <w:r w:rsidR="003851A5">
        <w:t xml:space="preserve">rights, </w:t>
      </w:r>
      <w:r w:rsidR="00AB09E0">
        <w:t>consciously</w:t>
      </w:r>
      <w:r w:rsidR="003851A5">
        <w:t xml:space="preserve"> circumvent</w:t>
      </w:r>
      <w:r w:rsidR="00AB09E0">
        <w:t>ing</w:t>
      </w:r>
      <w:r w:rsidR="003851A5">
        <w:t xml:space="preserve"> </w:t>
      </w:r>
      <w:r w:rsidR="00AB09E0">
        <w:t>‘</w:t>
      </w:r>
      <w:r w:rsidR="003851A5">
        <w:t>the difficult questions of</w:t>
      </w:r>
      <w:r w:rsidR="00BF68F4">
        <w:t xml:space="preserve"> </w:t>
      </w:r>
      <w:r w:rsidR="00746BDA">
        <w:t xml:space="preserve">the </w:t>
      </w:r>
      <w:r w:rsidR="00850EE0">
        <w:t>outcome-</w:t>
      </w:r>
      <w:r w:rsidR="003851A5">
        <w:t>oriented content of legal entitlement.’</w:t>
      </w:r>
      <w:r w:rsidR="003851A5">
        <w:rPr>
          <w:rStyle w:val="FootnoteReference"/>
        </w:rPr>
        <w:footnoteReference w:id="130"/>
      </w:r>
      <w:r w:rsidR="003851A5">
        <w:t xml:space="preserve"> </w:t>
      </w:r>
      <w:r w:rsidR="00850EE0">
        <w:t>While rights-based economic analysis ‘does not eliminate’ the role of the judiciary, its primary aim is to influence the executive’s mixture and sequencing of policies.</w:t>
      </w:r>
      <w:r w:rsidR="00850EE0">
        <w:rPr>
          <w:rStyle w:val="FootnoteReference"/>
        </w:rPr>
        <w:footnoteReference w:id="131"/>
      </w:r>
      <w:r w:rsidR="00F64E72">
        <w:t xml:space="preserve"> </w:t>
      </w:r>
      <w:r w:rsidR="00F64E72" w:rsidRPr="00512B0A">
        <w:t xml:space="preserve">Likewise, the increasingly prevalent practice of ESR-related budget analysis prioritises ‘governance, law, policy and practice’ over </w:t>
      </w:r>
      <w:proofErr w:type="spellStart"/>
      <w:r w:rsidR="00F64E72" w:rsidRPr="00512B0A">
        <w:t>judicialisation</w:t>
      </w:r>
      <w:proofErr w:type="spellEnd"/>
      <w:r w:rsidR="00F64E72" w:rsidRPr="00512B0A">
        <w:t>, and targets politicians, administrators and civil society as the most influential actors.</w:t>
      </w:r>
      <w:r w:rsidR="00F64E72" w:rsidRPr="00512B0A">
        <w:rPr>
          <w:rStyle w:val="FootnoteReference"/>
        </w:rPr>
        <w:footnoteReference w:id="132"/>
      </w:r>
      <w:r w:rsidR="00F64E72" w:rsidRPr="00512B0A">
        <w:t xml:space="preserve"> </w:t>
      </w:r>
      <w:r w:rsidR="00F311D1" w:rsidRPr="00512B0A">
        <w:t xml:space="preserve">None of these approaches deny the justiciability of ESR, but all are framed by a conscious marginalisation of the judicial as </w:t>
      </w:r>
      <w:r w:rsidR="00033D37" w:rsidRPr="00512B0A">
        <w:t xml:space="preserve">relatively </w:t>
      </w:r>
      <w:r w:rsidR="00F311D1" w:rsidRPr="00512B0A">
        <w:t>peripheral to</w:t>
      </w:r>
      <w:r w:rsidR="00E86A53" w:rsidRPr="00512B0A">
        <w:t xml:space="preserve"> making </w:t>
      </w:r>
      <w:r w:rsidR="00BF68F4" w:rsidRPr="00512B0A">
        <w:t>the rights</w:t>
      </w:r>
      <w:r w:rsidR="00E86A53" w:rsidRPr="00512B0A">
        <w:t xml:space="preserve"> practically operational</w:t>
      </w:r>
      <w:r w:rsidR="00AB09E0">
        <w:t>.</w:t>
      </w:r>
    </w:p>
    <w:p w14:paraId="0B444E79" w14:textId="568334DF" w:rsidR="00311B66" w:rsidRDefault="00311B66" w:rsidP="004561EB">
      <w:pPr>
        <w:jc w:val="both"/>
      </w:pPr>
    </w:p>
    <w:p w14:paraId="158E4775" w14:textId="12DBC240" w:rsidR="00A425DF" w:rsidRPr="00DB5F8B" w:rsidRDefault="00A425DF" w:rsidP="00D95AD9">
      <w:pPr>
        <w:jc w:val="center"/>
      </w:pPr>
      <w:r w:rsidRPr="00DB5F8B">
        <w:t>A. National Human Rights Action Plans</w:t>
      </w:r>
    </w:p>
    <w:p w14:paraId="6B94FFE0" w14:textId="77777777" w:rsidR="00A425DF" w:rsidRPr="002D7B83" w:rsidRDefault="00A425DF" w:rsidP="002D7B83">
      <w:pPr>
        <w:jc w:val="both"/>
      </w:pPr>
    </w:p>
    <w:p w14:paraId="086DBD3F" w14:textId="5DA37C67" w:rsidR="0088646F" w:rsidRDefault="00A02103" w:rsidP="002D7B83">
      <w:pPr>
        <w:jc w:val="both"/>
      </w:pPr>
      <w:r w:rsidRPr="002D7B83">
        <w:t>Perhaps the most obviously programmatic approach to ESR realisation is found in the area of national human rights action plans (hereinafter NHRAPs), which are national strategies to identify and undertake appropriate measures for realising certain or all provisions contained in the</w:t>
      </w:r>
      <w:r w:rsidR="009D6521">
        <w:t xml:space="preserve"> various</w:t>
      </w:r>
      <w:r w:rsidRPr="002D7B83">
        <w:t xml:space="preserve"> international human rights instruments.</w:t>
      </w:r>
      <w:r w:rsidR="005A1B80" w:rsidRPr="002D7B83">
        <w:t xml:space="preserve"> While the Vienna Declaration and Programme of Action (1993) notably recommended that each state develop a NHRAP for </w:t>
      </w:r>
      <w:r w:rsidR="005A1B80" w:rsidRPr="002D7B83">
        <w:lastRenderedPageBreak/>
        <w:t xml:space="preserve">implementing human rights in general, Chalabi </w:t>
      </w:r>
      <w:r w:rsidR="00512B0A">
        <w:t xml:space="preserve">convincingly </w:t>
      </w:r>
      <w:r w:rsidR="005A1B80" w:rsidRPr="002D7B83">
        <w:t>argues that the earliest inspiration for them comes from Article 14 ICESCR’s aforementioned call for ‘a detailed plan of action for the progressive implementation, within a reasonable number of years, to be fixed in the plan, of the principles of compulsory education free of charge for all’ in states that heretofore have not secured this.</w:t>
      </w:r>
      <w:r w:rsidR="005A1B80" w:rsidRPr="002D7B83">
        <w:rPr>
          <w:rStyle w:val="FootnoteReference"/>
        </w:rPr>
        <w:footnoteReference w:id="133"/>
      </w:r>
      <w:r w:rsidR="005A1B80" w:rsidRPr="002D7B83">
        <w:t xml:space="preserve"> </w:t>
      </w:r>
      <w:r w:rsidR="001B4145">
        <w:t>This obligation has been deemed by the CESCR to be implicit in all other articles of the Covenant.</w:t>
      </w:r>
      <w:r w:rsidR="001B4145">
        <w:rPr>
          <w:rStyle w:val="FootnoteReference"/>
        </w:rPr>
        <w:footnoteReference w:id="134"/>
      </w:r>
      <w:r w:rsidR="001B4145">
        <w:t xml:space="preserve"> </w:t>
      </w:r>
      <w:r w:rsidR="005A1B80" w:rsidRPr="002D7B83">
        <w:t xml:space="preserve">Indeed, </w:t>
      </w:r>
      <w:r w:rsidR="009D6521">
        <w:t xml:space="preserve">in accordance with the argument outlined in </w:t>
      </w:r>
      <w:r w:rsidR="0076559D">
        <w:t>Part II</w:t>
      </w:r>
      <w:r w:rsidR="009D6521">
        <w:t xml:space="preserve">, </w:t>
      </w:r>
      <w:r w:rsidR="005A1B80" w:rsidRPr="002D7B83">
        <w:t>NHRAPs are argued to be ‘</w:t>
      </w:r>
      <w:r w:rsidRPr="002D7B83">
        <w:t>particularly relevant</w:t>
      </w:r>
      <w:r w:rsidR="005A1B80" w:rsidRPr="002D7B83">
        <w:t>’ to</w:t>
      </w:r>
      <w:r w:rsidRPr="002D7B83">
        <w:t xml:space="preserve"> </w:t>
      </w:r>
      <w:r w:rsidR="005A1B80" w:rsidRPr="002D7B83">
        <w:t>ICESCR rights given the</w:t>
      </w:r>
      <w:r w:rsidRPr="002D7B83">
        <w:t xml:space="preserve"> obligation to achieve </w:t>
      </w:r>
      <w:r w:rsidR="005A1B80" w:rsidRPr="002D7B83">
        <w:t xml:space="preserve">them </w:t>
      </w:r>
      <w:r w:rsidRPr="002D7B83">
        <w:t>progressively</w:t>
      </w:r>
      <w:r w:rsidR="005A1B80" w:rsidRPr="002D7B83">
        <w:t xml:space="preserve"> and their link to </w:t>
      </w:r>
      <w:r w:rsidR="007B7F66">
        <w:t xml:space="preserve">the everyday governmental </w:t>
      </w:r>
      <w:r w:rsidR="007B7F66" w:rsidRPr="00D42B21">
        <w:t>domain</w:t>
      </w:r>
      <w:r w:rsidR="007B7F66">
        <w:t>s</w:t>
      </w:r>
      <w:r w:rsidR="007B7F66" w:rsidRPr="00D42B21">
        <w:t xml:space="preserve"> of development, social protection</w:t>
      </w:r>
      <w:r w:rsidR="007B7F66">
        <w:t xml:space="preserve"> and</w:t>
      </w:r>
      <w:r w:rsidR="007B7F66" w:rsidRPr="00D42B21">
        <w:t xml:space="preserve"> service delivery</w:t>
      </w:r>
      <w:r w:rsidR="005A1B80" w:rsidRPr="002D7B83">
        <w:t>.</w:t>
      </w:r>
      <w:r w:rsidR="005A1B80" w:rsidRPr="002D7B83">
        <w:rPr>
          <w:rStyle w:val="FootnoteReference"/>
        </w:rPr>
        <w:footnoteReference w:id="135"/>
      </w:r>
      <w:r w:rsidR="005A1B80" w:rsidRPr="002D7B83">
        <w:t xml:space="preserve"> </w:t>
      </w:r>
      <w:r w:rsidR="003E2C1E">
        <w:t xml:space="preserve">Because NHRAPs articulate standards to improve the availability, accessibility, acceptability and adaptability of goods and services relevant to the Covenant, </w:t>
      </w:r>
      <w:r w:rsidR="007B7F66" w:rsidRPr="002D7B83">
        <w:t xml:space="preserve">General Comments have </w:t>
      </w:r>
      <w:r w:rsidR="007B7F66" w:rsidRPr="0044351F">
        <w:t>characteri</w:t>
      </w:r>
      <w:r w:rsidR="007B7F66" w:rsidRPr="002D7B83">
        <w:t>s</w:t>
      </w:r>
      <w:r w:rsidR="007B7F66" w:rsidRPr="0044351F">
        <w:t xml:space="preserve">ed the need to adopt </w:t>
      </w:r>
      <w:r w:rsidR="00512B0A">
        <w:t>them as</w:t>
      </w:r>
      <w:r w:rsidR="007B7F66" w:rsidRPr="0044351F">
        <w:t xml:space="preserve"> non</w:t>
      </w:r>
      <w:r w:rsidR="007B7F66">
        <w:t>-</w:t>
      </w:r>
      <w:proofErr w:type="spellStart"/>
      <w:r w:rsidR="007B7F66" w:rsidRPr="0044351F">
        <w:t>derogable</w:t>
      </w:r>
      <w:proofErr w:type="spellEnd"/>
      <w:r w:rsidR="007B7F66" w:rsidRPr="0044351F">
        <w:t xml:space="preserve"> minimum core obligations</w:t>
      </w:r>
      <w:r w:rsidR="003E2C1E">
        <w:t>.</w:t>
      </w:r>
      <w:r w:rsidR="007B7F66" w:rsidRPr="002D7B83">
        <w:rPr>
          <w:rStyle w:val="FootnoteReference"/>
        </w:rPr>
        <w:footnoteReference w:id="136"/>
      </w:r>
      <w:r w:rsidR="007B7F66" w:rsidRPr="002D7B83">
        <w:t xml:space="preserve"> </w:t>
      </w:r>
      <w:r w:rsidR="00502C7F" w:rsidRPr="002D7B83">
        <w:t>While NHRAPs can be ‘global’ (incorporating many rights) or specific, t</w:t>
      </w:r>
      <w:r w:rsidRPr="002D7B83">
        <w:t>he C</w:t>
      </w:r>
      <w:r w:rsidR="00512B0A">
        <w:t>ommittee</w:t>
      </w:r>
      <w:r w:rsidRPr="002D7B83">
        <w:t xml:space="preserve"> consistently urges states to develop plans of action for individual </w:t>
      </w:r>
      <w:r w:rsidR="007B7F66">
        <w:t xml:space="preserve">socio-economic </w:t>
      </w:r>
      <w:r w:rsidRPr="002D7B83">
        <w:t>rights</w:t>
      </w:r>
      <w:r w:rsidR="007B7F66">
        <w:t xml:space="preserve"> or issues related thereto</w:t>
      </w:r>
      <w:r w:rsidRPr="002D7B83">
        <w:t xml:space="preserve">. </w:t>
      </w:r>
      <w:r w:rsidR="0044351F" w:rsidRPr="002D7B83">
        <w:t xml:space="preserve">For example, </w:t>
      </w:r>
      <w:r w:rsidR="0088646F">
        <w:t xml:space="preserve">in </w:t>
      </w:r>
      <w:r w:rsidR="00754AED">
        <w:t>March/</w:t>
      </w:r>
      <w:r w:rsidR="0088646F">
        <w:t>April 2020’s 67</w:t>
      </w:r>
      <w:r w:rsidR="0088646F" w:rsidRPr="0088646F">
        <w:rPr>
          <w:vertAlign w:val="superscript"/>
        </w:rPr>
        <w:t>th</w:t>
      </w:r>
      <w:r w:rsidR="0088646F">
        <w:t xml:space="preserve"> Session, the Committee</w:t>
      </w:r>
      <w:r w:rsidR="00754AED">
        <w:t>’s</w:t>
      </w:r>
      <w:r w:rsidR="0088646F">
        <w:t xml:space="preserve"> Concluding Observations</w:t>
      </w:r>
    </w:p>
    <w:p w14:paraId="4AD7A8F9" w14:textId="77777777" w:rsidR="002660AF" w:rsidRPr="00754AED" w:rsidRDefault="002660AF" w:rsidP="002D7B83">
      <w:pPr>
        <w:jc w:val="both"/>
      </w:pPr>
    </w:p>
    <w:p w14:paraId="0FD5675A" w14:textId="11B6874C" w:rsidR="0088646F" w:rsidRPr="00754AED" w:rsidRDefault="0088646F" w:rsidP="0088646F">
      <w:pPr>
        <w:pStyle w:val="ListParagraph"/>
        <w:numPr>
          <w:ilvl w:val="0"/>
          <w:numId w:val="7"/>
        </w:numPr>
      </w:pPr>
      <w:r w:rsidRPr="00754AED">
        <w:t>called upon Ukraine to adopt a new comprehensive national strategy and action plan for the integration of internally displaced persons and their access to ESR</w:t>
      </w:r>
      <w:r w:rsidRPr="00754AED">
        <w:rPr>
          <w:rStyle w:val="FootnoteReference"/>
        </w:rPr>
        <w:footnoteReference w:id="137"/>
      </w:r>
    </w:p>
    <w:p w14:paraId="0642D509" w14:textId="33B8354D" w:rsidR="0088646F" w:rsidRPr="00754AED" w:rsidRDefault="0088646F" w:rsidP="0088646F">
      <w:pPr>
        <w:pStyle w:val="ListParagraph"/>
        <w:numPr>
          <w:ilvl w:val="0"/>
          <w:numId w:val="7"/>
        </w:numPr>
      </w:pPr>
      <w:r w:rsidRPr="00754AED">
        <w:t xml:space="preserve">called upon Guinea to </w:t>
      </w:r>
      <w:r w:rsidR="00754AED" w:rsidRPr="00754AED">
        <w:t xml:space="preserve">foster the right to work by </w:t>
      </w:r>
      <w:r w:rsidRPr="00754AED">
        <w:t>adopt</w:t>
      </w:r>
      <w:r w:rsidR="007B7F66">
        <w:t>ing</w:t>
      </w:r>
      <w:r w:rsidRPr="00754AED">
        <w:t xml:space="preserve"> action plans </w:t>
      </w:r>
      <w:r w:rsidR="00754AED" w:rsidRPr="00754AED">
        <w:t>‘</w:t>
      </w:r>
      <w:r w:rsidRPr="00754AED">
        <w:t>that include specific objectives and identify the financial and technical resources required for their implementation</w:t>
      </w:r>
      <w:r w:rsidR="00754AED" w:rsidRPr="00754AED">
        <w:t>’</w:t>
      </w:r>
      <w:r w:rsidR="00754AED" w:rsidRPr="00754AED">
        <w:rPr>
          <w:rStyle w:val="FootnoteReference"/>
        </w:rPr>
        <w:footnoteReference w:id="138"/>
      </w:r>
    </w:p>
    <w:p w14:paraId="5D1D7B54" w14:textId="4E7A4614" w:rsidR="0088646F" w:rsidRDefault="0088646F" w:rsidP="00754AED">
      <w:pPr>
        <w:pStyle w:val="ListParagraph"/>
        <w:numPr>
          <w:ilvl w:val="0"/>
          <w:numId w:val="7"/>
        </w:numPr>
      </w:pPr>
      <w:r w:rsidRPr="00754AED">
        <w:t xml:space="preserve">welcomed the adoption by both Belgium and Norway </w:t>
      </w:r>
      <w:r w:rsidR="007B7F66">
        <w:t xml:space="preserve">of </w:t>
      </w:r>
      <w:r w:rsidRPr="00754AED">
        <w:t>national action plans for the implementation of the Guiding Principles on Business and Human Rights</w:t>
      </w:r>
      <w:r w:rsidRPr="00754AED">
        <w:rPr>
          <w:rStyle w:val="FootnoteReference"/>
        </w:rPr>
        <w:footnoteReference w:id="139"/>
      </w:r>
    </w:p>
    <w:p w14:paraId="43DF3D24" w14:textId="77777777" w:rsidR="002660AF" w:rsidRPr="00754AED" w:rsidRDefault="002660AF" w:rsidP="002660AF">
      <w:pPr>
        <w:pStyle w:val="ListParagraph"/>
      </w:pPr>
    </w:p>
    <w:p w14:paraId="6C2D3B5B" w14:textId="69782A93" w:rsidR="0044351F" w:rsidRPr="002D7B83" w:rsidRDefault="00D372CB" w:rsidP="0088646F">
      <w:pPr>
        <w:jc w:val="both"/>
      </w:pPr>
      <w:r>
        <w:t>The Committee seldom suggests specific policy content</w:t>
      </w:r>
      <w:r w:rsidR="00CE2F39">
        <w:t xml:space="preserve"> of NHRAPs</w:t>
      </w:r>
      <w:r w:rsidR="0049011F">
        <w:t xml:space="preserve">, which </w:t>
      </w:r>
      <w:r>
        <w:t>are usually left to the discretion of the state party</w:t>
      </w:r>
      <w:r w:rsidR="00CE2F39">
        <w:t>, reflecting Article 2(1)’s inherent context-specificity and gradualness</w:t>
      </w:r>
      <w:r>
        <w:t>.</w:t>
      </w:r>
      <w:r w:rsidR="009F7DE7">
        <w:t xml:space="preserve"> However, target-setting, time frames, establishment of institutional responsibility and identification of resources available are usually recommended.</w:t>
      </w:r>
      <w:r>
        <w:t xml:space="preserve"> </w:t>
      </w:r>
    </w:p>
    <w:p w14:paraId="72EB47D6" w14:textId="7E0F959A" w:rsidR="0060104C" w:rsidRPr="002D7B83" w:rsidRDefault="00736038" w:rsidP="002D7B83">
      <w:pPr>
        <w:jc w:val="both"/>
      </w:pPr>
      <w:r>
        <w:t xml:space="preserve">        </w:t>
      </w:r>
      <w:r w:rsidR="00502C7F" w:rsidRPr="002D7B83">
        <w:t xml:space="preserve">NHRAPs are distinctly programmatic in the sense defined earlier in this article. They are inherently action-oriented, top-down policy planning tools for states to translate legal commitments into robust </w:t>
      </w:r>
      <w:r w:rsidR="009D6521">
        <w:t xml:space="preserve">legislative and non-legislative </w:t>
      </w:r>
      <w:r w:rsidR="007B7F66">
        <w:t>operationalisation</w:t>
      </w:r>
      <w:r w:rsidR="00502C7F" w:rsidRPr="002D7B83">
        <w:t xml:space="preserve"> activities</w:t>
      </w:r>
      <w:r w:rsidR="004852C5" w:rsidRPr="002D7B83">
        <w:t>. Far from outlining the ‘vague promises’ associated with aspirational rights, the Office of the High Commission for Human Rights argues NHRAPs must (</w:t>
      </w:r>
      <w:proofErr w:type="spellStart"/>
      <w:r w:rsidR="004852C5" w:rsidRPr="002D7B83">
        <w:t>i</w:t>
      </w:r>
      <w:proofErr w:type="spellEnd"/>
      <w:r w:rsidR="004852C5" w:rsidRPr="002D7B83">
        <w:t xml:space="preserve">) indicate clearly the current level of rights achievement, (ii) </w:t>
      </w:r>
      <w:r w:rsidR="007B7F66">
        <w:t>i</w:t>
      </w:r>
      <w:r w:rsidR="004852C5" w:rsidRPr="002D7B83">
        <w:t>dentify what problems need to be overcome, (iii) specify what action will be taken via benchmarks for evaluation of progress, (iv) specify agents obligated to take that action, (v) establish a firm time frame in which action will be taken and (vi) effectively monitor and evaluate what has been done.</w:t>
      </w:r>
      <w:r w:rsidR="004852C5" w:rsidRPr="002D7B83">
        <w:rPr>
          <w:rStyle w:val="FootnoteReference"/>
        </w:rPr>
        <w:footnoteReference w:id="140"/>
      </w:r>
      <w:r w:rsidR="00502C7F" w:rsidRPr="002D7B83">
        <w:t xml:space="preserve"> </w:t>
      </w:r>
      <w:r w:rsidR="0060104C" w:rsidRPr="002D7B83">
        <w:t>NHRAPs are an acknowledgement of a number of principles</w:t>
      </w:r>
      <w:r w:rsidR="007B7F66">
        <w:t xml:space="preserve"> outlined in </w:t>
      </w:r>
      <w:r w:rsidR="0076559D">
        <w:t>Part II</w:t>
      </w:r>
      <w:r w:rsidR="0060104C" w:rsidRPr="002D7B83">
        <w:t xml:space="preserve"> that should underpin any putative programmatic turn in ESR</w:t>
      </w:r>
      <w:r w:rsidR="007B7F66">
        <w:t>;</w:t>
      </w:r>
      <w:r w:rsidR="0060104C" w:rsidRPr="002D7B83">
        <w:t xml:space="preserve"> that genuine improvements require resources and forms of long-term effort that are conditional on institutional strengthening, that planning for ESR must begin with comprehensive needs analysis and end with incremental programme proposals, and that ESR realisation must </w:t>
      </w:r>
      <w:r w:rsidR="0060104C" w:rsidRPr="002D7B83">
        <w:lastRenderedPageBreak/>
        <w:t>converge with modern governance principles.</w:t>
      </w:r>
      <w:r w:rsidR="0060104C" w:rsidRPr="002D7B83">
        <w:rPr>
          <w:rStyle w:val="FootnoteReference"/>
        </w:rPr>
        <w:footnoteReference w:id="141"/>
      </w:r>
      <w:r w:rsidR="005E1801">
        <w:t xml:space="preserve"> </w:t>
      </w:r>
      <w:r w:rsidR="00E16E28">
        <w:t>The most effective NHRAPs identify the available resources, adjust plans in light of circumstances, adopt effective performance indicators and lay foundations for successor plans.</w:t>
      </w:r>
      <w:r w:rsidR="00E16E28">
        <w:rPr>
          <w:rStyle w:val="FootnoteReference"/>
        </w:rPr>
        <w:footnoteReference w:id="142"/>
      </w:r>
    </w:p>
    <w:p w14:paraId="2DF3F9BF" w14:textId="3CF52BEC" w:rsidR="00AF471A" w:rsidRPr="002D7B83" w:rsidRDefault="00736038" w:rsidP="002D7B83">
      <w:pPr>
        <w:jc w:val="both"/>
      </w:pPr>
      <w:r>
        <w:t xml:space="preserve">        </w:t>
      </w:r>
      <w:r w:rsidR="0060104C" w:rsidRPr="002D7B83">
        <w:t xml:space="preserve">What is striking about NHRAPs is how irrelevant </w:t>
      </w:r>
      <w:r w:rsidR="00E16E28">
        <w:t xml:space="preserve">questions of </w:t>
      </w:r>
      <w:r w:rsidR="0060104C" w:rsidRPr="002D7B83">
        <w:t xml:space="preserve">justiciability </w:t>
      </w:r>
      <w:r w:rsidR="00E16E28">
        <w:t>are</w:t>
      </w:r>
      <w:r w:rsidR="0060104C" w:rsidRPr="002D7B83">
        <w:t xml:space="preserve">. The OHCHR </w:t>
      </w:r>
      <w:r w:rsidR="005E1801">
        <w:t>is</w:t>
      </w:r>
      <w:r w:rsidR="005E1801" w:rsidRPr="002D7B83">
        <w:t xml:space="preserve"> </w:t>
      </w:r>
      <w:r w:rsidR="0060104C" w:rsidRPr="002D7B83">
        <w:t xml:space="preserve">explicit in recommending </w:t>
      </w:r>
      <w:r w:rsidR="009D6521">
        <w:t>NHRAPs</w:t>
      </w:r>
      <w:r w:rsidR="0060104C" w:rsidRPr="002D7B83">
        <w:t xml:space="preserve"> as a response to the limitations</w:t>
      </w:r>
      <w:r w:rsidR="00001867" w:rsidRPr="002D7B83">
        <w:t xml:space="preserve"> of denunciations, identification of wrongdoers and exhortation</w:t>
      </w:r>
      <w:r w:rsidR="003241AC" w:rsidRPr="002D7B83">
        <w:t>,</w:t>
      </w:r>
      <w:r w:rsidR="003241AC" w:rsidRPr="002D7B83">
        <w:rPr>
          <w:rStyle w:val="FootnoteReference"/>
        </w:rPr>
        <w:footnoteReference w:id="143"/>
      </w:r>
      <w:r w:rsidR="003241AC" w:rsidRPr="002D7B83">
        <w:t xml:space="preserve">  instead adopting a deliberately ‘non-confrontational’ approach</w:t>
      </w:r>
      <w:r w:rsidR="00001867" w:rsidRPr="002D7B83">
        <w:t xml:space="preserve"> </w:t>
      </w:r>
      <w:r w:rsidR="003241AC" w:rsidRPr="002D7B83">
        <w:t>in contradistinction to litigation-based strategies.</w:t>
      </w:r>
      <w:r w:rsidR="003241AC" w:rsidRPr="002D7B83">
        <w:rPr>
          <w:rStyle w:val="FootnoteReference"/>
        </w:rPr>
        <w:footnoteReference w:id="144"/>
      </w:r>
      <w:r w:rsidR="003241AC" w:rsidRPr="002D7B83">
        <w:t xml:space="preserve"> </w:t>
      </w:r>
      <w:r w:rsidR="00001867" w:rsidRPr="002D7B83">
        <w:t>NHRAPs are ‘based on the view that lasting improvements in human rights ultimately depend on the government and people of a particular country deciding to take concrete action to bring about positive change’ th</w:t>
      </w:r>
      <w:r w:rsidR="0044351F" w:rsidRPr="002D7B83">
        <w:t>r</w:t>
      </w:r>
      <w:r w:rsidR="00001867" w:rsidRPr="002D7B83">
        <w:t>ough programmes that engage all relevant sectors of government.</w:t>
      </w:r>
      <w:r w:rsidR="00001867" w:rsidRPr="002D7B83">
        <w:rPr>
          <w:rStyle w:val="FootnoteReference"/>
        </w:rPr>
        <w:t xml:space="preserve"> </w:t>
      </w:r>
      <w:r w:rsidR="00001867" w:rsidRPr="002D7B83">
        <w:rPr>
          <w:rStyle w:val="FootnoteReference"/>
        </w:rPr>
        <w:footnoteReference w:id="145"/>
      </w:r>
      <w:r w:rsidR="00001867" w:rsidRPr="002D7B83">
        <w:t xml:space="preserve"> It is striking that the Office’s </w:t>
      </w:r>
      <w:r w:rsidR="00001867" w:rsidRPr="002D7B83">
        <w:rPr>
          <w:i/>
          <w:iCs/>
        </w:rPr>
        <w:t>Handbook</w:t>
      </w:r>
      <w:r w:rsidR="00001867" w:rsidRPr="002D7B83">
        <w:t xml:space="preserve"> on NHRAPs is explicitly targeted at ministerial officials, parliamentarians, bureaucrats, donors and civil society, but not judges.</w:t>
      </w:r>
      <w:r w:rsidR="00001867" w:rsidRPr="002D7B83">
        <w:rPr>
          <w:rStyle w:val="FootnoteReference"/>
        </w:rPr>
        <w:footnoteReference w:id="146"/>
      </w:r>
      <w:r w:rsidR="003241AC" w:rsidRPr="002D7B83">
        <w:t xml:space="preserve"> Though NHRAPs more often have the status of government policy than an enforceable legal status domestically</w:t>
      </w:r>
      <w:r w:rsidR="00001867" w:rsidRPr="002D7B83">
        <w:t>,</w:t>
      </w:r>
      <w:r w:rsidR="003241AC" w:rsidRPr="002D7B83">
        <w:rPr>
          <w:rStyle w:val="FootnoteReference"/>
        </w:rPr>
        <w:footnoteReference w:id="147"/>
      </w:r>
      <w:r w:rsidR="00001867" w:rsidRPr="002D7B83">
        <w:t xml:space="preserve"> action planning of this sort is </w:t>
      </w:r>
      <w:r w:rsidR="00AF471A" w:rsidRPr="002D7B83">
        <w:t>understood as a ‘more proactive and systemic move than merely enacting bills of rights and offering judicial remedies</w:t>
      </w:r>
      <w:r w:rsidR="003241AC" w:rsidRPr="002D7B83">
        <w:t>.</w:t>
      </w:r>
      <w:r w:rsidR="00AF471A" w:rsidRPr="002D7B83">
        <w:t>’</w:t>
      </w:r>
      <w:r w:rsidR="00AF471A" w:rsidRPr="002D7B83">
        <w:rPr>
          <w:rStyle w:val="FootnoteReference"/>
        </w:rPr>
        <w:footnoteReference w:id="148"/>
      </w:r>
      <w:r w:rsidR="003241AC" w:rsidRPr="002D7B83">
        <w:t xml:space="preserve"> </w:t>
      </w:r>
    </w:p>
    <w:p w14:paraId="3612D2BE" w14:textId="5146BDB1" w:rsidR="00823C30" w:rsidRPr="002D7B83" w:rsidRDefault="00736038" w:rsidP="002D7B83">
      <w:pPr>
        <w:jc w:val="both"/>
      </w:pPr>
      <w:r>
        <w:t xml:space="preserve">        </w:t>
      </w:r>
      <w:r w:rsidR="00857DF0" w:rsidRPr="002D7B83">
        <w:t xml:space="preserve">NHRAPs manifest a number of the advantages associated with programmatic approaches. Above all, they integrate human rights objectives with general objectives of the State. </w:t>
      </w:r>
      <w:r w:rsidR="00823C30" w:rsidRPr="002D7B83">
        <w:t>As Twomey notes, ‘</w:t>
      </w:r>
      <w:r w:rsidR="00857DF0" w:rsidRPr="002D7B83">
        <w:t>c</w:t>
      </w:r>
      <w:r w:rsidR="00823C30" w:rsidRPr="002D7B83">
        <w:t>entral to an NHRAP’s success or failure has been the extent to which it is linked to any over-arching development process such as a state’s National Development Plan.’</w:t>
      </w:r>
      <w:r w:rsidR="00823C30" w:rsidRPr="002D7B83">
        <w:rPr>
          <w:rStyle w:val="FootnoteReference"/>
        </w:rPr>
        <w:footnoteReference w:id="149"/>
      </w:r>
      <w:r w:rsidR="00823C30" w:rsidRPr="002D7B83">
        <w:t xml:space="preserve"> </w:t>
      </w:r>
      <w:r w:rsidR="00857DF0" w:rsidRPr="002D7B83">
        <w:t>Where this occurs, factors with a likely bearing on a particular plan’s effectiveness like level of political support, realistic prioritisation, clear success criteria and adequate commitment of resources are more likely to be forthcoming.</w:t>
      </w:r>
      <w:r w:rsidR="00857DF0" w:rsidRPr="002D7B83">
        <w:rPr>
          <w:rStyle w:val="FootnoteReference"/>
        </w:rPr>
        <w:footnoteReference w:id="150"/>
      </w:r>
      <w:r w:rsidR="00857DF0" w:rsidRPr="002D7B83">
        <w:t xml:space="preserve"> Furthermore, p</w:t>
      </w:r>
      <w:r w:rsidR="00823C30" w:rsidRPr="002D7B83">
        <w:t>rogrammatic links to policy planning and budget decisions in relevant ministries help ensure that ESR are not ‘quarantined’ as a distinct sector.</w:t>
      </w:r>
      <w:r w:rsidR="00823C30" w:rsidRPr="002D7B83">
        <w:rPr>
          <w:rStyle w:val="FootnoteReference"/>
        </w:rPr>
        <w:footnoteReference w:id="151"/>
      </w:r>
      <w:r w:rsidR="002D7B83" w:rsidRPr="002D7B83">
        <w:t xml:space="preserve"> Finally, NHRAPs give effect to the principle of progressive realisation. They undoubtedly accelerate the process of human rights-based development through roadmaps for concrete steps,</w:t>
      </w:r>
      <w:r w:rsidR="002D7B83" w:rsidRPr="002D7B83">
        <w:rPr>
          <w:rStyle w:val="FootnoteReference"/>
        </w:rPr>
        <w:footnoteReference w:id="152"/>
      </w:r>
      <w:r w:rsidR="002D7B83" w:rsidRPr="002D7B83">
        <w:t xml:space="preserve"> but also help policy-makers draw ‘a distinction between objectives that are achievable within a limited time frame and others that may be desirable in the long term’ in a way that judicial approaches seldom can.</w:t>
      </w:r>
      <w:r w:rsidR="002D7B83" w:rsidRPr="002D7B83">
        <w:rPr>
          <w:rStyle w:val="FootnoteReference"/>
        </w:rPr>
        <w:footnoteReference w:id="153"/>
      </w:r>
      <w:r w:rsidR="00E16E28">
        <w:t xml:space="preserve"> </w:t>
      </w:r>
    </w:p>
    <w:p w14:paraId="6F5C7C68" w14:textId="38BD03B1" w:rsidR="00460467" w:rsidRDefault="00460467" w:rsidP="00460467"/>
    <w:p w14:paraId="02BC0F59" w14:textId="4BA52316" w:rsidR="00BB30D9" w:rsidRPr="00DB5F8B" w:rsidRDefault="008A153E" w:rsidP="009D6521">
      <w:pPr>
        <w:jc w:val="center"/>
      </w:pPr>
      <w:r w:rsidRPr="00DB5F8B">
        <w:t>B. Human Rights-Based Approaches to Development</w:t>
      </w:r>
    </w:p>
    <w:p w14:paraId="3DBC8BF6" w14:textId="055225F3" w:rsidR="00BB30D9" w:rsidRDefault="00BB30D9" w:rsidP="00BB30D9"/>
    <w:p w14:paraId="4D55C091" w14:textId="3221F617" w:rsidR="0001444B" w:rsidRPr="00775893" w:rsidRDefault="0001444B" w:rsidP="0001444B">
      <w:pPr>
        <w:jc w:val="both"/>
        <w:rPr>
          <w:color w:val="000000" w:themeColor="text1"/>
        </w:rPr>
      </w:pPr>
      <w:r w:rsidRPr="00775893">
        <w:rPr>
          <w:color w:val="000000" w:themeColor="text1"/>
        </w:rPr>
        <w:t xml:space="preserve">Human rights-based approaches to development (HRBAD) are most usefully, if not tautologously, understood as a conceptual framework for development that is based on international human rights. Because the </w:t>
      </w:r>
      <w:r w:rsidR="00BE17C9">
        <w:rPr>
          <w:color w:val="000000" w:themeColor="text1"/>
        </w:rPr>
        <w:t>modernisation theory and</w:t>
      </w:r>
      <w:r w:rsidRPr="00775893">
        <w:rPr>
          <w:color w:val="000000" w:themeColor="text1"/>
        </w:rPr>
        <w:t xml:space="preserve"> </w:t>
      </w:r>
      <w:r w:rsidR="00BE17C9">
        <w:rPr>
          <w:color w:val="000000" w:themeColor="text1"/>
        </w:rPr>
        <w:t xml:space="preserve">neoliberal </w:t>
      </w:r>
      <w:r w:rsidRPr="00775893">
        <w:rPr>
          <w:color w:val="000000" w:themeColor="text1"/>
        </w:rPr>
        <w:t>development toolbox</w:t>
      </w:r>
      <w:r w:rsidR="00BE17C9">
        <w:rPr>
          <w:color w:val="000000" w:themeColor="text1"/>
        </w:rPr>
        <w:t>es</w:t>
      </w:r>
      <w:r w:rsidRPr="00775893">
        <w:rPr>
          <w:color w:val="000000" w:themeColor="text1"/>
        </w:rPr>
        <w:t xml:space="preserve"> failed to deliver individual well-being, models of development that made the individual the focus of development strategy became more attractive for UN agencies</w:t>
      </w:r>
      <w:r w:rsidR="00711E1C">
        <w:rPr>
          <w:color w:val="000000" w:themeColor="text1"/>
        </w:rPr>
        <w:t>,</w:t>
      </w:r>
      <w:r w:rsidRPr="00775893">
        <w:rPr>
          <w:color w:val="000000" w:themeColor="text1"/>
        </w:rPr>
        <w:t xml:space="preserve"> </w:t>
      </w:r>
      <w:r w:rsidRPr="00775893">
        <w:rPr>
          <w:color w:val="000000" w:themeColor="text1"/>
        </w:rPr>
        <w:lastRenderedPageBreak/>
        <w:t>international financial institutions, NGOs and bilateral aid agencies operating on behalf of the poor. Narrow concepts of GDP growth as the measure of development began to be replaced by an emphasis on minimum essential levels of basic rights like the right to education, an adequate standard of living, health and work. Charity-based, need-based or service-based understandings of development where citizens were passive recipients would give way to understandings that emphasised the legal obligations of duty-holders to rights-holders.</w:t>
      </w:r>
      <w:r w:rsidRPr="00775893">
        <w:rPr>
          <w:rStyle w:val="FootnoteReference"/>
          <w:color w:val="000000" w:themeColor="text1"/>
        </w:rPr>
        <w:footnoteReference w:id="154"/>
      </w:r>
      <w:r w:rsidRPr="00775893">
        <w:rPr>
          <w:color w:val="000000" w:themeColor="text1"/>
        </w:rPr>
        <w:t xml:space="preserve"> </w:t>
      </w:r>
      <w:r w:rsidR="00BE17C9">
        <w:rPr>
          <w:color w:val="000000" w:themeColor="text1"/>
        </w:rPr>
        <w:t>On this view, a</w:t>
      </w:r>
      <w:r w:rsidRPr="00775893">
        <w:rPr>
          <w:color w:val="000000" w:themeColor="text1"/>
        </w:rPr>
        <w:t>ccountability is what distinguishes rights from capabilities or needs. It has therefore emerged as the cardinal virtue of HRBAD, now anchored in human rights obligations and not, as heretofore, in ad hoc goals.</w:t>
      </w:r>
      <w:r w:rsidRPr="00775893">
        <w:rPr>
          <w:rStyle w:val="FootnoteReference"/>
          <w:color w:val="000000" w:themeColor="text1"/>
        </w:rPr>
        <w:footnoteReference w:id="155"/>
      </w:r>
      <w:r w:rsidRPr="00775893">
        <w:rPr>
          <w:color w:val="000000" w:themeColor="text1"/>
        </w:rPr>
        <w:t xml:space="preserve">  </w:t>
      </w:r>
    </w:p>
    <w:p w14:paraId="602958B5" w14:textId="663959AE" w:rsidR="0001444B" w:rsidRDefault="00736038" w:rsidP="0001444B">
      <w:pPr>
        <w:jc w:val="both"/>
        <w:rPr>
          <w:color w:val="000000" w:themeColor="text1"/>
        </w:rPr>
      </w:pPr>
      <w:r>
        <w:rPr>
          <w:color w:val="000000" w:themeColor="text1"/>
        </w:rPr>
        <w:t xml:space="preserve">        </w:t>
      </w:r>
      <w:r w:rsidR="0001444B" w:rsidRPr="00775893">
        <w:rPr>
          <w:color w:val="000000" w:themeColor="text1"/>
        </w:rPr>
        <w:t xml:space="preserve">Scholars of ESR </w:t>
      </w:r>
      <w:r w:rsidR="00BE17C9">
        <w:rPr>
          <w:color w:val="000000" w:themeColor="text1"/>
        </w:rPr>
        <w:t xml:space="preserve">have primarily understood </w:t>
      </w:r>
      <w:r w:rsidR="0001444B" w:rsidRPr="00775893">
        <w:rPr>
          <w:color w:val="000000" w:themeColor="text1"/>
        </w:rPr>
        <w:t>this accountability in a fundamentally legalistic way, focussing on how right-holders act as empowered claimants and consistently reiterating the justiciability of rights contained in the ICESCR.</w:t>
      </w:r>
      <w:r w:rsidR="0001444B" w:rsidRPr="00775893">
        <w:rPr>
          <w:rStyle w:val="FootnoteReference"/>
          <w:color w:val="000000" w:themeColor="text1"/>
        </w:rPr>
        <w:footnoteReference w:id="156"/>
      </w:r>
      <w:r w:rsidR="0001444B" w:rsidRPr="00775893">
        <w:rPr>
          <w:color w:val="000000" w:themeColor="text1"/>
        </w:rPr>
        <w:t xml:space="preserve"> At the most basic level, HRBAD amount to a demand for state compliance with international  conventions like ICESCR that imply there are identifiable standards of quality for services states should provide.</w:t>
      </w:r>
      <w:r w:rsidR="0001444B" w:rsidRPr="00775893">
        <w:rPr>
          <w:rStyle w:val="FootnoteReference"/>
          <w:color w:val="000000" w:themeColor="text1"/>
        </w:rPr>
        <w:footnoteReference w:id="157"/>
      </w:r>
      <w:r w:rsidR="0001444B" w:rsidRPr="00775893">
        <w:rPr>
          <w:color w:val="000000" w:themeColor="text1"/>
        </w:rPr>
        <w:t xml:space="preserve"> Taking rights seriously implies the creation of a culture of litigation that makes the induction of ‘newer’ ESR easier.</w:t>
      </w:r>
      <w:r w:rsidR="0001444B" w:rsidRPr="00775893">
        <w:rPr>
          <w:rStyle w:val="FootnoteReference"/>
          <w:color w:val="000000" w:themeColor="text1"/>
        </w:rPr>
        <w:footnoteReference w:id="158"/>
      </w:r>
      <w:r w:rsidR="0001444B" w:rsidRPr="00775893">
        <w:rPr>
          <w:color w:val="000000" w:themeColor="text1"/>
        </w:rPr>
        <w:t xml:space="preserve"> As the </w:t>
      </w:r>
      <w:r w:rsidR="00C1306D" w:rsidRPr="00775893">
        <w:rPr>
          <w:color w:val="000000" w:themeColor="text1"/>
        </w:rPr>
        <w:t>O</w:t>
      </w:r>
      <w:r w:rsidR="00C1306D">
        <w:rPr>
          <w:color w:val="000000" w:themeColor="text1"/>
        </w:rPr>
        <w:t>ffice of the High Commissioner for Human Rights (O</w:t>
      </w:r>
      <w:r w:rsidR="0001444B" w:rsidRPr="00775893">
        <w:rPr>
          <w:color w:val="000000" w:themeColor="text1"/>
        </w:rPr>
        <w:t>HCHR</w:t>
      </w:r>
      <w:r w:rsidR="00C1306D">
        <w:rPr>
          <w:color w:val="000000" w:themeColor="text1"/>
        </w:rPr>
        <w:t>)</w:t>
      </w:r>
      <w:r w:rsidR="0001444B" w:rsidRPr="00775893">
        <w:rPr>
          <w:color w:val="000000" w:themeColor="text1"/>
        </w:rPr>
        <w:t xml:space="preserve"> put it</w:t>
      </w:r>
    </w:p>
    <w:p w14:paraId="41324C9D" w14:textId="77777777" w:rsidR="002660AF" w:rsidRPr="00775893" w:rsidRDefault="002660AF" w:rsidP="0001444B">
      <w:pPr>
        <w:jc w:val="both"/>
        <w:rPr>
          <w:color w:val="000000" w:themeColor="text1"/>
        </w:rPr>
      </w:pPr>
    </w:p>
    <w:p w14:paraId="2D3D145C" w14:textId="41B20C29" w:rsidR="0001444B" w:rsidRDefault="0001444B" w:rsidP="0001444B">
      <w:pPr>
        <w:ind w:left="454" w:right="454"/>
        <w:jc w:val="both"/>
        <w:rPr>
          <w:color w:val="000000" w:themeColor="text1"/>
        </w:rPr>
      </w:pPr>
      <w:r w:rsidRPr="00775893">
        <w:rPr>
          <w:color w:val="000000" w:themeColor="text1"/>
        </w:rPr>
        <w:t xml:space="preserve">For people to be enabled to assert a legally binding claim that specific duty-holders provide free and compulsory primary education (International Covenant on Economic, Social and Cultural Rights, art 13) is more empowering that it is to rely on </w:t>
      </w:r>
      <w:r w:rsidR="006D2830">
        <w:rPr>
          <w:color w:val="000000" w:themeColor="text1"/>
        </w:rPr>
        <w:t>‘</w:t>
      </w:r>
      <w:r w:rsidRPr="00775893">
        <w:rPr>
          <w:color w:val="000000" w:themeColor="text1"/>
        </w:rPr>
        <w:t>needs</w:t>
      </w:r>
      <w:r w:rsidR="006D2830">
        <w:rPr>
          <w:color w:val="000000" w:themeColor="text1"/>
        </w:rPr>
        <w:t>’</w:t>
      </w:r>
      <w:r w:rsidRPr="00775893">
        <w:rPr>
          <w:color w:val="000000" w:themeColor="text1"/>
        </w:rPr>
        <w:t xml:space="preserve"> alone or to observe the high economic returns on investment in education.</w:t>
      </w:r>
      <w:r w:rsidRPr="00775893">
        <w:rPr>
          <w:rStyle w:val="FootnoteReference"/>
          <w:color w:val="000000" w:themeColor="text1"/>
        </w:rPr>
        <w:footnoteReference w:id="159"/>
      </w:r>
    </w:p>
    <w:p w14:paraId="668954AA" w14:textId="77777777" w:rsidR="002660AF" w:rsidRPr="00775893" w:rsidRDefault="002660AF" w:rsidP="0001444B">
      <w:pPr>
        <w:ind w:left="454" w:right="454"/>
        <w:jc w:val="both"/>
        <w:rPr>
          <w:color w:val="000000" w:themeColor="text1"/>
        </w:rPr>
      </w:pPr>
    </w:p>
    <w:p w14:paraId="1B42E9E3" w14:textId="19194CC7" w:rsidR="0001444B" w:rsidRPr="00775893" w:rsidRDefault="0001444B" w:rsidP="0001444B">
      <w:pPr>
        <w:jc w:val="both"/>
        <w:rPr>
          <w:color w:val="000000" w:themeColor="text1"/>
        </w:rPr>
      </w:pPr>
      <w:r w:rsidRPr="00775893">
        <w:rPr>
          <w:color w:val="000000" w:themeColor="text1"/>
        </w:rPr>
        <w:t xml:space="preserve">Direct engagement with the legal system can take a number of forms like seeking recognition for claims to institutionalize </w:t>
      </w:r>
      <w:r w:rsidR="00A5553E">
        <w:rPr>
          <w:color w:val="000000" w:themeColor="text1"/>
        </w:rPr>
        <w:t>ESR</w:t>
      </w:r>
      <w:r w:rsidRPr="00775893">
        <w:rPr>
          <w:color w:val="000000" w:themeColor="text1"/>
        </w:rPr>
        <w:t xml:space="preserve"> in law, testing the parameters of an already-legislated right and challenging the legality of state policies on the basis of </w:t>
      </w:r>
      <w:r w:rsidR="00A5553E">
        <w:rPr>
          <w:color w:val="000000" w:themeColor="text1"/>
        </w:rPr>
        <w:t>the Convention</w:t>
      </w:r>
      <w:r w:rsidRPr="00775893">
        <w:rPr>
          <w:color w:val="000000" w:themeColor="text1"/>
        </w:rPr>
        <w:t>.</w:t>
      </w:r>
      <w:r w:rsidRPr="00775893">
        <w:rPr>
          <w:rStyle w:val="FootnoteReference"/>
          <w:color w:val="000000" w:themeColor="text1"/>
        </w:rPr>
        <w:footnoteReference w:id="160"/>
      </w:r>
      <w:r w:rsidRPr="00775893">
        <w:rPr>
          <w:color w:val="000000" w:themeColor="text1"/>
        </w:rPr>
        <w:t xml:space="preserve"> </w:t>
      </w:r>
    </w:p>
    <w:p w14:paraId="0FB611A8" w14:textId="5FAA8D0B" w:rsidR="0001444B" w:rsidRPr="00775893" w:rsidRDefault="00736038" w:rsidP="0001444B">
      <w:pPr>
        <w:jc w:val="both"/>
        <w:rPr>
          <w:color w:val="000000" w:themeColor="text1"/>
        </w:rPr>
      </w:pPr>
      <w:r>
        <w:rPr>
          <w:color w:val="000000" w:themeColor="text1"/>
        </w:rPr>
        <w:t xml:space="preserve">        </w:t>
      </w:r>
      <w:r w:rsidR="0001444B" w:rsidRPr="00775893">
        <w:rPr>
          <w:color w:val="000000" w:themeColor="text1"/>
        </w:rPr>
        <w:t xml:space="preserve">However, neither norms of justiciability, nor the high degree of legal specificity in terms of the substance of ESR from General Comments or Concluding Observations since the late 1980s play much role in conceptualising accountability. While ESR are universally understood in HRBAD as legitimate claims that give rise to correlative obligations or duties, the legitimacy of these claims is for the most part not to be vindicated in the courts. In fact, </w:t>
      </w:r>
      <w:r w:rsidR="00BE17C9">
        <w:rPr>
          <w:color w:val="000000" w:themeColor="text1"/>
        </w:rPr>
        <w:t xml:space="preserve">as </w:t>
      </w:r>
      <w:proofErr w:type="spellStart"/>
      <w:r w:rsidR="00BE17C9">
        <w:rPr>
          <w:color w:val="000000" w:themeColor="text1"/>
        </w:rPr>
        <w:t>Gready</w:t>
      </w:r>
      <w:proofErr w:type="spellEnd"/>
      <w:r w:rsidR="00BE17C9">
        <w:rPr>
          <w:color w:val="000000" w:themeColor="text1"/>
        </w:rPr>
        <w:t xml:space="preserve"> observes, </w:t>
      </w:r>
      <w:r w:rsidR="0001444B" w:rsidRPr="00775893">
        <w:rPr>
          <w:color w:val="000000" w:themeColor="text1"/>
        </w:rPr>
        <w:t>the ‘legal reflex which automatically and unthinkingly resorts to law as remedy’ has been conspicuous by its absence</w:t>
      </w:r>
      <w:r w:rsidR="00711E1C">
        <w:rPr>
          <w:color w:val="000000" w:themeColor="text1"/>
        </w:rPr>
        <w:t xml:space="preserve"> in HRBAD</w:t>
      </w:r>
      <w:r w:rsidR="0001444B" w:rsidRPr="00775893">
        <w:rPr>
          <w:color w:val="000000" w:themeColor="text1"/>
        </w:rPr>
        <w:t>.</w:t>
      </w:r>
      <w:r w:rsidR="0001444B" w:rsidRPr="00775893">
        <w:rPr>
          <w:rStyle w:val="FootnoteReference"/>
          <w:color w:val="000000" w:themeColor="text1"/>
        </w:rPr>
        <w:footnoteReference w:id="161"/>
      </w:r>
      <w:r w:rsidR="0001444B" w:rsidRPr="00775893">
        <w:rPr>
          <w:color w:val="000000" w:themeColor="text1"/>
        </w:rPr>
        <w:t xml:space="preserve"> This is largely because HRBAD is rooted less in specific right</w:t>
      </w:r>
      <w:r w:rsidR="00711E1C">
        <w:rPr>
          <w:color w:val="000000" w:themeColor="text1"/>
        </w:rPr>
        <w:t>s</w:t>
      </w:r>
      <w:r w:rsidR="0001444B" w:rsidRPr="00775893">
        <w:rPr>
          <w:color w:val="000000" w:themeColor="text1"/>
        </w:rPr>
        <w:t xml:space="preserve"> that can be </w:t>
      </w:r>
      <w:r w:rsidR="0001444B" w:rsidRPr="00775893">
        <w:rPr>
          <w:i/>
          <w:iCs/>
          <w:color w:val="000000" w:themeColor="text1"/>
        </w:rPr>
        <w:t>claimed</w:t>
      </w:r>
      <w:r w:rsidR="0001444B" w:rsidRPr="00775893">
        <w:rPr>
          <w:color w:val="000000" w:themeColor="text1"/>
        </w:rPr>
        <w:t xml:space="preserve"> through a specific institutional process than it is in principles derived in an undifferentiated manner from international human rights treaties like equality, participation, empowerment, transparency and accountability that are to be integrated into all </w:t>
      </w:r>
      <w:r w:rsidR="0001444B" w:rsidRPr="00775893">
        <w:rPr>
          <w:color w:val="000000" w:themeColor="text1"/>
        </w:rPr>
        <w:lastRenderedPageBreak/>
        <w:t xml:space="preserve">stages of </w:t>
      </w:r>
      <w:r w:rsidR="00A5553E">
        <w:rPr>
          <w:color w:val="000000" w:themeColor="text1"/>
        </w:rPr>
        <w:t>rights programming</w:t>
      </w:r>
      <w:r w:rsidR="0001444B" w:rsidRPr="00775893">
        <w:rPr>
          <w:color w:val="000000" w:themeColor="text1"/>
        </w:rPr>
        <w:t>.</w:t>
      </w:r>
      <w:r w:rsidR="0001444B" w:rsidRPr="00775893">
        <w:rPr>
          <w:rStyle w:val="FootnoteReference"/>
          <w:color w:val="000000" w:themeColor="text1"/>
        </w:rPr>
        <w:footnoteReference w:id="162"/>
      </w:r>
      <w:r w:rsidR="0001444B" w:rsidRPr="00775893">
        <w:rPr>
          <w:color w:val="000000" w:themeColor="text1"/>
        </w:rPr>
        <w:t xml:space="preserve"> </w:t>
      </w:r>
      <w:r w:rsidR="0001444B" w:rsidRPr="00775893">
        <w:rPr>
          <w:i/>
          <w:iCs/>
          <w:color w:val="000000" w:themeColor="text1"/>
        </w:rPr>
        <w:t>Process</w:t>
      </w:r>
      <w:r w:rsidR="0001444B" w:rsidRPr="00775893">
        <w:rPr>
          <w:color w:val="000000" w:themeColor="text1"/>
        </w:rPr>
        <w:t xml:space="preserve"> here matters as much as </w:t>
      </w:r>
      <w:r w:rsidR="0001444B" w:rsidRPr="00775893">
        <w:rPr>
          <w:i/>
          <w:iCs/>
          <w:color w:val="000000" w:themeColor="text1"/>
        </w:rPr>
        <w:t>outcome.</w:t>
      </w:r>
      <w:r w:rsidR="0001444B" w:rsidRPr="00775893">
        <w:rPr>
          <w:rStyle w:val="FootnoteReference"/>
          <w:i/>
          <w:iCs/>
          <w:color w:val="000000" w:themeColor="text1"/>
        </w:rPr>
        <w:footnoteReference w:id="163"/>
      </w:r>
      <w:r w:rsidR="0001444B" w:rsidRPr="00775893">
        <w:rPr>
          <w:color w:val="000000" w:themeColor="text1"/>
        </w:rPr>
        <w:t xml:space="preserve"> Human rights emerge more as principles that serve as guidance for processes </w:t>
      </w:r>
      <w:r w:rsidR="00711E1C">
        <w:rPr>
          <w:color w:val="000000" w:themeColor="text1"/>
        </w:rPr>
        <w:t>in</w:t>
      </w:r>
      <w:r w:rsidR="0001444B" w:rsidRPr="00775893">
        <w:rPr>
          <w:color w:val="000000" w:themeColor="text1"/>
        </w:rPr>
        <w:t xml:space="preserve"> states</w:t>
      </w:r>
      <w:r w:rsidR="002F67AB">
        <w:rPr>
          <w:color w:val="000000" w:themeColor="text1"/>
        </w:rPr>
        <w:t>’</w:t>
      </w:r>
      <w:r w:rsidR="0001444B" w:rsidRPr="00775893">
        <w:rPr>
          <w:color w:val="000000" w:themeColor="text1"/>
        </w:rPr>
        <w:t xml:space="preserve"> development policy or values against which development programmes should be checked than they do as a respect/protect/fulfil framework of legal obligations. Accountability in HRBAD is therefore understood primarily as variegated </w:t>
      </w:r>
      <w:r w:rsidR="0001444B" w:rsidRPr="00775893">
        <w:rPr>
          <w:i/>
          <w:iCs/>
          <w:color w:val="000000" w:themeColor="text1"/>
        </w:rPr>
        <w:t xml:space="preserve">political </w:t>
      </w:r>
      <w:r w:rsidR="0001444B" w:rsidRPr="00775893">
        <w:rPr>
          <w:color w:val="000000" w:themeColor="text1"/>
        </w:rPr>
        <w:t>accountability, which revolves around participation of the poor in policy-making at the input stage of planning and democratic accountability at the output stage of implementation.</w:t>
      </w:r>
      <w:r w:rsidR="0001444B" w:rsidRPr="00775893">
        <w:rPr>
          <w:rStyle w:val="FootnoteReference"/>
          <w:color w:val="000000" w:themeColor="text1"/>
        </w:rPr>
        <w:footnoteReference w:id="164"/>
      </w:r>
      <w:r w:rsidR="0001444B" w:rsidRPr="00775893">
        <w:rPr>
          <w:color w:val="000000" w:themeColor="text1"/>
        </w:rPr>
        <w:t xml:space="preserve"> </w:t>
      </w:r>
      <w:r w:rsidR="00A5553E">
        <w:rPr>
          <w:color w:val="000000" w:themeColor="text1"/>
        </w:rPr>
        <w:t xml:space="preserve">A </w:t>
      </w:r>
      <w:r w:rsidR="0001444B" w:rsidRPr="00775893">
        <w:rPr>
          <w:color w:val="000000" w:themeColor="text1"/>
        </w:rPr>
        <w:t>legal remed</w:t>
      </w:r>
      <w:r w:rsidR="00A5553E">
        <w:rPr>
          <w:color w:val="000000" w:themeColor="text1"/>
        </w:rPr>
        <w:t>y</w:t>
      </w:r>
      <w:r w:rsidR="0001444B" w:rsidRPr="00775893">
        <w:rPr>
          <w:color w:val="000000" w:themeColor="text1"/>
        </w:rPr>
        <w:t xml:space="preserve"> may not be explicitly precluded, but </w:t>
      </w:r>
      <w:r w:rsidR="00711E1C">
        <w:rPr>
          <w:color w:val="000000" w:themeColor="text1"/>
        </w:rPr>
        <w:t xml:space="preserve">it </w:t>
      </w:r>
      <w:r w:rsidR="00A5553E">
        <w:rPr>
          <w:color w:val="000000" w:themeColor="text1"/>
        </w:rPr>
        <w:t>is</w:t>
      </w:r>
      <w:r w:rsidR="00711E1C">
        <w:rPr>
          <w:color w:val="000000" w:themeColor="text1"/>
        </w:rPr>
        <w:t xml:space="preserve"> merely one form of accountability among many others, such as</w:t>
      </w:r>
      <w:r w:rsidR="0001444B" w:rsidRPr="00775893">
        <w:rPr>
          <w:color w:val="000000" w:themeColor="text1"/>
        </w:rPr>
        <w:t xml:space="preserve"> ‘monitoring, reporting, public debate and citizen participation in public service delivery’, </w:t>
      </w:r>
      <w:r w:rsidR="00A5553E">
        <w:rPr>
          <w:color w:val="000000" w:themeColor="text1"/>
        </w:rPr>
        <w:t>in addition to</w:t>
      </w:r>
      <w:r w:rsidR="0001444B" w:rsidRPr="00775893">
        <w:rPr>
          <w:color w:val="000000" w:themeColor="text1"/>
        </w:rPr>
        <w:t xml:space="preserve"> the ballot box.</w:t>
      </w:r>
      <w:r w:rsidR="0001444B" w:rsidRPr="00775893">
        <w:rPr>
          <w:rStyle w:val="FootnoteReference"/>
          <w:color w:val="000000" w:themeColor="text1"/>
        </w:rPr>
        <w:footnoteReference w:id="165"/>
      </w:r>
    </w:p>
    <w:p w14:paraId="06DC8351" w14:textId="24F342E8" w:rsidR="0001444B" w:rsidRPr="00775893" w:rsidRDefault="00736038" w:rsidP="0001444B">
      <w:pPr>
        <w:jc w:val="both"/>
        <w:rPr>
          <w:color w:val="000000" w:themeColor="text1"/>
        </w:rPr>
      </w:pPr>
      <w:r>
        <w:rPr>
          <w:color w:val="000000" w:themeColor="text1"/>
        </w:rPr>
        <w:t xml:space="preserve">        </w:t>
      </w:r>
      <w:r w:rsidR="0001444B" w:rsidRPr="00775893">
        <w:rPr>
          <w:color w:val="000000" w:themeColor="text1"/>
        </w:rPr>
        <w:t>Consequently, HRBAD as practiced by development agencies tend to emphasi</w:t>
      </w:r>
      <w:r w:rsidR="00BE17C9">
        <w:rPr>
          <w:color w:val="000000" w:themeColor="text1"/>
        </w:rPr>
        <w:t>s</w:t>
      </w:r>
      <w:r w:rsidR="0001444B" w:rsidRPr="00775893">
        <w:rPr>
          <w:color w:val="000000" w:themeColor="text1"/>
        </w:rPr>
        <w:t xml:space="preserve">e procedural rights </w:t>
      </w:r>
      <w:r w:rsidR="00BE17C9">
        <w:rPr>
          <w:color w:val="000000" w:themeColor="text1"/>
        </w:rPr>
        <w:t xml:space="preserve">like participation and voice </w:t>
      </w:r>
      <w:r w:rsidR="0001444B" w:rsidRPr="00775893">
        <w:rPr>
          <w:color w:val="000000" w:themeColor="text1"/>
        </w:rPr>
        <w:t xml:space="preserve">over substantive rights </w:t>
      </w:r>
      <w:r w:rsidR="00BE17C9">
        <w:rPr>
          <w:color w:val="000000" w:themeColor="text1"/>
        </w:rPr>
        <w:t>like those to</w:t>
      </w:r>
      <w:r w:rsidR="0001444B" w:rsidRPr="00775893">
        <w:rPr>
          <w:color w:val="000000" w:themeColor="text1"/>
        </w:rPr>
        <w:t xml:space="preserve"> food, health or housing.</w:t>
      </w:r>
      <w:r w:rsidR="0001444B" w:rsidRPr="00775893">
        <w:rPr>
          <w:rStyle w:val="FootnoteReference"/>
          <w:color w:val="000000" w:themeColor="text1"/>
        </w:rPr>
        <w:footnoteReference w:id="166"/>
      </w:r>
      <w:r w:rsidR="0001444B" w:rsidRPr="00775893">
        <w:rPr>
          <w:color w:val="000000" w:themeColor="text1"/>
        </w:rPr>
        <w:t xml:space="preserve"> </w:t>
      </w:r>
      <w:r w:rsidR="00BE17C9">
        <w:rPr>
          <w:color w:val="000000" w:themeColor="text1"/>
        </w:rPr>
        <w:t xml:space="preserve">In addition, development bodies like </w:t>
      </w:r>
      <w:r w:rsidR="0001444B" w:rsidRPr="00775893">
        <w:rPr>
          <w:color w:val="000000" w:themeColor="text1"/>
        </w:rPr>
        <w:t>UNDP view HRBAD as a new approach which ‘focusses on the realization of human rights through human development rather than through a violations policy’, emphasising the mainstreaming of human rights concerns ‘into national legislation and governance programs.’</w:t>
      </w:r>
      <w:r w:rsidR="0001444B" w:rsidRPr="00775893">
        <w:rPr>
          <w:rStyle w:val="FootnoteReference"/>
          <w:color w:val="000000" w:themeColor="text1"/>
        </w:rPr>
        <w:footnoteReference w:id="167"/>
      </w:r>
      <w:r w:rsidR="0001444B" w:rsidRPr="00775893">
        <w:rPr>
          <w:color w:val="000000" w:themeColor="text1"/>
        </w:rPr>
        <w:t xml:space="preserve">  Development actors generally prefer the ‘cooperative mode’ where they interact productively with ministerial offices and government agencies </w:t>
      </w:r>
      <w:r w:rsidR="00711E1C">
        <w:rPr>
          <w:color w:val="000000" w:themeColor="text1"/>
        </w:rPr>
        <w:t>over</w:t>
      </w:r>
      <w:r w:rsidR="0001444B" w:rsidRPr="00775893">
        <w:rPr>
          <w:color w:val="000000" w:themeColor="text1"/>
        </w:rPr>
        <w:t xml:space="preserve"> the confrontational naming-and-shaming tactics associated with human rights bodies.</w:t>
      </w:r>
      <w:r w:rsidR="0001444B" w:rsidRPr="00775893">
        <w:rPr>
          <w:rStyle w:val="FootnoteReference"/>
          <w:color w:val="000000" w:themeColor="text1"/>
        </w:rPr>
        <w:footnoteReference w:id="168"/>
      </w:r>
      <w:r w:rsidR="0001444B" w:rsidRPr="00775893">
        <w:rPr>
          <w:color w:val="000000" w:themeColor="text1"/>
        </w:rPr>
        <w:t xml:space="preserve"> </w:t>
      </w:r>
      <w:proofErr w:type="spellStart"/>
      <w:r w:rsidR="0001444B" w:rsidRPr="00775893">
        <w:rPr>
          <w:color w:val="000000" w:themeColor="text1"/>
        </w:rPr>
        <w:t>Yamin</w:t>
      </w:r>
      <w:proofErr w:type="spellEnd"/>
      <w:r w:rsidR="0001444B" w:rsidRPr="00775893">
        <w:rPr>
          <w:color w:val="000000" w:themeColor="text1"/>
        </w:rPr>
        <w:t xml:space="preserve"> and Cantor, in a study of HRBAD as it relates to health, conclude that policy-makers in the area tend ‘to be wary of judicializing health-related rights’ and that governments ‘can become hostile to HRBAs when they believe it means involving the courts’, and so both concentrate instead on programming.</w:t>
      </w:r>
      <w:r w:rsidR="0001444B" w:rsidRPr="00775893">
        <w:rPr>
          <w:rStyle w:val="FootnoteReference"/>
          <w:color w:val="000000" w:themeColor="text1"/>
        </w:rPr>
        <w:footnoteReference w:id="169"/>
      </w:r>
      <w:r w:rsidR="0001444B" w:rsidRPr="00775893">
        <w:rPr>
          <w:color w:val="000000" w:themeColor="text1"/>
        </w:rPr>
        <w:t xml:space="preserve"> </w:t>
      </w:r>
    </w:p>
    <w:p w14:paraId="0EE75333" w14:textId="2B714879" w:rsidR="0001444B" w:rsidRPr="00775893" w:rsidRDefault="00736038" w:rsidP="0001444B">
      <w:pPr>
        <w:jc w:val="both"/>
        <w:rPr>
          <w:color w:val="000000" w:themeColor="text1"/>
        </w:rPr>
      </w:pPr>
      <w:r>
        <w:rPr>
          <w:color w:val="000000" w:themeColor="text1"/>
        </w:rPr>
        <w:t xml:space="preserve">        </w:t>
      </w:r>
      <w:r w:rsidR="0001444B" w:rsidRPr="00775893">
        <w:rPr>
          <w:color w:val="000000" w:themeColor="text1"/>
        </w:rPr>
        <w:t>The centrality of ESR to HRBAD is found therefore not in the judicial realm, but as ‘a central frame of reference in policy-making and political choices’, making enjoyment of ESR an explicit objective of development via integration of ‘minimum standards into all plans, policies, budgets, processes and institutions.’</w:t>
      </w:r>
      <w:r w:rsidR="0001444B" w:rsidRPr="00775893">
        <w:rPr>
          <w:rStyle w:val="FootnoteReference"/>
          <w:color w:val="000000" w:themeColor="text1"/>
        </w:rPr>
        <w:footnoteReference w:id="170"/>
      </w:r>
      <w:r w:rsidR="0001444B" w:rsidRPr="00775893">
        <w:rPr>
          <w:color w:val="000000" w:themeColor="text1"/>
        </w:rPr>
        <w:t xml:space="preserve"> As Patel and </w:t>
      </w:r>
      <w:proofErr w:type="spellStart"/>
      <w:r w:rsidR="0001444B" w:rsidRPr="00775893">
        <w:rPr>
          <w:color w:val="000000" w:themeColor="text1"/>
        </w:rPr>
        <w:t>Mitlin</w:t>
      </w:r>
      <w:proofErr w:type="spellEnd"/>
      <w:r w:rsidR="0001444B" w:rsidRPr="00775893">
        <w:rPr>
          <w:color w:val="000000" w:themeColor="text1"/>
        </w:rPr>
        <w:t xml:space="preserve"> argue, these are ‘programmatic responses’ that go beyond claiming rights or status to instead attempt to develop effective solutions that address needs.</w:t>
      </w:r>
      <w:r w:rsidR="0001444B" w:rsidRPr="00775893">
        <w:rPr>
          <w:rStyle w:val="FootnoteReference"/>
          <w:color w:val="000000" w:themeColor="text1"/>
        </w:rPr>
        <w:footnoteReference w:id="171"/>
      </w:r>
      <w:r w:rsidR="0001444B" w:rsidRPr="00775893">
        <w:rPr>
          <w:color w:val="000000" w:themeColor="text1"/>
        </w:rPr>
        <w:t xml:space="preserve"> It means engaging in the ‘nitty-gritty of policy formulation’, framing goals and targets while differentiating responsibilities and establishing parameters for resourcing, implementation and monitoring.</w:t>
      </w:r>
      <w:r w:rsidR="0001444B" w:rsidRPr="00775893">
        <w:rPr>
          <w:rStyle w:val="FootnoteReference"/>
          <w:color w:val="000000" w:themeColor="text1"/>
        </w:rPr>
        <w:footnoteReference w:id="172"/>
      </w:r>
      <w:r w:rsidR="0001444B" w:rsidRPr="00775893">
        <w:rPr>
          <w:color w:val="000000" w:themeColor="text1"/>
        </w:rPr>
        <w:t xml:space="preserve"> There must be a detailed, rational framework for realisation of rights like education, housing, pensions or healthcare ‘providing a common template for coherence between all aspects of state responsibility and </w:t>
      </w:r>
      <w:r w:rsidR="0001444B" w:rsidRPr="00775893">
        <w:rPr>
          <w:color w:val="000000" w:themeColor="text1"/>
        </w:rPr>
        <w:lastRenderedPageBreak/>
        <w:t>action ….from the processes and content of macro policy priorities, strategic plans, and fiscal allocation to training and performance assessment of state employees.’</w:t>
      </w:r>
      <w:r w:rsidR="0001444B" w:rsidRPr="00775893">
        <w:rPr>
          <w:rStyle w:val="FootnoteReference"/>
          <w:color w:val="000000" w:themeColor="text1"/>
        </w:rPr>
        <w:footnoteReference w:id="173"/>
      </w:r>
      <w:r w:rsidR="0001444B" w:rsidRPr="00775893">
        <w:rPr>
          <w:color w:val="000000" w:themeColor="text1"/>
        </w:rPr>
        <w:t xml:space="preserve"> </w:t>
      </w:r>
    </w:p>
    <w:p w14:paraId="5E3D287C" w14:textId="1014328A" w:rsidR="0001444B" w:rsidRPr="00775893" w:rsidRDefault="00736038" w:rsidP="0001444B">
      <w:pPr>
        <w:jc w:val="both"/>
        <w:rPr>
          <w:color w:val="000000" w:themeColor="text1"/>
        </w:rPr>
      </w:pPr>
      <w:r>
        <w:rPr>
          <w:color w:val="000000" w:themeColor="text1"/>
        </w:rPr>
        <w:t xml:space="preserve">        </w:t>
      </w:r>
      <w:r w:rsidR="0001444B" w:rsidRPr="00775893">
        <w:rPr>
          <w:color w:val="000000" w:themeColor="text1"/>
        </w:rPr>
        <w:t xml:space="preserve">Programmatic approaches translate ESR into institutional practices, identifying and mapping areas of deprivation and drawing on internationally enunciated standards to guide </w:t>
      </w:r>
      <w:proofErr w:type="gramStart"/>
      <w:r w:rsidR="0001444B" w:rsidRPr="00775893">
        <w:rPr>
          <w:color w:val="000000" w:themeColor="text1"/>
        </w:rPr>
        <w:t>policy-making</w:t>
      </w:r>
      <w:proofErr w:type="gramEnd"/>
      <w:r w:rsidR="0001444B" w:rsidRPr="00775893">
        <w:rPr>
          <w:color w:val="000000" w:themeColor="text1"/>
        </w:rPr>
        <w:t>. For example, in health policy, Freedman argues ESR standards have functioned as a planning tool, setting a standard against which to evaluate actions by the state and development agencies, dovetailing with health-related disciplines like epidemiology that supply technical rationales for applying these standards.</w:t>
      </w:r>
      <w:r w:rsidR="0001444B" w:rsidRPr="00775893">
        <w:rPr>
          <w:rStyle w:val="FootnoteReference"/>
          <w:color w:val="000000" w:themeColor="text1"/>
        </w:rPr>
        <w:footnoteReference w:id="174"/>
      </w:r>
      <w:r w:rsidR="0001444B" w:rsidRPr="00775893">
        <w:rPr>
          <w:color w:val="000000" w:themeColor="text1"/>
        </w:rPr>
        <w:t xml:space="preserve"> The aspiration of rights-based actors here is to make ‘programmatic</w:t>
      </w:r>
      <w:r w:rsidR="00A5553E">
        <w:rPr>
          <w:color w:val="000000" w:themeColor="text1"/>
        </w:rPr>
        <w:t>’</w:t>
      </w:r>
      <w:r w:rsidR="0001444B" w:rsidRPr="00775893">
        <w:rPr>
          <w:color w:val="000000" w:themeColor="text1"/>
        </w:rPr>
        <w:t xml:space="preserve"> recommendations at the national or subnational level in relation to policies the state should be pursuing, informed by process indicators on issues like obstetric care from the WHO or the UN Population Fund.</w:t>
      </w:r>
      <w:r w:rsidR="0001444B" w:rsidRPr="00775893">
        <w:rPr>
          <w:rStyle w:val="FootnoteReference"/>
          <w:color w:val="000000" w:themeColor="text1"/>
        </w:rPr>
        <w:footnoteReference w:id="175"/>
      </w:r>
      <w:r w:rsidR="0001444B" w:rsidRPr="00775893">
        <w:rPr>
          <w:color w:val="000000" w:themeColor="text1"/>
        </w:rPr>
        <w:t xml:space="preserve"> ICESCR Article </w:t>
      </w:r>
      <w:r w:rsidR="00CC3C9F">
        <w:rPr>
          <w:color w:val="000000" w:themeColor="text1"/>
        </w:rPr>
        <w:t>12</w:t>
      </w:r>
      <w:r w:rsidR="0001444B" w:rsidRPr="00775893">
        <w:rPr>
          <w:color w:val="000000" w:themeColor="text1"/>
        </w:rPr>
        <w:t>, with CEDAW and UNCRC, has helped to shape national and sub-national plans for sexual and reproductive health education, information, and services.</w:t>
      </w:r>
      <w:r w:rsidR="0001444B" w:rsidRPr="00775893">
        <w:rPr>
          <w:rStyle w:val="FootnoteReference"/>
          <w:color w:val="000000" w:themeColor="text1"/>
        </w:rPr>
        <w:footnoteReference w:id="176"/>
      </w:r>
      <w:r w:rsidR="0001444B" w:rsidRPr="00775893">
        <w:rPr>
          <w:color w:val="000000" w:themeColor="text1"/>
        </w:rPr>
        <w:t xml:space="preserve"> Justiciability is not the metric by which the relevance of ESR is judged</w:t>
      </w:r>
      <w:r w:rsidR="006A38DD">
        <w:rPr>
          <w:color w:val="000000" w:themeColor="text1"/>
        </w:rPr>
        <w:t xml:space="preserve"> in HRBAD</w:t>
      </w:r>
      <w:r w:rsidR="0001444B" w:rsidRPr="00775893">
        <w:rPr>
          <w:color w:val="000000" w:themeColor="text1"/>
        </w:rPr>
        <w:t>. As Darrow and Tomas argue, it is the ‘programmatic application’ of these applicable standards that best indicates development effectiveness, i.e</w:t>
      </w:r>
      <w:r w:rsidR="002F67AB">
        <w:rPr>
          <w:color w:val="000000" w:themeColor="text1"/>
        </w:rPr>
        <w:t>.</w:t>
      </w:r>
      <w:r w:rsidR="0001444B" w:rsidRPr="00775893">
        <w:rPr>
          <w:color w:val="000000" w:themeColor="text1"/>
        </w:rPr>
        <w:t xml:space="preserve"> the extent to which necessary improvements have been achieved in the lives of those enjoying rights.</w:t>
      </w:r>
      <w:r w:rsidR="0001444B" w:rsidRPr="00775893">
        <w:rPr>
          <w:rStyle w:val="FootnoteReference"/>
          <w:color w:val="000000" w:themeColor="text1"/>
        </w:rPr>
        <w:footnoteReference w:id="177"/>
      </w:r>
      <w:r w:rsidR="0001444B" w:rsidRPr="00775893">
        <w:rPr>
          <w:color w:val="000000" w:themeColor="text1"/>
        </w:rPr>
        <w:t xml:space="preserve"> </w:t>
      </w:r>
    </w:p>
    <w:p w14:paraId="6B46FD07" w14:textId="77777777" w:rsidR="0001444B" w:rsidRPr="00DB5F8B" w:rsidRDefault="0001444B" w:rsidP="0001444B">
      <w:pPr>
        <w:jc w:val="both"/>
        <w:rPr>
          <w:color w:val="000000" w:themeColor="text1"/>
        </w:rPr>
      </w:pPr>
    </w:p>
    <w:p w14:paraId="1D65E989" w14:textId="65A1DB99" w:rsidR="0001444B" w:rsidRPr="00DB5F8B" w:rsidRDefault="003D4B38" w:rsidP="006A38DD">
      <w:pPr>
        <w:jc w:val="center"/>
        <w:rPr>
          <w:color w:val="000000" w:themeColor="text1"/>
        </w:rPr>
      </w:pPr>
      <w:r w:rsidRPr="00DB5F8B">
        <w:rPr>
          <w:color w:val="000000" w:themeColor="text1"/>
        </w:rPr>
        <w:t xml:space="preserve">C. </w:t>
      </w:r>
      <w:r w:rsidR="00BE17C9" w:rsidRPr="00DB5F8B">
        <w:rPr>
          <w:color w:val="000000" w:themeColor="text1"/>
        </w:rPr>
        <w:t xml:space="preserve">Civil Society and Grassroots </w:t>
      </w:r>
      <w:r w:rsidRPr="00DB5F8B">
        <w:rPr>
          <w:color w:val="000000" w:themeColor="text1"/>
        </w:rPr>
        <w:t>Mobilisation</w:t>
      </w:r>
    </w:p>
    <w:p w14:paraId="69BCE723" w14:textId="77777777" w:rsidR="0001444B" w:rsidRDefault="0001444B" w:rsidP="0001444B">
      <w:pPr>
        <w:jc w:val="both"/>
        <w:rPr>
          <w:rFonts w:asciiTheme="minorHAnsi" w:hAnsiTheme="minorHAnsi" w:cstheme="minorHAnsi"/>
          <w:color w:val="FF0000"/>
        </w:rPr>
      </w:pPr>
    </w:p>
    <w:p w14:paraId="6BAA71CA" w14:textId="4592C470" w:rsidR="001E18E7" w:rsidRPr="006A38DD" w:rsidRDefault="003D4B38" w:rsidP="00EB2C76">
      <w:pPr>
        <w:jc w:val="both"/>
        <w:rPr>
          <w:color w:val="000000" w:themeColor="text1"/>
        </w:rPr>
      </w:pPr>
      <w:r w:rsidRPr="003D4B38">
        <w:rPr>
          <w:color w:val="000000" w:themeColor="text1"/>
        </w:rPr>
        <w:t>The</w:t>
      </w:r>
      <w:r>
        <w:rPr>
          <w:color w:val="000000" w:themeColor="text1"/>
        </w:rPr>
        <w:t xml:space="preserve"> greater emphasis on the programmatic aspects of ESR over the legal are apparent beyond the top-down frameworks of NHRAPs and HRBAD. </w:t>
      </w:r>
      <w:r w:rsidR="00C023DE">
        <w:rPr>
          <w:color w:val="000000" w:themeColor="text1"/>
        </w:rPr>
        <w:t>It is</w:t>
      </w:r>
      <w:r>
        <w:rPr>
          <w:color w:val="000000" w:themeColor="text1"/>
        </w:rPr>
        <w:t xml:space="preserve"> also visible in </w:t>
      </w:r>
      <w:r w:rsidR="00C023DE">
        <w:rPr>
          <w:color w:val="000000" w:themeColor="text1"/>
        </w:rPr>
        <w:t xml:space="preserve">the way ESR are used as an articulating schema by bottom-up social movements to legitimise demands by </w:t>
      </w:r>
      <w:r w:rsidR="00495A80">
        <w:rPr>
          <w:color w:val="000000" w:themeColor="text1"/>
        </w:rPr>
        <w:t xml:space="preserve">drawing on an </w:t>
      </w:r>
      <w:proofErr w:type="gramStart"/>
      <w:r w:rsidR="00495A80">
        <w:rPr>
          <w:color w:val="000000" w:themeColor="text1"/>
        </w:rPr>
        <w:t>internationally</w:t>
      </w:r>
      <w:r w:rsidR="006A38DD">
        <w:rPr>
          <w:color w:val="000000" w:themeColor="text1"/>
        </w:rPr>
        <w:t>-legitimised</w:t>
      </w:r>
      <w:proofErr w:type="gramEnd"/>
      <w:r w:rsidR="00495A80">
        <w:rPr>
          <w:color w:val="000000" w:themeColor="text1"/>
        </w:rPr>
        <w:t xml:space="preserve"> </w:t>
      </w:r>
      <w:r w:rsidR="00F8216F">
        <w:rPr>
          <w:color w:val="000000" w:themeColor="text1"/>
        </w:rPr>
        <w:t xml:space="preserve">discourse </w:t>
      </w:r>
      <w:r w:rsidR="006A38DD">
        <w:rPr>
          <w:color w:val="000000" w:themeColor="text1"/>
        </w:rPr>
        <w:t>to identify</w:t>
      </w:r>
      <w:r w:rsidR="00C023DE">
        <w:rPr>
          <w:color w:val="000000" w:themeColor="text1"/>
        </w:rPr>
        <w:t xml:space="preserve"> who ought to respond to social deprivation. As Gauri and Brinks note, </w:t>
      </w:r>
      <w:r w:rsidR="005208B7">
        <w:rPr>
          <w:color w:val="000000" w:themeColor="text1"/>
        </w:rPr>
        <w:t>modernisation</w:t>
      </w:r>
      <w:r w:rsidR="00C023DE">
        <w:rPr>
          <w:color w:val="000000" w:themeColor="text1"/>
        </w:rPr>
        <w:t>, urbanisation</w:t>
      </w:r>
      <w:r w:rsidR="005208B7">
        <w:rPr>
          <w:color w:val="000000" w:themeColor="text1"/>
        </w:rPr>
        <w:t>, democratisation and development have produced large-scale mobilisation for social minima, translating the historic demand of ‘I want’ to ‘I am entitled to’.</w:t>
      </w:r>
      <w:r w:rsidR="005208B7">
        <w:rPr>
          <w:rStyle w:val="FootnoteReference"/>
          <w:color w:val="000000" w:themeColor="text1"/>
        </w:rPr>
        <w:footnoteReference w:id="178"/>
      </w:r>
      <w:r w:rsidR="00973EF2">
        <w:rPr>
          <w:color w:val="000000" w:themeColor="text1"/>
        </w:rPr>
        <w:t xml:space="preserve"> </w:t>
      </w:r>
      <w:r w:rsidR="006A38DD">
        <w:rPr>
          <w:color w:val="000000" w:themeColor="text1"/>
        </w:rPr>
        <w:t xml:space="preserve"> </w:t>
      </w:r>
      <w:r w:rsidR="008F3CA5">
        <w:t xml:space="preserve">Justiciability has </w:t>
      </w:r>
      <w:r w:rsidR="00F8216F">
        <w:t>therefore</w:t>
      </w:r>
      <w:r w:rsidR="008F3CA5">
        <w:t xml:space="preserve"> been a touchstone of civil society mobilisation for ESR. </w:t>
      </w:r>
      <w:r w:rsidR="00FB5163">
        <w:t>The institutionalisation of legalised venues or judicial review is depended on the rights</w:t>
      </w:r>
      <w:r w:rsidR="006A38DD">
        <w:t>-</w:t>
      </w:r>
      <w:r w:rsidR="00FB5163">
        <w:t>consciousness and demand aggregation that NGOs and civil society organisations can catalyse.</w:t>
      </w:r>
      <w:r w:rsidR="00FB5163">
        <w:rPr>
          <w:rStyle w:val="FootnoteReference"/>
        </w:rPr>
        <w:footnoteReference w:id="179"/>
      </w:r>
      <w:r w:rsidR="00FB5163">
        <w:t xml:space="preserve"> </w:t>
      </w:r>
      <w:r w:rsidR="00973EF2">
        <w:t>A violations approach that ‘sidesteps’ progressive realisation has often proved attractive to social movements who concentrate on egregious discriminations and denials of immediate ESR obligations through testimony gathering as a prelude to legal actions.</w:t>
      </w:r>
      <w:r w:rsidR="00973EF2">
        <w:rPr>
          <w:rStyle w:val="FootnoteReference"/>
        </w:rPr>
        <w:footnoteReference w:id="180"/>
      </w:r>
      <w:r w:rsidR="00973EF2">
        <w:t xml:space="preserve"> Indeed, this adherence to law and judicial processes is believed to by some to be what keeps rights activism from becoming ‘vague and blurry’ and maintains</w:t>
      </w:r>
      <w:r w:rsidR="008F3CA5">
        <w:t xml:space="preserve"> the leverage and coherence successful activism needs.</w:t>
      </w:r>
      <w:r w:rsidR="00973EF2">
        <w:rPr>
          <w:rStyle w:val="FootnoteReference"/>
        </w:rPr>
        <w:footnoteReference w:id="181"/>
      </w:r>
      <w:r w:rsidR="00973EF2">
        <w:t xml:space="preserve"> </w:t>
      </w:r>
      <w:r w:rsidR="00B31F6B">
        <w:t xml:space="preserve">Beyond the obvious </w:t>
      </w:r>
      <w:r w:rsidR="00EB2C76">
        <w:t>attractions</w:t>
      </w:r>
      <w:r w:rsidR="00B31F6B">
        <w:t xml:space="preserve"> of legally binding judgments, courts essentially ‘ally with the organized public’ by </w:t>
      </w:r>
      <w:r w:rsidR="004A335F">
        <w:t xml:space="preserve">serving as a national </w:t>
      </w:r>
      <w:r w:rsidR="00B31F6B">
        <w:t xml:space="preserve">a forum </w:t>
      </w:r>
      <w:r w:rsidR="004A335F">
        <w:t>for testing the</w:t>
      </w:r>
      <w:r w:rsidR="00B31F6B">
        <w:t xml:space="preserve"> feasibility of specific social and economic claims.</w:t>
      </w:r>
      <w:r w:rsidR="00B31F6B">
        <w:rPr>
          <w:rStyle w:val="FootnoteReference"/>
        </w:rPr>
        <w:footnoteReference w:id="182"/>
      </w:r>
      <w:r w:rsidR="00B31F6B">
        <w:t xml:space="preserve"> </w:t>
      </w:r>
      <w:r w:rsidR="001F6FB5">
        <w:t xml:space="preserve">A number of </w:t>
      </w:r>
      <w:r w:rsidR="001F6FB5">
        <w:lastRenderedPageBreak/>
        <w:t xml:space="preserve">examples are familiar (perhaps overly so) to ESR scholars. </w:t>
      </w:r>
      <w:r w:rsidR="008F3CA5">
        <w:t xml:space="preserve">Litigation on the right to food </w:t>
      </w:r>
      <w:r w:rsidR="00FD48DA">
        <w:t xml:space="preserve">in combination with a social movement </w:t>
      </w:r>
      <w:r w:rsidR="006A38DD">
        <w:t xml:space="preserve">emphasising this right </w:t>
      </w:r>
      <w:r w:rsidR="008F3CA5">
        <w:t>led to the introduction of cooked mid-day food in a number of Indian states</w:t>
      </w:r>
      <w:r w:rsidR="00862F01">
        <w:t>.</w:t>
      </w:r>
      <w:r w:rsidR="008F3CA5">
        <w:rPr>
          <w:rStyle w:val="FootnoteReference"/>
        </w:rPr>
        <w:footnoteReference w:id="183"/>
      </w:r>
      <w:r w:rsidR="00862F01">
        <w:t xml:space="preserve"> </w:t>
      </w:r>
      <w:r w:rsidR="001E18E7">
        <w:t xml:space="preserve">South Africa’s Treatment Action Campaign used rights-based litigation to secure significant reform in HIV/AIDS treatment. </w:t>
      </w:r>
      <w:r w:rsidR="00EB2C76">
        <w:t xml:space="preserve">Ghana’s Legal Resources Centre used the language of ESR to </w:t>
      </w:r>
      <w:r w:rsidR="00EB2C76" w:rsidRPr="00EB2C76">
        <w:t>secure a ruling on the unconstitutionality of detaining</w:t>
      </w:r>
      <w:r w:rsidR="00EB2C76">
        <w:t xml:space="preserve"> </w:t>
      </w:r>
      <w:r w:rsidR="00EB2C76" w:rsidRPr="00EB2C76">
        <w:t xml:space="preserve">mothers and children for </w:t>
      </w:r>
      <w:r w:rsidR="00EB2C76">
        <w:t>failure</w:t>
      </w:r>
      <w:r w:rsidR="00EB2C76" w:rsidRPr="00EB2C76">
        <w:t xml:space="preserve"> to pay medical bills</w:t>
      </w:r>
      <w:r w:rsidR="00EB2C76">
        <w:t>.</w:t>
      </w:r>
      <w:r w:rsidR="00EB2C76">
        <w:rPr>
          <w:rStyle w:val="FootnoteReference"/>
        </w:rPr>
        <w:footnoteReference w:id="184"/>
      </w:r>
      <w:r w:rsidR="00EB2C76">
        <w:t xml:space="preserve"> </w:t>
      </w:r>
      <w:r w:rsidR="001E18E7">
        <w:t xml:space="preserve">Even where unsuccessful, litigation can strengthen a movement by changing public discourse and building broader support. The </w:t>
      </w:r>
      <w:proofErr w:type="spellStart"/>
      <w:r w:rsidR="001E18E7" w:rsidRPr="001E18E7">
        <w:rPr>
          <w:i/>
          <w:iCs/>
        </w:rPr>
        <w:t>Mazibuko</w:t>
      </w:r>
      <w:proofErr w:type="spellEnd"/>
      <w:r w:rsidR="001E18E7">
        <w:t xml:space="preserve"> </w:t>
      </w:r>
      <w:r w:rsidR="004F62A9">
        <w:t>decision</w:t>
      </w:r>
      <w:r w:rsidR="001E18E7">
        <w:t xml:space="preserve"> in South Africa may</w:t>
      </w:r>
      <w:r w:rsidR="00FD48DA">
        <w:t xml:space="preserve"> not have been implemented</w:t>
      </w:r>
      <w:r w:rsidR="001E18E7">
        <w:t xml:space="preserve">, but </w:t>
      </w:r>
      <w:r w:rsidR="00FD48DA">
        <w:t>by defining electricity as a human rights issue</w:t>
      </w:r>
      <w:r w:rsidR="002F67AB">
        <w:t>,</w:t>
      </w:r>
      <w:r w:rsidR="00FD48DA">
        <w:t xml:space="preserve"> litigation </w:t>
      </w:r>
      <w:r w:rsidR="001E18E7">
        <w:t>catalysed forms of bottom-up mobilisation that effectively prevented local government in Johannesburg from disconnecting water</w:t>
      </w:r>
      <w:r w:rsidR="004A335F">
        <w:t>.</w:t>
      </w:r>
      <w:r w:rsidR="001E18E7">
        <w:rPr>
          <w:rStyle w:val="FootnoteReference"/>
        </w:rPr>
        <w:footnoteReference w:id="185"/>
      </w:r>
      <w:r w:rsidR="001E18E7">
        <w:t xml:space="preserve"> </w:t>
      </w:r>
      <w:r w:rsidR="00FD48DA">
        <w:t>More generally,</w:t>
      </w:r>
      <w:r w:rsidR="001E18E7">
        <w:t xml:space="preserve"> where judgments are not enforced, social mobilisation </w:t>
      </w:r>
      <w:r w:rsidR="00FD48DA">
        <w:t xml:space="preserve">tends to </w:t>
      </w:r>
      <w:r w:rsidR="001E18E7">
        <w:t>increase the political costs for recalcitrant authorities of non-enforcement.</w:t>
      </w:r>
      <w:r w:rsidR="001E18E7">
        <w:rPr>
          <w:rStyle w:val="FootnoteReference"/>
        </w:rPr>
        <w:footnoteReference w:id="186"/>
      </w:r>
    </w:p>
    <w:p w14:paraId="48516C2D" w14:textId="456F62A7" w:rsidR="006858BD" w:rsidRDefault="00736038" w:rsidP="00657EFA">
      <w:pPr>
        <w:jc w:val="both"/>
      </w:pPr>
      <w:r>
        <w:t xml:space="preserve">        </w:t>
      </w:r>
      <w:r w:rsidR="00940F67" w:rsidRPr="00940F67">
        <w:t xml:space="preserve">However, </w:t>
      </w:r>
      <w:r w:rsidR="006A38DD">
        <w:t>justiciability is not the primary factor that attracts civil society to ESR.</w:t>
      </w:r>
      <w:r w:rsidR="00940F67" w:rsidRPr="00940F67">
        <w:t xml:space="preserve"> </w:t>
      </w:r>
      <w:r w:rsidR="007B4300">
        <w:t xml:space="preserve">Human </w:t>
      </w:r>
      <w:r w:rsidR="00495A80">
        <w:t xml:space="preserve">rights </w:t>
      </w:r>
      <w:r w:rsidR="007B4300">
        <w:t>have always</w:t>
      </w:r>
      <w:r w:rsidR="00495A80">
        <w:t xml:space="preserve"> </w:t>
      </w:r>
      <w:r w:rsidR="004F62A9">
        <w:t xml:space="preserve">been </w:t>
      </w:r>
      <w:r w:rsidR="00495A80">
        <w:t xml:space="preserve">understood and practiced by social movements </w:t>
      </w:r>
      <w:r w:rsidR="007B4300">
        <w:t xml:space="preserve">more </w:t>
      </w:r>
      <w:r w:rsidR="00495A80">
        <w:t>as a cultural practice than a form of law that merely imposes rules.</w:t>
      </w:r>
      <w:r w:rsidR="00495A80">
        <w:rPr>
          <w:rStyle w:val="FootnoteReference"/>
        </w:rPr>
        <w:footnoteReference w:id="187"/>
      </w:r>
      <w:r w:rsidR="00495A80">
        <w:t xml:space="preserve"> </w:t>
      </w:r>
      <w:r w:rsidR="00940F67" w:rsidRPr="00940F67">
        <w:t>Understandings of the legal derived from social theory focus on law as a ‘social process’ in contradistinction to approaching it primarily as a text or formal legal structures.</w:t>
      </w:r>
      <w:r w:rsidR="00940F67" w:rsidRPr="00940F67">
        <w:rPr>
          <w:rStyle w:val="FootnoteReference"/>
        </w:rPr>
        <w:footnoteReference w:id="188"/>
      </w:r>
      <w:r w:rsidR="00940F67" w:rsidRPr="00940F67">
        <w:t xml:space="preserve"> As a result, litigation co-exists with other strategies to </w:t>
      </w:r>
      <w:r w:rsidR="00940F67">
        <w:t>secure</w:t>
      </w:r>
      <w:r w:rsidR="00940F67" w:rsidRPr="00940F67">
        <w:t xml:space="preserve"> ESR, like information politics (using documents/statistics to strengthen </w:t>
      </w:r>
      <w:r w:rsidR="000853B6">
        <w:t>campaigns</w:t>
      </w:r>
      <w:r w:rsidR="00940F67" w:rsidRPr="00940F67">
        <w:t>), leverage politics (pressure compliance by leaders), accountability politics (holding officials electorally accountable for promises) and symbolic politics (framing issues to foster support).</w:t>
      </w:r>
      <w:r w:rsidR="00940F67" w:rsidRPr="00940F67">
        <w:rPr>
          <w:rStyle w:val="FootnoteReference"/>
        </w:rPr>
        <w:footnoteReference w:id="189"/>
      </w:r>
      <w:r w:rsidR="00495A80">
        <w:t xml:space="preserve"> </w:t>
      </w:r>
      <w:r w:rsidR="00866EF6">
        <w:t xml:space="preserve">Tasks traditionally associated with social movements like analysis, education, lobbying, advocacy, campaigning and monitoring are compatible with litigation, but can be separated entirely from it when </w:t>
      </w:r>
      <w:r w:rsidR="007B4300">
        <w:t xml:space="preserve">social movements </w:t>
      </w:r>
      <w:r w:rsidR="00866EF6">
        <w:t>u</w:t>
      </w:r>
      <w:r w:rsidR="007B4300">
        <w:t>se</w:t>
      </w:r>
      <w:r w:rsidR="00866EF6">
        <w:t xml:space="preserve"> law as a political resource to</w:t>
      </w:r>
      <w:r w:rsidR="007B4300">
        <w:t xml:space="preserve"> frame demands or articulate a </w:t>
      </w:r>
      <w:r w:rsidR="00FB34DE">
        <w:t>b</w:t>
      </w:r>
      <w:r w:rsidR="007B4300">
        <w:t>roader causal story about ESR violations</w:t>
      </w:r>
      <w:r w:rsidR="00866EF6">
        <w:t>.</w:t>
      </w:r>
      <w:r w:rsidR="00E8482C">
        <w:t xml:space="preserve"> When used like this</w:t>
      </w:r>
      <w:r w:rsidR="006A38DD">
        <w:t>,</w:t>
      </w:r>
      <w:r w:rsidR="00E8482C">
        <w:t xml:space="preserve"> ESR operat</w:t>
      </w:r>
      <w:r w:rsidR="004124AD">
        <w:t>e</w:t>
      </w:r>
      <w:r w:rsidR="00E8482C">
        <w:t xml:space="preserve"> as a ‘transformative political practice’ to challenge unjust distributions of power,</w:t>
      </w:r>
      <w:r w:rsidR="00E8482C">
        <w:rPr>
          <w:rStyle w:val="FootnoteReference"/>
        </w:rPr>
        <w:footnoteReference w:id="190"/>
      </w:r>
      <w:r w:rsidR="004124AD">
        <w:t xml:space="preserve"> a Gramscian exercise in discourse transformation,</w:t>
      </w:r>
      <w:r w:rsidR="004124AD">
        <w:rPr>
          <w:rStyle w:val="FootnoteReference"/>
        </w:rPr>
        <w:footnoteReference w:id="191"/>
      </w:r>
      <w:r w:rsidR="004124AD">
        <w:t xml:space="preserve"> a </w:t>
      </w:r>
      <w:r w:rsidR="006858BD">
        <w:t>redistributive</w:t>
      </w:r>
      <w:r w:rsidR="009515CB">
        <w:t xml:space="preserve"> </w:t>
      </w:r>
      <w:r w:rsidR="004124AD">
        <w:t>challenge to market o</w:t>
      </w:r>
      <w:r w:rsidR="009515CB">
        <w:t>r</w:t>
      </w:r>
      <w:r w:rsidR="004124AD">
        <w:t>thodox</w:t>
      </w:r>
      <w:r w:rsidR="009515CB">
        <w:t>y shared with other emancipatory agendas</w:t>
      </w:r>
      <w:r w:rsidR="00CF1693">
        <w:t>.</w:t>
      </w:r>
      <w:r w:rsidR="009515CB">
        <w:rPr>
          <w:rStyle w:val="FootnoteReference"/>
        </w:rPr>
        <w:footnoteReference w:id="192"/>
      </w:r>
      <w:r w:rsidR="009515CB">
        <w:t xml:space="preserve">  </w:t>
      </w:r>
    </w:p>
    <w:p w14:paraId="071233B5" w14:textId="49DD1A89" w:rsidR="00866EF6" w:rsidRPr="006858BD" w:rsidRDefault="00736038" w:rsidP="00657EFA">
      <w:pPr>
        <w:jc w:val="both"/>
      </w:pPr>
      <w:r>
        <w:t xml:space="preserve">        </w:t>
      </w:r>
      <w:r w:rsidR="006858BD">
        <w:t xml:space="preserve">The distinction between legal-constitutionalist </w:t>
      </w:r>
      <w:r w:rsidR="006A38DD">
        <w:t xml:space="preserve">mobilisation </w:t>
      </w:r>
      <w:r w:rsidR="006858BD">
        <w:t xml:space="preserve">and political </w:t>
      </w:r>
      <w:r w:rsidR="004F62A9">
        <w:t>campaigning</w:t>
      </w:r>
      <w:r w:rsidR="006858BD">
        <w:t xml:space="preserve"> should not be over-drawn – both retain continuities of people, methods and principles.</w:t>
      </w:r>
      <w:r w:rsidR="006A38DD">
        <w:t xml:space="preserve"> </w:t>
      </w:r>
      <w:r w:rsidR="006858BD">
        <w:t xml:space="preserve">However, </w:t>
      </w:r>
      <w:r w:rsidR="006858BD">
        <w:rPr>
          <w:color w:val="000000" w:themeColor="text1"/>
        </w:rPr>
        <w:t>u</w:t>
      </w:r>
      <w:r w:rsidR="00CF1693" w:rsidRPr="00657EFA">
        <w:rPr>
          <w:color w:val="000000" w:themeColor="text1"/>
        </w:rPr>
        <w:t>nder th</w:t>
      </w:r>
      <w:r w:rsidR="006858BD">
        <w:rPr>
          <w:color w:val="000000" w:themeColor="text1"/>
        </w:rPr>
        <w:t>e</w:t>
      </w:r>
      <w:r w:rsidR="00CF1693" w:rsidRPr="00657EFA">
        <w:rPr>
          <w:color w:val="000000" w:themeColor="text1"/>
        </w:rPr>
        <w:t xml:space="preserve"> political approach to mobilisation,</w:t>
      </w:r>
      <w:r w:rsidR="004124AD" w:rsidRPr="00657EFA">
        <w:rPr>
          <w:color w:val="000000" w:themeColor="text1"/>
        </w:rPr>
        <w:t xml:space="preserve"> </w:t>
      </w:r>
      <w:r w:rsidR="00CF1693" w:rsidRPr="00657EFA">
        <w:rPr>
          <w:color w:val="000000" w:themeColor="text1"/>
        </w:rPr>
        <w:t>ESR</w:t>
      </w:r>
      <w:r w:rsidR="004124AD" w:rsidRPr="00657EFA">
        <w:rPr>
          <w:color w:val="000000" w:themeColor="text1"/>
        </w:rPr>
        <w:t xml:space="preserve"> </w:t>
      </w:r>
      <w:r w:rsidR="006A38DD">
        <w:rPr>
          <w:color w:val="000000" w:themeColor="text1"/>
        </w:rPr>
        <w:t xml:space="preserve">is </w:t>
      </w:r>
      <w:r w:rsidR="004124AD" w:rsidRPr="00657EFA">
        <w:rPr>
          <w:color w:val="000000" w:themeColor="text1"/>
        </w:rPr>
        <w:t xml:space="preserve">invoked in deliberately partisan and ideological fashion, </w:t>
      </w:r>
      <w:r w:rsidR="00C1306D">
        <w:rPr>
          <w:color w:val="000000" w:themeColor="text1"/>
        </w:rPr>
        <w:t>which can contrasted instructively with</w:t>
      </w:r>
      <w:r w:rsidR="004124AD" w:rsidRPr="00657EFA">
        <w:rPr>
          <w:color w:val="000000" w:themeColor="text1"/>
        </w:rPr>
        <w:t xml:space="preserve"> the neutrality that underpins justiciability arguments.</w:t>
      </w:r>
      <w:r w:rsidR="004124AD" w:rsidRPr="00657EFA">
        <w:rPr>
          <w:rStyle w:val="FootnoteReference"/>
          <w:color w:val="000000" w:themeColor="text1"/>
        </w:rPr>
        <w:footnoteReference w:id="193"/>
      </w:r>
      <w:r w:rsidR="00CF1693" w:rsidRPr="00657EFA">
        <w:rPr>
          <w:color w:val="000000" w:themeColor="text1"/>
        </w:rPr>
        <w:t xml:space="preserve"> </w:t>
      </w:r>
      <w:r w:rsidR="003259B6" w:rsidRPr="00657EFA">
        <w:rPr>
          <w:color w:val="000000" w:themeColor="text1"/>
        </w:rPr>
        <w:t>A</w:t>
      </w:r>
      <w:r w:rsidR="00CF1693" w:rsidRPr="00657EFA">
        <w:rPr>
          <w:color w:val="000000" w:themeColor="text1"/>
        </w:rPr>
        <w:t xml:space="preserve">dvocacy and lobbying approaches </w:t>
      </w:r>
      <w:r w:rsidR="003259B6" w:rsidRPr="00657EFA">
        <w:rPr>
          <w:color w:val="000000" w:themeColor="text1"/>
        </w:rPr>
        <w:t xml:space="preserve">‘can be interpreted politically </w:t>
      </w:r>
      <w:r w:rsidR="003259B6" w:rsidRPr="00657EFA">
        <w:rPr>
          <w:color w:val="000000" w:themeColor="text1"/>
        </w:rPr>
        <w:lastRenderedPageBreak/>
        <w:t>to formulate a particular claim that carries the symbolism of the human rights texts without necessarily having to take the case to court.’</w:t>
      </w:r>
      <w:r w:rsidR="003259B6" w:rsidRPr="00657EFA">
        <w:rPr>
          <w:rStyle w:val="FootnoteReference"/>
          <w:color w:val="000000" w:themeColor="text1"/>
        </w:rPr>
        <w:footnoteReference w:id="194"/>
      </w:r>
      <w:r w:rsidR="003259B6" w:rsidRPr="00657EFA">
        <w:rPr>
          <w:color w:val="000000" w:themeColor="text1"/>
        </w:rPr>
        <w:t xml:space="preserve"> </w:t>
      </w:r>
      <w:r w:rsidR="004A335F">
        <w:rPr>
          <w:color w:val="000000" w:themeColor="text1"/>
        </w:rPr>
        <w:t>For example</w:t>
      </w:r>
      <w:r w:rsidR="000A5EA0">
        <w:rPr>
          <w:color w:val="000000" w:themeColor="text1"/>
        </w:rPr>
        <w:t>,</w:t>
      </w:r>
      <w:r w:rsidR="00657EFA" w:rsidRPr="00657EFA">
        <w:rPr>
          <w:color w:val="000000" w:themeColor="text1"/>
        </w:rPr>
        <w:t xml:space="preserve"> Jean </w:t>
      </w:r>
      <w:proofErr w:type="spellStart"/>
      <w:r w:rsidR="00657EFA" w:rsidRPr="00657EFA">
        <w:rPr>
          <w:color w:val="000000" w:themeColor="text1"/>
        </w:rPr>
        <w:t>Drěze</w:t>
      </w:r>
      <w:proofErr w:type="spellEnd"/>
      <w:r w:rsidR="00657EFA" w:rsidRPr="00657EFA">
        <w:rPr>
          <w:color w:val="000000" w:themeColor="text1"/>
        </w:rPr>
        <w:t xml:space="preserve"> convincingly argues that the courts may not be the optimal avenue for pursuing the right to food. While not dismissing a role for selective litigation, the right to food is more successfully pursued in the democratic public sphere through the demand for protective legislation.</w:t>
      </w:r>
      <w:r w:rsidR="00657EFA" w:rsidRPr="00657EFA">
        <w:rPr>
          <w:rStyle w:val="FootnoteReference"/>
          <w:color w:val="000000" w:themeColor="text1"/>
        </w:rPr>
        <w:footnoteReference w:id="195"/>
      </w:r>
      <w:r w:rsidR="00657EFA" w:rsidRPr="00657EFA">
        <w:rPr>
          <w:color w:val="000000" w:themeColor="text1"/>
        </w:rPr>
        <w:t xml:space="preserve"> </w:t>
      </w:r>
      <w:r w:rsidR="003259B6" w:rsidRPr="00657EFA">
        <w:rPr>
          <w:color w:val="000000" w:themeColor="text1"/>
        </w:rPr>
        <w:t>Particularly in the developing world, litigation strategies are ‘unlikely to be the first strategy of choice for activist organizations’ where it imposes high costs for the poor, atomises social struggles, legal aid is minimal and where implementation is weak.</w:t>
      </w:r>
      <w:r w:rsidR="003259B6" w:rsidRPr="00657EFA">
        <w:rPr>
          <w:rStyle w:val="FootnoteReference"/>
          <w:color w:val="000000" w:themeColor="text1"/>
        </w:rPr>
        <w:footnoteReference w:id="196"/>
      </w:r>
      <w:r w:rsidR="00C30B04">
        <w:rPr>
          <w:color w:val="000000" w:themeColor="text1"/>
        </w:rPr>
        <w:t xml:space="preserve"> In the Asian context, Yash </w:t>
      </w:r>
      <w:proofErr w:type="spellStart"/>
      <w:r w:rsidR="00C30B04">
        <w:rPr>
          <w:color w:val="000000" w:themeColor="text1"/>
        </w:rPr>
        <w:t>Ghai</w:t>
      </w:r>
      <w:proofErr w:type="spellEnd"/>
      <w:r w:rsidR="00C30B04">
        <w:rPr>
          <w:color w:val="000000" w:themeColor="text1"/>
        </w:rPr>
        <w:t xml:space="preserve"> has argued that while litigation is welcome, explicitly political social mobilisation can achieve more to secure grassroots change.</w:t>
      </w:r>
      <w:r w:rsidR="00C30B04">
        <w:rPr>
          <w:rStyle w:val="FootnoteReference"/>
          <w:color w:val="000000" w:themeColor="text1"/>
        </w:rPr>
        <w:footnoteReference w:id="197"/>
      </w:r>
      <w:r w:rsidR="00C30B04">
        <w:rPr>
          <w:color w:val="000000" w:themeColor="text1"/>
        </w:rPr>
        <w:t xml:space="preserve"> </w:t>
      </w:r>
      <w:r w:rsidR="00D5641E">
        <w:rPr>
          <w:color w:val="000000" w:themeColor="text1"/>
        </w:rPr>
        <w:t>Likewise in Latin America, grassroots ESR movements concentrate on projects like popular education and organi</w:t>
      </w:r>
      <w:r w:rsidR="006D2830">
        <w:rPr>
          <w:color w:val="000000" w:themeColor="text1"/>
        </w:rPr>
        <w:t>s</w:t>
      </w:r>
      <w:r w:rsidR="00D5641E">
        <w:rPr>
          <w:color w:val="000000" w:themeColor="text1"/>
        </w:rPr>
        <w:t>ational development, ‘often with a marked distrust of legal procedures.’</w:t>
      </w:r>
      <w:r w:rsidR="00D5641E">
        <w:rPr>
          <w:rStyle w:val="FootnoteReference"/>
          <w:color w:val="000000" w:themeColor="text1"/>
        </w:rPr>
        <w:footnoteReference w:id="198"/>
      </w:r>
      <w:r w:rsidR="00D5641E">
        <w:rPr>
          <w:color w:val="000000" w:themeColor="text1"/>
        </w:rPr>
        <w:t xml:space="preserve"> </w:t>
      </w:r>
      <w:r w:rsidR="002B6021">
        <w:rPr>
          <w:color w:val="000000" w:themeColor="text1"/>
        </w:rPr>
        <w:t>A preference for social mobilisation over the limited gains of ESR-adjacent  judgments has long been a feature of Western states like the post-</w:t>
      </w:r>
      <w:r w:rsidR="002B6021" w:rsidRPr="00C30B04">
        <w:rPr>
          <w:i/>
          <w:iCs/>
          <w:color w:val="000000" w:themeColor="text1"/>
        </w:rPr>
        <w:t>Brown</w:t>
      </w:r>
      <w:r w:rsidR="002B6021">
        <w:rPr>
          <w:color w:val="000000" w:themeColor="text1"/>
        </w:rPr>
        <w:t xml:space="preserve"> United States.</w:t>
      </w:r>
      <w:r w:rsidR="002B6021">
        <w:rPr>
          <w:rStyle w:val="FootnoteReference"/>
          <w:color w:val="000000" w:themeColor="text1"/>
        </w:rPr>
        <w:footnoteReference w:id="199"/>
      </w:r>
    </w:p>
    <w:p w14:paraId="253B7FB9" w14:textId="2CB394AB" w:rsidR="0098022D" w:rsidRDefault="00736038" w:rsidP="0098022D">
      <w:pPr>
        <w:jc w:val="both"/>
      </w:pPr>
      <w:r>
        <w:t xml:space="preserve">        </w:t>
      </w:r>
      <w:r w:rsidR="002429A4">
        <w:t>While for some</w:t>
      </w:r>
      <w:r w:rsidR="004A335F">
        <w:t xml:space="preserve"> groups</w:t>
      </w:r>
      <w:r w:rsidR="002429A4">
        <w:t xml:space="preserve"> ESR </w:t>
      </w:r>
      <w:r w:rsidR="004A335F">
        <w:t>is primarily</w:t>
      </w:r>
      <w:r w:rsidR="002429A4">
        <w:t xml:space="preserve"> a language of aspiration in the process of socialisation and learning over the long term, a more concrete purpose to this discourse change can be discerned. </w:t>
      </w:r>
      <w:r w:rsidR="0098022D">
        <w:t xml:space="preserve">Much social mobilisation involves framing policy failures in terms of an accepted discourse of non-retrogression or progressive realisation. </w:t>
      </w:r>
      <w:r w:rsidR="002429A4">
        <w:t xml:space="preserve">For many civil society groups, ESR advocacy is oriented towards programmatic </w:t>
      </w:r>
      <w:r w:rsidR="0098022D">
        <w:t xml:space="preserve">responses to these failures </w:t>
      </w:r>
      <w:r w:rsidR="002429A4">
        <w:t xml:space="preserve">– making claims through </w:t>
      </w:r>
      <w:r w:rsidR="00834C91">
        <w:t xml:space="preserve">securing ‘space at the table’ for </w:t>
      </w:r>
      <w:r w:rsidR="002429A4">
        <w:t>policy dialogue</w:t>
      </w:r>
      <w:r w:rsidR="00834C91">
        <w:t>,</w:t>
      </w:r>
      <w:r w:rsidR="002429A4">
        <w:t xml:space="preserve"> most notably rights provision in </w:t>
      </w:r>
      <w:r w:rsidR="00B45AA2">
        <w:t xml:space="preserve">the </w:t>
      </w:r>
      <w:r w:rsidR="002429A4">
        <w:t>sector or macro policy</w:t>
      </w:r>
      <w:r w:rsidR="00B45AA2">
        <w:t xml:space="preserve"> arenas</w:t>
      </w:r>
      <w:r w:rsidR="00834C91">
        <w:t>.</w:t>
      </w:r>
      <w:r w:rsidR="00834C91">
        <w:rPr>
          <w:rStyle w:val="FootnoteReference"/>
        </w:rPr>
        <w:footnoteReference w:id="200"/>
      </w:r>
      <w:r w:rsidR="002429A4">
        <w:t xml:space="preserve"> </w:t>
      </w:r>
      <w:r w:rsidR="0098022D">
        <w:t>As the UN Research Institute for Social Development puts it:</w:t>
      </w:r>
    </w:p>
    <w:p w14:paraId="39A61557" w14:textId="77777777" w:rsidR="002660AF" w:rsidRDefault="002660AF" w:rsidP="0098022D">
      <w:pPr>
        <w:ind w:left="454" w:right="454"/>
        <w:jc w:val="both"/>
        <w:rPr>
          <w:sz w:val="23"/>
          <w:szCs w:val="23"/>
        </w:rPr>
      </w:pPr>
    </w:p>
    <w:p w14:paraId="769FAF00" w14:textId="338D80D9" w:rsidR="0098022D" w:rsidRDefault="0098022D" w:rsidP="0098022D">
      <w:pPr>
        <w:ind w:left="454" w:right="454"/>
        <w:jc w:val="both"/>
        <w:rPr>
          <w:sz w:val="23"/>
          <w:szCs w:val="23"/>
        </w:rPr>
      </w:pPr>
      <w:r w:rsidRPr="00834C91">
        <w:rPr>
          <w:sz w:val="23"/>
          <w:szCs w:val="23"/>
        </w:rPr>
        <w:t>Social movements and social contestation are</w:t>
      </w:r>
      <w:r>
        <w:rPr>
          <w:sz w:val="23"/>
          <w:szCs w:val="23"/>
        </w:rPr>
        <w:t xml:space="preserve"> </w:t>
      </w:r>
      <w:r w:rsidRPr="00834C91">
        <w:rPr>
          <w:sz w:val="23"/>
          <w:szCs w:val="23"/>
        </w:rPr>
        <w:t>important determinants of social policy. Such</w:t>
      </w:r>
      <w:r>
        <w:rPr>
          <w:sz w:val="23"/>
          <w:szCs w:val="23"/>
        </w:rPr>
        <w:t xml:space="preserve"> </w:t>
      </w:r>
      <w:r w:rsidRPr="00834C91">
        <w:rPr>
          <w:sz w:val="23"/>
          <w:szCs w:val="23"/>
        </w:rPr>
        <w:t>movements have affected social policies in direct and</w:t>
      </w:r>
      <w:r>
        <w:rPr>
          <w:sz w:val="23"/>
          <w:szCs w:val="23"/>
        </w:rPr>
        <w:t xml:space="preserve"> </w:t>
      </w:r>
      <w:r w:rsidRPr="00834C91">
        <w:rPr>
          <w:sz w:val="23"/>
          <w:szCs w:val="23"/>
        </w:rPr>
        <w:t>indirect ways. In the most direct way, social mobilization</w:t>
      </w:r>
      <w:r>
        <w:rPr>
          <w:sz w:val="23"/>
          <w:szCs w:val="23"/>
        </w:rPr>
        <w:t xml:space="preserve"> </w:t>
      </w:r>
      <w:r w:rsidRPr="00834C91">
        <w:rPr>
          <w:sz w:val="23"/>
          <w:szCs w:val="23"/>
        </w:rPr>
        <w:t>has placed certain items on the policy agenda. In many</w:t>
      </w:r>
      <w:r>
        <w:rPr>
          <w:sz w:val="23"/>
          <w:szCs w:val="23"/>
        </w:rPr>
        <w:t xml:space="preserve"> </w:t>
      </w:r>
      <w:r w:rsidRPr="00834C91">
        <w:rPr>
          <w:sz w:val="23"/>
          <w:szCs w:val="23"/>
        </w:rPr>
        <w:t>cases, elite understanding of what is required to pre-empt or forestall social unrest may have driven social</w:t>
      </w:r>
      <w:r>
        <w:rPr>
          <w:sz w:val="23"/>
          <w:szCs w:val="23"/>
        </w:rPr>
        <w:t xml:space="preserve"> </w:t>
      </w:r>
      <w:r w:rsidRPr="00834C91">
        <w:rPr>
          <w:sz w:val="23"/>
          <w:szCs w:val="23"/>
        </w:rPr>
        <w:t>reform</w:t>
      </w:r>
      <w:r>
        <w:rPr>
          <w:sz w:val="23"/>
          <w:szCs w:val="23"/>
        </w:rPr>
        <w:t>.</w:t>
      </w:r>
      <w:r>
        <w:rPr>
          <w:rStyle w:val="FootnoteReference"/>
          <w:sz w:val="23"/>
          <w:szCs w:val="23"/>
        </w:rPr>
        <w:footnoteReference w:id="201"/>
      </w:r>
    </w:p>
    <w:p w14:paraId="5694E14B" w14:textId="77777777" w:rsidR="002660AF" w:rsidRPr="00834C91" w:rsidRDefault="002660AF" w:rsidP="0098022D">
      <w:pPr>
        <w:ind w:left="454" w:right="454"/>
        <w:jc w:val="both"/>
      </w:pPr>
    </w:p>
    <w:p w14:paraId="7AC79ED7" w14:textId="6980F479" w:rsidR="0098022D" w:rsidRDefault="000853B6" w:rsidP="0098022D">
      <w:pPr>
        <w:jc w:val="both"/>
      </w:pPr>
      <w:r>
        <w:t>Of course, because social movements emphasis</w:t>
      </w:r>
      <w:r w:rsidR="00E3184D">
        <w:t>e</w:t>
      </w:r>
      <w:r>
        <w:t xml:space="preserve"> public goods like healthcare and education, they depend on constructive relations with institutions of governance. </w:t>
      </w:r>
      <w:r w:rsidR="004A335F">
        <w:t>Like HRBAD, c</w:t>
      </w:r>
      <w:r w:rsidR="00834C91">
        <w:t xml:space="preserve">ontemporary ESR mobilisations </w:t>
      </w:r>
      <w:r w:rsidR="0098022D">
        <w:t>sometimes</w:t>
      </w:r>
      <w:r w:rsidR="00834C91">
        <w:t xml:space="preserve"> consciously eschew ‘adversarial, dyadic’ relations with the state to instead ‘advocate more effectively for what programmatically relevant actions could be taken.’</w:t>
      </w:r>
      <w:r w:rsidR="00834C91">
        <w:rPr>
          <w:rStyle w:val="FootnoteReference"/>
        </w:rPr>
        <w:footnoteReference w:id="202"/>
      </w:r>
      <w:r w:rsidR="00834C91">
        <w:t xml:space="preserve"> </w:t>
      </w:r>
      <w:r w:rsidR="0098022D">
        <w:t xml:space="preserve"> </w:t>
      </w:r>
      <w:r w:rsidR="00911147">
        <w:t>Law reform is a central component of</w:t>
      </w:r>
      <w:r w:rsidR="0098022D">
        <w:t xml:space="preserve"> most human rights struggles in the developing world, but beyond this social movements increasingly emphasise ‘the need to develop new programmatic responses’ to crises ‘that go beyond simply claiming right</w:t>
      </w:r>
      <w:r w:rsidR="00FB34DE">
        <w:t>s</w:t>
      </w:r>
      <w:r w:rsidR="0098022D">
        <w:t xml:space="preserve"> to this or that resource or status, and that create very different kinds of solutions that are </w:t>
      </w:r>
      <w:r w:rsidR="0098022D">
        <w:lastRenderedPageBreak/>
        <w:t>more effective in addressing needs.’</w:t>
      </w:r>
      <w:r w:rsidR="0098022D">
        <w:rPr>
          <w:rStyle w:val="FootnoteReference"/>
        </w:rPr>
        <w:footnoteReference w:id="203"/>
      </w:r>
      <w:r w:rsidR="0098022D">
        <w:t xml:space="preserve"> </w:t>
      </w:r>
      <w:r w:rsidR="00B45AA2">
        <w:t>Young is correct when she argues that u</w:t>
      </w:r>
      <w:r w:rsidR="0098022D">
        <w:t>nderstanding th</w:t>
      </w:r>
      <w:r w:rsidR="00C6104C">
        <w:t>is</w:t>
      </w:r>
      <w:r w:rsidR="0098022D">
        <w:t xml:space="preserve"> </w:t>
      </w:r>
      <w:r w:rsidR="00C6104C">
        <w:t>aspect</w:t>
      </w:r>
      <w:r w:rsidR="0098022D">
        <w:t xml:space="preserve"> of social movements breaks the assumed link between rights talk and litigiousness.</w:t>
      </w:r>
      <w:r w:rsidR="0098022D">
        <w:rPr>
          <w:rStyle w:val="FootnoteReference"/>
        </w:rPr>
        <w:footnoteReference w:id="204"/>
      </w:r>
      <w:r w:rsidR="0098022D">
        <w:t xml:space="preserve"> </w:t>
      </w:r>
      <w:r w:rsidR="00B45AA2">
        <w:t>However, i</w:t>
      </w:r>
      <w:r w:rsidR="0098022D">
        <w:t>n so doing, it also draw</w:t>
      </w:r>
      <w:r w:rsidR="00FB34DE">
        <w:t>s</w:t>
      </w:r>
      <w:r w:rsidR="0098022D">
        <w:t xml:space="preserve"> attention to the </w:t>
      </w:r>
      <w:r w:rsidR="00E3184D">
        <w:t xml:space="preserve">core theme explored in this article – the </w:t>
      </w:r>
      <w:r w:rsidR="0098022D">
        <w:t>limits of the justiciable and the promise of the programmatic.</w:t>
      </w:r>
    </w:p>
    <w:p w14:paraId="28950142" w14:textId="57258E1F" w:rsidR="00CF1693" w:rsidRDefault="00CF1693" w:rsidP="00940F67">
      <w:pPr>
        <w:jc w:val="both"/>
      </w:pPr>
    </w:p>
    <w:p w14:paraId="212B5610" w14:textId="4AB8A381" w:rsidR="00CE2ECF" w:rsidRPr="00DB5F8B" w:rsidRDefault="004A335F" w:rsidP="00736038">
      <w:pPr>
        <w:jc w:val="center"/>
      </w:pPr>
      <w:r w:rsidRPr="00DB5F8B">
        <w:t xml:space="preserve">4. </w:t>
      </w:r>
      <w:r w:rsidR="00736038" w:rsidRPr="00DB5F8B">
        <w:t>CONCLUSION</w:t>
      </w:r>
    </w:p>
    <w:p w14:paraId="69FF2BF4" w14:textId="24EE06CB" w:rsidR="00EC56F7" w:rsidRDefault="00EC56F7"/>
    <w:p w14:paraId="12D1935A" w14:textId="75FF3870" w:rsidR="00C95BCC" w:rsidRDefault="00E13AF0" w:rsidP="00C95BCC">
      <w:pPr>
        <w:jc w:val="both"/>
        <w:rPr>
          <w:color w:val="000000"/>
        </w:rPr>
      </w:pPr>
      <w:r w:rsidRPr="009F7DE7">
        <w:t xml:space="preserve">This article began by outlining how </w:t>
      </w:r>
      <w:r w:rsidR="00CF4BD0">
        <w:t>the</w:t>
      </w:r>
      <w:r w:rsidRPr="009F7DE7">
        <w:t xml:space="preserve"> debate</w:t>
      </w:r>
      <w:r w:rsidR="00CF4BD0">
        <w:t>s</w:t>
      </w:r>
      <w:r w:rsidRPr="009F7DE7">
        <w:t xml:space="preserve"> over justiciability</w:t>
      </w:r>
      <w:r w:rsidR="00CF4BD0">
        <w:t xml:space="preserve">, and in particular the need to distinguish the justiciable from </w:t>
      </w:r>
      <w:r w:rsidR="00A46AA1">
        <w:t>a</w:t>
      </w:r>
      <w:r w:rsidR="00F97E36">
        <w:t>n unhelpfully</w:t>
      </w:r>
      <w:r w:rsidR="00A46AA1">
        <w:t xml:space="preserve"> pejorative understanding of the </w:t>
      </w:r>
      <w:r w:rsidR="00F97E36">
        <w:t>programmatic</w:t>
      </w:r>
      <w:r w:rsidR="00A46AA1">
        <w:t>, undermin</w:t>
      </w:r>
      <w:r w:rsidR="00AB09E0">
        <w:t>ed</w:t>
      </w:r>
      <w:r w:rsidR="00A46AA1">
        <w:t xml:space="preserve"> serious and systematic analysis</w:t>
      </w:r>
      <w:r w:rsidR="00F97E36">
        <w:t xml:space="preserve"> of the latter</w:t>
      </w:r>
      <w:r w:rsidR="00A46AA1">
        <w:t xml:space="preserve">. </w:t>
      </w:r>
      <w:r w:rsidR="00CF4BD0" w:rsidRPr="009F7DE7">
        <w:t xml:space="preserve">The debate was </w:t>
      </w:r>
      <w:r w:rsidR="00CF4BD0">
        <w:t>necessary</w:t>
      </w:r>
      <w:r w:rsidR="00CF4BD0" w:rsidRPr="009F7DE7">
        <w:t xml:space="preserve"> given the regrettable tendency on the part of state actors to </w:t>
      </w:r>
      <w:r w:rsidR="00C95BCC">
        <w:t xml:space="preserve">(speciously) </w:t>
      </w:r>
      <w:r w:rsidR="00CF4BD0" w:rsidRPr="009F7DE7">
        <w:t xml:space="preserve">stress the </w:t>
      </w:r>
      <w:r w:rsidR="00C95BCC">
        <w:t xml:space="preserve">purely </w:t>
      </w:r>
      <w:r w:rsidR="00CF4BD0" w:rsidRPr="009F7DE7">
        <w:t>programmatic nature of ESR to the detriment of proper</w:t>
      </w:r>
      <w:r w:rsidR="00CF4BD0">
        <w:t>ly</w:t>
      </w:r>
      <w:r w:rsidR="00CF4BD0" w:rsidRPr="009F7DE7">
        <w:t xml:space="preserve"> grasp</w:t>
      </w:r>
      <w:r w:rsidR="00CF4BD0">
        <w:t>ing</w:t>
      </w:r>
      <w:r w:rsidR="00CF4BD0" w:rsidRPr="009F7DE7">
        <w:t xml:space="preserve"> legal obligations that</w:t>
      </w:r>
      <w:r w:rsidR="00CF4BD0">
        <w:t xml:space="preserve"> attached in the here and now.</w:t>
      </w:r>
      <w:r w:rsidR="00CF4BD0" w:rsidRPr="009F7DE7">
        <w:rPr>
          <w:rStyle w:val="FootnoteReference"/>
        </w:rPr>
        <w:footnoteReference w:id="205"/>
      </w:r>
      <w:r w:rsidR="00CF4BD0" w:rsidRPr="009F7DE7">
        <w:t xml:space="preserve"> There is little doubt t</w:t>
      </w:r>
      <w:r w:rsidR="00CF4BD0">
        <w:t>hat early</w:t>
      </w:r>
      <w:r w:rsidR="00CF4BD0" w:rsidRPr="009F7DE7">
        <w:t xml:space="preserve"> insistence </w:t>
      </w:r>
      <w:r w:rsidR="00CF4BD0">
        <w:t xml:space="preserve">by ESR-sceptics </w:t>
      </w:r>
      <w:r w:rsidR="00CF4BD0" w:rsidRPr="009F7DE7">
        <w:t>of the exclusively or primarily programmatic nature of ESR served ‘an ‘independent brake on the opportunities’ for judicial consideration of these rights.</w:t>
      </w:r>
      <w:r w:rsidR="00CF4BD0" w:rsidRPr="009F7DE7">
        <w:rPr>
          <w:rStyle w:val="FootnoteReference"/>
        </w:rPr>
        <w:footnoteReference w:id="206"/>
      </w:r>
      <w:r w:rsidR="00CF4BD0" w:rsidRPr="009F7DE7">
        <w:t xml:space="preserve"> </w:t>
      </w:r>
      <w:r w:rsidR="00E40122" w:rsidRPr="009F7DE7">
        <w:t>These arguments have been put to bed</w:t>
      </w:r>
      <w:r w:rsidR="003B3F84" w:rsidRPr="009F7DE7">
        <w:t xml:space="preserve">, for reasons explored in </w:t>
      </w:r>
      <w:r w:rsidR="0076559D">
        <w:t>Part I</w:t>
      </w:r>
      <w:r w:rsidR="003B3F84" w:rsidRPr="009F7DE7">
        <w:t xml:space="preserve">. </w:t>
      </w:r>
      <w:r w:rsidR="00AB09E0">
        <w:t>This</w:t>
      </w:r>
      <w:r w:rsidR="00C95BCC">
        <w:t xml:space="preserve"> dichotomised debate positing an </w:t>
      </w:r>
      <w:r w:rsidR="00C95BCC" w:rsidRPr="009F7DE7">
        <w:t>absolute division between a ‘correct’ view of ESR as legal rights attaching legal remedies, on the one hand, and an ‘incorrect’ view of ESR as mere goals whose fulfilment requires economic and strategic policy-making</w:t>
      </w:r>
      <w:r w:rsidR="00C95BCC">
        <w:t>, on the other</w:t>
      </w:r>
      <w:r w:rsidR="00AB09E0">
        <w:t xml:space="preserve"> </w:t>
      </w:r>
      <w:r w:rsidR="00C95BCC" w:rsidRPr="00C95BCC">
        <w:t xml:space="preserve">was </w:t>
      </w:r>
      <w:r w:rsidR="00C95BCC" w:rsidRPr="00C95BCC">
        <w:rPr>
          <w:color w:val="000000"/>
        </w:rPr>
        <w:t>an artifact of explanation, not an aspect of legal reality</w:t>
      </w:r>
      <w:r w:rsidR="00AB09E0">
        <w:rPr>
          <w:color w:val="000000"/>
        </w:rPr>
        <w:t>.</w:t>
      </w:r>
      <w:r w:rsidR="00AB09E0" w:rsidRPr="00AB09E0">
        <w:rPr>
          <w:rStyle w:val="FootnoteReference"/>
        </w:rPr>
        <w:t xml:space="preserve"> </w:t>
      </w:r>
      <w:r w:rsidR="00AB09E0" w:rsidRPr="009F7DE7">
        <w:rPr>
          <w:rStyle w:val="FootnoteReference"/>
        </w:rPr>
        <w:footnoteReference w:id="207"/>
      </w:r>
      <w:r w:rsidR="00AB09E0">
        <w:t xml:space="preserve"> </w:t>
      </w:r>
      <w:r w:rsidR="00C95BCC">
        <w:rPr>
          <w:i/>
          <w:iCs/>
          <w:color w:val="000000"/>
        </w:rPr>
        <w:t xml:space="preserve"> </w:t>
      </w:r>
      <w:r w:rsidR="00C95BCC">
        <w:rPr>
          <w:color w:val="000000"/>
        </w:rPr>
        <w:t>Scholars recognise there</w:t>
      </w:r>
      <w:r w:rsidR="00C95BCC" w:rsidRPr="009F7DE7">
        <w:rPr>
          <w:color w:val="000000"/>
        </w:rPr>
        <w:t xml:space="preserve"> is a contrapuntal sympathy between the two - some aspects of ESR are both justiciable and programmatic, some are justiciable but not programmatic, while some are programmatic but not justiciable. </w:t>
      </w:r>
      <w:r w:rsidR="00C95BCC">
        <w:rPr>
          <w:color w:val="000000"/>
        </w:rPr>
        <w:t xml:space="preserve">However, there remained a residual reluctance to fully acknowledge that some aspects of ESR realisation are programmatic lest it undermine these claims for justiciability. </w:t>
      </w:r>
    </w:p>
    <w:p w14:paraId="2192C98F" w14:textId="619D0B7D" w:rsidR="00E40122" w:rsidRPr="000D414F" w:rsidRDefault="00C95BCC" w:rsidP="00E17DAA">
      <w:pPr>
        <w:pStyle w:val="CommentTex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This article has </w:t>
      </w:r>
      <w:r w:rsidR="00AB09E0">
        <w:rPr>
          <w:rFonts w:ascii="Times New Roman" w:hAnsi="Times New Roman" w:cs="Times New Roman"/>
          <w:color w:val="000000"/>
          <w:sz w:val="24"/>
          <w:szCs w:val="24"/>
        </w:rPr>
        <w:t>attempted to define and elaborate</w:t>
      </w:r>
      <w:r w:rsidRPr="000D414F">
        <w:rPr>
          <w:rFonts w:ascii="Times New Roman" w:hAnsi="Times New Roman" w:cs="Times New Roman"/>
          <w:color w:val="000000"/>
          <w:sz w:val="24"/>
          <w:szCs w:val="24"/>
        </w:rPr>
        <w:t xml:space="preserve"> the meaning of these programmatic obligations</w:t>
      </w:r>
      <w:r w:rsidR="000D414F" w:rsidRPr="000D414F">
        <w:rPr>
          <w:rFonts w:ascii="Times New Roman" w:hAnsi="Times New Roman" w:cs="Times New Roman"/>
          <w:color w:val="000000"/>
          <w:sz w:val="24"/>
          <w:szCs w:val="24"/>
        </w:rPr>
        <w:t xml:space="preserve">. </w:t>
      </w:r>
      <w:r w:rsidR="00AB09E0">
        <w:rPr>
          <w:rFonts w:ascii="Times New Roman" w:hAnsi="Times New Roman" w:cs="Times New Roman"/>
          <w:color w:val="000000"/>
          <w:sz w:val="24"/>
          <w:szCs w:val="24"/>
        </w:rPr>
        <w:t>They are</w:t>
      </w:r>
      <w:r w:rsidR="00127B84" w:rsidRPr="000D414F">
        <w:rPr>
          <w:rFonts w:ascii="Times New Roman" w:hAnsi="Times New Roman" w:cs="Times New Roman"/>
          <w:color w:val="000000"/>
          <w:sz w:val="24"/>
          <w:szCs w:val="24"/>
        </w:rPr>
        <w:t xml:space="preserve"> understood as</w:t>
      </w:r>
      <w:r w:rsidR="00E13AF0" w:rsidRPr="000D414F">
        <w:rPr>
          <w:rFonts w:ascii="Times New Roman" w:hAnsi="Times New Roman" w:cs="Times New Roman"/>
          <w:color w:val="000000"/>
          <w:sz w:val="24"/>
          <w:szCs w:val="24"/>
        </w:rPr>
        <w:t xml:space="preserve"> </w:t>
      </w:r>
      <w:r w:rsidR="00E13AF0" w:rsidRPr="000D414F">
        <w:rPr>
          <w:rFonts w:ascii="Times New Roman" w:hAnsi="Times New Roman" w:cs="Times New Roman"/>
          <w:sz w:val="24"/>
          <w:szCs w:val="24"/>
        </w:rPr>
        <w:t xml:space="preserve">clear, specific, ambitious </w:t>
      </w:r>
      <w:r w:rsidR="000D414F" w:rsidRPr="000D414F">
        <w:rPr>
          <w:rFonts w:ascii="Times New Roman" w:hAnsi="Times New Roman" w:cs="Times New Roman"/>
          <w:sz w:val="24"/>
          <w:szCs w:val="24"/>
        </w:rPr>
        <w:t>(</w:t>
      </w:r>
      <w:r w:rsidR="00E13AF0" w:rsidRPr="000D414F">
        <w:rPr>
          <w:rFonts w:ascii="Times New Roman" w:hAnsi="Times New Roman" w:cs="Times New Roman"/>
          <w:sz w:val="24"/>
          <w:szCs w:val="24"/>
        </w:rPr>
        <w:t>but manageable</w:t>
      </w:r>
      <w:r w:rsidR="000D414F" w:rsidRPr="000D414F">
        <w:rPr>
          <w:rFonts w:ascii="Times New Roman" w:hAnsi="Times New Roman" w:cs="Times New Roman"/>
          <w:sz w:val="24"/>
          <w:szCs w:val="24"/>
        </w:rPr>
        <w:t>)</w:t>
      </w:r>
      <w:r w:rsidR="00896108" w:rsidRPr="000D414F">
        <w:rPr>
          <w:rFonts w:ascii="Times New Roman" w:hAnsi="Times New Roman" w:cs="Times New Roman"/>
          <w:sz w:val="24"/>
          <w:szCs w:val="24"/>
        </w:rPr>
        <w:t xml:space="preserve"> </w:t>
      </w:r>
      <w:r w:rsidR="000D414F" w:rsidRPr="000D414F">
        <w:rPr>
          <w:rFonts w:ascii="Times New Roman" w:hAnsi="Times New Roman" w:cs="Times New Roman"/>
          <w:sz w:val="24"/>
          <w:szCs w:val="24"/>
        </w:rPr>
        <w:t xml:space="preserve">operational principles to delineate what governments and other duty-bearers are responsible for in realising the obligations of the Covenant. </w:t>
      </w:r>
      <w:r w:rsidR="00AB09E0">
        <w:rPr>
          <w:rFonts w:ascii="Times New Roman" w:hAnsi="Times New Roman" w:cs="Times New Roman"/>
          <w:color w:val="000000"/>
          <w:sz w:val="24"/>
          <w:szCs w:val="24"/>
        </w:rPr>
        <w:t>The concept</w:t>
      </w:r>
      <w:r w:rsidR="000D414F">
        <w:rPr>
          <w:rFonts w:ascii="Times New Roman" w:hAnsi="Times New Roman" w:cs="Times New Roman"/>
          <w:color w:val="000000"/>
          <w:sz w:val="24"/>
          <w:szCs w:val="24"/>
        </w:rPr>
        <w:t xml:space="preserve"> </w:t>
      </w:r>
      <w:r w:rsidR="00896108" w:rsidRPr="00E17DAA">
        <w:rPr>
          <w:rFonts w:ascii="Times New Roman" w:hAnsi="Times New Roman" w:cs="Times New Roman"/>
          <w:sz w:val="24"/>
          <w:szCs w:val="24"/>
        </w:rPr>
        <w:t>draw</w:t>
      </w:r>
      <w:r w:rsidR="000D414F">
        <w:rPr>
          <w:rFonts w:ascii="Times New Roman" w:hAnsi="Times New Roman" w:cs="Times New Roman"/>
          <w:sz w:val="24"/>
          <w:szCs w:val="24"/>
        </w:rPr>
        <w:t>s</w:t>
      </w:r>
      <w:r w:rsidR="00896108" w:rsidRPr="00E17DAA">
        <w:rPr>
          <w:rFonts w:ascii="Times New Roman" w:hAnsi="Times New Roman" w:cs="Times New Roman"/>
          <w:sz w:val="24"/>
          <w:szCs w:val="24"/>
        </w:rPr>
        <w:t xml:space="preserve"> on the breadth of the obligation to </w:t>
      </w:r>
      <w:r w:rsidR="00D42B21" w:rsidRPr="00E17DAA">
        <w:rPr>
          <w:rFonts w:ascii="Times New Roman" w:hAnsi="Times New Roman" w:cs="Times New Roman"/>
          <w:sz w:val="24"/>
          <w:szCs w:val="24"/>
        </w:rPr>
        <w:t>‘</w:t>
      </w:r>
      <w:r w:rsidR="00896108" w:rsidRPr="00E17DAA">
        <w:rPr>
          <w:rFonts w:ascii="Times New Roman" w:hAnsi="Times New Roman" w:cs="Times New Roman"/>
          <w:sz w:val="24"/>
          <w:szCs w:val="24"/>
        </w:rPr>
        <w:t>take steps</w:t>
      </w:r>
      <w:r w:rsidR="00D42B21" w:rsidRPr="00E17DAA">
        <w:rPr>
          <w:rFonts w:ascii="Times New Roman" w:hAnsi="Times New Roman" w:cs="Times New Roman"/>
          <w:sz w:val="24"/>
          <w:szCs w:val="24"/>
        </w:rPr>
        <w:t>’</w:t>
      </w:r>
      <w:r w:rsidR="00896108" w:rsidRPr="00E17DAA">
        <w:rPr>
          <w:rFonts w:ascii="Times New Roman" w:hAnsi="Times New Roman" w:cs="Times New Roman"/>
          <w:sz w:val="24"/>
          <w:szCs w:val="24"/>
        </w:rPr>
        <w:t xml:space="preserve"> and giv</w:t>
      </w:r>
      <w:r w:rsidR="000D414F">
        <w:rPr>
          <w:rFonts w:ascii="Times New Roman" w:hAnsi="Times New Roman" w:cs="Times New Roman"/>
          <w:sz w:val="24"/>
          <w:szCs w:val="24"/>
        </w:rPr>
        <w:t>es</w:t>
      </w:r>
      <w:r w:rsidR="00896108" w:rsidRPr="00E17DAA">
        <w:rPr>
          <w:rFonts w:ascii="Times New Roman" w:hAnsi="Times New Roman" w:cs="Times New Roman"/>
          <w:sz w:val="24"/>
          <w:szCs w:val="24"/>
        </w:rPr>
        <w:t xml:space="preserve"> meaningful effect to the </w:t>
      </w:r>
      <w:r w:rsidR="005C1808" w:rsidRPr="00E17DAA">
        <w:rPr>
          <w:rFonts w:ascii="Times New Roman" w:hAnsi="Times New Roman" w:cs="Times New Roman"/>
          <w:sz w:val="24"/>
          <w:szCs w:val="24"/>
        </w:rPr>
        <w:t xml:space="preserve">reality </w:t>
      </w:r>
      <w:r w:rsidR="00896108" w:rsidRPr="00E17DAA">
        <w:rPr>
          <w:rFonts w:ascii="Times New Roman" w:hAnsi="Times New Roman" w:cs="Times New Roman"/>
          <w:sz w:val="24"/>
          <w:szCs w:val="24"/>
        </w:rPr>
        <w:t>of progressive realisation</w:t>
      </w:r>
      <w:r w:rsidR="009F7DE7" w:rsidRPr="00E17DAA">
        <w:rPr>
          <w:rFonts w:ascii="Times New Roman" w:hAnsi="Times New Roman" w:cs="Times New Roman"/>
          <w:sz w:val="24"/>
          <w:szCs w:val="24"/>
        </w:rPr>
        <w:t xml:space="preserve"> to shape laws, policies, programmes and projects</w:t>
      </w:r>
      <w:r w:rsidR="00E40122" w:rsidRPr="00E17DAA">
        <w:rPr>
          <w:rFonts w:ascii="Times New Roman" w:hAnsi="Times New Roman" w:cs="Times New Roman"/>
          <w:sz w:val="24"/>
          <w:szCs w:val="24"/>
        </w:rPr>
        <w:t xml:space="preserve">. </w:t>
      </w:r>
      <w:r w:rsidR="00E17DAA" w:rsidRPr="00E17DAA">
        <w:rPr>
          <w:rFonts w:ascii="Times New Roman" w:hAnsi="Times New Roman" w:cs="Times New Roman"/>
          <w:sz w:val="24"/>
          <w:szCs w:val="24"/>
        </w:rPr>
        <w:t xml:space="preserve"> A programmatic approach in this sense would vindicate the notion that the primary purpose of the </w:t>
      </w:r>
      <w:r w:rsidR="000D414F">
        <w:rPr>
          <w:rFonts w:ascii="Times New Roman" w:hAnsi="Times New Roman" w:cs="Times New Roman"/>
          <w:sz w:val="24"/>
          <w:szCs w:val="24"/>
        </w:rPr>
        <w:t xml:space="preserve">ICESCR </w:t>
      </w:r>
      <w:r w:rsidR="00E17DAA" w:rsidRPr="00E17DAA">
        <w:rPr>
          <w:rFonts w:ascii="Times New Roman" w:hAnsi="Times New Roman" w:cs="Times New Roman"/>
          <w:sz w:val="24"/>
          <w:szCs w:val="24"/>
        </w:rPr>
        <w:t>and its monitoring apparatus is to galvanise governments into undertaking the necessary domestic policy and legislation to ensure citizens the protection of their rights in practice, with adjudication in a court of law as a residual imperative.</w:t>
      </w:r>
      <w:r w:rsidR="00E17DAA" w:rsidRPr="00E17DAA">
        <w:rPr>
          <w:rStyle w:val="FootnoteReference"/>
          <w:rFonts w:ascii="Times New Roman" w:hAnsi="Times New Roman" w:cs="Times New Roman"/>
          <w:sz w:val="24"/>
          <w:szCs w:val="24"/>
        </w:rPr>
        <w:footnoteReference w:id="208"/>
      </w:r>
      <w:r w:rsidR="00E17DAA" w:rsidRPr="00E17DAA">
        <w:rPr>
          <w:rFonts w:ascii="Times New Roman" w:hAnsi="Times New Roman" w:cs="Times New Roman"/>
          <w:sz w:val="24"/>
          <w:szCs w:val="24"/>
        </w:rPr>
        <w:t xml:space="preserve"> </w:t>
      </w:r>
      <w:r w:rsidR="00E17DAA">
        <w:rPr>
          <w:rFonts w:ascii="Times New Roman" w:hAnsi="Times New Roman" w:cs="Times New Roman"/>
          <w:sz w:val="24"/>
          <w:szCs w:val="24"/>
        </w:rPr>
        <w:t xml:space="preserve">In a more assertive era for ESR theorisation, unshackled from old debates about the absolute or relative status of ESR, it will be interesting to see to what extent the programmatic aspects of ESR are foregrounded. </w:t>
      </w:r>
      <w:r w:rsidR="007D099D">
        <w:rPr>
          <w:rFonts w:ascii="Times New Roman" w:hAnsi="Times New Roman" w:cs="Times New Roman"/>
          <w:sz w:val="24"/>
          <w:szCs w:val="24"/>
        </w:rPr>
        <w:t>T</w:t>
      </w:r>
      <w:r w:rsidR="00E17DAA">
        <w:rPr>
          <w:rFonts w:ascii="Times New Roman" w:hAnsi="Times New Roman" w:cs="Times New Roman"/>
          <w:sz w:val="24"/>
          <w:szCs w:val="24"/>
        </w:rPr>
        <w:t xml:space="preserve">here is an incipient move from retrospective violation- or fault-based approaches to ESR premised on </w:t>
      </w:r>
      <w:r w:rsidR="00AA4D10">
        <w:rPr>
          <w:rFonts w:ascii="Times New Roman" w:hAnsi="Times New Roman" w:cs="Times New Roman"/>
          <w:sz w:val="24"/>
          <w:szCs w:val="24"/>
        </w:rPr>
        <w:t>identifying breaches by</w:t>
      </w:r>
      <w:r w:rsidR="00E17DAA">
        <w:rPr>
          <w:rFonts w:ascii="Times New Roman" w:hAnsi="Times New Roman" w:cs="Times New Roman"/>
          <w:sz w:val="24"/>
          <w:szCs w:val="24"/>
        </w:rPr>
        <w:t xml:space="preserve"> governments or agencies towards more prospective, synergistic forms of planning, execution and implementation that draw in a broad range of state, sub-state and private </w:t>
      </w:r>
      <w:r w:rsidR="00E17DAA" w:rsidRPr="00E17DAA">
        <w:rPr>
          <w:rFonts w:ascii="Times New Roman" w:hAnsi="Times New Roman" w:cs="Times New Roman"/>
          <w:sz w:val="24"/>
          <w:szCs w:val="24"/>
        </w:rPr>
        <w:t>actors.</w:t>
      </w:r>
      <w:r w:rsidR="00E17DAA">
        <w:rPr>
          <w:rStyle w:val="FootnoteReference"/>
          <w:rFonts w:ascii="Times New Roman" w:hAnsi="Times New Roman" w:cs="Times New Roman"/>
          <w:sz w:val="24"/>
          <w:szCs w:val="24"/>
        </w:rPr>
        <w:footnoteReference w:id="209"/>
      </w:r>
      <w:r w:rsidR="00E17DAA" w:rsidRPr="00E17DAA">
        <w:rPr>
          <w:rFonts w:ascii="Times New Roman" w:hAnsi="Times New Roman" w:cs="Times New Roman"/>
          <w:sz w:val="24"/>
          <w:szCs w:val="24"/>
        </w:rPr>
        <w:t xml:space="preserve"> </w:t>
      </w:r>
      <w:r w:rsidR="007D099D" w:rsidRPr="00F97E36">
        <w:rPr>
          <w:rFonts w:ascii="Times New Roman" w:hAnsi="Times New Roman" w:cs="Times New Roman"/>
          <w:color w:val="000000"/>
          <w:sz w:val="24"/>
          <w:szCs w:val="24"/>
        </w:rPr>
        <w:t xml:space="preserve">The salience of familiar touchstones from the justiciability debate like minimum core or the respect/protect/fulfil framework </w:t>
      </w:r>
      <w:r w:rsidR="00AA4D10">
        <w:rPr>
          <w:rFonts w:ascii="Times New Roman" w:hAnsi="Times New Roman" w:cs="Times New Roman"/>
          <w:color w:val="000000"/>
          <w:sz w:val="24"/>
          <w:szCs w:val="24"/>
        </w:rPr>
        <w:t>will not always appear self-evident in these processes and</w:t>
      </w:r>
      <w:r w:rsidR="007D099D">
        <w:rPr>
          <w:rFonts w:ascii="Times New Roman" w:hAnsi="Times New Roman" w:cs="Times New Roman"/>
          <w:color w:val="000000"/>
          <w:sz w:val="24"/>
          <w:szCs w:val="24"/>
        </w:rPr>
        <w:t xml:space="preserve"> must </w:t>
      </w:r>
      <w:r w:rsidR="00AA4D10">
        <w:rPr>
          <w:rFonts w:ascii="Times New Roman" w:hAnsi="Times New Roman" w:cs="Times New Roman"/>
          <w:color w:val="000000"/>
          <w:sz w:val="24"/>
          <w:szCs w:val="24"/>
        </w:rPr>
        <w:t xml:space="preserve">therefore </w:t>
      </w:r>
      <w:r w:rsidR="007D099D">
        <w:rPr>
          <w:rFonts w:ascii="Times New Roman" w:hAnsi="Times New Roman" w:cs="Times New Roman"/>
          <w:color w:val="000000"/>
          <w:sz w:val="24"/>
          <w:szCs w:val="24"/>
        </w:rPr>
        <w:t>be argued for.</w:t>
      </w:r>
    </w:p>
    <w:p w14:paraId="40700B01" w14:textId="13785A66" w:rsidR="005A1A62" w:rsidRPr="00F97E36" w:rsidRDefault="00736038" w:rsidP="00F97E36">
      <w:pPr>
        <w:pStyle w:val="CommentText"/>
        <w:jc w:val="both"/>
        <w:rPr>
          <w:rFonts w:ascii="Times New Roman" w:hAnsi="Times New Roman" w:cs="Times New Roman"/>
          <w:color w:val="000000"/>
          <w:sz w:val="24"/>
          <w:szCs w:val="24"/>
        </w:rPr>
      </w:pPr>
      <w:r>
        <w:rPr>
          <w:rFonts w:cstheme="minorHAnsi"/>
        </w:rPr>
        <w:t xml:space="preserve">       </w:t>
      </w:r>
      <w:r w:rsidRPr="00F97E36">
        <w:rPr>
          <w:rFonts w:ascii="Times New Roman" w:hAnsi="Times New Roman" w:cs="Times New Roman"/>
          <w:sz w:val="24"/>
          <w:szCs w:val="24"/>
        </w:rPr>
        <w:t xml:space="preserve"> </w:t>
      </w:r>
      <w:r w:rsidR="00AA4D10">
        <w:rPr>
          <w:rFonts w:ascii="Times New Roman" w:hAnsi="Times New Roman" w:cs="Times New Roman"/>
          <w:sz w:val="24"/>
          <w:szCs w:val="24"/>
        </w:rPr>
        <w:t xml:space="preserve"> </w:t>
      </w:r>
      <w:r w:rsidR="00F97E36" w:rsidRPr="00F97E36">
        <w:rPr>
          <w:rFonts w:ascii="Times New Roman" w:hAnsi="Times New Roman" w:cs="Times New Roman"/>
          <w:color w:val="000000"/>
          <w:sz w:val="24"/>
          <w:szCs w:val="24"/>
        </w:rPr>
        <w:t>A mainstream scholarship that foregrounds questions of justiciability has yet to follow</w:t>
      </w:r>
      <w:r w:rsidR="007D099D">
        <w:rPr>
          <w:rFonts w:ascii="Times New Roman" w:hAnsi="Times New Roman" w:cs="Times New Roman"/>
          <w:color w:val="000000"/>
          <w:sz w:val="24"/>
          <w:szCs w:val="24"/>
        </w:rPr>
        <w:t xml:space="preserve"> and inform programmatic discourse as much as it should</w:t>
      </w:r>
      <w:r w:rsidR="00F97E36" w:rsidRPr="00F97E36">
        <w:rPr>
          <w:rFonts w:ascii="Times New Roman" w:hAnsi="Times New Roman" w:cs="Times New Roman"/>
          <w:color w:val="000000"/>
          <w:sz w:val="24"/>
          <w:szCs w:val="24"/>
        </w:rPr>
        <w:t>.</w:t>
      </w:r>
      <w:r w:rsidR="00F97E36" w:rsidRPr="00F97E36">
        <w:rPr>
          <w:rFonts w:ascii="Times New Roman" w:hAnsi="Times New Roman" w:cs="Times New Roman"/>
          <w:sz w:val="24"/>
          <w:szCs w:val="24"/>
        </w:rPr>
        <w:t xml:space="preserve"> </w:t>
      </w:r>
      <w:r w:rsidR="00D95AD9" w:rsidRPr="00F97E36">
        <w:rPr>
          <w:rFonts w:ascii="Times New Roman" w:hAnsi="Times New Roman" w:cs="Times New Roman"/>
          <w:sz w:val="24"/>
          <w:szCs w:val="24"/>
        </w:rPr>
        <w:t xml:space="preserve">A programmatic approach </w:t>
      </w:r>
      <w:r w:rsidR="000D414F" w:rsidRPr="00F97E36">
        <w:rPr>
          <w:rFonts w:ascii="Times New Roman" w:hAnsi="Times New Roman" w:cs="Times New Roman"/>
          <w:sz w:val="24"/>
          <w:szCs w:val="24"/>
        </w:rPr>
        <w:t xml:space="preserve">requires us </w:t>
      </w:r>
      <w:r w:rsidR="000D414F" w:rsidRPr="00F97E36">
        <w:rPr>
          <w:rFonts w:ascii="Times New Roman" w:hAnsi="Times New Roman" w:cs="Times New Roman"/>
          <w:sz w:val="24"/>
          <w:szCs w:val="24"/>
        </w:rPr>
        <w:lastRenderedPageBreak/>
        <w:t xml:space="preserve">shift the theoretical </w:t>
      </w:r>
      <w:r w:rsidR="00D95AD9" w:rsidRPr="00F97E36">
        <w:rPr>
          <w:rFonts w:ascii="Times New Roman" w:hAnsi="Times New Roman" w:cs="Times New Roman"/>
          <w:sz w:val="24"/>
          <w:szCs w:val="24"/>
        </w:rPr>
        <w:t>focus from the undoubtedly important, but crucially limited, arena of courts and claims-making to the policy-making process where state bureaucrats, donors, academics and civil society become involved in campaigning, deliberating, negotiating and deciding on ESR-based outcomes</w:t>
      </w:r>
      <w:r w:rsidR="00E40122" w:rsidRPr="00F97E36">
        <w:rPr>
          <w:rFonts w:ascii="Times New Roman" w:hAnsi="Times New Roman" w:cs="Times New Roman"/>
          <w:sz w:val="24"/>
          <w:szCs w:val="24"/>
        </w:rPr>
        <w:t xml:space="preserve">. This is not only because </w:t>
      </w:r>
      <w:r w:rsidR="005058AD" w:rsidRPr="00F97E36">
        <w:rPr>
          <w:rFonts w:ascii="Times New Roman" w:hAnsi="Times New Roman" w:cs="Times New Roman"/>
          <w:sz w:val="24"/>
          <w:szCs w:val="24"/>
        </w:rPr>
        <w:t>it helps us think in new ways about the polycentric problems that the realisation of ESR inevitably gives rise to. It is also because this is already an empirical reality of ESR practice in areas as diverse as national human rights action planning, human rights-based approaches to development and social mobilisation for ESR.</w:t>
      </w:r>
    </w:p>
    <w:p w14:paraId="2B971B4F" w14:textId="6B780253" w:rsidR="00113174" w:rsidRDefault="00113174"/>
    <w:p w14:paraId="073D6BCE" w14:textId="77777777" w:rsidR="00113174" w:rsidRPr="005278DE" w:rsidRDefault="00113174"/>
    <w:p w14:paraId="6482F968" w14:textId="0FA6F21C" w:rsidR="00F75A57" w:rsidRDefault="00F75A57"/>
    <w:p w14:paraId="12A2E228" w14:textId="16E97883" w:rsidR="00F75A57" w:rsidRDefault="00F75A57"/>
    <w:p w14:paraId="6AA5355C" w14:textId="25630F2A" w:rsidR="00FB5163" w:rsidRDefault="00FB5163"/>
    <w:p w14:paraId="2826A07F" w14:textId="6CE7DF5B" w:rsidR="00FB5163" w:rsidRDefault="00FB5163"/>
    <w:p w14:paraId="649D3A3B" w14:textId="7ECFD5C7" w:rsidR="00294032" w:rsidRDefault="00294032">
      <w:pPr>
        <w:rPr>
          <w:rFonts w:cstheme="minorHAnsi"/>
        </w:rPr>
      </w:pPr>
    </w:p>
    <w:p w14:paraId="0A20FDED" w14:textId="77777777" w:rsidR="00294032" w:rsidRDefault="00294032" w:rsidP="00294032">
      <w:pPr>
        <w:rPr>
          <w:sz w:val="26"/>
          <w:szCs w:val="26"/>
        </w:rPr>
      </w:pPr>
    </w:p>
    <w:p w14:paraId="7A167445" w14:textId="4A77823D" w:rsidR="00294032" w:rsidRDefault="00294032">
      <w:pPr>
        <w:rPr>
          <w:rFonts w:cstheme="minorHAnsi"/>
        </w:rPr>
      </w:pPr>
    </w:p>
    <w:p w14:paraId="3415CB09" w14:textId="431AE765" w:rsidR="00663A6E" w:rsidRDefault="00663A6E">
      <w:pPr>
        <w:rPr>
          <w:rFonts w:cstheme="minorHAnsi"/>
        </w:rPr>
      </w:pPr>
    </w:p>
    <w:p w14:paraId="267114AC" w14:textId="6D9D87C1" w:rsidR="005E7A31" w:rsidRPr="005278DE" w:rsidRDefault="005E7A31"/>
    <w:sectPr w:rsidR="005E7A31" w:rsidRPr="005278DE" w:rsidSect="00820AA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CBA05" w14:textId="77777777" w:rsidR="00DD6E5D" w:rsidRDefault="00DD6E5D" w:rsidP="007A1E94">
      <w:r>
        <w:separator/>
      </w:r>
    </w:p>
  </w:endnote>
  <w:endnote w:type="continuationSeparator" w:id="0">
    <w:p w14:paraId="38316F17" w14:textId="77777777" w:rsidR="00DD6E5D" w:rsidRDefault="00DD6E5D" w:rsidP="007A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ED31" w14:textId="77777777" w:rsidR="00DD6E5D" w:rsidRDefault="00DD6E5D" w:rsidP="007A1E94">
      <w:r>
        <w:separator/>
      </w:r>
    </w:p>
  </w:footnote>
  <w:footnote w:type="continuationSeparator" w:id="0">
    <w:p w14:paraId="0075FE9B" w14:textId="77777777" w:rsidR="00DD6E5D" w:rsidRDefault="00DD6E5D" w:rsidP="007A1E94">
      <w:r>
        <w:continuationSeparator/>
      </w:r>
    </w:p>
  </w:footnote>
  <w:footnote w:id="1">
    <w:p w14:paraId="0D3EA1CE" w14:textId="13E649A3" w:rsidR="00FE549D" w:rsidRPr="002309CA" w:rsidRDefault="00FE549D" w:rsidP="00573749">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A number of other Conventions contain ESR, such as Convention on the Rights of the Child, the International Convention on the Elimination of All Forms of Racial Discrimination and the Convention on the Elimination of All Forms of Discrimination against Women, as do the eight core International Labour Organisation conventions. The European Social Charter also guarantees fundamental social and economic rights. To the extent there are controversies over their justiciable and/or programmatic aspects, they are distinct in scope, content and context from those attending the ICESCR and so are not considered here. </w:t>
      </w:r>
    </w:p>
  </w:footnote>
  <w:footnote w:id="2">
    <w:p w14:paraId="58909CE5" w14:textId="004501A7" w:rsidR="00FE549D" w:rsidRPr="002309CA" w:rsidRDefault="00FE549D" w:rsidP="00A609BE">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Sandra </w:t>
      </w:r>
      <w:proofErr w:type="spellStart"/>
      <w:r w:rsidRPr="002309CA">
        <w:rPr>
          <w:color w:val="000000" w:themeColor="text1"/>
          <w:sz w:val="20"/>
          <w:szCs w:val="20"/>
        </w:rPr>
        <w:t>Fredman</w:t>
      </w:r>
      <w:proofErr w:type="spellEnd"/>
      <w:r w:rsidRPr="002309CA">
        <w:rPr>
          <w:color w:val="000000" w:themeColor="text1"/>
          <w:sz w:val="20"/>
          <w:szCs w:val="20"/>
        </w:rPr>
        <w:t xml:space="preserve">, </w:t>
      </w:r>
      <w:r w:rsidRPr="002309CA">
        <w:rPr>
          <w:i/>
          <w:iCs/>
          <w:color w:val="000000" w:themeColor="text1"/>
          <w:sz w:val="20"/>
          <w:szCs w:val="20"/>
        </w:rPr>
        <w:t>Human Rights Transformed: Positive Rights and Positive Duties</w:t>
      </w:r>
      <w:r w:rsidRPr="002309CA">
        <w:rPr>
          <w:color w:val="000000" w:themeColor="text1"/>
          <w:sz w:val="20"/>
          <w:szCs w:val="20"/>
        </w:rPr>
        <w:t xml:space="preserve"> (Oxford University Press, 2008) 2.</w:t>
      </w:r>
    </w:p>
  </w:footnote>
  <w:footnote w:id="3">
    <w:p w14:paraId="29BAB54E" w14:textId="29A76C5D"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Judith Bueno de Mesquita </w:t>
      </w:r>
      <w:r w:rsidRPr="002309CA">
        <w:rPr>
          <w:rFonts w:ascii="Times New Roman" w:hAnsi="Times New Roman" w:cs="Times New Roman"/>
          <w:i/>
          <w:iCs/>
          <w:color w:val="000000" w:themeColor="text1"/>
        </w:rPr>
        <w:t>et al</w:t>
      </w:r>
      <w:r w:rsidRPr="002309CA">
        <w:rPr>
          <w:rFonts w:ascii="Times New Roman" w:hAnsi="Times New Roman" w:cs="Times New Roman"/>
          <w:color w:val="000000" w:themeColor="text1"/>
        </w:rPr>
        <w:t xml:space="preserve">, ‘Implementation of Economic, Social and Cultural Rights’ in Scott Sheeran and Nigel </w:t>
      </w:r>
      <w:proofErr w:type="spellStart"/>
      <w:r w:rsidRPr="002309CA">
        <w:rPr>
          <w:rFonts w:ascii="Times New Roman" w:hAnsi="Times New Roman" w:cs="Times New Roman"/>
          <w:color w:val="000000" w:themeColor="text1"/>
        </w:rPr>
        <w:t>Rodley</w:t>
      </w:r>
      <w:proofErr w:type="spellEnd"/>
      <w:r w:rsidRPr="002309CA">
        <w:rPr>
          <w:rFonts w:ascii="Times New Roman" w:hAnsi="Times New Roman" w:cs="Times New Roman"/>
          <w:color w:val="000000" w:themeColor="text1"/>
        </w:rPr>
        <w:t xml:space="preserve"> (eds), </w:t>
      </w:r>
      <w:r w:rsidRPr="002309CA">
        <w:rPr>
          <w:rFonts w:ascii="Times New Roman" w:hAnsi="Times New Roman" w:cs="Times New Roman"/>
          <w:i/>
          <w:iCs/>
          <w:color w:val="000000" w:themeColor="text1"/>
        </w:rPr>
        <w:t>Routledge Handbook of International Human Rights Law</w:t>
      </w:r>
      <w:r w:rsidRPr="002309CA">
        <w:rPr>
          <w:rFonts w:ascii="Times New Roman" w:hAnsi="Times New Roman" w:cs="Times New Roman"/>
          <w:color w:val="000000" w:themeColor="text1"/>
        </w:rPr>
        <w:t xml:space="preserve"> (Routledge, 2014) 545, 550.</w:t>
      </w:r>
    </w:p>
  </w:footnote>
  <w:footnote w:id="4">
    <w:p w14:paraId="2A2AE36C" w14:textId="6FE54504" w:rsidR="00FE549D" w:rsidRPr="002309CA" w:rsidRDefault="00FE549D" w:rsidP="006974F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r w:rsidR="00A126D5" w:rsidRPr="002309CA">
        <w:rPr>
          <w:rFonts w:ascii="Times New Roman" w:hAnsi="Times New Roman" w:cs="Times New Roman"/>
          <w:color w:val="000000" w:themeColor="text1"/>
        </w:rPr>
        <w:t xml:space="preserve">Daniel Whelan, ‘Indivisible Human Rights and the End (s) of the State’ in Kurt Mills and David Karp (eds), </w:t>
      </w:r>
      <w:r w:rsidR="00A126D5" w:rsidRPr="002309CA">
        <w:rPr>
          <w:rFonts w:ascii="Times New Roman" w:hAnsi="Times New Roman" w:cs="Times New Roman"/>
          <w:i/>
          <w:iCs/>
          <w:color w:val="000000" w:themeColor="text1"/>
        </w:rPr>
        <w:t>Human Rights Protection in Global Politics: Responsibilities of States and Non-state Actors</w:t>
      </w:r>
      <w:r w:rsidR="00A126D5" w:rsidRPr="002309CA">
        <w:rPr>
          <w:rFonts w:ascii="Times New Roman" w:hAnsi="Times New Roman" w:cs="Times New Roman"/>
          <w:color w:val="000000" w:themeColor="text1"/>
        </w:rPr>
        <w:t xml:space="preserve"> (Springer, 2015) 69, </w:t>
      </w:r>
      <w:r w:rsidRPr="002309CA">
        <w:rPr>
          <w:rFonts w:ascii="Times New Roman" w:hAnsi="Times New Roman" w:cs="Times New Roman"/>
          <w:color w:val="000000" w:themeColor="text1"/>
        </w:rPr>
        <w:t>76</w:t>
      </w:r>
      <w:r w:rsidR="00A126D5" w:rsidRPr="002309CA">
        <w:rPr>
          <w:rFonts w:ascii="Times New Roman" w:hAnsi="Times New Roman" w:cs="Times New Roman"/>
          <w:color w:val="000000" w:themeColor="text1"/>
        </w:rPr>
        <w:t>.</w:t>
      </w:r>
    </w:p>
  </w:footnote>
  <w:footnote w:id="5">
    <w:p w14:paraId="5011EC2A" w14:textId="7BB177DC" w:rsidR="00FE549D" w:rsidRPr="002309CA" w:rsidRDefault="00FE549D" w:rsidP="006B47F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Paul Hunt, </w:t>
      </w:r>
      <w:r w:rsidRPr="002309CA">
        <w:rPr>
          <w:rFonts w:ascii="Times New Roman" w:hAnsi="Times New Roman" w:cs="Times New Roman"/>
          <w:i/>
          <w:iCs/>
          <w:color w:val="000000" w:themeColor="text1"/>
        </w:rPr>
        <w:t>Using All the Tools at Our Disposal: Poverty Reduction and the Right to the Highest Attainable Standard of Health</w:t>
      </w:r>
      <w:r w:rsidRPr="002309CA">
        <w:rPr>
          <w:rFonts w:ascii="Times New Roman" w:hAnsi="Times New Roman" w:cs="Times New Roman"/>
          <w:color w:val="000000" w:themeColor="text1"/>
        </w:rPr>
        <w:t xml:space="preserve"> &lt;</w:t>
      </w:r>
      <w:hyperlink r:id="rId1" w:history="1">
        <w:r w:rsidRPr="002309CA">
          <w:rPr>
            <w:rStyle w:val="Hyperlink"/>
            <w:rFonts w:ascii="Times New Roman" w:hAnsi="Times New Roman" w:cs="Times New Roman"/>
            <w:color w:val="000000" w:themeColor="text1"/>
            <w:u w:val="none"/>
          </w:rPr>
          <w:t>http://repository.essex.ac.uk/9681/1/Hunt_proof%5B1%5D.pdf</w:t>
        </w:r>
      </w:hyperlink>
      <w:r w:rsidRPr="002309CA">
        <w:rPr>
          <w:rStyle w:val="Hyperlink"/>
          <w:rFonts w:ascii="Times New Roman" w:hAnsi="Times New Roman" w:cs="Times New Roman"/>
          <w:color w:val="000000" w:themeColor="text1"/>
          <w:u w:val="none"/>
        </w:rPr>
        <w:t>&gt;</w:t>
      </w:r>
      <w:r w:rsidRPr="002309CA">
        <w:rPr>
          <w:rFonts w:ascii="Times New Roman" w:hAnsi="Times New Roman" w:cs="Times New Roman"/>
          <w:color w:val="000000" w:themeColor="text1"/>
        </w:rPr>
        <w:t xml:space="preserve"> 22.</w:t>
      </w:r>
    </w:p>
  </w:footnote>
  <w:footnote w:id="6">
    <w:p w14:paraId="755A48F8" w14:textId="77777777" w:rsidR="00FE549D" w:rsidRPr="002309CA" w:rsidRDefault="00FE549D" w:rsidP="00B11D7E">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Rory O'Connell et al. </w:t>
      </w:r>
      <w:r w:rsidRPr="002309CA">
        <w:rPr>
          <w:rFonts w:ascii="Times New Roman" w:hAnsi="Times New Roman" w:cs="Times New Roman"/>
          <w:i/>
          <w:iCs/>
          <w:color w:val="000000" w:themeColor="text1"/>
        </w:rPr>
        <w:t>Applying an International Human Rights Framework to State Budget Allocations: Rights and Resources</w:t>
      </w:r>
      <w:r w:rsidRPr="002309CA">
        <w:rPr>
          <w:rFonts w:ascii="Times New Roman" w:hAnsi="Times New Roman" w:cs="Times New Roman"/>
          <w:color w:val="000000" w:themeColor="text1"/>
        </w:rPr>
        <w:t xml:space="preserve"> (Routledge, 2014) 12.</w:t>
      </w:r>
    </w:p>
  </w:footnote>
  <w:footnote w:id="7">
    <w:p w14:paraId="7F0AED8A" w14:textId="7112C60C"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Charles R </w:t>
      </w:r>
      <w:proofErr w:type="spellStart"/>
      <w:r w:rsidRPr="002309CA">
        <w:rPr>
          <w:rFonts w:ascii="Times New Roman" w:hAnsi="Times New Roman" w:cs="Times New Roman"/>
          <w:color w:val="000000" w:themeColor="text1"/>
        </w:rPr>
        <w:t>Beitz</w:t>
      </w:r>
      <w:proofErr w:type="spellEnd"/>
      <w:r w:rsidRPr="002309CA">
        <w:rPr>
          <w:rFonts w:ascii="Times New Roman" w:hAnsi="Times New Roman" w:cs="Times New Roman"/>
          <w:color w:val="000000" w:themeColor="text1"/>
        </w:rPr>
        <w:t xml:space="preserve">, </w:t>
      </w:r>
      <w:r w:rsidRPr="002309CA">
        <w:rPr>
          <w:rFonts w:ascii="Times New Roman" w:hAnsi="Times New Roman" w:cs="Times New Roman"/>
          <w:i/>
          <w:iCs/>
          <w:color w:val="000000" w:themeColor="text1"/>
        </w:rPr>
        <w:t>The Idea of Human Rights</w:t>
      </w:r>
      <w:r w:rsidRPr="002309CA">
        <w:rPr>
          <w:rFonts w:ascii="Times New Roman" w:hAnsi="Times New Roman" w:cs="Times New Roman"/>
          <w:color w:val="000000" w:themeColor="text1"/>
        </w:rPr>
        <w:t xml:space="preserve"> (Oxford University Press, 2011) 40.</w:t>
      </w:r>
    </w:p>
  </w:footnote>
  <w:footnote w:id="8">
    <w:p w14:paraId="220D36EE" w14:textId="11FECBF7"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Marc </w:t>
      </w:r>
      <w:proofErr w:type="spellStart"/>
      <w:r w:rsidRPr="002309CA">
        <w:rPr>
          <w:rFonts w:ascii="Times New Roman" w:eastAsia="Times New Roman" w:hAnsi="Times New Roman" w:cs="Times New Roman"/>
          <w:color w:val="000000" w:themeColor="text1"/>
          <w:shd w:val="clear" w:color="auto" w:fill="FFFFFF"/>
          <w:lang w:eastAsia="en-GB"/>
        </w:rPr>
        <w:t>Bossuyt</w:t>
      </w:r>
      <w:proofErr w:type="spellEnd"/>
      <w:r w:rsidRPr="002309CA">
        <w:rPr>
          <w:rFonts w:ascii="Times New Roman" w:eastAsia="Times New Roman" w:hAnsi="Times New Roman" w:cs="Times New Roman"/>
          <w:color w:val="000000" w:themeColor="text1"/>
          <w:shd w:val="clear" w:color="auto" w:fill="FFFFFF"/>
          <w:lang w:eastAsia="en-GB"/>
        </w:rPr>
        <w:t xml:space="preserve">, ‘La Distinction </w:t>
      </w:r>
      <w:proofErr w:type="spellStart"/>
      <w:r w:rsidRPr="002309CA">
        <w:rPr>
          <w:rFonts w:ascii="Times New Roman" w:eastAsia="Times New Roman" w:hAnsi="Times New Roman" w:cs="Times New Roman"/>
          <w:color w:val="000000" w:themeColor="text1"/>
          <w:shd w:val="clear" w:color="auto" w:fill="FFFFFF"/>
          <w:lang w:eastAsia="en-GB"/>
        </w:rPr>
        <w:t>Juridique</w:t>
      </w:r>
      <w:proofErr w:type="spellEnd"/>
      <w:r w:rsidRPr="002309CA">
        <w:rPr>
          <w:rFonts w:ascii="Times New Roman" w:eastAsia="Times New Roman" w:hAnsi="Times New Roman" w:cs="Times New Roman"/>
          <w:color w:val="000000" w:themeColor="text1"/>
          <w:shd w:val="clear" w:color="auto" w:fill="FFFFFF"/>
          <w:lang w:eastAsia="en-GB"/>
        </w:rPr>
        <w:t xml:space="preserve"> Entre les Droits Civils et Politiques et les Droits </w:t>
      </w:r>
      <w:proofErr w:type="spellStart"/>
      <w:r w:rsidRPr="002309CA">
        <w:rPr>
          <w:rFonts w:ascii="Times New Roman" w:eastAsia="Times New Roman" w:hAnsi="Times New Roman" w:cs="Times New Roman"/>
          <w:color w:val="000000" w:themeColor="text1"/>
          <w:shd w:val="clear" w:color="auto" w:fill="FFFFFF"/>
          <w:lang w:eastAsia="en-GB"/>
        </w:rPr>
        <w:t>Economiques</w:t>
      </w:r>
      <w:proofErr w:type="spellEnd"/>
      <w:r w:rsidRPr="002309CA">
        <w:rPr>
          <w:rFonts w:ascii="Times New Roman" w:eastAsia="Times New Roman" w:hAnsi="Times New Roman" w:cs="Times New Roman"/>
          <w:color w:val="000000" w:themeColor="text1"/>
          <w:shd w:val="clear" w:color="auto" w:fill="FFFFFF"/>
          <w:lang w:eastAsia="en-GB"/>
        </w:rPr>
        <w:t xml:space="preserve">, </w:t>
      </w:r>
      <w:proofErr w:type="spellStart"/>
      <w:r w:rsidRPr="002309CA">
        <w:rPr>
          <w:rFonts w:ascii="Times New Roman" w:eastAsia="Times New Roman" w:hAnsi="Times New Roman" w:cs="Times New Roman"/>
          <w:color w:val="000000" w:themeColor="text1"/>
          <w:shd w:val="clear" w:color="auto" w:fill="FFFFFF"/>
          <w:lang w:eastAsia="en-GB"/>
        </w:rPr>
        <w:t>Sociaux</w:t>
      </w:r>
      <w:proofErr w:type="spellEnd"/>
      <w:r w:rsidRPr="002309CA">
        <w:rPr>
          <w:rFonts w:ascii="Times New Roman" w:eastAsia="Times New Roman" w:hAnsi="Times New Roman" w:cs="Times New Roman"/>
          <w:color w:val="000000" w:themeColor="text1"/>
          <w:shd w:val="clear" w:color="auto" w:fill="FFFFFF"/>
          <w:lang w:eastAsia="en-GB"/>
        </w:rPr>
        <w:t xml:space="preserve"> et </w:t>
      </w:r>
      <w:proofErr w:type="spellStart"/>
      <w:r w:rsidRPr="002309CA">
        <w:rPr>
          <w:rFonts w:ascii="Times New Roman" w:eastAsia="Times New Roman" w:hAnsi="Times New Roman" w:cs="Times New Roman"/>
          <w:color w:val="000000" w:themeColor="text1"/>
          <w:shd w:val="clear" w:color="auto" w:fill="FFFFFF"/>
          <w:lang w:eastAsia="en-GB"/>
        </w:rPr>
        <w:t>Culturels</w:t>
      </w:r>
      <w:proofErr w:type="spellEnd"/>
      <w:r w:rsidRPr="002309CA">
        <w:rPr>
          <w:rFonts w:ascii="Times New Roman" w:eastAsia="Times New Roman" w:hAnsi="Times New Roman" w:cs="Times New Roman"/>
          <w:color w:val="000000" w:themeColor="text1"/>
          <w:shd w:val="clear" w:color="auto" w:fill="FFFFFF"/>
          <w:lang w:eastAsia="en-GB"/>
        </w:rPr>
        <w:t xml:space="preserve">’ (1975) 7(1) </w:t>
      </w:r>
      <w:r w:rsidRPr="002309CA">
        <w:rPr>
          <w:rFonts w:ascii="Times New Roman" w:eastAsia="Times New Roman" w:hAnsi="Times New Roman" w:cs="Times New Roman"/>
          <w:i/>
          <w:iCs/>
          <w:color w:val="000000" w:themeColor="text1"/>
          <w:lang w:eastAsia="en-GB"/>
        </w:rPr>
        <w:t xml:space="preserve">Revue des Droits de </w:t>
      </w:r>
      <w:proofErr w:type="spellStart"/>
      <w:r w:rsidRPr="002309CA">
        <w:rPr>
          <w:rFonts w:ascii="Times New Roman" w:eastAsia="Times New Roman" w:hAnsi="Times New Roman" w:cs="Times New Roman"/>
          <w:i/>
          <w:iCs/>
          <w:color w:val="000000" w:themeColor="text1"/>
          <w:lang w:eastAsia="en-GB"/>
        </w:rPr>
        <w:t>l’Homme</w:t>
      </w:r>
      <w:proofErr w:type="spellEnd"/>
      <w:r w:rsidRPr="002309CA">
        <w:rPr>
          <w:rFonts w:ascii="Times New Roman" w:eastAsia="Times New Roman" w:hAnsi="Times New Roman" w:cs="Times New Roman"/>
          <w:color w:val="000000" w:themeColor="text1"/>
          <w:shd w:val="clear" w:color="auto" w:fill="FFFFFF"/>
          <w:lang w:eastAsia="en-GB"/>
        </w:rPr>
        <w:t> 783, 790.</w:t>
      </w:r>
    </w:p>
  </w:footnote>
  <w:footnote w:id="9">
    <w:p w14:paraId="1E3E701C" w14:textId="12219222"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Maurice Cranston, ‘Human Rights: Real and Supposed’ in David Raphael (ed), </w:t>
      </w:r>
      <w:r w:rsidRPr="002309CA">
        <w:rPr>
          <w:rFonts w:ascii="Times New Roman" w:hAnsi="Times New Roman" w:cs="Times New Roman"/>
          <w:i/>
          <w:iCs/>
          <w:color w:val="000000" w:themeColor="text1"/>
        </w:rPr>
        <w:t xml:space="preserve">Political Theory and the Rights </w:t>
      </w:r>
      <w:r w:rsidRPr="002309CA">
        <w:rPr>
          <w:rFonts w:ascii="Times New Roman" w:eastAsia="Times New Roman" w:hAnsi="Times New Roman" w:cs="Times New Roman"/>
          <w:i/>
          <w:iCs/>
          <w:color w:val="000000" w:themeColor="text1"/>
          <w:lang w:eastAsia="en-GB"/>
        </w:rPr>
        <w:t>of Man</w:t>
      </w:r>
      <w:r w:rsidRPr="002309CA">
        <w:rPr>
          <w:rFonts w:ascii="Times New Roman" w:eastAsia="Times New Roman" w:hAnsi="Times New Roman" w:cs="Times New Roman"/>
          <w:color w:val="000000" w:themeColor="text1"/>
          <w:lang w:eastAsia="en-GB"/>
        </w:rPr>
        <w:t xml:space="preserve"> (Indiana University Press, 1967) 43, </w:t>
      </w:r>
      <w:r w:rsidRPr="002309CA">
        <w:rPr>
          <w:rFonts w:ascii="Times New Roman" w:hAnsi="Times New Roman" w:cs="Times New Roman"/>
          <w:color w:val="000000" w:themeColor="text1"/>
        </w:rPr>
        <w:t>52-53.</w:t>
      </w:r>
    </w:p>
  </w:footnote>
  <w:footnote w:id="10">
    <w:p w14:paraId="716BA782" w14:textId="27E04629" w:rsidR="00FE549D" w:rsidRPr="002309CA" w:rsidRDefault="00FE549D" w:rsidP="00A7505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Anthony </w:t>
      </w:r>
      <w:proofErr w:type="spellStart"/>
      <w:r w:rsidRPr="002309CA">
        <w:rPr>
          <w:color w:val="000000" w:themeColor="text1"/>
          <w:sz w:val="20"/>
          <w:szCs w:val="20"/>
          <w:shd w:val="clear" w:color="auto" w:fill="FFFFFF"/>
        </w:rPr>
        <w:t>Woodiwiss</w:t>
      </w:r>
      <w:proofErr w:type="spellEnd"/>
      <w:r w:rsidRPr="002309CA">
        <w:rPr>
          <w:color w:val="000000" w:themeColor="text1"/>
          <w:sz w:val="20"/>
          <w:szCs w:val="20"/>
          <w:shd w:val="clear" w:color="auto" w:fill="FFFFFF"/>
        </w:rPr>
        <w:t>, ‘Human Rights and the Challenge of Cosmopolitanism’ (2002) 19 </w:t>
      </w:r>
      <w:r w:rsidRPr="002309CA">
        <w:rPr>
          <w:i/>
          <w:iCs/>
          <w:color w:val="000000" w:themeColor="text1"/>
          <w:sz w:val="20"/>
          <w:szCs w:val="20"/>
        </w:rPr>
        <w:t>Theory, Culture &amp; Society</w:t>
      </w:r>
      <w:r w:rsidRPr="002309CA">
        <w:rPr>
          <w:color w:val="000000" w:themeColor="text1"/>
          <w:sz w:val="20"/>
          <w:szCs w:val="20"/>
          <w:shd w:val="clear" w:color="auto" w:fill="FFFFFF"/>
        </w:rPr>
        <w:t> (2002) 139, 146.</w:t>
      </w:r>
    </w:p>
  </w:footnote>
  <w:footnote w:id="11">
    <w:p w14:paraId="75242B8C" w14:textId="78F25BCF" w:rsidR="00FE549D" w:rsidRPr="002309CA" w:rsidRDefault="00FE549D" w:rsidP="00A75053">
      <w:pPr>
        <w:pStyle w:val="NormalWeb"/>
        <w:spacing w:before="0" w:beforeAutospacing="0" w:after="0" w:afterAutospacing="0"/>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International Commission of Jurists, Courts and the Legal Enforcement of Economic, Social and Cultural Rights’ (2008) &lt;http://www.icj.org/news.php3?id_article=4534&amp;lang= </w:t>
      </w:r>
      <w:proofErr w:type="spellStart"/>
      <w:r w:rsidRPr="002309CA">
        <w:rPr>
          <w:color w:val="000000" w:themeColor="text1"/>
          <w:sz w:val="20"/>
          <w:szCs w:val="20"/>
        </w:rPr>
        <w:t>en</w:t>
      </w:r>
      <w:proofErr w:type="spellEnd"/>
      <w:r w:rsidRPr="002309CA">
        <w:rPr>
          <w:color w:val="000000" w:themeColor="text1"/>
          <w:sz w:val="20"/>
          <w:szCs w:val="20"/>
        </w:rPr>
        <w:t>&gt; 103.</w:t>
      </w:r>
    </w:p>
  </w:footnote>
  <w:footnote w:id="12">
    <w:p w14:paraId="5CCC7F41" w14:textId="203FD619" w:rsidR="00FE549D" w:rsidRPr="002309CA" w:rsidRDefault="00FE549D" w:rsidP="00226E11">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Gerhard </w:t>
      </w:r>
      <w:proofErr w:type="spellStart"/>
      <w:r w:rsidRPr="002309CA">
        <w:rPr>
          <w:color w:val="000000" w:themeColor="text1"/>
          <w:sz w:val="20"/>
          <w:szCs w:val="20"/>
        </w:rPr>
        <w:t>Oberleitner</w:t>
      </w:r>
      <w:proofErr w:type="spellEnd"/>
      <w:r w:rsidRPr="002309CA">
        <w:rPr>
          <w:color w:val="000000" w:themeColor="text1"/>
          <w:sz w:val="20"/>
          <w:szCs w:val="20"/>
        </w:rPr>
        <w:t xml:space="preserve">, ‘Does Enforcement Matter?’ in Conor </w:t>
      </w:r>
      <w:proofErr w:type="spellStart"/>
      <w:r w:rsidRPr="002309CA">
        <w:rPr>
          <w:color w:val="000000" w:themeColor="text1"/>
          <w:sz w:val="20"/>
          <w:szCs w:val="20"/>
        </w:rPr>
        <w:t>Gearty</w:t>
      </w:r>
      <w:proofErr w:type="spellEnd"/>
      <w:r w:rsidRPr="002309CA">
        <w:rPr>
          <w:color w:val="000000" w:themeColor="text1"/>
          <w:sz w:val="20"/>
          <w:szCs w:val="20"/>
        </w:rPr>
        <w:t xml:space="preserve"> and Costas </w:t>
      </w:r>
      <w:proofErr w:type="spellStart"/>
      <w:r w:rsidRPr="002309CA">
        <w:rPr>
          <w:color w:val="000000" w:themeColor="text1"/>
          <w:sz w:val="20"/>
          <w:szCs w:val="20"/>
        </w:rPr>
        <w:t>Douzinas</w:t>
      </w:r>
      <w:proofErr w:type="spellEnd"/>
      <w:r w:rsidRPr="002309CA">
        <w:rPr>
          <w:color w:val="000000" w:themeColor="text1"/>
          <w:sz w:val="20"/>
          <w:szCs w:val="20"/>
        </w:rPr>
        <w:t xml:space="preserve"> (eds)</w:t>
      </w:r>
      <w:r w:rsidR="00A126D5" w:rsidRPr="002309CA">
        <w:rPr>
          <w:color w:val="000000" w:themeColor="text1"/>
          <w:sz w:val="20"/>
          <w:szCs w:val="20"/>
        </w:rPr>
        <w:t>,</w:t>
      </w:r>
      <w:r w:rsidRPr="002309CA">
        <w:rPr>
          <w:color w:val="000000" w:themeColor="text1"/>
          <w:sz w:val="20"/>
          <w:szCs w:val="20"/>
        </w:rPr>
        <w:t xml:space="preserve"> </w:t>
      </w:r>
      <w:r w:rsidRPr="002309CA">
        <w:rPr>
          <w:i/>
          <w:iCs/>
          <w:color w:val="000000" w:themeColor="text1"/>
          <w:sz w:val="20"/>
          <w:szCs w:val="20"/>
        </w:rPr>
        <w:t>The Cambridge Companion to Human Rights Law</w:t>
      </w:r>
      <w:r w:rsidRPr="002309CA">
        <w:rPr>
          <w:color w:val="000000" w:themeColor="text1"/>
          <w:sz w:val="20"/>
          <w:szCs w:val="20"/>
        </w:rPr>
        <w:t xml:space="preserve"> (Cambridge University Press 2012) 252, 252. </w:t>
      </w:r>
    </w:p>
  </w:footnote>
  <w:footnote w:id="13">
    <w:p w14:paraId="68CB1CCD" w14:textId="289A6739" w:rsidR="00FE549D" w:rsidRPr="002309CA" w:rsidRDefault="00FE549D" w:rsidP="00AE4428">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Martin </w:t>
      </w:r>
      <w:proofErr w:type="spellStart"/>
      <w:r w:rsidRPr="002309CA">
        <w:rPr>
          <w:rFonts w:ascii="Times New Roman" w:hAnsi="Times New Roman" w:cs="Times New Roman"/>
          <w:color w:val="000000" w:themeColor="text1"/>
        </w:rPr>
        <w:t>Scheinin</w:t>
      </w:r>
      <w:proofErr w:type="spellEnd"/>
      <w:r w:rsidRPr="002309CA">
        <w:rPr>
          <w:rFonts w:ascii="Times New Roman" w:hAnsi="Times New Roman" w:cs="Times New Roman"/>
          <w:color w:val="000000" w:themeColor="text1"/>
        </w:rPr>
        <w:t xml:space="preserve">, ‘Justiciability and Indivisibility’ in John Squires, Malcolm Langford and Bret Thiele (eds), </w:t>
      </w:r>
      <w:r w:rsidRPr="002309CA">
        <w:rPr>
          <w:rFonts w:ascii="Times New Roman" w:hAnsi="Times New Roman" w:cs="Times New Roman"/>
          <w:i/>
          <w:iCs/>
          <w:color w:val="000000" w:themeColor="text1"/>
        </w:rPr>
        <w:t>The Road to a Remedy: Current Issues in the Litigation of Economic, Social, and Cultural Rights</w:t>
      </w:r>
      <w:r w:rsidRPr="002309CA">
        <w:rPr>
          <w:rFonts w:ascii="Times New Roman" w:hAnsi="Times New Roman" w:cs="Times New Roman"/>
          <w:color w:val="000000" w:themeColor="text1"/>
        </w:rPr>
        <w:t xml:space="preserve"> (2005) 17, 17.</w:t>
      </w:r>
    </w:p>
  </w:footnote>
  <w:footnote w:id="14">
    <w:p w14:paraId="3AF6BBC0" w14:textId="7EDE1F5B" w:rsidR="00FE549D" w:rsidRPr="002309CA" w:rsidRDefault="00FE549D" w:rsidP="005C7C1E">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Mashood</w:t>
      </w:r>
      <w:proofErr w:type="spellEnd"/>
      <w:r w:rsidRPr="002309CA">
        <w:rPr>
          <w:color w:val="000000" w:themeColor="text1"/>
          <w:sz w:val="20"/>
          <w:szCs w:val="20"/>
        </w:rPr>
        <w:t xml:space="preserve"> </w:t>
      </w:r>
      <w:proofErr w:type="spellStart"/>
      <w:r w:rsidRPr="002309CA">
        <w:rPr>
          <w:color w:val="000000" w:themeColor="text1"/>
          <w:sz w:val="20"/>
          <w:szCs w:val="20"/>
          <w:shd w:val="clear" w:color="auto" w:fill="FFFFFF"/>
        </w:rPr>
        <w:t>Baderin</w:t>
      </w:r>
      <w:proofErr w:type="spellEnd"/>
      <w:r w:rsidRPr="002309CA">
        <w:rPr>
          <w:color w:val="000000" w:themeColor="text1"/>
          <w:sz w:val="20"/>
          <w:szCs w:val="20"/>
          <w:shd w:val="clear" w:color="auto" w:fill="FFFFFF"/>
        </w:rPr>
        <w:t xml:space="preserve"> and Robert McCorquodale, ‘The International Covenant on Economic, Social and Cultural Rights: 40 Years of Development’ in </w:t>
      </w:r>
      <w:proofErr w:type="spellStart"/>
      <w:r w:rsidRPr="002309CA">
        <w:rPr>
          <w:color w:val="000000" w:themeColor="text1"/>
          <w:sz w:val="20"/>
          <w:szCs w:val="20"/>
          <w:shd w:val="clear" w:color="auto" w:fill="FFFFFF"/>
        </w:rPr>
        <w:t>Mashood</w:t>
      </w:r>
      <w:proofErr w:type="spellEnd"/>
      <w:r w:rsidRPr="002309CA">
        <w:rPr>
          <w:color w:val="000000" w:themeColor="text1"/>
          <w:sz w:val="20"/>
          <w:szCs w:val="20"/>
          <w:shd w:val="clear" w:color="auto" w:fill="FFFFFF"/>
        </w:rPr>
        <w:t xml:space="preserve"> </w:t>
      </w:r>
      <w:proofErr w:type="spellStart"/>
      <w:r w:rsidRPr="002309CA">
        <w:rPr>
          <w:color w:val="000000" w:themeColor="text1"/>
          <w:sz w:val="20"/>
          <w:szCs w:val="20"/>
        </w:rPr>
        <w:t>Baderin</w:t>
      </w:r>
      <w:proofErr w:type="spellEnd"/>
      <w:r w:rsidRPr="002309CA">
        <w:rPr>
          <w:color w:val="000000" w:themeColor="text1"/>
          <w:sz w:val="20"/>
          <w:szCs w:val="20"/>
        </w:rPr>
        <w:t xml:space="preserve">, and Robert McCorquodale (eds), </w:t>
      </w:r>
      <w:r w:rsidRPr="002309CA">
        <w:rPr>
          <w:i/>
          <w:iCs/>
          <w:color w:val="000000" w:themeColor="text1"/>
          <w:sz w:val="20"/>
          <w:szCs w:val="20"/>
        </w:rPr>
        <w:t>Economic, Social and Cultural Rights in Action</w:t>
      </w:r>
      <w:r w:rsidRPr="002309CA">
        <w:rPr>
          <w:color w:val="000000" w:themeColor="text1"/>
          <w:sz w:val="20"/>
          <w:szCs w:val="20"/>
        </w:rPr>
        <w:t xml:space="preserve"> </w:t>
      </w:r>
      <w:r w:rsidRPr="002309CA">
        <w:rPr>
          <w:color w:val="000000" w:themeColor="text1"/>
          <w:sz w:val="20"/>
          <w:szCs w:val="20"/>
          <w:shd w:val="clear" w:color="auto" w:fill="FFFFFF"/>
        </w:rPr>
        <w:t>(UNSW Press, 2007) 3, 14.</w:t>
      </w:r>
    </w:p>
  </w:footnote>
  <w:footnote w:id="15">
    <w:p w14:paraId="1AA13DF6" w14:textId="4C648827" w:rsidR="00FE549D" w:rsidRPr="002309CA" w:rsidRDefault="00FE549D" w:rsidP="00226E11">
      <w:pPr>
        <w:pStyle w:val="NormalWeb"/>
        <w:shd w:val="clear" w:color="auto" w:fill="FFFFFF"/>
        <w:spacing w:before="0" w:beforeAutospacing="0" w:after="0" w:afterAutospacing="0"/>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Malcolm Langford, ‘The Justiciability of Social Rights: From Practice to Theory’ in Malcolm Langford (ed) </w:t>
      </w:r>
      <w:r w:rsidRPr="002309CA">
        <w:rPr>
          <w:i/>
          <w:iCs/>
          <w:color w:val="000000" w:themeColor="text1"/>
          <w:sz w:val="20"/>
          <w:szCs w:val="20"/>
        </w:rPr>
        <w:t>Social Rights Jurisprudence: Emerging Trends in International and Comparative Law</w:t>
      </w:r>
      <w:r w:rsidRPr="002309CA">
        <w:rPr>
          <w:color w:val="000000" w:themeColor="text1"/>
          <w:sz w:val="20"/>
          <w:szCs w:val="20"/>
        </w:rPr>
        <w:t xml:space="preserve"> (Cambridge University Press, 2009) 3, 29</w:t>
      </w:r>
      <w:r w:rsidR="00872AF7" w:rsidRPr="002309CA">
        <w:rPr>
          <w:color w:val="000000" w:themeColor="text1"/>
          <w:sz w:val="20"/>
          <w:szCs w:val="20"/>
        </w:rPr>
        <w:t>.</w:t>
      </w:r>
    </w:p>
  </w:footnote>
  <w:footnote w:id="16">
    <w:p w14:paraId="66C0323B" w14:textId="2AFFEF9A" w:rsidR="00FE549D" w:rsidRPr="002309CA" w:rsidRDefault="00FE549D" w:rsidP="00A50D05">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Ran </w:t>
      </w:r>
      <w:proofErr w:type="spellStart"/>
      <w:r w:rsidRPr="002309CA">
        <w:rPr>
          <w:color w:val="000000" w:themeColor="text1"/>
          <w:sz w:val="20"/>
          <w:szCs w:val="20"/>
          <w:shd w:val="clear" w:color="auto" w:fill="FFFFFF"/>
        </w:rPr>
        <w:t>Hirschl</w:t>
      </w:r>
      <w:proofErr w:type="spellEnd"/>
      <w:r w:rsidRPr="002309CA">
        <w:rPr>
          <w:color w:val="000000" w:themeColor="text1"/>
          <w:sz w:val="20"/>
          <w:szCs w:val="20"/>
          <w:shd w:val="clear" w:color="auto" w:fill="FFFFFF"/>
        </w:rPr>
        <w:t xml:space="preserve">, Evan </w:t>
      </w:r>
      <w:proofErr w:type="spellStart"/>
      <w:r w:rsidRPr="002309CA">
        <w:rPr>
          <w:color w:val="000000" w:themeColor="text1"/>
          <w:sz w:val="20"/>
          <w:szCs w:val="20"/>
          <w:shd w:val="clear" w:color="auto" w:fill="FFFFFF"/>
        </w:rPr>
        <w:t>Rosevear</w:t>
      </w:r>
      <w:proofErr w:type="spellEnd"/>
      <w:r w:rsidRPr="002309CA">
        <w:rPr>
          <w:color w:val="000000" w:themeColor="text1"/>
          <w:sz w:val="20"/>
          <w:szCs w:val="20"/>
          <w:shd w:val="clear" w:color="auto" w:fill="FFFFFF"/>
        </w:rPr>
        <w:t xml:space="preserve"> and Courtney Jung, ‘Justiciable and Aspirational Economic and Social rights in National Constitutions’ in Katherine G Young (ed), </w:t>
      </w:r>
      <w:r w:rsidRPr="002309CA">
        <w:rPr>
          <w:i/>
          <w:iCs/>
          <w:color w:val="000000" w:themeColor="text1"/>
          <w:sz w:val="20"/>
          <w:szCs w:val="20"/>
        </w:rPr>
        <w:t xml:space="preserve">The Future of Economic and Social Rights </w:t>
      </w:r>
      <w:r w:rsidRPr="002309CA">
        <w:rPr>
          <w:color w:val="000000" w:themeColor="text1"/>
          <w:sz w:val="20"/>
          <w:szCs w:val="20"/>
          <w:shd w:val="clear" w:color="auto" w:fill="FFFFFF"/>
        </w:rPr>
        <w:t>(</w:t>
      </w:r>
      <w:r w:rsidRPr="002309CA">
        <w:rPr>
          <w:color w:val="000000" w:themeColor="text1"/>
          <w:sz w:val="20"/>
          <w:szCs w:val="20"/>
        </w:rPr>
        <w:t>Cambridge University Press,</w:t>
      </w:r>
      <w:r w:rsidRPr="002309CA">
        <w:rPr>
          <w:color w:val="000000" w:themeColor="text1"/>
          <w:sz w:val="20"/>
          <w:szCs w:val="20"/>
          <w:shd w:val="clear" w:color="auto" w:fill="FFFFFF"/>
        </w:rPr>
        <w:t xml:space="preserve"> 2019) 37, 62.</w:t>
      </w:r>
    </w:p>
  </w:footnote>
  <w:footnote w:id="17">
    <w:p w14:paraId="54F4FED5" w14:textId="4C0547C9" w:rsidR="00FE549D" w:rsidRPr="002309CA" w:rsidRDefault="00FE549D" w:rsidP="00E36C1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Malcolm Langford, César Rodriguez-</w:t>
      </w:r>
      <w:proofErr w:type="spellStart"/>
      <w:r w:rsidRPr="002309CA">
        <w:rPr>
          <w:color w:val="000000" w:themeColor="text1"/>
          <w:sz w:val="20"/>
          <w:szCs w:val="20"/>
        </w:rPr>
        <w:t>Garavito</w:t>
      </w:r>
      <w:proofErr w:type="spellEnd"/>
      <w:r w:rsidRPr="002309CA">
        <w:rPr>
          <w:color w:val="000000" w:themeColor="text1"/>
          <w:sz w:val="20"/>
          <w:szCs w:val="20"/>
        </w:rPr>
        <w:t>, and Rossi, ‘Introduction: From Jurisprudence to Compliance’ in Malcolm Langford, César Rodriguez-</w:t>
      </w:r>
      <w:proofErr w:type="spellStart"/>
      <w:r w:rsidRPr="002309CA">
        <w:rPr>
          <w:color w:val="000000" w:themeColor="text1"/>
          <w:sz w:val="20"/>
          <w:szCs w:val="20"/>
        </w:rPr>
        <w:t>Garavito</w:t>
      </w:r>
      <w:proofErr w:type="spellEnd"/>
      <w:r w:rsidRPr="002309CA">
        <w:rPr>
          <w:color w:val="000000" w:themeColor="text1"/>
          <w:sz w:val="20"/>
          <w:szCs w:val="20"/>
        </w:rPr>
        <w:t>, and Julieta Rossi</w:t>
      </w:r>
      <w:r w:rsidRPr="002309CA">
        <w:rPr>
          <w:i/>
          <w:iCs/>
          <w:color w:val="000000" w:themeColor="text1"/>
          <w:sz w:val="20"/>
          <w:szCs w:val="20"/>
        </w:rPr>
        <w:t xml:space="preserve"> </w:t>
      </w:r>
      <w:r w:rsidRPr="002309CA">
        <w:rPr>
          <w:color w:val="000000" w:themeColor="text1"/>
          <w:sz w:val="20"/>
          <w:szCs w:val="20"/>
        </w:rPr>
        <w:t xml:space="preserve">(eds), </w:t>
      </w:r>
      <w:r w:rsidRPr="002309CA">
        <w:rPr>
          <w:i/>
          <w:iCs/>
          <w:color w:val="000000" w:themeColor="text1"/>
          <w:sz w:val="20"/>
          <w:szCs w:val="20"/>
        </w:rPr>
        <w:t xml:space="preserve">Social Rights Judgments and the Politics of Compliance Making it Stick </w:t>
      </w:r>
      <w:r w:rsidRPr="002309CA">
        <w:rPr>
          <w:color w:val="000000" w:themeColor="text1"/>
          <w:sz w:val="20"/>
          <w:szCs w:val="20"/>
        </w:rPr>
        <w:t>(Cambridge University Press,</w:t>
      </w:r>
      <w:r w:rsidRPr="002309CA">
        <w:rPr>
          <w:color w:val="000000" w:themeColor="text1"/>
          <w:sz w:val="20"/>
          <w:szCs w:val="20"/>
          <w:shd w:val="clear" w:color="auto" w:fill="FFFFFF"/>
        </w:rPr>
        <w:t xml:space="preserve"> </w:t>
      </w:r>
      <w:r w:rsidRPr="002309CA">
        <w:rPr>
          <w:color w:val="000000" w:themeColor="text1"/>
          <w:sz w:val="20"/>
          <w:szCs w:val="20"/>
        </w:rPr>
        <w:t>2017)</w:t>
      </w:r>
      <w:r w:rsidRPr="002309CA">
        <w:rPr>
          <w:i/>
          <w:iCs/>
          <w:color w:val="000000" w:themeColor="text1"/>
          <w:sz w:val="20"/>
          <w:szCs w:val="20"/>
        </w:rPr>
        <w:t xml:space="preserve"> </w:t>
      </w:r>
      <w:r w:rsidRPr="002309CA">
        <w:rPr>
          <w:color w:val="000000" w:themeColor="text1"/>
          <w:sz w:val="20"/>
          <w:szCs w:val="20"/>
        </w:rPr>
        <w:t>3.</w:t>
      </w:r>
    </w:p>
  </w:footnote>
  <w:footnote w:id="18">
    <w:p w14:paraId="1752646A" w14:textId="019FC789" w:rsidR="00FE549D" w:rsidRPr="002309CA" w:rsidRDefault="00FE549D" w:rsidP="001379D4">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Caroline Omari </w:t>
      </w:r>
      <w:proofErr w:type="spellStart"/>
      <w:r w:rsidRPr="002309CA">
        <w:rPr>
          <w:color w:val="000000" w:themeColor="text1"/>
          <w:sz w:val="20"/>
          <w:szCs w:val="20"/>
        </w:rPr>
        <w:t>Lichuma</w:t>
      </w:r>
      <w:proofErr w:type="spellEnd"/>
      <w:r w:rsidRPr="002309CA">
        <w:rPr>
          <w:color w:val="000000" w:themeColor="text1"/>
          <w:sz w:val="20"/>
          <w:szCs w:val="20"/>
        </w:rPr>
        <w:t xml:space="preserve">, ‘In International Law We (Do Not) Trust: The Persistent Rejection of Economic and Social Rights as a Manifestation of Cynicism’ in </w:t>
      </w:r>
      <w:proofErr w:type="spellStart"/>
      <w:r w:rsidRPr="002309CA">
        <w:rPr>
          <w:color w:val="000000" w:themeColor="text1"/>
          <w:sz w:val="20"/>
          <w:szCs w:val="20"/>
        </w:rPr>
        <w:t>Björnstjern</w:t>
      </w:r>
      <w:proofErr w:type="spellEnd"/>
      <w:r w:rsidRPr="002309CA">
        <w:rPr>
          <w:color w:val="000000" w:themeColor="text1"/>
          <w:sz w:val="20"/>
          <w:szCs w:val="20"/>
        </w:rPr>
        <w:t xml:space="preserve"> Baade </w:t>
      </w:r>
      <w:r w:rsidRPr="002309CA">
        <w:rPr>
          <w:i/>
          <w:iCs/>
          <w:color w:val="000000" w:themeColor="text1"/>
          <w:sz w:val="20"/>
          <w:szCs w:val="20"/>
        </w:rPr>
        <w:t>et al</w:t>
      </w:r>
      <w:r w:rsidRPr="002309CA">
        <w:rPr>
          <w:color w:val="000000" w:themeColor="text1"/>
          <w:sz w:val="20"/>
          <w:szCs w:val="20"/>
        </w:rPr>
        <w:t xml:space="preserve"> (eds), </w:t>
      </w:r>
      <w:r w:rsidRPr="002309CA">
        <w:rPr>
          <w:i/>
          <w:iCs/>
          <w:color w:val="000000" w:themeColor="text1"/>
          <w:sz w:val="20"/>
          <w:szCs w:val="20"/>
        </w:rPr>
        <w:t xml:space="preserve">Cynical International </w:t>
      </w:r>
      <w:proofErr w:type="gramStart"/>
      <w:r w:rsidRPr="002309CA">
        <w:rPr>
          <w:i/>
          <w:iCs/>
          <w:color w:val="000000" w:themeColor="text1"/>
          <w:sz w:val="20"/>
          <w:szCs w:val="20"/>
        </w:rPr>
        <w:t>Law?:</w:t>
      </w:r>
      <w:proofErr w:type="gramEnd"/>
      <w:r w:rsidRPr="002309CA">
        <w:rPr>
          <w:i/>
          <w:iCs/>
          <w:color w:val="000000" w:themeColor="text1"/>
          <w:sz w:val="20"/>
          <w:szCs w:val="20"/>
        </w:rPr>
        <w:t xml:space="preserve"> Abuse and Circumvention in Public International and European Law</w:t>
      </w:r>
      <w:r w:rsidRPr="002309CA">
        <w:rPr>
          <w:color w:val="000000" w:themeColor="text1"/>
          <w:sz w:val="20"/>
          <w:szCs w:val="20"/>
        </w:rPr>
        <w:t xml:space="preserve"> (Springer 2021) 198.</w:t>
      </w:r>
    </w:p>
  </w:footnote>
  <w:footnote w:id="19">
    <w:p w14:paraId="33A3506A" w14:textId="0B91BE9B" w:rsidR="00FE549D" w:rsidRPr="002309CA" w:rsidRDefault="00FE549D" w:rsidP="00DB5EBE">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Sabrina Singh, ‘Realizing Economic and Social Rights in Nepal: The Impact of a Progressive Constitution and an Experimental Supreme Court’ (2020) 33 </w:t>
      </w:r>
      <w:r w:rsidRPr="002309CA">
        <w:rPr>
          <w:i/>
          <w:iCs/>
          <w:color w:val="000000" w:themeColor="text1"/>
          <w:sz w:val="20"/>
          <w:szCs w:val="20"/>
        </w:rPr>
        <w:t>Harvard Human Rights Journal</w:t>
      </w:r>
      <w:r w:rsidRPr="002309CA">
        <w:rPr>
          <w:color w:val="000000" w:themeColor="text1"/>
          <w:sz w:val="20"/>
          <w:szCs w:val="20"/>
        </w:rPr>
        <w:t xml:space="preserve"> 275</w:t>
      </w:r>
      <w:r w:rsidR="00A126D5" w:rsidRPr="002309CA">
        <w:rPr>
          <w:color w:val="000000" w:themeColor="text1"/>
          <w:sz w:val="20"/>
          <w:szCs w:val="20"/>
        </w:rPr>
        <w:t>,</w:t>
      </w:r>
      <w:r w:rsidRPr="002309CA">
        <w:rPr>
          <w:color w:val="000000" w:themeColor="text1"/>
          <w:sz w:val="20"/>
          <w:szCs w:val="20"/>
        </w:rPr>
        <w:t xml:space="preserve"> 283.</w:t>
      </w:r>
    </w:p>
  </w:footnote>
  <w:footnote w:id="20">
    <w:p w14:paraId="2986E0C0" w14:textId="288B4B5B" w:rsidR="00FE549D" w:rsidRPr="002309CA" w:rsidRDefault="00FE549D" w:rsidP="00A50D05">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Bruce Porter, ‘The Crisis of ESC Rights and Strategies for Addressing It’ in Squires, Langford and Thiele (eds) (n 1</w:t>
      </w:r>
      <w:r w:rsidR="0076559D" w:rsidRPr="002309CA">
        <w:rPr>
          <w:color w:val="000000" w:themeColor="text1"/>
          <w:sz w:val="20"/>
          <w:szCs w:val="20"/>
        </w:rPr>
        <w:t>3</w:t>
      </w:r>
      <w:r w:rsidRPr="002309CA">
        <w:rPr>
          <w:color w:val="000000" w:themeColor="text1"/>
          <w:sz w:val="20"/>
          <w:szCs w:val="20"/>
        </w:rPr>
        <w:t>), 43 at 43.</w:t>
      </w:r>
    </w:p>
  </w:footnote>
  <w:footnote w:id="21">
    <w:p w14:paraId="3082F1E3" w14:textId="423A91C6"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Matthew </w:t>
      </w:r>
      <w:r w:rsidRPr="002309CA">
        <w:rPr>
          <w:rFonts w:ascii="Times New Roman" w:eastAsia="Times New Roman" w:hAnsi="Times New Roman" w:cs="Times New Roman"/>
          <w:color w:val="000000" w:themeColor="text1"/>
          <w:lang w:eastAsia="en-GB"/>
        </w:rPr>
        <w:t xml:space="preserve">Craven, ‘Assessment of the Progress on Adjudication of Economic, Social and Cultural Rights’ </w:t>
      </w:r>
      <w:r w:rsidRPr="002309CA">
        <w:rPr>
          <w:rFonts w:ascii="Times New Roman" w:hAnsi="Times New Roman" w:cs="Times New Roman"/>
          <w:color w:val="000000" w:themeColor="text1"/>
        </w:rPr>
        <w:t xml:space="preserve">in Squires, Langford and Thiele (eds), </w:t>
      </w:r>
      <w:r w:rsidRPr="002309CA">
        <w:rPr>
          <w:rFonts w:ascii="Times New Roman" w:hAnsi="Times New Roman" w:cs="Times New Roman"/>
          <w:i/>
          <w:iCs/>
          <w:color w:val="000000" w:themeColor="text1"/>
        </w:rPr>
        <w:t xml:space="preserve">ibid </w:t>
      </w:r>
      <w:r w:rsidRPr="002309CA">
        <w:rPr>
          <w:rFonts w:ascii="Times New Roman" w:eastAsia="Times New Roman" w:hAnsi="Times New Roman" w:cs="Times New Roman"/>
          <w:color w:val="000000" w:themeColor="text1"/>
          <w:lang w:eastAsia="en-GB"/>
        </w:rPr>
        <w:t>27.</w:t>
      </w:r>
    </w:p>
  </w:footnote>
  <w:footnote w:id="22">
    <w:p w14:paraId="3900F607" w14:textId="1D3326E3" w:rsidR="00FE549D" w:rsidRPr="002309CA" w:rsidRDefault="00FE549D" w:rsidP="006C2802">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John </w:t>
      </w:r>
      <w:proofErr w:type="spellStart"/>
      <w:r w:rsidRPr="002309CA">
        <w:rPr>
          <w:color w:val="000000" w:themeColor="text1"/>
          <w:sz w:val="20"/>
          <w:szCs w:val="20"/>
        </w:rPr>
        <w:t>Tasioulas</w:t>
      </w:r>
      <w:proofErr w:type="spellEnd"/>
      <w:r w:rsidRPr="002309CA">
        <w:rPr>
          <w:color w:val="000000" w:themeColor="text1"/>
          <w:sz w:val="20"/>
          <w:szCs w:val="20"/>
        </w:rPr>
        <w:t xml:space="preserve">, ‘Saving Human Rights from Human Rights Law’ (2019) 52 </w:t>
      </w:r>
      <w:r w:rsidRPr="002309CA">
        <w:rPr>
          <w:i/>
          <w:iCs/>
          <w:color w:val="000000" w:themeColor="text1"/>
          <w:sz w:val="20"/>
          <w:szCs w:val="20"/>
        </w:rPr>
        <w:t xml:space="preserve">Vanderbilt Journal of Transnational </w:t>
      </w:r>
      <w:proofErr w:type="gramStart"/>
      <w:r w:rsidRPr="002309CA">
        <w:rPr>
          <w:i/>
          <w:iCs/>
          <w:color w:val="000000" w:themeColor="text1"/>
          <w:sz w:val="20"/>
          <w:szCs w:val="20"/>
        </w:rPr>
        <w:t xml:space="preserve">Law  </w:t>
      </w:r>
      <w:r w:rsidRPr="002309CA">
        <w:rPr>
          <w:color w:val="000000" w:themeColor="text1"/>
          <w:sz w:val="20"/>
          <w:szCs w:val="20"/>
        </w:rPr>
        <w:t>1167</w:t>
      </w:r>
      <w:proofErr w:type="gramEnd"/>
      <w:r w:rsidR="00A126D5" w:rsidRPr="002309CA">
        <w:rPr>
          <w:color w:val="000000" w:themeColor="text1"/>
          <w:sz w:val="20"/>
          <w:szCs w:val="20"/>
        </w:rPr>
        <w:t xml:space="preserve">, </w:t>
      </w:r>
      <w:r w:rsidRPr="002309CA">
        <w:rPr>
          <w:color w:val="000000" w:themeColor="text1"/>
          <w:sz w:val="20"/>
          <w:szCs w:val="20"/>
        </w:rPr>
        <w:t>1179.</w:t>
      </w:r>
    </w:p>
  </w:footnote>
  <w:footnote w:id="23">
    <w:p w14:paraId="5E27AF0C" w14:textId="3D2019B7" w:rsidR="00FE549D" w:rsidRPr="002309CA" w:rsidRDefault="00FE549D" w:rsidP="00A50D05">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Ignacio </w:t>
      </w:r>
      <w:proofErr w:type="spellStart"/>
      <w:r w:rsidRPr="002309CA">
        <w:rPr>
          <w:color w:val="000000" w:themeColor="text1"/>
          <w:sz w:val="20"/>
          <w:szCs w:val="20"/>
        </w:rPr>
        <w:t>Saiz</w:t>
      </w:r>
      <w:proofErr w:type="spellEnd"/>
      <w:r w:rsidRPr="002309CA">
        <w:rPr>
          <w:color w:val="000000" w:themeColor="text1"/>
          <w:sz w:val="20"/>
          <w:szCs w:val="20"/>
        </w:rPr>
        <w:t xml:space="preserve">, ‘Rights in Recession? Challenges for Economic and Social Rights Enforcement in Times of Crisis’ (2009) 1 </w:t>
      </w:r>
      <w:r w:rsidRPr="002309CA">
        <w:rPr>
          <w:i/>
          <w:iCs/>
          <w:color w:val="000000" w:themeColor="text1"/>
          <w:sz w:val="20"/>
          <w:szCs w:val="20"/>
        </w:rPr>
        <w:t>Journal of Human Rights Practice</w:t>
      </w:r>
      <w:r w:rsidRPr="002309CA">
        <w:rPr>
          <w:color w:val="000000" w:themeColor="text1"/>
          <w:sz w:val="20"/>
          <w:szCs w:val="20"/>
        </w:rPr>
        <w:t xml:space="preserve"> 277, 277 [abstract].</w:t>
      </w:r>
    </w:p>
  </w:footnote>
  <w:footnote w:id="24">
    <w:p w14:paraId="546B87D6" w14:textId="6D9018AF" w:rsidR="00FE549D" w:rsidRPr="002309CA" w:rsidRDefault="00FE549D" w:rsidP="00011AEB">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Eitan </w:t>
      </w:r>
      <w:proofErr w:type="spellStart"/>
      <w:r w:rsidRPr="002309CA">
        <w:rPr>
          <w:color w:val="000000" w:themeColor="text1"/>
          <w:sz w:val="20"/>
          <w:szCs w:val="20"/>
        </w:rPr>
        <w:t>Felner</w:t>
      </w:r>
      <w:proofErr w:type="spellEnd"/>
      <w:r w:rsidRPr="002309CA">
        <w:rPr>
          <w:color w:val="000000" w:themeColor="text1"/>
          <w:sz w:val="20"/>
          <w:szCs w:val="20"/>
        </w:rPr>
        <w:t xml:space="preserve">, ‘A New Frontier in Economic and Social Rights Advocacy? Turning Quantitative Data </w:t>
      </w:r>
      <w:proofErr w:type="gramStart"/>
      <w:r w:rsidRPr="002309CA">
        <w:rPr>
          <w:color w:val="000000" w:themeColor="text1"/>
          <w:sz w:val="20"/>
          <w:szCs w:val="20"/>
        </w:rPr>
        <w:t>Into</w:t>
      </w:r>
      <w:proofErr w:type="gramEnd"/>
      <w:r w:rsidRPr="002309CA">
        <w:rPr>
          <w:color w:val="000000" w:themeColor="text1"/>
          <w:sz w:val="20"/>
          <w:szCs w:val="20"/>
        </w:rPr>
        <w:t xml:space="preserve"> a Tool for Human Rights Accountability (2008) 4 </w:t>
      </w:r>
      <w:r w:rsidRPr="002309CA">
        <w:rPr>
          <w:i/>
          <w:iCs/>
          <w:color w:val="000000" w:themeColor="text1"/>
          <w:sz w:val="20"/>
          <w:szCs w:val="20"/>
        </w:rPr>
        <w:t>Sur-</w:t>
      </w:r>
      <w:proofErr w:type="spellStart"/>
      <w:r w:rsidRPr="002309CA">
        <w:rPr>
          <w:i/>
          <w:iCs/>
          <w:color w:val="000000" w:themeColor="text1"/>
          <w:sz w:val="20"/>
          <w:szCs w:val="20"/>
        </w:rPr>
        <w:t>Revista</w:t>
      </w:r>
      <w:proofErr w:type="spellEnd"/>
      <w:r w:rsidRPr="002309CA">
        <w:rPr>
          <w:i/>
          <w:iCs/>
          <w:color w:val="000000" w:themeColor="text1"/>
          <w:sz w:val="20"/>
          <w:szCs w:val="20"/>
        </w:rPr>
        <w:t xml:space="preserve"> </w:t>
      </w:r>
      <w:proofErr w:type="spellStart"/>
      <w:r w:rsidRPr="002309CA">
        <w:rPr>
          <w:i/>
          <w:iCs/>
          <w:color w:val="000000" w:themeColor="text1"/>
          <w:sz w:val="20"/>
          <w:szCs w:val="20"/>
        </w:rPr>
        <w:t>Internacional</w:t>
      </w:r>
      <w:proofErr w:type="spellEnd"/>
      <w:r w:rsidRPr="002309CA">
        <w:rPr>
          <w:i/>
          <w:iCs/>
          <w:color w:val="000000" w:themeColor="text1"/>
          <w:sz w:val="20"/>
          <w:szCs w:val="20"/>
        </w:rPr>
        <w:t xml:space="preserve"> de </w:t>
      </w:r>
      <w:proofErr w:type="spellStart"/>
      <w:r w:rsidRPr="002309CA">
        <w:rPr>
          <w:i/>
          <w:iCs/>
          <w:color w:val="000000" w:themeColor="text1"/>
          <w:sz w:val="20"/>
          <w:szCs w:val="20"/>
        </w:rPr>
        <w:t>Direitos</w:t>
      </w:r>
      <w:proofErr w:type="spellEnd"/>
      <w:r w:rsidRPr="002309CA">
        <w:rPr>
          <w:i/>
          <w:iCs/>
          <w:color w:val="000000" w:themeColor="text1"/>
          <w:sz w:val="20"/>
          <w:szCs w:val="20"/>
        </w:rPr>
        <w:t xml:space="preserve"> Humanos</w:t>
      </w:r>
      <w:r w:rsidRPr="002309CA">
        <w:rPr>
          <w:color w:val="000000" w:themeColor="text1"/>
          <w:sz w:val="20"/>
          <w:szCs w:val="20"/>
        </w:rPr>
        <w:t xml:space="preserve"> 108, 110 and 111.</w:t>
      </w:r>
    </w:p>
  </w:footnote>
  <w:footnote w:id="25">
    <w:p w14:paraId="3F295C6D" w14:textId="08576E72" w:rsidR="00FE549D" w:rsidRPr="002309CA" w:rsidRDefault="00FE549D" w:rsidP="00614CF9">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David Forsythe, ‘Human Rights Studies: On the Dangers of Legalistic Assumptions’ in</w:t>
      </w:r>
      <w:r w:rsidRPr="002309CA">
        <w:rPr>
          <w:i/>
          <w:iCs/>
          <w:color w:val="000000" w:themeColor="text1"/>
          <w:sz w:val="20"/>
          <w:szCs w:val="20"/>
        </w:rPr>
        <w:t xml:space="preserve"> </w:t>
      </w:r>
      <w:proofErr w:type="spellStart"/>
      <w:r w:rsidRPr="002309CA">
        <w:rPr>
          <w:color w:val="000000" w:themeColor="text1"/>
          <w:sz w:val="20"/>
          <w:szCs w:val="20"/>
        </w:rPr>
        <w:t>Fons</w:t>
      </w:r>
      <w:proofErr w:type="spellEnd"/>
      <w:r w:rsidRPr="002309CA">
        <w:rPr>
          <w:color w:val="000000" w:themeColor="text1"/>
          <w:sz w:val="20"/>
          <w:szCs w:val="20"/>
        </w:rPr>
        <w:t xml:space="preserve"> </w:t>
      </w:r>
      <w:proofErr w:type="spellStart"/>
      <w:r w:rsidRPr="002309CA">
        <w:rPr>
          <w:color w:val="000000" w:themeColor="text1"/>
          <w:sz w:val="20"/>
          <w:szCs w:val="20"/>
        </w:rPr>
        <w:t>Coomans</w:t>
      </w:r>
      <w:proofErr w:type="spellEnd"/>
      <w:r w:rsidRPr="002309CA">
        <w:rPr>
          <w:color w:val="000000" w:themeColor="text1"/>
          <w:sz w:val="20"/>
          <w:szCs w:val="20"/>
        </w:rPr>
        <w:t xml:space="preserve">, Fred Grunfeld, and Menno </w:t>
      </w:r>
      <w:proofErr w:type="spellStart"/>
      <w:r w:rsidRPr="002309CA">
        <w:rPr>
          <w:rStyle w:val="highlight"/>
          <w:color w:val="000000" w:themeColor="text1"/>
          <w:sz w:val="20"/>
          <w:szCs w:val="20"/>
        </w:rPr>
        <w:t>Kamminga</w:t>
      </w:r>
      <w:proofErr w:type="spellEnd"/>
      <w:r w:rsidRPr="002309CA">
        <w:rPr>
          <w:rStyle w:val="highlight"/>
          <w:color w:val="000000" w:themeColor="text1"/>
          <w:sz w:val="20"/>
          <w:szCs w:val="20"/>
        </w:rPr>
        <w:t xml:space="preserve"> (eds)</w:t>
      </w:r>
      <w:r w:rsidRPr="002309CA">
        <w:rPr>
          <w:color w:val="000000" w:themeColor="text1"/>
          <w:sz w:val="20"/>
          <w:szCs w:val="20"/>
        </w:rPr>
        <w:t xml:space="preserve">, </w:t>
      </w:r>
      <w:r w:rsidRPr="002309CA">
        <w:rPr>
          <w:i/>
          <w:iCs/>
          <w:color w:val="000000" w:themeColor="text1"/>
          <w:sz w:val="20"/>
          <w:szCs w:val="20"/>
        </w:rPr>
        <w:t>Methods of Human Rights Research</w:t>
      </w:r>
      <w:r w:rsidRPr="002309CA">
        <w:rPr>
          <w:color w:val="000000" w:themeColor="text1"/>
          <w:sz w:val="20"/>
          <w:szCs w:val="20"/>
        </w:rPr>
        <w:t xml:space="preserve"> (</w:t>
      </w:r>
      <w:proofErr w:type="spellStart"/>
      <w:r w:rsidRPr="002309CA">
        <w:rPr>
          <w:color w:val="000000" w:themeColor="text1"/>
          <w:sz w:val="20"/>
          <w:szCs w:val="20"/>
        </w:rPr>
        <w:t>Intersentia</w:t>
      </w:r>
      <w:proofErr w:type="spellEnd"/>
      <w:r w:rsidRPr="002309CA">
        <w:rPr>
          <w:color w:val="000000" w:themeColor="text1"/>
          <w:sz w:val="20"/>
          <w:szCs w:val="20"/>
        </w:rPr>
        <w:t xml:space="preserve">, 2009) 59, 62. Legalism, in </w:t>
      </w:r>
      <w:proofErr w:type="spellStart"/>
      <w:r w:rsidRPr="002309CA">
        <w:rPr>
          <w:color w:val="000000" w:themeColor="text1"/>
          <w:sz w:val="20"/>
          <w:szCs w:val="20"/>
        </w:rPr>
        <w:t>Shklar’s</w:t>
      </w:r>
      <w:proofErr w:type="spellEnd"/>
      <w:r w:rsidRPr="002309CA">
        <w:rPr>
          <w:color w:val="000000" w:themeColor="text1"/>
          <w:sz w:val="20"/>
          <w:szCs w:val="20"/>
        </w:rPr>
        <w:t xml:space="preserve"> classic formulation, refers to ‘the ethical attitude that holds moral conduct to be a matter of rule following, and moral relationships to consist of duties and rights determined by rules’ (Judith </w:t>
      </w:r>
      <w:proofErr w:type="spellStart"/>
      <w:r w:rsidRPr="002309CA">
        <w:rPr>
          <w:color w:val="000000" w:themeColor="text1"/>
          <w:sz w:val="20"/>
          <w:szCs w:val="20"/>
        </w:rPr>
        <w:t>Shklar</w:t>
      </w:r>
      <w:proofErr w:type="spellEnd"/>
      <w:r w:rsidRPr="002309CA">
        <w:rPr>
          <w:color w:val="000000" w:themeColor="text1"/>
          <w:sz w:val="20"/>
          <w:szCs w:val="20"/>
        </w:rPr>
        <w:t xml:space="preserve">, </w:t>
      </w:r>
      <w:r w:rsidRPr="002309CA">
        <w:rPr>
          <w:i/>
          <w:iCs/>
          <w:color w:val="000000" w:themeColor="text1"/>
          <w:sz w:val="20"/>
          <w:szCs w:val="20"/>
        </w:rPr>
        <w:t>Legalism: An Essay on Law, Morals, and Politics</w:t>
      </w:r>
      <w:r w:rsidRPr="002309CA">
        <w:rPr>
          <w:color w:val="000000" w:themeColor="text1"/>
          <w:sz w:val="20"/>
          <w:szCs w:val="20"/>
        </w:rPr>
        <w:t xml:space="preserve"> (Harvard University Press, 1964), 1.</w:t>
      </w:r>
    </w:p>
  </w:footnote>
  <w:footnote w:id="26">
    <w:p w14:paraId="6F39A414" w14:textId="3249AE3A" w:rsidR="00FE549D" w:rsidRPr="002309CA" w:rsidRDefault="00FE549D" w:rsidP="00DE7D5E">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Jack Donnelly, </w:t>
      </w:r>
      <w:r w:rsidRPr="002309CA">
        <w:rPr>
          <w:i/>
          <w:iCs/>
          <w:color w:val="000000" w:themeColor="text1"/>
          <w:sz w:val="20"/>
          <w:szCs w:val="20"/>
        </w:rPr>
        <w:t>Universal Human Rights in Theory and Practice</w:t>
      </w:r>
      <w:r w:rsidRPr="002309CA">
        <w:rPr>
          <w:color w:val="000000" w:themeColor="text1"/>
          <w:sz w:val="20"/>
          <w:szCs w:val="20"/>
        </w:rPr>
        <w:t xml:space="preserve"> (Cornell University Press, 2013) 9.</w:t>
      </w:r>
    </w:p>
  </w:footnote>
  <w:footnote w:id="27">
    <w:p w14:paraId="7021E480" w14:textId="7E29DF49" w:rsidR="00FE549D" w:rsidRPr="002309CA" w:rsidRDefault="00FE549D" w:rsidP="00464FBA">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International Commission of Jurists (n </w:t>
      </w:r>
      <w:r w:rsidR="0076559D" w:rsidRPr="002309CA">
        <w:rPr>
          <w:rFonts w:ascii="Times New Roman" w:hAnsi="Times New Roman" w:cs="Times New Roman"/>
          <w:color w:val="000000" w:themeColor="text1"/>
        </w:rPr>
        <w:t>11</w:t>
      </w:r>
      <w:r w:rsidRPr="002309CA">
        <w:rPr>
          <w:rFonts w:ascii="Times New Roman" w:hAnsi="Times New Roman" w:cs="Times New Roman"/>
          <w:color w:val="000000" w:themeColor="text1"/>
        </w:rPr>
        <w:t>) 3.</w:t>
      </w:r>
    </w:p>
  </w:footnote>
  <w:footnote w:id="28">
    <w:p w14:paraId="02E32E80" w14:textId="223B6CD1" w:rsidR="00FE549D" w:rsidRPr="002309CA" w:rsidRDefault="00FE549D" w:rsidP="00A74F3E">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Matthew Craven, ‘The UN Committee on Economic, Social and Cultural Rights’ in </w:t>
      </w:r>
      <w:proofErr w:type="spellStart"/>
      <w:r w:rsidR="00A126D5" w:rsidRPr="002309CA">
        <w:rPr>
          <w:color w:val="000000" w:themeColor="text1"/>
          <w:sz w:val="20"/>
          <w:szCs w:val="20"/>
        </w:rPr>
        <w:t>Asbjorn</w:t>
      </w:r>
      <w:proofErr w:type="spellEnd"/>
      <w:r w:rsidR="00A126D5" w:rsidRPr="002309CA">
        <w:rPr>
          <w:color w:val="000000" w:themeColor="text1"/>
          <w:sz w:val="20"/>
          <w:szCs w:val="20"/>
        </w:rPr>
        <w:t xml:space="preserve"> </w:t>
      </w:r>
      <w:r w:rsidRPr="002309CA">
        <w:rPr>
          <w:color w:val="000000" w:themeColor="text1"/>
          <w:sz w:val="20"/>
          <w:szCs w:val="20"/>
        </w:rPr>
        <w:t xml:space="preserve">Eide (ed) </w:t>
      </w:r>
      <w:r w:rsidRPr="002309CA">
        <w:rPr>
          <w:i/>
          <w:iCs/>
          <w:color w:val="000000" w:themeColor="text1"/>
          <w:sz w:val="20"/>
          <w:szCs w:val="20"/>
        </w:rPr>
        <w:t>Economic, Social, and Cultural Rights: A Textbook</w:t>
      </w:r>
      <w:r w:rsidRPr="002309CA">
        <w:rPr>
          <w:color w:val="000000" w:themeColor="text1"/>
          <w:sz w:val="20"/>
          <w:szCs w:val="20"/>
        </w:rPr>
        <w:t xml:space="preserve"> (Brill, 2001) 450</w:t>
      </w:r>
      <w:r w:rsidR="00A126D5" w:rsidRPr="002309CA">
        <w:rPr>
          <w:color w:val="000000" w:themeColor="text1"/>
          <w:sz w:val="20"/>
          <w:szCs w:val="20"/>
        </w:rPr>
        <w:t>,</w:t>
      </w:r>
      <w:r w:rsidRPr="002309CA">
        <w:rPr>
          <w:color w:val="000000" w:themeColor="text1"/>
          <w:sz w:val="20"/>
          <w:szCs w:val="20"/>
        </w:rPr>
        <w:t xml:space="preserve"> 458 and 459. </w:t>
      </w:r>
    </w:p>
  </w:footnote>
  <w:footnote w:id="29">
    <w:p w14:paraId="491BC1AF" w14:textId="77777777" w:rsidR="00FE549D" w:rsidRPr="002309CA" w:rsidRDefault="00FE549D" w:rsidP="00F907B8">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General Comment No. 1: Reporting by States Parties, 27 July 1981, E/1989/22, para. 4.</w:t>
      </w:r>
    </w:p>
  </w:footnote>
  <w:footnote w:id="30">
    <w:p w14:paraId="2075DB89" w14:textId="6297B087"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Katherine G Young, ‘Waiting for Rights: Progressive Realisation and Lost Time’ in Young (ed) (n 1</w:t>
      </w:r>
      <w:r w:rsidR="00872AF7" w:rsidRPr="002309CA">
        <w:rPr>
          <w:rFonts w:ascii="Times New Roman" w:hAnsi="Times New Roman" w:cs="Times New Roman"/>
          <w:color w:val="000000" w:themeColor="text1"/>
        </w:rPr>
        <w:t>6</w:t>
      </w:r>
      <w:r w:rsidRPr="002309CA">
        <w:rPr>
          <w:rFonts w:ascii="Times New Roman" w:hAnsi="Times New Roman" w:cs="Times New Roman"/>
          <w:color w:val="000000" w:themeColor="text1"/>
        </w:rPr>
        <w:t>) 654, 657.</w:t>
      </w:r>
    </w:p>
  </w:footnote>
  <w:footnote w:id="31">
    <w:p w14:paraId="32804DEB" w14:textId="0D9EB2E2" w:rsidR="00FE549D" w:rsidRPr="002309CA" w:rsidRDefault="00FE549D" w:rsidP="00A50D05">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Mary Dowell-Jones, </w:t>
      </w:r>
      <w:r w:rsidRPr="002309CA">
        <w:rPr>
          <w:i/>
          <w:iCs/>
          <w:color w:val="000000" w:themeColor="text1"/>
          <w:sz w:val="20"/>
          <w:szCs w:val="20"/>
        </w:rPr>
        <w:t>Contextualising the International Covenant on Economic, Social and Cultural Rights: Assessing the Economic Deficit</w:t>
      </w:r>
      <w:r w:rsidRPr="002309CA">
        <w:rPr>
          <w:color w:val="000000" w:themeColor="text1"/>
          <w:sz w:val="20"/>
          <w:szCs w:val="20"/>
        </w:rPr>
        <w:t xml:space="preserve"> (</w:t>
      </w:r>
      <w:proofErr w:type="spellStart"/>
      <w:r w:rsidRPr="002309CA">
        <w:rPr>
          <w:color w:val="000000" w:themeColor="text1"/>
          <w:sz w:val="20"/>
          <w:szCs w:val="20"/>
        </w:rPr>
        <w:t>Martinus</w:t>
      </w:r>
      <w:proofErr w:type="spellEnd"/>
      <w:r w:rsidRPr="002309CA">
        <w:rPr>
          <w:color w:val="000000" w:themeColor="text1"/>
          <w:sz w:val="20"/>
          <w:szCs w:val="20"/>
        </w:rPr>
        <w:t xml:space="preserve"> </w:t>
      </w:r>
      <w:proofErr w:type="spellStart"/>
      <w:r w:rsidRPr="002309CA">
        <w:rPr>
          <w:color w:val="000000" w:themeColor="text1"/>
          <w:sz w:val="20"/>
          <w:szCs w:val="20"/>
        </w:rPr>
        <w:t>Nijhoff</w:t>
      </w:r>
      <w:proofErr w:type="spellEnd"/>
      <w:r w:rsidRPr="002309CA">
        <w:rPr>
          <w:color w:val="000000" w:themeColor="text1"/>
          <w:sz w:val="20"/>
          <w:szCs w:val="20"/>
        </w:rPr>
        <w:t>, 2004) 186-187.</w:t>
      </w:r>
    </w:p>
  </w:footnote>
  <w:footnote w:id="32">
    <w:p w14:paraId="5345DA02" w14:textId="18AF8AF5" w:rsidR="00FE549D" w:rsidRPr="002309CA" w:rsidRDefault="00FE549D" w:rsidP="001350B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William O’Neill and Vegard Bye, </w:t>
      </w:r>
      <w:r w:rsidRPr="002309CA">
        <w:rPr>
          <w:i/>
          <w:iCs/>
          <w:color w:val="000000" w:themeColor="text1"/>
          <w:sz w:val="20"/>
          <w:szCs w:val="20"/>
        </w:rPr>
        <w:t>From High Principles to Operational Practice: Strengthening OHCHR Capacity to Support UN Country Teams to Integrate Human Rights in Development Programming</w:t>
      </w:r>
      <w:r w:rsidRPr="002309CA">
        <w:rPr>
          <w:color w:val="000000" w:themeColor="text1"/>
          <w:sz w:val="20"/>
          <w:szCs w:val="20"/>
        </w:rPr>
        <w:t xml:space="preserve"> (2002), 19-20.</w:t>
      </w:r>
    </w:p>
  </w:footnote>
  <w:footnote w:id="33">
    <w:p w14:paraId="5AA9704D" w14:textId="793A9EA3" w:rsidR="00FE549D" w:rsidRPr="002309CA" w:rsidRDefault="00FE549D" w:rsidP="007B5708">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A</w:t>
      </w:r>
      <w:r w:rsidR="00086826" w:rsidRPr="002309CA">
        <w:rPr>
          <w:color w:val="000000" w:themeColor="text1"/>
          <w:sz w:val="20"/>
          <w:szCs w:val="20"/>
        </w:rPr>
        <w:t>rgument</w:t>
      </w:r>
      <w:r w:rsidRPr="002309CA">
        <w:rPr>
          <w:color w:val="000000" w:themeColor="text1"/>
          <w:sz w:val="20"/>
          <w:szCs w:val="20"/>
        </w:rPr>
        <w:t xml:space="preserve"> outlined </w:t>
      </w:r>
      <w:r w:rsidR="00086826" w:rsidRPr="002309CA">
        <w:rPr>
          <w:color w:val="000000" w:themeColor="text1"/>
          <w:sz w:val="20"/>
          <w:szCs w:val="20"/>
        </w:rPr>
        <w:t xml:space="preserve">but not shared </w:t>
      </w:r>
      <w:r w:rsidRPr="002309CA">
        <w:rPr>
          <w:color w:val="000000" w:themeColor="text1"/>
          <w:sz w:val="20"/>
          <w:szCs w:val="20"/>
        </w:rPr>
        <w:t xml:space="preserve">by Christian </w:t>
      </w:r>
      <w:proofErr w:type="spellStart"/>
      <w:r w:rsidRPr="002309CA">
        <w:rPr>
          <w:color w:val="000000" w:themeColor="text1"/>
          <w:sz w:val="20"/>
          <w:szCs w:val="20"/>
        </w:rPr>
        <w:t>Courtis</w:t>
      </w:r>
      <w:proofErr w:type="spellEnd"/>
      <w:r w:rsidRPr="002309CA">
        <w:rPr>
          <w:color w:val="000000" w:themeColor="text1"/>
          <w:sz w:val="20"/>
          <w:szCs w:val="20"/>
        </w:rPr>
        <w:t xml:space="preserve">, ‘Standards to Make ESC Rights Justiciable: A Summary Exploration’ (2009) 2 </w:t>
      </w:r>
      <w:r w:rsidRPr="002309CA">
        <w:rPr>
          <w:i/>
          <w:iCs/>
          <w:color w:val="000000" w:themeColor="text1"/>
          <w:sz w:val="20"/>
          <w:szCs w:val="20"/>
        </w:rPr>
        <w:t>Erasmus Law Review</w:t>
      </w:r>
      <w:r w:rsidRPr="002309CA">
        <w:rPr>
          <w:color w:val="000000" w:themeColor="text1"/>
          <w:sz w:val="20"/>
          <w:szCs w:val="20"/>
        </w:rPr>
        <w:t xml:space="preserve"> 379, 379.</w:t>
      </w:r>
    </w:p>
  </w:footnote>
  <w:footnote w:id="34">
    <w:p w14:paraId="51BAE594" w14:textId="6CD14144"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Ian </w:t>
      </w:r>
      <w:proofErr w:type="spellStart"/>
      <w:r w:rsidRPr="002309CA">
        <w:rPr>
          <w:rFonts w:ascii="Times New Roman" w:hAnsi="Times New Roman" w:cs="Times New Roman"/>
          <w:color w:val="000000" w:themeColor="text1"/>
        </w:rPr>
        <w:t>Brownlie</w:t>
      </w:r>
      <w:proofErr w:type="spellEnd"/>
      <w:r w:rsidRPr="002309CA">
        <w:rPr>
          <w:rFonts w:ascii="Times New Roman" w:hAnsi="Times New Roman" w:cs="Times New Roman"/>
          <w:color w:val="000000" w:themeColor="text1"/>
        </w:rPr>
        <w:t xml:space="preserve">, </w:t>
      </w:r>
      <w:r w:rsidRPr="002309CA">
        <w:rPr>
          <w:rFonts w:ascii="Times New Roman" w:hAnsi="Times New Roman" w:cs="Times New Roman"/>
          <w:i/>
          <w:iCs/>
          <w:color w:val="000000" w:themeColor="text1"/>
        </w:rPr>
        <w:t>Principles of International Law</w:t>
      </w:r>
      <w:r w:rsidRPr="002309CA">
        <w:rPr>
          <w:rFonts w:ascii="Times New Roman" w:hAnsi="Times New Roman" w:cs="Times New Roman"/>
          <w:color w:val="000000" w:themeColor="text1"/>
        </w:rPr>
        <w:t>, 5</w:t>
      </w:r>
      <w:r w:rsidRPr="002309CA">
        <w:rPr>
          <w:rFonts w:ascii="Times New Roman" w:hAnsi="Times New Roman" w:cs="Times New Roman"/>
          <w:color w:val="000000" w:themeColor="text1"/>
          <w:vertAlign w:val="superscript"/>
        </w:rPr>
        <w:t>th</w:t>
      </w:r>
      <w:r w:rsidRPr="002309CA">
        <w:rPr>
          <w:rFonts w:ascii="Times New Roman" w:hAnsi="Times New Roman" w:cs="Times New Roman"/>
          <w:color w:val="000000" w:themeColor="text1"/>
        </w:rPr>
        <w:t xml:space="preserve"> edition (Oxford University Press 1998) 576-577.</w:t>
      </w:r>
    </w:p>
  </w:footnote>
  <w:footnote w:id="35">
    <w:p w14:paraId="2542F6D6" w14:textId="358CCC06" w:rsidR="00FE549D" w:rsidRPr="002309CA" w:rsidRDefault="00FE549D" w:rsidP="00D24317">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Egbert </w:t>
      </w:r>
      <w:proofErr w:type="spellStart"/>
      <w:r w:rsidRPr="002309CA">
        <w:rPr>
          <w:color w:val="000000" w:themeColor="text1"/>
          <w:sz w:val="20"/>
          <w:szCs w:val="20"/>
        </w:rPr>
        <w:t>Vierdag</w:t>
      </w:r>
      <w:proofErr w:type="spellEnd"/>
      <w:r w:rsidRPr="002309CA">
        <w:rPr>
          <w:color w:val="000000" w:themeColor="text1"/>
          <w:sz w:val="20"/>
          <w:szCs w:val="20"/>
        </w:rPr>
        <w:t xml:space="preserve">, ‘The Legal Nature of the Rights Granted by the International Covenant on Economic, Social and Cultural Rights’ (1978) 9 </w:t>
      </w:r>
      <w:r w:rsidRPr="002309CA">
        <w:rPr>
          <w:i/>
          <w:iCs/>
          <w:color w:val="000000" w:themeColor="text1"/>
          <w:sz w:val="20"/>
          <w:szCs w:val="20"/>
        </w:rPr>
        <w:t>Netherlands Yearbook of International Law</w:t>
      </w:r>
      <w:r w:rsidRPr="002309CA">
        <w:rPr>
          <w:color w:val="000000" w:themeColor="text1"/>
          <w:sz w:val="20"/>
          <w:szCs w:val="20"/>
        </w:rPr>
        <w:t xml:space="preserve"> 69.</w:t>
      </w:r>
    </w:p>
  </w:footnote>
  <w:footnote w:id="36">
    <w:p w14:paraId="7BC3BEF8" w14:textId="77777777" w:rsidR="00FE549D" w:rsidRPr="002309CA" w:rsidRDefault="00FE549D" w:rsidP="00A9315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For example, in its in its concluding observations on United Kingdom, the Committee restated reiterated its ‘concern about the state party’s position that the provisions of the Covenant, with minor exceptions, constitute principles and programmatic objectives rather than legal obligations that are justiciable’ (Conclusions and recommendations of CESCR: United Kingdom of Great Britain and Northern Ireland—Dependent Territories, UN Doc. E/C.12/1/Add.79 (2002), para. 10).</w:t>
      </w:r>
    </w:p>
  </w:footnote>
  <w:footnote w:id="37">
    <w:p w14:paraId="5D43A089" w14:textId="0B101B22" w:rsidR="00FE549D" w:rsidRPr="002309CA" w:rsidRDefault="00FE549D" w:rsidP="00CF4BD0">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Whelan</w:t>
      </w:r>
      <w:r w:rsidR="00765FF9" w:rsidRPr="002309CA">
        <w:rPr>
          <w:color w:val="000000" w:themeColor="text1"/>
          <w:sz w:val="20"/>
          <w:szCs w:val="20"/>
        </w:rPr>
        <w:t xml:space="preserve"> (n 4) </w:t>
      </w:r>
      <w:r w:rsidRPr="002309CA">
        <w:rPr>
          <w:color w:val="000000" w:themeColor="text1"/>
          <w:sz w:val="20"/>
          <w:szCs w:val="20"/>
        </w:rPr>
        <w:t>69.</w:t>
      </w:r>
    </w:p>
  </w:footnote>
  <w:footnote w:id="38">
    <w:p w14:paraId="46EF9B0F" w14:textId="67686E54" w:rsidR="00FE549D" w:rsidRPr="002309CA" w:rsidRDefault="00FE549D" w:rsidP="007D3E95">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For example, Arambulo argues that a ‘violations approach’ is problematic in the context of rights with a ‘programmatic character’ (</w:t>
      </w:r>
      <w:r w:rsidR="00551844" w:rsidRPr="002309CA">
        <w:rPr>
          <w:rFonts w:ascii="Times New Roman" w:hAnsi="Times New Roman" w:cs="Times New Roman"/>
          <w:color w:val="000000" w:themeColor="text1"/>
        </w:rPr>
        <w:t xml:space="preserve">Kitty Arambulo, </w:t>
      </w:r>
      <w:r w:rsidR="00551844" w:rsidRPr="002309CA">
        <w:rPr>
          <w:rFonts w:ascii="Times New Roman" w:hAnsi="Times New Roman" w:cs="Times New Roman"/>
          <w:i/>
          <w:iCs/>
          <w:color w:val="000000" w:themeColor="text1"/>
        </w:rPr>
        <w:t>Strengthening the Supervision of the International Covenant on Economic, Social and Cultural Rights: Theoretical and Procedural Aspects</w:t>
      </w:r>
      <w:r w:rsidR="00551844" w:rsidRPr="002309CA">
        <w:rPr>
          <w:rFonts w:ascii="Times New Roman" w:hAnsi="Times New Roman" w:cs="Times New Roman"/>
          <w:color w:val="000000" w:themeColor="text1"/>
        </w:rPr>
        <w:t xml:space="preserve"> (</w:t>
      </w:r>
      <w:proofErr w:type="spellStart"/>
      <w:r w:rsidR="00551844" w:rsidRPr="002309CA">
        <w:rPr>
          <w:rFonts w:ascii="Times New Roman" w:hAnsi="Times New Roman" w:cs="Times New Roman"/>
          <w:color w:val="000000" w:themeColor="text1"/>
        </w:rPr>
        <w:t>Intersentia</w:t>
      </w:r>
      <w:proofErr w:type="spellEnd"/>
      <w:r w:rsidR="00551844" w:rsidRPr="002309CA">
        <w:rPr>
          <w:rFonts w:ascii="Times New Roman" w:hAnsi="Times New Roman" w:cs="Times New Roman"/>
          <w:color w:val="000000" w:themeColor="text1"/>
        </w:rPr>
        <w:t xml:space="preserve">, 1999) </w:t>
      </w:r>
      <w:r w:rsidRPr="002309CA">
        <w:rPr>
          <w:rFonts w:ascii="Times New Roman" w:hAnsi="Times New Roman" w:cs="Times New Roman"/>
          <w:color w:val="000000" w:themeColor="text1"/>
        </w:rPr>
        <w:t xml:space="preserve">250), while Dowell-Jones argues </w:t>
      </w:r>
      <w:proofErr w:type="gramStart"/>
      <w:r w:rsidRPr="002309CA">
        <w:rPr>
          <w:rFonts w:ascii="Times New Roman" w:hAnsi="Times New Roman" w:cs="Times New Roman"/>
          <w:color w:val="000000" w:themeColor="text1"/>
        </w:rPr>
        <w:t>that  ‘</w:t>
      </w:r>
      <w:proofErr w:type="gramEnd"/>
      <w:r w:rsidRPr="002309CA">
        <w:rPr>
          <w:rFonts w:ascii="Times New Roman" w:hAnsi="Times New Roman" w:cs="Times New Roman"/>
          <w:color w:val="000000" w:themeColor="text1"/>
        </w:rPr>
        <w:t xml:space="preserve">The obligation to fulfil a right encapsulates the programmatic dimensions of socio-economic rights’ (n </w:t>
      </w:r>
      <w:r w:rsidR="006C46AF" w:rsidRPr="002309CA">
        <w:rPr>
          <w:rFonts w:ascii="Times New Roman" w:hAnsi="Times New Roman" w:cs="Times New Roman"/>
          <w:color w:val="000000" w:themeColor="text1"/>
        </w:rPr>
        <w:t>31</w:t>
      </w:r>
      <w:r w:rsidRPr="002309CA">
        <w:rPr>
          <w:rFonts w:ascii="Times New Roman" w:hAnsi="Times New Roman" w:cs="Times New Roman"/>
          <w:color w:val="000000" w:themeColor="text1"/>
        </w:rPr>
        <w:t>, 31).</w:t>
      </w:r>
    </w:p>
  </w:footnote>
  <w:footnote w:id="39">
    <w:p w14:paraId="5E68F641" w14:textId="77777777" w:rsidR="00FE549D" w:rsidRPr="002309CA" w:rsidRDefault="00FE549D" w:rsidP="006439F9">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Katie Boyle, </w:t>
      </w:r>
      <w:r w:rsidRPr="002309CA">
        <w:rPr>
          <w:i/>
          <w:iCs/>
          <w:color w:val="000000" w:themeColor="text1"/>
          <w:sz w:val="20"/>
          <w:szCs w:val="20"/>
        </w:rPr>
        <w:t>Economic and Social Rights Law: Incorporation, Justiciability and Principles of Adjudication</w:t>
      </w:r>
      <w:r w:rsidRPr="002309CA">
        <w:rPr>
          <w:color w:val="000000" w:themeColor="text1"/>
          <w:sz w:val="20"/>
          <w:szCs w:val="20"/>
        </w:rPr>
        <w:t xml:space="preserve"> (Routledge, 2020), 2-3 and 7.</w:t>
      </w:r>
    </w:p>
  </w:footnote>
  <w:footnote w:id="40">
    <w:p w14:paraId="28244DA1" w14:textId="77777777" w:rsidR="00FE549D" w:rsidRPr="002309CA" w:rsidRDefault="00FE549D" w:rsidP="007D3E95">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Alicia Ely </w:t>
      </w:r>
      <w:proofErr w:type="spellStart"/>
      <w:r w:rsidRPr="002309CA">
        <w:rPr>
          <w:rFonts w:ascii="Times New Roman" w:hAnsi="Times New Roman" w:cs="Times New Roman"/>
          <w:color w:val="000000" w:themeColor="text1"/>
        </w:rPr>
        <w:t>Yamin</w:t>
      </w:r>
      <w:proofErr w:type="spellEnd"/>
      <w:r w:rsidRPr="002309CA">
        <w:rPr>
          <w:rFonts w:ascii="Times New Roman" w:hAnsi="Times New Roman" w:cs="Times New Roman"/>
          <w:color w:val="000000" w:themeColor="text1"/>
        </w:rPr>
        <w:t xml:space="preserve">, ‘The Future in the Mirror: Incorporating Strategies for the </w:t>
      </w:r>
      <w:proofErr w:type="spellStart"/>
      <w:r w:rsidRPr="002309CA">
        <w:rPr>
          <w:rFonts w:ascii="Times New Roman" w:hAnsi="Times New Roman" w:cs="Times New Roman"/>
          <w:color w:val="000000" w:themeColor="text1"/>
        </w:rPr>
        <w:t>Defense</w:t>
      </w:r>
      <w:proofErr w:type="spellEnd"/>
      <w:r w:rsidRPr="002309CA">
        <w:rPr>
          <w:rFonts w:ascii="Times New Roman" w:hAnsi="Times New Roman" w:cs="Times New Roman"/>
          <w:color w:val="000000" w:themeColor="text1"/>
        </w:rPr>
        <w:t xml:space="preserve"> and Promotion of Economic, Social, and Cultural Rights into the Mainstream Human Rights Agenda’ (2005) 27 </w:t>
      </w:r>
      <w:r w:rsidRPr="002309CA">
        <w:rPr>
          <w:rFonts w:ascii="Times New Roman" w:hAnsi="Times New Roman" w:cs="Times New Roman"/>
          <w:i/>
          <w:iCs/>
          <w:color w:val="000000" w:themeColor="text1"/>
        </w:rPr>
        <w:t xml:space="preserve">Human Rights Quarterly </w:t>
      </w:r>
      <w:r w:rsidRPr="002309CA">
        <w:rPr>
          <w:rFonts w:ascii="Times New Roman" w:hAnsi="Times New Roman" w:cs="Times New Roman"/>
          <w:color w:val="000000" w:themeColor="text1"/>
        </w:rPr>
        <w:t>1200, 1217 (‘Future in the Mirror’)</w:t>
      </w:r>
    </w:p>
  </w:footnote>
  <w:footnote w:id="41">
    <w:p w14:paraId="40D1CFB4" w14:textId="7AA0FCCA" w:rsidR="00FE549D" w:rsidRPr="002309CA" w:rsidRDefault="00FE549D" w:rsidP="001D4081">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r w:rsidRPr="002309CA">
        <w:rPr>
          <w:i/>
          <w:iCs/>
          <w:color w:val="000000" w:themeColor="text1"/>
          <w:sz w:val="20"/>
          <w:szCs w:val="20"/>
        </w:rPr>
        <w:t>Government of the Republic of South Africa v Grootboom and Others</w:t>
      </w:r>
      <w:r w:rsidRPr="002309CA">
        <w:rPr>
          <w:color w:val="000000" w:themeColor="text1"/>
          <w:sz w:val="20"/>
          <w:szCs w:val="20"/>
        </w:rPr>
        <w:t>, 2000 (11) BCLR 1169 (CC), paras 39-43.</w:t>
      </w:r>
    </w:p>
  </w:footnote>
  <w:footnote w:id="42">
    <w:p w14:paraId="52658F7F" w14:textId="20AD5259"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International Commission of Jurists (n </w:t>
      </w:r>
      <w:r w:rsidR="0076559D" w:rsidRPr="002309CA">
        <w:rPr>
          <w:rFonts w:ascii="Times New Roman" w:hAnsi="Times New Roman" w:cs="Times New Roman"/>
          <w:color w:val="000000" w:themeColor="text1"/>
        </w:rPr>
        <w:t>11</w:t>
      </w:r>
      <w:r w:rsidRPr="002309CA">
        <w:rPr>
          <w:rFonts w:ascii="Times New Roman" w:hAnsi="Times New Roman" w:cs="Times New Roman"/>
          <w:color w:val="000000" w:themeColor="text1"/>
        </w:rPr>
        <w:t>) 101.</w:t>
      </w:r>
    </w:p>
  </w:footnote>
  <w:footnote w:id="43">
    <w:p w14:paraId="0FC5BFB3" w14:textId="7FC9160E" w:rsidR="00FE549D" w:rsidRPr="002309CA" w:rsidRDefault="00FE549D" w:rsidP="00AB398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Ida Koch, ‘Dichotomies, Trichotomies or Waves of Duties?’ (2005) 5 </w:t>
      </w:r>
      <w:r w:rsidRPr="002309CA">
        <w:rPr>
          <w:i/>
          <w:iCs/>
          <w:color w:val="000000" w:themeColor="text1"/>
          <w:sz w:val="20"/>
          <w:szCs w:val="20"/>
        </w:rPr>
        <w:t>Human Rights Law Review</w:t>
      </w:r>
      <w:r w:rsidRPr="002309CA">
        <w:rPr>
          <w:color w:val="000000" w:themeColor="text1"/>
          <w:sz w:val="20"/>
          <w:szCs w:val="20"/>
        </w:rPr>
        <w:t xml:space="preserve"> 81, 81 [abstract].</w:t>
      </w:r>
    </w:p>
  </w:footnote>
  <w:footnote w:id="44">
    <w:p w14:paraId="62DC4C29" w14:textId="69ACE980" w:rsidR="00FE549D" w:rsidRPr="002309CA" w:rsidRDefault="00FE549D" w:rsidP="002E6B49">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Scott Leckie, ‘Another Step Towards Indivisibility: Identifying the Key Features of Violations of Economic, Social and Cultural Rights’ (1998) 20 </w:t>
      </w:r>
      <w:r w:rsidRPr="002309CA">
        <w:rPr>
          <w:i/>
          <w:iCs/>
          <w:color w:val="000000" w:themeColor="text1"/>
          <w:sz w:val="20"/>
          <w:szCs w:val="20"/>
        </w:rPr>
        <w:t>Human Rights Quarterly</w:t>
      </w:r>
      <w:r w:rsidRPr="002309CA">
        <w:rPr>
          <w:color w:val="000000" w:themeColor="text1"/>
          <w:sz w:val="20"/>
          <w:szCs w:val="20"/>
        </w:rPr>
        <w:t xml:space="preserve"> 81, 88.</w:t>
      </w:r>
    </w:p>
  </w:footnote>
  <w:footnote w:id="45">
    <w:p w14:paraId="44B06293" w14:textId="380ED598" w:rsidR="00FE549D" w:rsidRPr="002309CA" w:rsidRDefault="00FE549D" w:rsidP="00A47648">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gramStart"/>
      <w:r w:rsidRPr="002309CA">
        <w:rPr>
          <w:color w:val="000000" w:themeColor="text1"/>
          <w:sz w:val="20"/>
          <w:szCs w:val="20"/>
        </w:rPr>
        <w:t>E.g.</w:t>
      </w:r>
      <w:proofErr w:type="gramEnd"/>
      <w:r w:rsidRPr="002309CA">
        <w:rPr>
          <w:color w:val="000000" w:themeColor="text1"/>
          <w:sz w:val="20"/>
          <w:szCs w:val="20"/>
        </w:rPr>
        <w:t xml:space="preserve"> Rodrigo </w:t>
      </w:r>
      <w:proofErr w:type="spellStart"/>
      <w:r w:rsidRPr="002309CA">
        <w:rPr>
          <w:color w:val="000000" w:themeColor="text1"/>
          <w:sz w:val="20"/>
          <w:szCs w:val="20"/>
        </w:rPr>
        <w:t>Uprimny</w:t>
      </w:r>
      <w:proofErr w:type="spellEnd"/>
      <w:r w:rsidRPr="002309CA">
        <w:rPr>
          <w:color w:val="000000" w:themeColor="text1"/>
          <w:sz w:val="20"/>
          <w:szCs w:val="20"/>
        </w:rPr>
        <w:t xml:space="preserve"> </w:t>
      </w:r>
      <w:r w:rsidRPr="002309CA">
        <w:rPr>
          <w:i/>
          <w:iCs/>
          <w:color w:val="000000" w:themeColor="text1"/>
          <w:sz w:val="20"/>
          <w:szCs w:val="20"/>
        </w:rPr>
        <w:t>et al</w:t>
      </w:r>
      <w:r w:rsidRPr="002309CA">
        <w:rPr>
          <w:color w:val="000000" w:themeColor="text1"/>
          <w:sz w:val="20"/>
          <w:szCs w:val="20"/>
        </w:rPr>
        <w:t>, ‘Bridging the Gap: The Evolving Doctrine on ESCR and “Maximum Available Resources”’ in Young (ed) (n 1</w:t>
      </w:r>
      <w:r w:rsidR="00872AF7" w:rsidRPr="002309CA">
        <w:rPr>
          <w:color w:val="000000" w:themeColor="text1"/>
          <w:sz w:val="20"/>
          <w:szCs w:val="20"/>
        </w:rPr>
        <w:t>6</w:t>
      </w:r>
      <w:r w:rsidRPr="002309CA">
        <w:rPr>
          <w:color w:val="000000" w:themeColor="text1"/>
          <w:sz w:val="20"/>
          <w:szCs w:val="20"/>
        </w:rPr>
        <w:t xml:space="preserve">) 625; </w:t>
      </w:r>
      <w:r w:rsidR="00F36543" w:rsidRPr="002309CA">
        <w:rPr>
          <w:color w:val="000000" w:themeColor="text1"/>
          <w:sz w:val="20"/>
          <w:szCs w:val="20"/>
        </w:rPr>
        <w:t xml:space="preserve">Monica Feria </w:t>
      </w:r>
      <w:proofErr w:type="spellStart"/>
      <w:r w:rsidR="00F36543" w:rsidRPr="002309CA">
        <w:rPr>
          <w:color w:val="000000" w:themeColor="text1"/>
          <w:sz w:val="20"/>
          <w:szCs w:val="20"/>
        </w:rPr>
        <w:t>Tinta</w:t>
      </w:r>
      <w:proofErr w:type="spellEnd"/>
      <w:r w:rsidR="00F36543" w:rsidRPr="002309CA">
        <w:rPr>
          <w:color w:val="000000" w:themeColor="text1"/>
          <w:sz w:val="20"/>
          <w:szCs w:val="20"/>
        </w:rPr>
        <w:t xml:space="preserve">. ‘Justiciability of Economic, Social, and Cultural Rights in the Inter-American System of Protection of Human Rights: Beyond Traditional Paradigms and Notions’ (2007) 29 </w:t>
      </w:r>
      <w:r w:rsidR="00F36543" w:rsidRPr="002309CA">
        <w:rPr>
          <w:i/>
          <w:iCs/>
          <w:color w:val="000000" w:themeColor="text1"/>
          <w:sz w:val="20"/>
          <w:szCs w:val="20"/>
        </w:rPr>
        <w:t xml:space="preserve">Human Rights Quarterly </w:t>
      </w:r>
      <w:r w:rsidR="00F36543" w:rsidRPr="002309CA">
        <w:rPr>
          <w:color w:val="000000" w:themeColor="text1"/>
          <w:sz w:val="20"/>
          <w:szCs w:val="20"/>
        </w:rPr>
        <w:t xml:space="preserve">431, </w:t>
      </w:r>
      <w:r w:rsidRPr="002309CA">
        <w:rPr>
          <w:color w:val="000000" w:themeColor="text1"/>
          <w:sz w:val="20"/>
          <w:szCs w:val="20"/>
        </w:rPr>
        <w:t>439.</w:t>
      </w:r>
    </w:p>
  </w:footnote>
  <w:footnote w:id="46">
    <w:p w14:paraId="3DC28DD3" w14:textId="573D0426" w:rsidR="00FE549D" w:rsidRPr="002309CA" w:rsidRDefault="00FE549D" w:rsidP="00A47648">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Craven (n </w:t>
      </w:r>
      <w:r w:rsidR="00872AF7" w:rsidRPr="002309CA">
        <w:rPr>
          <w:rFonts w:ascii="Times New Roman" w:hAnsi="Times New Roman" w:cs="Times New Roman"/>
          <w:color w:val="000000" w:themeColor="text1"/>
        </w:rPr>
        <w:t>21</w:t>
      </w:r>
      <w:r w:rsidRPr="002309CA">
        <w:rPr>
          <w:rFonts w:ascii="Times New Roman" w:hAnsi="Times New Roman" w:cs="Times New Roman"/>
          <w:color w:val="000000" w:themeColor="text1"/>
        </w:rPr>
        <w:t>) 30.</w:t>
      </w:r>
    </w:p>
  </w:footnote>
  <w:footnote w:id="47">
    <w:p w14:paraId="2D2DDF05" w14:textId="52EA8090"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Fredman</w:t>
      </w:r>
      <w:proofErr w:type="spellEnd"/>
      <w:r w:rsidR="00765FF9" w:rsidRPr="002309CA">
        <w:rPr>
          <w:rFonts w:ascii="Times New Roman" w:hAnsi="Times New Roman" w:cs="Times New Roman"/>
          <w:color w:val="000000" w:themeColor="text1"/>
        </w:rPr>
        <w:t xml:space="preserve"> (n 2)</w:t>
      </w:r>
      <w:r w:rsidRPr="002309CA">
        <w:rPr>
          <w:rFonts w:ascii="Times New Roman" w:hAnsi="Times New Roman" w:cs="Times New Roman"/>
          <w:color w:val="000000" w:themeColor="text1"/>
        </w:rPr>
        <w:t xml:space="preserve"> 70-73. </w:t>
      </w:r>
    </w:p>
  </w:footnote>
  <w:footnote w:id="48">
    <w:p w14:paraId="07FE363D" w14:textId="6A033F0C" w:rsidR="00FE549D" w:rsidRPr="002309CA" w:rsidRDefault="00FE549D" w:rsidP="0004407E">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E.g</w:t>
      </w:r>
      <w:proofErr w:type="spellEnd"/>
      <w:r w:rsidRPr="002309CA">
        <w:rPr>
          <w:color w:val="000000" w:themeColor="text1"/>
          <w:sz w:val="20"/>
          <w:szCs w:val="20"/>
        </w:rPr>
        <w:t xml:space="preserve"> CESCR, Concluding Observations: Poland, UN Doc. C.12/POL/CO/5, 20 November 2009, para 9; O’Connell </w:t>
      </w:r>
      <w:r w:rsidRPr="002309CA">
        <w:rPr>
          <w:i/>
          <w:iCs/>
          <w:color w:val="000000" w:themeColor="text1"/>
          <w:sz w:val="20"/>
          <w:szCs w:val="20"/>
        </w:rPr>
        <w:t>et al</w:t>
      </w:r>
      <w:r w:rsidRPr="002309CA">
        <w:rPr>
          <w:color w:val="000000" w:themeColor="text1"/>
          <w:sz w:val="20"/>
          <w:szCs w:val="20"/>
        </w:rPr>
        <w:t xml:space="preserve"> (n </w:t>
      </w:r>
      <w:r w:rsidR="0076559D" w:rsidRPr="002309CA">
        <w:rPr>
          <w:color w:val="000000" w:themeColor="text1"/>
          <w:sz w:val="20"/>
          <w:szCs w:val="20"/>
        </w:rPr>
        <w:t>6</w:t>
      </w:r>
      <w:r w:rsidRPr="002309CA">
        <w:rPr>
          <w:color w:val="000000" w:themeColor="text1"/>
          <w:sz w:val="20"/>
          <w:szCs w:val="20"/>
        </w:rPr>
        <w:t xml:space="preserve">) 9; Magdalena </w:t>
      </w:r>
      <w:proofErr w:type="spellStart"/>
      <w:r w:rsidRPr="002309CA">
        <w:rPr>
          <w:color w:val="000000" w:themeColor="text1"/>
          <w:sz w:val="20"/>
          <w:szCs w:val="20"/>
        </w:rPr>
        <w:t>Sepúlveda</w:t>
      </w:r>
      <w:proofErr w:type="spellEnd"/>
      <w:r w:rsidRPr="002309CA">
        <w:rPr>
          <w:color w:val="000000" w:themeColor="text1"/>
          <w:sz w:val="20"/>
          <w:szCs w:val="20"/>
        </w:rPr>
        <w:t xml:space="preserve">. </w:t>
      </w:r>
      <w:r w:rsidRPr="002309CA">
        <w:rPr>
          <w:i/>
          <w:iCs/>
          <w:color w:val="000000" w:themeColor="text1"/>
          <w:sz w:val="20"/>
          <w:szCs w:val="20"/>
        </w:rPr>
        <w:t>The Nature of the Obligations Under the International Covenant on Economic, Social and Cultural Rights</w:t>
      </w:r>
      <w:r w:rsidRPr="002309CA">
        <w:rPr>
          <w:color w:val="000000" w:themeColor="text1"/>
          <w:sz w:val="20"/>
          <w:szCs w:val="20"/>
        </w:rPr>
        <w:t xml:space="preserve"> (</w:t>
      </w:r>
      <w:proofErr w:type="spellStart"/>
      <w:r w:rsidRPr="002309CA">
        <w:rPr>
          <w:color w:val="000000" w:themeColor="text1"/>
          <w:sz w:val="20"/>
          <w:szCs w:val="20"/>
        </w:rPr>
        <w:t>Intersentia</w:t>
      </w:r>
      <w:proofErr w:type="spellEnd"/>
      <w:r w:rsidRPr="002309CA">
        <w:rPr>
          <w:color w:val="000000" w:themeColor="text1"/>
          <w:sz w:val="20"/>
          <w:szCs w:val="20"/>
        </w:rPr>
        <w:t>, 2003) 311.</w:t>
      </w:r>
    </w:p>
  </w:footnote>
  <w:footnote w:id="49">
    <w:p w14:paraId="49EB853E" w14:textId="1BF49F95"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Dowell-Jones (n </w:t>
      </w:r>
      <w:r w:rsidR="006C46AF" w:rsidRPr="002309CA">
        <w:rPr>
          <w:rFonts w:ascii="Times New Roman" w:hAnsi="Times New Roman" w:cs="Times New Roman"/>
          <w:color w:val="000000" w:themeColor="text1"/>
        </w:rPr>
        <w:t>31</w:t>
      </w:r>
      <w:r w:rsidRPr="002309CA">
        <w:rPr>
          <w:rFonts w:ascii="Times New Roman" w:hAnsi="Times New Roman" w:cs="Times New Roman"/>
          <w:color w:val="000000" w:themeColor="text1"/>
        </w:rPr>
        <w:t>) 3.</w:t>
      </w:r>
    </w:p>
  </w:footnote>
  <w:footnote w:id="50">
    <w:p w14:paraId="24317FE1" w14:textId="7DD91E89" w:rsidR="00FE549D" w:rsidRPr="002309CA" w:rsidRDefault="00FE549D" w:rsidP="002A2D2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Beitz</w:t>
      </w:r>
      <w:proofErr w:type="spellEnd"/>
      <w:r w:rsidRPr="002309CA">
        <w:rPr>
          <w:rFonts w:ascii="Times New Roman" w:hAnsi="Times New Roman" w:cs="Times New Roman"/>
          <w:color w:val="000000" w:themeColor="text1"/>
        </w:rPr>
        <w:t xml:space="preserve"> (n </w:t>
      </w:r>
      <w:r w:rsidR="0076559D" w:rsidRPr="002309CA">
        <w:rPr>
          <w:rFonts w:ascii="Times New Roman" w:hAnsi="Times New Roman" w:cs="Times New Roman"/>
          <w:color w:val="000000" w:themeColor="text1"/>
        </w:rPr>
        <w:t>7</w:t>
      </w:r>
      <w:r w:rsidRPr="002309CA">
        <w:rPr>
          <w:rFonts w:ascii="Times New Roman" w:hAnsi="Times New Roman" w:cs="Times New Roman"/>
          <w:color w:val="000000" w:themeColor="text1"/>
        </w:rPr>
        <w:t>) 43 and 164.</w:t>
      </w:r>
    </w:p>
  </w:footnote>
  <w:footnote w:id="51">
    <w:p w14:paraId="058E9C78" w14:textId="46CC1675"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Tasioulas</w:t>
      </w:r>
      <w:proofErr w:type="spellEnd"/>
      <w:r w:rsidRPr="002309CA">
        <w:rPr>
          <w:rFonts w:ascii="Times New Roman" w:hAnsi="Times New Roman" w:cs="Times New Roman"/>
          <w:color w:val="000000" w:themeColor="text1"/>
        </w:rPr>
        <w:t xml:space="preserve"> (n </w:t>
      </w:r>
      <w:r w:rsidR="006C46AF" w:rsidRPr="002309CA">
        <w:rPr>
          <w:rFonts w:ascii="Times New Roman" w:hAnsi="Times New Roman" w:cs="Times New Roman"/>
          <w:color w:val="000000" w:themeColor="text1"/>
        </w:rPr>
        <w:t>22</w:t>
      </w:r>
      <w:r w:rsidRPr="002309CA">
        <w:rPr>
          <w:rFonts w:ascii="Times New Roman" w:hAnsi="Times New Roman" w:cs="Times New Roman"/>
          <w:color w:val="000000" w:themeColor="text1"/>
        </w:rPr>
        <w:t>) 1199.</w:t>
      </w:r>
    </w:p>
  </w:footnote>
  <w:footnote w:id="52">
    <w:p w14:paraId="502A0D71" w14:textId="5033642D" w:rsidR="00FE549D" w:rsidRPr="002309CA" w:rsidRDefault="00FE549D" w:rsidP="00BD071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A position explored but not endorsed in </w:t>
      </w:r>
      <w:proofErr w:type="spellStart"/>
      <w:r w:rsidRPr="002309CA">
        <w:rPr>
          <w:color w:val="000000" w:themeColor="text1"/>
          <w:sz w:val="20"/>
          <w:szCs w:val="20"/>
        </w:rPr>
        <w:t>Tinta</w:t>
      </w:r>
      <w:proofErr w:type="spellEnd"/>
      <w:r w:rsidR="00F36543" w:rsidRPr="002309CA">
        <w:rPr>
          <w:color w:val="000000" w:themeColor="text1"/>
          <w:sz w:val="20"/>
          <w:szCs w:val="20"/>
        </w:rPr>
        <w:t xml:space="preserve"> (n 45)</w:t>
      </w:r>
      <w:r w:rsidRPr="002309CA">
        <w:rPr>
          <w:color w:val="000000" w:themeColor="text1"/>
          <w:sz w:val="20"/>
          <w:szCs w:val="20"/>
        </w:rPr>
        <w:t xml:space="preserve"> 439.</w:t>
      </w:r>
    </w:p>
  </w:footnote>
  <w:footnote w:id="53">
    <w:p w14:paraId="1BBED954" w14:textId="0A8ED3DB" w:rsidR="00FE549D" w:rsidRPr="002309CA" w:rsidRDefault="00FE549D" w:rsidP="002A2D2D">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r w:rsidR="00F36543" w:rsidRPr="002309CA">
        <w:rPr>
          <w:color w:val="000000" w:themeColor="text1"/>
          <w:sz w:val="20"/>
          <w:szCs w:val="20"/>
        </w:rPr>
        <w:t xml:space="preserve">Philip </w:t>
      </w:r>
      <w:r w:rsidRPr="002309CA">
        <w:rPr>
          <w:color w:val="000000" w:themeColor="text1"/>
          <w:sz w:val="20"/>
          <w:szCs w:val="20"/>
        </w:rPr>
        <w:t>Alston, UN Doc. E/C.12/1987/SR.4, 9 March 1987, para. 11.</w:t>
      </w:r>
    </w:p>
  </w:footnote>
  <w:footnote w:id="54">
    <w:p w14:paraId="77401E47" w14:textId="63DE96D9"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Vierdag</w:t>
      </w:r>
      <w:proofErr w:type="spellEnd"/>
      <w:r w:rsidRPr="002309CA">
        <w:rPr>
          <w:rFonts w:ascii="Times New Roman" w:hAnsi="Times New Roman" w:cs="Times New Roman"/>
          <w:color w:val="000000" w:themeColor="text1"/>
        </w:rPr>
        <w:t xml:space="preserve"> (n 3</w:t>
      </w:r>
      <w:r w:rsidR="00F36543" w:rsidRPr="002309CA">
        <w:rPr>
          <w:rFonts w:ascii="Times New Roman" w:hAnsi="Times New Roman" w:cs="Times New Roman"/>
          <w:color w:val="000000" w:themeColor="text1"/>
        </w:rPr>
        <w:t>5</w:t>
      </w:r>
      <w:r w:rsidRPr="002309CA">
        <w:rPr>
          <w:rFonts w:ascii="Times New Roman" w:hAnsi="Times New Roman" w:cs="Times New Roman"/>
          <w:color w:val="000000" w:themeColor="text1"/>
        </w:rPr>
        <w:t>) 103.</w:t>
      </w:r>
    </w:p>
  </w:footnote>
  <w:footnote w:id="55">
    <w:p w14:paraId="7D3F0CD7" w14:textId="345C04AA"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A position explored but not endorsed in </w:t>
      </w:r>
      <w:proofErr w:type="spellStart"/>
      <w:r w:rsidRPr="002309CA">
        <w:rPr>
          <w:rFonts w:ascii="Times New Roman" w:hAnsi="Times New Roman" w:cs="Times New Roman"/>
          <w:color w:val="000000" w:themeColor="text1"/>
        </w:rPr>
        <w:t>Shareen</w:t>
      </w:r>
      <w:proofErr w:type="spellEnd"/>
      <w:r w:rsidRPr="002309CA">
        <w:rPr>
          <w:rFonts w:ascii="Times New Roman" w:hAnsi="Times New Roman" w:cs="Times New Roman"/>
          <w:color w:val="000000" w:themeColor="text1"/>
        </w:rPr>
        <w:t xml:space="preserve"> </w:t>
      </w:r>
      <w:r w:rsidRPr="002309CA">
        <w:rPr>
          <w:rStyle w:val="highlight"/>
          <w:rFonts w:ascii="Times New Roman" w:hAnsi="Times New Roman" w:cs="Times New Roman"/>
          <w:color w:val="000000" w:themeColor="text1"/>
        </w:rPr>
        <w:t>Hertel</w:t>
      </w:r>
      <w:r w:rsidRPr="002309CA">
        <w:rPr>
          <w:rFonts w:ascii="Times New Roman" w:hAnsi="Times New Roman" w:cs="Times New Roman"/>
          <w:color w:val="000000" w:themeColor="text1"/>
        </w:rPr>
        <w:t xml:space="preserve"> and </w:t>
      </w:r>
      <w:proofErr w:type="spellStart"/>
      <w:r w:rsidRPr="002309CA">
        <w:rPr>
          <w:rFonts w:ascii="Times New Roman" w:hAnsi="Times New Roman" w:cs="Times New Roman"/>
          <w:color w:val="000000" w:themeColor="text1"/>
        </w:rPr>
        <w:t>Lanse</w:t>
      </w:r>
      <w:proofErr w:type="spellEnd"/>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Minkler</w:t>
      </w:r>
      <w:proofErr w:type="spellEnd"/>
      <w:r w:rsidRPr="002309CA">
        <w:rPr>
          <w:rFonts w:ascii="Times New Roman" w:hAnsi="Times New Roman" w:cs="Times New Roman"/>
          <w:color w:val="000000" w:themeColor="text1"/>
        </w:rPr>
        <w:t xml:space="preserve">, ‘Economic Rights: The Terrain’ in </w:t>
      </w:r>
      <w:proofErr w:type="spellStart"/>
      <w:r w:rsidRPr="002309CA">
        <w:rPr>
          <w:rFonts w:ascii="Times New Roman" w:hAnsi="Times New Roman" w:cs="Times New Roman"/>
          <w:color w:val="000000" w:themeColor="text1"/>
        </w:rPr>
        <w:t>Shareen</w:t>
      </w:r>
      <w:proofErr w:type="spellEnd"/>
      <w:r w:rsidRPr="002309CA">
        <w:rPr>
          <w:rFonts w:ascii="Times New Roman" w:hAnsi="Times New Roman" w:cs="Times New Roman"/>
          <w:color w:val="000000" w:themeColor="text1"/>
        </w:rPr>
        <w:t xml:space="preserve"> </w:t>
      </w:r>
      <w:r w:rsidRPr="002309CA">
        <w:rPr>
          <w:rStyle w:val="highlight"/>
          <w:rFonts w:ascii="Times New Roman" w:hAnsi="Times New Roman" w:cs="Times New Roman"/>
          <w:color w:val="000000" w:themeColor="text1"/>
        </w:rPr>
        <w:t>Hertel</w:t>
      </w:r>
      <w:r w:rsidRPr="002309CA">
        <w:rPr>
          <w:rFonts w:ascii="Times New Roman" w:hAnsi="Times New Roman" w:cs="Times New Roman"/>
          <w:color w:val="000000" w:themeColor="text1"/>
        </w:rPr>
        <w:t xml:space="preserve"> and </w:t>
      </w:r>
      <w:proofErr w:type="spellStart"/>
      <w:r w:rsidRPr="002309CA">
        <w:rPr>
          <w:rFonts w:ascii="Times New Roman" w:hAnsi="Times New Roman" w:cs="Times New Roman"/>
          <w:color w:val="000000" w:themeColor="text1"/>
        </w:rPr>
        <w:t>Lanse</w:t>
      </w:r>
      <w:proofErr w:type="spellEnd"/>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Minkler</w:t>
      </w:r>
      <w:proofErr w:type="spellEnd"/>
      <w:r w:rsidRPr="002309CA">
        <w:rPr>
          <w:rFonts w:ascii="Times New Roman" w:hAnsi="Times New Roman" w:cs="Times New Roman"/>
          <w:color w:val="000000" w:themeColor="text1"/>
        </w:rPr>
        <w:t xml:space="preserve"> (eds), </w:t>
      </w:r>
      <w:r w:rsidRPr="002309CA">
        <w:rPr>
          <w:rFonts w:ascii="Times New Roman" w:hAnsi="Times New Roman" w:cs="Times New Roman"/>
          <w:i/>
          <w:iCs/>
          <w:color w:val="000000" w:themeColor="text1"/>
        </w:rPr>
        <w:t>Economic Rights: Conceptual, Measurement, and Policy Issues</w:t>
      </w:r>
      <w:r w:rsidRPr="002309CA">
        <w:rPr>
          <w:rFonts w:ascii="Times New Roman" w:hAnsi="Times New Roman" w:cs="Times New Roman"/>
          <w:color w:val="000000" w:themeColor="text1"/>
        </w:rPr>
        <w:t xml:space="preserve"> (Cambridge University Press, 2007) 1, 23, and Audrey Chapman, ‘Core Obligations Related to the Right to Health’ in Audrey Chapman and Sage Russell (eds), </w:t>
      </w:r>
      <w:r w:rsidRPr="002309CA">
        <w:rPr>
          <w:rFonts w:ascii="Times New Roman" w:hAnsi="Times New Roman" w:cs="Times New Roman"/>
          <w:i/>
          <w:iCs/>
          <w:color w:val="000000" w:themeColor="text1"/>
        </w:rPr>
        <w:t>Core Obligations: Building a Framework for Economic, Social and Cultural Rights</w:t>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Intersentia</w:t>
      </w:r>
      <w:proofErr w:type="spellEnd"/>
      <w:r w:rsidRPr="002309CA">
        <w:rPr>
          <w:rFonts w:ascii="Times New Roman" w:hAnsi="Times New Roman" w:cs="Times New Roman"/>
          <w:color w:val="000000" w:themeColor="text1"/>
        </w:rPr>
        <w:t>, 2002) 185, 193.</w:t>
      </w:r>
    </w:p>
  </w:footnote>
  <w:footnote w:id="56">
    <w:p w14:paraId="34F8D89C" w14:textId="54D7A939" w:rsidR="00FE549D" w:rsidRPr="002309CA" w:rsidRDefault="00FE549D" w:rsidP="00C54809">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r w:rsidRPr="002309CA">
        <w:rPr>
          <w:i/>
          <w:iCs/>
          <w:color w:val="000000" w:themeColor="text1"/>
          <w:sz w:val="20"/>
          <w:szCs w:val="20"/>
        </w:rPr>
        <w:t>Human Rights</w:t>
      </w:r>
      <w:r w:rsidRPr="002309CA">
        <w:rPr>
          <w:color w:val="000000" w:themeColor="text1"/>
          <w:sz w:val="20"/>
          <w:szCs w:val="20"/>
        </w:rPr>
        <w:t xml:space="preserve"> (Stanford </w:t>
      </w:r>
      <w:proofErr w:type="spellStart"/>
      <w:r w:rsidRPr="002309CA">
        <w:rPr>
          <w:color w:val="000000" w:themeColor="text1"/>
          <w:sz w:val="20"/>
          <w:szCs w:val="20"/>
        </w:rPr>
        <w:t>Encyclopedia</w:t>
      </w:r>
      <w:proofErr w:type="spellEnd"/>
      <w:r w:rsidRPr="002309CA">
        <w:rPr>
          <w:color w:val="000000" w:themeColor="text1"/>
          <w:sz w:val="20"/>
          <w:szCs w:val="20"/>
        </w:rPr>
        <w:t xml:space="preserve"> of Philosophy, 2003), &lt;https://plato.stanford.edu/entries/rights-human/&gt;.</w:t>
      </w:r>
    </w:p>
  </w:footnote>
  <w:footnote w:id="57">
    <w:p w14:paraId="3FFDF398" w14:textId="4B990456" w:rsidR="00FE549D" w:rsidRPr="002309CA" w:rsidRDefault="00FE549D" w:rsidP="00417DA1">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Sepúlveda</w:t>
      </w:r>
      <w:proofErr w:type="spellEnd"/>
      <w:r w:rsidRPr="002309CA">
        <w:rPr>
          <w:color w:val="000000" w:themeColor="text1"/>
          <w:sz w:val="20"/>
          <w:szCs w:val="20"/>
        </w:rPr>
        <w:t xml:space="preserve"> (n </w:t>
      </w:r>
      <w:r w:rsidR="00F36543" w:rsidRPr="002309CA">
        <w:rPr>
          <w:color w:val="000000" w:themeColor="text1"/>
          <w:sz w:val="20"/>
          <w:szCs w:val="20"/>
        </w:rPr>
        <w:t>48</w:t>
      </w:r>
      <w:r w:rsidRPr="002309CA">
        <w:rPr>
          <w:color w:val="000000" w:themeColor="text1"/>
          <w:sz w:val="20"/>
          <w:szCs w:val="20"/>
        </w:rPr>
        <w:t>) 188.</w:t>
      </w:r>
    </w:p>
  </w:footnote>
  <w:footnote w:id="58">
    <w:p w14:paraId="2A403F9A" w14:textId="0E11D8D3" w:rsidR="00FE549D" w:rsidRPr="002309CA" w:rsidRDefault="00FE549D" w:rsidP="00516DF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Bruce Porter, </w:t>
      </w:r>
      <w:r w:rsidRPr="002309CA">
        <w:rPr>
          <w:i/>
          <w:iCs/>
          <w:color w:val="000000" w:themeColor="text1"/>
          <w:sz w:val="20"/>
          <w:szCs w:val="20"/>
        </w:rPr>
        <w:t>Justiciability of ESC Rights and the Right to Effective Remedies: Historic Challenges and New Opportunities</w:t>
      </w:r>
      <w:r w:rsidRPr="002309CA">
        <w:rPr>
          <w:color w:val="000000" w:themeColor="text1"/>
          <w:sz w:val="20"/>
          <w:szCs w:val="20"/>
        </w:rPr>
        <w:t xml:space="preserve"> (Presented Paper) (31 March 2008), &lt;http://www.socialrights.ca/domestic-political/documents/beijing%20paper.pdf&gt; </w:t>
      </w:r>
    </w:p>
  </w:footnote>
  <w:footnote w:id="59">
    <w:p w14:paraId="30B02661" w14:textId="34117322" w:rsidR="00FE549D" w:rsidRPr="002309CA" w:rsidRDefault="00FE549D" w:rsidP="00387CD1">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Matthew Craven, </w:t>
      </w:r>
      <w:r w:rsidRPr="002309CA">
        <w:rPr>
          <w:i/>
          <w:iCs/>
          <w:color w:val="000000" w:themeColor="text1"/>
          <w:sz w:val="20"/>
          <w:szCs w:val="20"/>
        </w:rPr>
        <w:t>The International Covenant on Economic, Social and Cultural Rights: A Perspective on its Development</w:t>
      </w:r>
      <w:r w:rsidRPr="002309CA">
        <w:rPr>
          <w:color w:val="000000" w:themeColor="text1"/>
          <w:sz w:val="20"/>
          <w:szCs w:val="20"/>
        </w:rPr>
        <w:t xml:space="preserve"> (Clarendon, 1998) 5 and 128. </w:t>
      </w:r>
    </w:p>
  </w:footnote>
  <w:footnote w:id="60">
    <w:p w14:paraId="5143978B" w14:textId="4CA95A1E" w:rsidR="00FE549D" w:rsidRPr="002309CA" w:rsidRDefault="00FE549D" w:rsidP="00450879">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Ron </w:t>
      </w:r>
      <w:proofErr w:type="spellStart"/>
      <w:r w:rsidRPr="002309CA">
        <w:rPr>
          <w:color w:val="000000" w:themeColor="text1"/>
          <w:sz w:val="20"/>
          <w:szCs w:val="20"/>
        </w:rPr>
        <w:t>Dudai</w:t>
      </w:r>
      <w:proofErr w:type="spellEnd"/>
      <w:r w:rsidRPr="002309CA">
        <w:rPr>
          <w:color w:val="000000" w:themeColor="text1"/>
          <w:sz w:val="20"/>
          <w:szCs w:val="20"/>
        </w:rPr>
        <w:t xml:space="preserve">, ‘Introduction - Rights Choices: Dilemmas of Human Rights Practice’ (2014) 6 </w:t>
      </w:r>
      <w:r w:rsidRPr="002309CA">
        <w:rPr>
          <w:i/>
          <w:iCs/>
          <w:color w:val="000000" w:themeColor="text1"/>
          <w:sz w:val="20"/>
          <w:szCs w:val="20"/>
        </w:rPr>
        <w:t>Journal of Human Rights Practice</w:t>
      </w:r>
      <w:r w:rsidRPr="002309CA">
        <w:rPr>
          <w:color w:val="000000" w:themeColor="text1"/>
          <w:sz w:val="20"/>
          <w:szCs w:val="20"/>
        </w:rPr>
        <w:t xml:space="preserve"> 389, 393.</w:t>
      </w:r>
    </w:p>
  </w:footnote>
  <w:footnote w:id="61">
    <w:p w14:paraId="09CB4FA1" w14:textId="38381455" w:rsidR="00FE549D" w:rsidRPr="002309CA" w:rsidRDefault="00FE549D" w:rsidP="00B620D7">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Ignacio </w:t>
      </w:r>
      <w:proofErr w:type="spellStart"/>
      <w:r w:rsidRPr="002309CA">
        <w:rPr>
          <w:color w:val="000000" w:themeColor="text1"/>
          <w:sz w:val="20"/>
          <w:szCs w:val="20"/>
        </w:rPr>
        <w:t>Saiz</w:t>
      </w:r>
      <w:proofErr w:type="spellEnd"/>
      <w:r w:rsidRPr="002309CA">
        <w:rPr>
          <w:color w:val="000000" w:themeColor="text1"/>
          <w:sz w:val="20"/>
          <w:szCs w:val="20"/>
        </w:rPr>
        <w:t xml:space="preserve">, ‘Resourcing Rights: Combating Tax Injustice from a Human Rights Perspective’ in Aoife Nolan, Rory O'Connell, and Colin Harvey (eds), </w:t>
      </w:r>
      <w:r w:rsidRPr="002309CA">
        <w:rPr>
          <w:i/>
          <w:iCs/>
          <w:color w:val="000000" w:themeColor="text1"/>
          <w:sz w:val="20"/>
          <w:szCs w:val="20"/>
        </w:rPr>
        <w:t>Human Rights and Public Finance: Budgets and the Promotion of Economic and Social Rights</w:t>
      </w:r>
      <w:r w:rsidRPr="002309CA">
        <w:rPr>
          <w:color w:val="000000" w:themeColor="text1"/>
          <w:sz w:val="20"/>
          <w:szCs w:val="20"/>
        </w:rPr>
        <w:t xml:space="preserve"> (2013) 77, 81.</w:t>
      </w:r>
    </w:p>
  </w:footnote>
  <w:footnote w:id="62">
    <w:p w14:paraId="076FE001" w14:textId="1E6EC110" w:rsidR="00FE549D" w:rsidRPr="002309CA" w:rsidRDefault="00FE549D" w:rsidP="008C1D7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Samuel </w:t>
      </w:r>
      <w:proofErr w:type="spellStart"/>
      <w:r w:rsidRPr="002309CA">
        <w:rPr>
          <w:color w:val="000000" w:themeColor="text1"/>
          <w:sz w:val="20"/>
          <w:szCs w:val="20"/>
        </w:rPr>
        <w:t>Moyn</w:t>
      </w:r>
      <w:proofErr w:type="spellEnd"/>
      <w:r w:rsidRPr="002309CA">
        <w:rPr>
          <w:color w:val="000000" w:themeColor="text1"/>
          <w:sz w:val="20"/>
          <w:szCs w:val="20"/>
        </w:rPr>
        <w:t xml:space="preserve">, </w:t>
      </w:r>
      <w:r w:rsidRPr="002309CA">
        <w:rPr>
          <w:i/>
          <w:iCs/>
          <w:color w:val="000000" w:themeColor="text1"/>
          <w:sz w:val="20"/>
          <w:szCs w:val="20"/>
        </w:rPr>
        <w:t>The Last Utopia: Human Rights in History</w:t>
      </w:r>
      <w:r w:rsidRPr="002309CA">
        <w:rPr>
          <w:color w:val="000000" w:themeColor="text1"/>
          <w:sz w:val="20"/>
          <w:szCs w:val="20"/>
        </w:rPr>
        <w:t xml:space="preserve"> (Harvard University Press, 2012) 218. </w:t>
      </w:r>
    </w:p>
  </w:footnote>
  <w:footnote w:id="63">
    <w:p w14:paraId="61C9ADCF" w14:textId="14DB4D78" w:rsidR="00FE549D" w:rsidRPr="002309CA" w:rsidRDefault="00FE549D" w:rsidP="006E74A1">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As demonstrated by </w:t>
      </w:r>
      <w:proofErr w:type="spellStart"/>
      <w:r w:rsidRPr="002309CA">
        <w:rPr>
          <w:rFonts w:ascii="Times New Roman" w:hAnsi="Times New Roman" w:cs="Times New Roman"/>
          <w:color w:val="000000" w:themeColor="text1"/>
        </w:rPr>
        <w:t>Beitz</w:t>
      </w:r>
      <w:proofErr w:type="spellEnd"/>
      <w:r w:rsidRPr="002309CA">
        <w:rPr>
          <w:rFonts w:ascii="Times New Roman" w:hAnsi="Times New Roman" w:cs="Times New Roman"/>
          <w:color w:val="000000" w:themeColor="text1"/>
        </w:rPr>
        <w:t xml:space="preserve"> (n </w:t>
      </w:r>
      <w:r w:rsidR="0076559D" w:rsidRPr="002309CA">
        <w:rPr>
          <w:rFonts w:ascii="Times New Roman" w:hAnsi="Times New Roman" w:cs="Times New Roman"/>
          <w:color w:val="000000" w:themeColor="text1"/>
        </w:rPr>
        <w:t>7</w:t>
      </w:r>
      <w:r w:rsidRPr="002309CA">
        <w:rPr>
          <w:rFonts w:ascii="Times New Roman" w:hAnsi="Times New Roman" w:cs="Times New Roman"/>
          <w:color w:val="000000" w:themeColor="text1"/>
        </w:rPr>
        <w:t>) 32</w:t>
      </w:r>
      <w:r w:rsidR="0076559D" w:rsidRPr="002309CA">
        <w:rPr>
          <w:rFonts w:ascii="Times New Roman" w:hAnsi="Times New Roman" w:cs="Times New Roman"/>
          <w:color w:val="000000" w:themeColor="text1"/>
        </w:rPr>
        <w:t>.</w:t>
      </w:r>
    </w:p>
  </w:footnote>
  <w:footnote w:id="64">
    <w:p w14:paraId="28A54F46" w14:textId="77777777" w:rsidR="00FE549D" w:rsidRPr="002309CA" w:rsidRDefault="00FE549D" w:rsidP="006C230F">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To adapt an argument made in Neil Walker, ‘Universalism and Particularism in Human Rights’ in Cindy Holder and David Reidy (eds), </w:t>
      </w:r>
      <w:r w:rsidRPr="002309CA">
        <w:rPr>
          <w:i/>
          <w:iCs/>
          <w:color w:val="000000" w:themeColor="text1"/>
          <w:sz w:val="20"/>
          <w:szCs w:val="20"/>
        </w:rPr>
        <w:t>Human Rights: The Hard Questions</w:t>
      </w:r>
      <w:r w:rsidRPr="002309CA">
        <w:rPr>
          <w:color w:val="000000" w:themeColor="text1"/>
          <w:sz w:val="20"/>
          <w:szCs w:val="20"/>
        </w:rPr>
        <w:t xml:space="preserve"> (Cambridge University Press, 2013) 39, 40.</w:t>
      </w:r>
    </w:p>
  </w:footnote>
  <w:footnote w:id="65">
    <w:p w14:paraId="173BB2C6" w14:textId="5401DCA9" w:rsidR="00FE549D" w:rsidRPr="002309CA" w:rsidRDefault="00FE549D" w:rsidP="006276D0">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Ben Warwick, ‘A Hierarchy of Comfort? The CESCR’s Approach to the 2008 Economic Crisis’ in Gillian </w:t>
      </w:r>
      <w:proofErr w:type="spellStart"/>
      <w:r w:rsidRPr="002309CA">
        <w:rPr>
          <w:color w:val="000000" w:themeColor="text1"/>
          <w:sz w:val="20"/>
          <w:szCs w:val="20"/>
        </w:rPr>
        <w:t>MacNaughton</w:t>
      </w:r>
      <w:proofErr w:type="spellEnd"/>
      <w:r w:rsidRPr="002309CA">
        <w:rPr>
          <w:color w:val="000000" w:themeColor="text1"/>
          <w:sz w:val="20"/>
          <w:szCs w:val="20"/>
        </w:rPr>
        <w:t xml:space="preserve"> and Diane Frey (eds), </w:t>
      </w:r>
      <w:r w:rsidRPr="002309CA">
        <w:rPr>
          <w:i/>
          <w:iCs/>
          <w:color w:val="000000" w:themeColor="text1"/>
          <w:sz w:val="20"/>
          <w:szCs w:val="20"/>
        </w:rPr>
        <w:t>Economic and Social Rights in a Neoliberal World</w:t>
      </w:r>
      <w:r w:rsidRPr="002309CA">
        <w:rPr>
          <w:color w:val="000000" w:themeColor="text1"/>
          <w:sz w:val="20"/>
          <w:szCs w:val="20"/>
        </w:rPr>
        <w:t xml:space="preserve"> (Cambridge University Press, 2018), 127 at 145.</w:t>
      </w:r>
    </w:p>
  </w:footnote>
  <w:footnote w:id="66">
    <w:p w14:paraId="30AD5840" w14:textId="77777777" w:rsidR="00FE549D" w:rsidRPr="002309CA" w:rsidRDefault="00FE549D" w:rsidP="00355B4D">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Henry Steiner, Philip Alston, and Ryan Goodman, </w:t>
      </w:r>
      <w:r w:rsidRPr="002309CA">
        <w:rPr>
          <w:i/>
          <w:iCs/>
          <w:color w:val="000000" w:themeColor="text1"/>
          <w:sz w:val="20"/>
          <w:szCs w:val="20"/>
        </w:rPr>
        <w:t>International Human Rights in Context: Law, Politics, Morals: Text and Materials</w:t>
      </w:r>
      <w:r w:rsidRPr="002309CA">
        <w:rPr>
          <w:color w:val="000000" w:themeColor="text1"/>
          <w:sz w:val="20"/>
          <w:szCs w:val="20"/>
        </w:rPr>
        <w:t xml:space="preserve"> (Oxford University Press, 2008) 285.</w:t>
      </w:r>
    </w:p>
  </w:footnote>
  <w:footnote w:id="67">
    <w:p w14:paraId="051F5024" w14:textId="55E928F1" w:rsidR="00FE549D" w:rsidRPr="002309CA" w:rsidRDefault="00FE549D" w:rsidP="00355B4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00765FF9" w:rsidRPr="002309CA">
        <w:rPr>
          <w:rFonts w:ascii="Times New Roman" w:hAnsi="Times New Roman" w:cs="Times New Roman"/>
          <w:color w:val="000000" w:themeColor="text1"/>
        </w:rPr>
        <w:t>Fredman</w:t>
      </w:r>
      <w:proofErr w:type="spellEnd"/>
      <w:r w:rsidR="00765FF9" w:rsidRPr="002309CA">
        <w:rPr>
          <w:rFonts w:ascii="Times New Roman" w:hAnsi="Times New Roman" w:cs="Times New Roman"/>
          <w:color w:val="000000" w:themeColor="text1"/>
        </w:rPr>
        <w:t xml:space="preserve"> (n 2) </w:t>
      </w:r>
      <w:r w:rsidRPr="002309CA">
        <w:rPr>
          <w:rFonts w:ascii="Times New Roman" w:hAnsi="Times New Roman" w:cs="Times New Roman"/>
          <w:color w:val="000000" w:themeColor="text1"/>
        </w:rPr>
        <w:t>103.</w:t>
      </w:r>
    </w:p>
  </w:footnote>
  <w:footnote w:id="68">
    <w:p w14:paraId="4DD212B4" w14:textId="295C6373" w:rsidR="00FE549D" w:rsidRPr="002309CA" w:rsidRDefault="00FE549D" w:rsidP="00A47648">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Leckie (n </w:t>
      </w:r>
      <w:r w:rsidR="00AD1894" w:rsidRPr="002309CA">
        <w:rPr>
          <w:rFonts w:ascii="Times New Roman" w:hAnsi="Times New Roman" w:cs="Times New Roman"/>
          <w:color w:val="000000" w:themeColor="text1"/>
        </w:rPr>
        <w:t>4</w:t>
      </w:r>
      <w:r w:rsidRPr="002309CA">
        <w:rPr>
          <w:rFonts w:ascii="Times New Roman" w:hAnsi="Times New Roman" w:cs="Times New Roman"/>
          <w:color w:val="000000" w:themeColor="text1"/>
        </w:rPr>
        <w:t>4) 106.</w:t>
      </w:r>
    </w:p>
  </w:footnote>
  <w:footnote w:id="69">
    <w:p w14:paraId="144F3C09" w14:textId="77777777" w:rsidR="00FE549D" w:rsidRPr="002309CA" w:rsidRDefault="00FE549D" w:rsidP="000367ED">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General Comment No. 3: The Nature of State Parties Obligations, UN Doc. E/C.12/1990/8, 14 December 1990, paras. 11 and 5.</w:t>
      </w:r>
    </w:p>
  </w:footnote>
  <w:footnote w:id="70">
    <w:p w14:paraId="0F245477" w14:textId="77777777" w:rsidR="00FE549D" w:rsidRPr="002309CA" w:rsidRDefault="00FE549D" w:rsidP="00A47648">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Principles 17 and 18. Adopted in 1986 in Maastricht. See (1987) 9 </w:t>
      </w:r>
      <w:r w:rsidRPr="002309CA">
        <w:rPr>
          <w:i/>
          <w:iCs/>
          <w:color w:val="000000" w:themeColor="text1"/>
          <w:sz w:val="20"/>
          <w:szCs w:val="20"/>
        </w:rPr>
        <w:t>Human Rights Quarterly</w:t>
      </w:r>
      <w:r w:rsidRPr="002309CA">
        <w:rPr>
          <w:color w:val="000000" w:themeColor="text1"/>
          <w:sz w:val="20"/>
          <w:szCs w:val="20"/>
        </w:rPr>
        <w:t xml:space="preserve"> 122.</w:t>
      </w:r>
    </w:p>
  </w:footnote>
  <w:footnote w:id="71">
    <w:p w14:paraId="55CE1AF7" w14:textId="2221B42F" w:rsidR="00FE549D" w:rsidRPr="002309CA" w:rsidRDefault="00FE549D" w:rsidP="005A2C2D">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Bódig</w:t>
      </w:r>
      <w:proofErr w:type="spellEnd"/>
      <w:r w:rsidRPr="002309CA">
        <w:rPr>
          <w:color w:val="000000" w:themeColor="text1"/>
          <w:sz w:val="20"/>
          <w:szCs w:val="20"/>
        </w:rPr>
        <w:t xml:space="preserve">, </w:t>
      </w:r>
      <w:proofErr w:type="spellStart"/>
      <w:r w:rsidRPr="002309CA">
        <w:rPr>
          <w:color w:val="000000" w:themeColor="text1"/>
          <w:sz w:val="20"/>
          <w:szCs w:val="20"/>
        </w:rPr>
        <w:t>Mátyás</w:t>
      </w:r>
      <w:proofErr w:type="spellEnd"/>
      <w:r w:rsidR="00A126D5" w:rsidRPr="002309CA">
        <w:rPr>
          <w:color w:val="000000" w:themeColor="text1"/>
          <w:sz w:val="20"/>
          <w:szCs w:val="20"/>
        </w:rPr>
        <w:t>, ‘</w:t>
      </w:r>
      <w:r w:rsidRPr="002309CA">
        <w:rPr>
          <w:color w:val="000000" w:themeColor="text1"/>
          <w:sz w:val="20"/>
          <w:szCs w:val="20"/>
        </w:rPr>
        <w:t>Doctrinal Innovation and State Obligations: The Patterns of Doctrinal Development in the Jurisprudence of the UN Committee on Economic, Social and Cultural Rights</w:t>
      </w:r>
      <w:r w:rsidR="00A126D5" w:rsidRPr="002309CA">
        <w:rPr>
          <w:color w:val="000000" w:themeColor="text1"/>
          <w:sz w:val="20"/>
          <w:szCs w:val="20"/>
        </w:rPr>
        <w:t>’</w:t>
      </w:r>
      <w:r w:rsidRPr="002309CA">
        <w:rPr>
          <w:color w:val="000000" w:themeColor="text1"/>
          <w:sz w:val="20"/>
          <w:szCs w:val="20"/>
        </w:rPr>
        <w:t xml:space="preserve"> in Mills and Karp (eds)</w:t>
      </w:r>
      <w:r w:rsidR="00F36543" w:rsidRPr="002309CA">
        <w:rPr>
          <w:color w:val="000000" w:themeColor="text1"/>
          <w:sz w:val="20"/>
          <w:szCs w:val="20"/>
        </w:rPr>
        <w:t xml:space="preserve"> (n 4) </w:t>
      </w:r>
      <w:r w:rsidRPr="002309CA">
        <w:rPr>
          <w:color w:val="000000" w:themeColor="text1"/>
          <w:sz w:val="20"/>
          <w:szCs w:val="20"/>
        </w:rPr>
        <w:t>49, 54.</w:t>
      </w:r>
    </w:p>
  </w:footnote>
  <w:footnote w:id="72">
    <w:p w14:paraId="5CFD7882" w14:textId="3A76642B" w:rsidR="00FE549D" w:rsidRPr="002309CA" w:rsidRDefault="00FE549D" w:rsidP="002B677C">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General Comment No 3, (n </w:t>
      </w:r>
      <w:r w:rsidR="00F36543" w:rsidRPr="002309CA">
        <w:rPr>
          <w:color w:val="000000" w:themeColor="text1"/>
          <w:sz w:val="20"/>
          <w:szCs w:val="20"/>
        </w:rPr>
        <w:t>69</w:t>
      </w:r>
      <w:r w:rsidRPr="002309CA">
        <w:rPr>
          <w:color w:val="000000" w:themeColor="text1"/>
          <w:sz w:val="20"/>
          <w:szCs w:val="20"/>
        </w:rPr>
        <w:t xml:space="preserve">), para 2. </w:t>
      </w:r>
    </w:p>
  </w:footnote>
  <w:footnote w:id="73">
    <w:p w14:paraId="2716B990" w14:textId="22E99619"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International Commission of Jurists (n </w:t>
      </w:r>
      <w:r w:rsidR="0076559D" w:rsidRPr="002309CA">
        <w:rPr>
          <w:rFonts w:ascii="Times New Roman" w:hAnsi="Times New Roman" w:cs="Times New Roman"/>
          <w:color w:val="000000" w:themeColor="text1"/>
        </w:rPr>
        <w:t>11</w:t>
      </w:r>
      <w:r w:rsidRPr="002309CA">
        <w:rPr>
          <w:rFonts w:ascii="Times New Roman" w:hAnsi="Times New Roman" w:cs="Times New Roman"/>
          <w:color w:val="000000" w:themeColor="text1"/>
        </w:rPr>
        <w:t>) 26.</w:t>
      </w:r>
    </w:p>
  </w:footnote>
  <w:footnote w:id="74">
    <w:p w14:paraId="0DEC3C80" w14:textId="664EE543"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r w:rsidR="00F36543" w:rsidRPr="002309CA">
        <w:rPr>
          <w:rFonts w:ascii="Times New Roman" w:hAnsi="Times New Roman" w:cs="Times New Roman"/>
          <w:color w:val="000000" w:themeColor="text1"/>
        </w:rPr>
        <w:t>General Comment No. 14 on the Right to the Highest Attainable Standard of Health</w:t>
      </w:r>
      <w:r w:rsidR="00F36543" w:rsidRPr="002309CA">
        <w:rPr>
          <w:rFonts w:ascii="Times New Roman" w:hAnsi="Times New Roman" w:cs="Times New Roman"/>
          <w:i/>
          <w:iCs/>
          <w:color w:val="000000" w:themeColor="text1"/>
        </w:rPr>
        <w:t xml:space="preserve">, </w:t>
      </w:r>
      <w:r w:rsidR="00F36543" w:rsidRPr="002309CA">
        <w:rPr>
          <w:rFonts w:ascii="Times New Roman" w:hAnsi="Times New Roman" w:cs="Times New Roman"/>
          <w:color w:val="000000" w:themeColor="text1"/>
        </w:rPr>
        <w:t xml:space="preserve">UN Doc E.C.12/2000/4, 11 August 2000, </w:t>
      </w:r>
      <w:r w:rsidRPr="002309CA">
        <w:rPr>
          <w:rFonts w:ascii="Times New Roman" w:hAnsi="Times New Roman" w:cs="Times New Roman"/>
          <w:color w:val="000000" w:themeColor="text1"/>
        </w:rPr>
        <w:t xml:space="preserve">para. 12. </w:t>
      </w:r>
    </w:p>
  </w:footnote>
  <w:footnote w:id="75">
    <w:p w14:paraId="16A4BDC4" w14:textId="2D55A293" w:rsidR="00FE549D" w:rsidRPr="002309CA" w:rsidRDefault="00FE549D" w:rsidP="00E031FB">
      <w:pPr>
        <w:pStyle w:val="Heading1"/>
        <w:spacing w:before="0" w:beforeAutospacing="0" w:after="0" w:afterAutospacing="0"/>
        <w:rPr>
          <w:b w:val="0"/>
          <w:bCs w:val="0"/>
          <w:color w:val="000000" w:themeColor="text1"/>
          <w:sz w:val="20"/>
          <w:szCs w:val="20"/>
        </w:rPr>
      </w:pPr>
      <w:r w:rsidRPr="002309CA">
        <w:rPr>
          <w:rStyle w:val="FootnoteReference"/>
          <w:b w:val="0"/>
          <w:bCs w:val="0"/>
          <w:color w:val="000000" w:themeColor="text1"/>
          <w:sz w:val="20"/>
          <w:szCs w:val="20"/>
        </w:rPr>
        <w:footnoteRef/>
      </w:r>
      <w:r w:rsidRPr="002309CA">
        <w:rPr>
          <w:b w:val="0"/>
          <w:bCs w:val="0"/>
          <w:color w:val="000000" w:themeColor="text1"/>
          <w:sz w:val="20"/>
          <w:szCs w:val="20"/>
        </w:rPr>
        <w:t xml:space="preserve"> Ida Koch, ‘Good Governance and the Implementation of Economic, Social and Cultural Rights’ in Hans-Otto Sano </w:t>
      </w:r>
      <w:r w:rsidRPr="002309CA">
        <w:rPr>
          <w:b w:val="0"/>
          <w:bCs w:val="0"/>
          <w:i/>
          <w:iCs/>
          <w:color w:val="000000" w:themeColor="text1"/>
          <w:sz w:val="20"/>
          <w:szCs w:val="20"/>
        </w:rPr>
        <w:t>et al</w:t>
      </w:r>
      <w:r w:rsidRPr="002309CA">
        <w:rPr>
          <w:b w:val="0"/>
          <w:bCs w:val="0"/>
          <w:color w:val="000000" w:themeColor="text1"/>
          <w:sz w:val="20"/>
          <w:szCs w:val="20"/>
        </w:rPr>
        <w:t xml:space="preserve"> (eds), </w:t>
      </w:r>
      <w:r w:rsidRPr="002309CA">
        <w:rPr>
          <w:b w:val="0"/>
          <w:bCs w:val="0"/>
          <w:i/>
          <w:iCs/>
          <w:color w:val="000000" w:themeColor="text1"/>
          <w:sz w:val="20"/>
          <w:szCs w:val="20"/>
        </w:rPr>
        <w:t>Human Rights and Good Governance: Building</w:t>
      </w:r>
      <w:r w:rsidRPr="002309CA">
        <w:rPr>
          <w:b w:val="0"/>
          <w:bCs w:val="0"/>
          <w:color w:val="000000" w:themeColor="text1"/>
          <w:sz w:val="20"/>
          <w:szCs w:val="20"/>
        </w:rPr>
        <w:t xml:space="preserve"> </w:t>
      </w:r>
      <w:r w:rsidRPr="002309CA">
        <w:rPr>
          <w:b w:val="0"/>
          <w:bCs w:val="0"/>
          <w:i/>
          <w:iCs/>
          <w:color w:val="000000" w:themeColor="text1"/>
          <w:sz w:val="20"/>
          <w:szCs w:val="20"/>
        </w:rPr>
        <w:t>Bridges</w:t>
      </w:r>
      <w:r w:rsidRPr="002309CA">
        <w:rPr>
          <w:b w:val="0"/>
          <w:bCs w:val="0"/>
          <w:color w:val="000000" w:themeColor="text1"/>
          <w:sz w:val="20"/>
          <w:szCs w:val="20"/>
        </w:rPr>
        <w:t xml:space="preserve"> (Kluwer, 2002) 73, 77.</w:t>
      </w:r>
    </w:p>
  </w:footnote>
  <w:footnote w:id="76">
    <w:p w14:paraId="3D708F45" w14:textId="2513B483" w:rsidR="00FE549D" w:rsidRPr="002309CA" w:rsidRDefault="00FE549D" w:rsidP="00503C4D">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Sandra Liebenberg, ‘Enforcing Positive Socio-Economic Rights Claims: The South African Model of Reasonableness Review’ in Squires, Langford and Thiele (eds) (n 1</w:t>
      </w:r>
      <w:r w:rsidR="0076559D" w:rsidRPr="002309CA">
        <w:rPr>
          <w:color w:val="000000" w:themeColor="text1"/>
          <w:sz w:val="20"/>
          <w:szCs w:val="20"/>
        </w:rPr>
        <w:t>3</w:t>
      </w:r>
      <w:r w:rsidRPr="002309CA">
        <w:rPr>
          <w:color w:val="000000" w:themeColor="text1"/>
          <w:sz w:val="20"/>
          <w:szCs w:val="20"/>
        </w:rPr>
        <w:t xml:space="preserve">) 73, 80, drawing on paras. 39-42 of </w:t>
      </w:r>
      <w:r w:rsidRPr="002309CA">
        <w:rPr>
          <w:i/>
          <w:iCs/>
          <w:color w:val="000000" w:themeColor="text1"/>
          <w:sz w:val="20"/>
          <w:szCs w:val="20"/>
        </w:rPr>
        <w:t>Government of the Republic of South Africa v Grootboom and Others</w:t>
      </w:r>
      <w:r w:rsidRPr="002309CA">
        <w:rPr>
          <w:color w:val="000000" w:themeColor="text1"/>
          <w:sz w:val="20"/>
          <w:szCs w:val="20"/>
        </w:rPr>
        <w:t>, 2000 (11) BCLR 1169 (CC)</w:t>
      </w:r>
      <w:r w:rsidR="0076559D" w:rsidRPr="002309CA">
        <w:rPr>
          <w:color w:val="000000" w:themeColor="text1"/>
          <w:sz w:val="20"/>
          <w:szCs w:val="20"/>
        </w:rPr>
        <w:t>.</w:t>
      </w:r>
    </w:p>
  </w:footnote>
  <w:footnote w:id="77">
    <w:p w14:paraId="762F9977" w14:textId="7CB107EA"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Philip Alston and Gerard Quinn, ‘The Nature and Scope of States Parties' Obligations under the International Covenant on Economic, Social and Cultural Rights’ (1987) 9 </w:t>
      </w:r>
      <w:r w:rsidRPr="002309CA">
        <w:rPr>
          <w:rFonts w:ascii="Times New Roman" w:hAnsi="Times New Roman" w:cs="Times New Roman"/>
          <w:i/>
          <w:iCs/>
          <w:color w:val="000000" w:themeColor="text1"/>
        </w:rPr>
        <w:t>Human Rights Quarterly</w:t>
      </w:r>
      <w:r w:rsidRPr="002309CA">
        <w:rPr>
          <w:rFonts w:ascii="Times New Roman" w:hAnsi="Times New Roman" w:cs="Times New Roman"/>
          <w:color w:val="000000" w:themeColor="text1"/>
        </w:rPr>
        <w:t xml:space="preserve"> 156, 221.</w:t>
      </w:r>
    </w:p>
  </w:footnote>
  <w:footnote w:id="78">
    <w:p w14:paraId="12C8C5A9" w14:textId="12CC887E" w:rsidR="00FE549D" w:rsidRPr="002309CA" w:rsidRDefault="00FE549D" w:rsidP="00661A1C">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Danny </w:t>
      </w:r>
      <w:proofErr w:type="spellStart"/>
      <w:r w:rsidRPr="002309CA">
        <w:rPr>
          <w:rStyle w:val="highlight"/>
          <w:color w:val="000000" w:themeColor="text1"/>
          <w:sz w:val="20"/>
          <w:szCs w:val="20"/>
        </w:rPr>
        <w:t>Leipz</w:t>
      </w:r>
      <w:r w:rsidRPr="002309CA">
        <w:rPr>
          <w:color w:val="000000" w:themeColor="text1"/>
          <w:sz w:val="20"/>
          <w:szCs w:val="20"/>
        </w:rPr>
        <w:t>iger</w:t>
      </w:r>
      <w:proofErr w:type="spellEnd"/>
      <w:r w:rsidRPr="002309CA">
        <w:rPr>
          <w:color w:val="000000" w:themeColor="text1"/>
          <w:sz w:val="20"/>
          <w:szCs w:val="20"/>
        </w:rPr>
        <w:t xml:space="preserve">, </w:t>
      </w:r>
      <w:r w:rsidRPr="002309CA">
        <w:rPr>
          <w:i/>
          <w:iCs/>
          <w:color w:val="000000" w:themeColor="text1"/>
          <w:sz w:val="20"/>
          <w:szCs w:val="20"/>
        </w:rPr>
        <w:t>et al, Achieving the MDGs- The Role of Infrastructure</w:t>
      </w:r>
      <w:r w:rsidRPr="002309CA">
        <w:rPr>
          <w:color w:val="000000" w:themeColor="text1"/>
          <w:sz w:val="20"/>
          <w:szCs w:val="20"/>
        </w:rPr>
        <w:t xml:space="preserve"> (World Bank Policy Paper) (2003) &lt;https://openknowledge.worldbank.org/bitstream/handle/10986/17901/wps3163.pdf?sequence=1&amp;isAllowed=y&gt; 10.</w:t>
      </w:r>
    </w:p>
  </w:footnote>
  <w:footnote w:id="79">
    <w:p w14:paraId="1D169BDD" w14:textId="08AD97BA" w:rsidR="00FE549D" w:rsidRPr="002309CA" w:rsidRDefault="00FE549D" w:rsidP="007A0757">
      <w:pPr>
        <w:rPr>
          <w:i/>
          <w:iCs/>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Caroline Moser </w:t>
      </w:r>
      <w:r w:rsidRPr="002309CA">
        <w:rPr>
          <w:i/>
          <w:iCs/>
          <w:color w:val="000000" w:themeColor="text1"/>
          <w:sz w:val="20"/>
          <w:szCs w:val="20"/>
        </w:rPr>
        <w:t>et al</w:t>
      </w:r>
      <w:r w:rsidRPr="002309CA">
        <w:rPr>
          <w:color w:val="000000" w:themeColor="text1"/>
          <w:sz w:val="20"/>
          <w:szCs w:val="20"/>
        </w:rPr>
        <w:t xml:space="preserve">, </w:t>
      </w:r>
      <w:r w:rsidRPr="002309CA">
        <w:rPr>
          <w:i/>
          <w:iCs/>
          <w:color w:val="000000" w:themeColor="text1"/>
          <w:sz w:val="20"/>
          <w:szCs w:val="20"/>
        </w:rPr>
        <w:t xml:space="preserve">To Claim Our Rights. Livelihood Security, Human Rights and Sustainable Development </w:t>
      </w:r>
      <w:r w:rsidRPr="002309CA">
        <w:rPr>
          <w:color w:val="000000" w:themeColor="text1"/>
          <w:sz w:val="20"/>
          <w:szCs w:val="20"/>
        </w:rPr>
        <w:t>(Overseas Development Institute, 2001) 22.</w:t>
      </w:r>
    </w:p>
  </w:footnote>
  <w:footnote w:id="80">
    <w:p w14:paraId="629662FB" w14:textId="6423CB64" w:rsidR="00FE549D" w:rsidRPr="002309CA" w:rsidRDefault="00FE549D" w:rsidP="00186F12">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General Comment No. 9: The domestic application of the Covenant, UN </w:t>
      </w:r>
      <w:proofErr w:type="spellStart"/>
      <w:r w:rsidRPr="002309CA">
        <w:rPr>
          <w:color w:val="000000" w:themeColor="text1"/>
          <w:sz w:val="20"/>
          <w:szCs w:val="20"/>
        </w:rPr>
        <w:t>Doc.E</w:t>
      </w:r>
      <w:proofErr w:type="spellEnd"/>
      <w:r w:rsidRPr="002309CA">
        <w:rPr>
          <w:color w:val="000000" w:themeColor="text1"/>
          <w:sz w:val="20"/>
          <w:szCs w:val="20"/>
        </w:rPr>
        <w:t>/C.12/1998/24, 3 December 1998, para. 1.</w:t>
      </w:r>
    </w:p>
  </w:footnote>
  <w:footnote w:id="81">
    <w:p w14:paraId="592D1778" w14:textId="405ED400" w:rsidR="00FE549D" w:rsidRPr="002309CA" w:rsidRDefault="00FE549D" w:rsidP="00551BA5">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General Comment No 3 (n </w:t>
      </w:r>
      <w:r w:rsidR="00F36543" w:rsidRPr="002309CA">
        <w:rPr>
          <w:rFonts w:ascii="Times New Roman" w:hAnsi="Times New Roman" w:cs="Times New Roman"/>
          <w:color w:val="000000" w:themeColor="text1"/>
        </w:rPr>
        <w:t>69</w:t>
      </w:r>
      <w:r w:rsidRPr="002309CA">
        <w:rPr>
          <w:rFonts w:ascii="Times New Roman" w:hAnsi="Times New Roman" w:cs="Times New Roman"/>
          <w:color w:val="000000" w:themeColor="text1"/>
        </w:rPr>
        <w:t xml:space="preserve">) </w:t>
      </w:r>
      <w:proofErr w:type="gramStart"/>
      <w:r w:rsidRPr="002309CA">
        <w:rPr>
          <w:rFonts w:ascii="Times New Roman" w:hAnsi="Times New Roman" w:cs="Times New Roman"/>
          <w:color w:val="000000" w:themeColor="text1"/>
        </w:rPr>
        <w:t>para</w:t>
      </w:r>
      <w:proofErr w:type="gramEnd"/>
      <w:r w:rsidRPr="002309CA">
        <w:rPr>
          <w:rFonts w:ascii="Times New Roman" w:hAnsi="Times New Roman" w:cs="Times New Roman"/>
          <w:color w:val="000000" w:themeColor="text1"/>
        </w:rPr>
        <w:t>. 3</w:t>
      </w:r>
    </w:p>
  </w:footnote>
  <w:footnote w:id="82">
    <w:p w14:paraId="10BC9A66" w14:textId="2F6E9208"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Ibid para. 9.</w:t>
      </w:r>
    </w:p>
  </w:footnote>
  <w:footnote w:id="83">
    <w:p w14:paraId="39AC12BA" w14:textId="4F81A7A6"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Concluding Observations on the </w:t>
      </w:r>
      <w:r w:rsidR="00AF50A9" w:rsidRPr="002309CA">
        <w:rPr>
          <w:rFonts w:ascii="Times New Roman" w:hAnsi="Times New Roman" w:cs="Times New Roman"/>
          <w:color w:val="000000" w:themeColor="text1"/>
        </w:rPr>
        <w:t>I</w:t>
      </w:r>
      <w:r w:rsidRPr="002309CA">
        <w:rPr>
          <w:rFonts w:ascii="Times New Roman" w:hAnsi="Times New Roman" w:cs="Times New Roman"/>
          <w:color w:val="000000" w:themeColor="text1"/>
        </w:rPr>
        <w:t>nitial Report of Guinea, UN Doc. E/C.12/GIN/CO/1, para. 25 of 30 March 2020, para. 27.</w:t>
      </w:r>
    </w:p>
  </w:footnote>
  <w:footnote w:id="84">
    <w:p w14:paraId="77358314" w14:textId="6FA37F24" w:rsidR="00FE549D" w:rsidRPr="002309CA" w:rsidRDefault="00FE549D" w:rsidP="00604474">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Ida Koch, ‘The Justifiability of Indivisible Rights’ (2003) 72 </w:t>
      </w:r>
      <w:r w:rsidRPr="002309CA">
        <w:rPr>
          <w:i/>
          <w:iCs/>
          <w:color w:val="000000" w:themeColor="text1"/>
          <w:sz w:val="20"/>
          <w:szCs w:val="20"/>
        </w:rPr>
        <w:t xml:space="preserve">Nordic Journal </w:t>
      </w:r>
      <w:proofErr w:type="gramStart"/>
      <w:r w:rsidRPr="002309CA">
        <w:rPr>
          <w:i/>
          <w:iCs/>
          <w:color w:val="000000" w:themeColor="text1"/>
          <w:sz w:val="20"/>
          <w:szCs w:val="20"/>
        </w:rPr>
        <w:t>of  International</w:t>
      </w:r>
      <w:proofErr w:type="gramEnd"/>
      <w:r w:rsidRPr="002309CA">
        <w:rPr>
          <w:i/>
          <w:iCs/>
          <w:color w:val="000000" w:themeColor="text1"/>
          <w:sz w:val="20"/>
          <w:szCs w:val="20"/>
        </w:rPr>
        <w:t xml:space="preserve"> Law </w:t>
      </w:r>
      <w:r w:rsidRPr="002309CA">
        <w:rPr>
          <w:color w:val="000000" w:themeColor="text1"/>
          <w:sz w:val="20"/>
          <w:szCs w:val="20"/>
        </w:rPr>
        <w:t>3, 33.</w:t>
      </w:r>
    </w:p>
  </w:footnote>
  <w:footnote w:id="85">
    <w:p w14:paraId="6B274996" w14:textId="0636A8D4"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Felner</w:t>
      </w:r>
      <w:proofErr w:type="spellEnd"/>
      <w:r w:rsidRPr="002309CA">
        <w:rPr>
          <w:rFonts w:ascii="Times New Roman" w:hAnsi="Times New Roman" w:cs="Times New Roman"/>
          <w:color w:val="000000" w:themeColor="text1"/>
        </w:rPr>
        <w:t xml:space="preserve"> (n 2</w:t>
      </w:r>
      <w:r w:rsidR="006C46AF" w:rsidRPr="002309CA">
        <w:rPr>
          <w:rFonts w:ascii="Times New Roman" w:hAnsi="Times New Roman" w:cs="Times New Roman"/>
          <w:color w:val="000000" w:themeColor="text1"/>
        </w:rPr>
        <w:t>4</w:t>
      </w:r>
      <w:r w:rsidRPr="002309CA">
        <w:rPr>
          <w:rFonts w:ascii="Times New Roman" w:hAnsi="Times New Roman" w:cs="Times New Roman"/>
          <w:color w:val="000000" w:themeColor="text1"/>
        </w:rPr>
        <w:t>) 126.</w:t>
      </w:r>
    </w:p>
  </w:footnote>
  <w:footnote w:id="86">
    <w:p w14:paraId="51969EFB" w14:textId="5EE97056" w:rsidR="00FE549D" w:rsidRPr="002309CA" w:rsidRDefault="00FE549D" w:rsidP="002868B2">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Sakiko</w:t>
      </w:r>
      <w:proofErr w:type="spellEnd"/>
      <w:r w:rsidRPr="002309CA">
        <w:rPr>
          <w:rFonts w:ascii="Times New Roman" w:hAnsi="Times New Roman" w:cs="Times New Roman"/>
          <w:color w:val="000000" w:themeColor="text1"/>
        </w:rPr>
        <w:t xml:space="preserve"> Fukuda-Parr, ‘Developmental States, Neoliberalism, and the Right to Food: Brazil and South Africa’ in</w:t>
      </w:r>
      <w:r w:rsidRPr="002309CA">
        <w:rPr>
          <w:rFonts w:ascii="Times New Roman" w:hAnsi="Times New Roman" w:cs="Times New Roman"/>
          <w:i/>
          <w:iCs/>
          <w:color w:val="000000" w:themeColor="text1"/>
        </w:rPr>
        <w:t xml:space="preserve"> </w:t>
      </w:r>
      <w:proofErr w:type="spellStart"/>
      <w:r w:rsidRPr="002309CA">
        <w:rPr>
          <w:rFonts w:ascii="Times New Roman" w:hAnsi="Times New Roman" w:cs="Times New Roman"/>
          <w:color w:val="000000" w:themeColor="text1"/>
        </w:rPr>
        <w:t>MacNaughton</w:t>
      </w:r>
      <w:proofErr w:type="spellEnd"/>
      <w:r w:rsidRPr="002309CA">
        <w:rPr>
          <w:rFonts w:ascii="Times New Roman" w:hAnsi="Times New Roman" w:cs="Times New Roman"/>
          <w:color w:val="000000" w:themeColor="text1"/>
        </w:rPr>
        <w:t xml:space="preserve"> and Frey (eds)</w:t>
      </w:r>
      <w:r w:rsidR="00F36543" w:rsidRPr="002309CA">
        <w:rPr>
          <w:rFonts w:ascii="Times New Roman" w:hAnsi="Times New Roman" w:cs="Times New Roman"/>
          <w:color w:val="000000" w:themeColor="text1"/>
        </w:rPr>
        <w:t xml:space="preserve"> (n65</w:t>
      </w:r>
      <w:proofErr w:type="gramStart"/>
      <w:r w:rsidR="00F36543" w:rsidRPr="002309CA">
        <w:rPr>
          <w:rFonts w:ascii="Times New Roman" w:hAnsi="Times New Roman" w:cs="Times New Roman"/>
          <w:color w:val="000000" w:themeColor="text1"/>
        </w:rPr>
        <w:t>)</w:t>
      </w:r>
      <w:r w:rsidRPr="002309CA">
        <w:rPr>
          <w:rFonts w:ascii="Times New Roman" w:hAnsi="Times New Roman" w:cs="Times New Roman"/>
          <w:color w:val="000000" w:themeColor="text1"/>
        </w:rPr>
        <w:t xml:space="preserve">  217</w:t>
      </w:r>
      <w:proofErr w:type="gramEnd"/>
      <w:r w:rsidRPr="002309CA">
        <w:rPr>
          <w:rFonts w:ascii="Times New Roman" w:hAnsi="Times New Roman" w:cs="Times New Roman"/>
          <w:color w:val="000000" w:themeColor="text1"/>
        </w:rPr>
        <w:t>, 217-218.</w:t>
      </w:r>
    </w:p>
  </w:footnote>
  <w:footnote w:id="87">
    <w:p w14:paraId="4D90598D" w14:textId="30BD3EC4"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00765FF9" w:rsidRPr="002309CA">
        <w:rPr>
          <w:rFonts w:ascii="Times New Roman" w:hAnsi="Times New Roman" w:cs="Times New Roman"/>
          <w:color w:val="000000" w:themeColor="text1"/>
        </w:rPr>
        <w:t>Fredman</w:t>
      </w:r>
      <w:proofErr w:type="spellEnd"/>
      <w:r w:rsidR="00765FF9" w:rsidRPr="002309CA">
        <w:rPr>
          <w:rFonts w:ascii="Times New Roman" w:hAnsi="Times New Roman" w:cs="Times New Roman"/>
          <w:color w:val="000000" w:themeColor="text1"/>
        </w:rPr>
        <w:t xml:space="preserve"> (n 2) </w:t>
      </w:r>
      <w:r w:rsidRPr="002309CA">
        <w:rPr>
          <w:rFonts w:ascii="Times New Roman" w:hAnsi="Times New Roman" w:cs="Times New Roman"/>
          <w:color w:val="000000" w:themeColor="text1"/>
        </w:rPr>
        <w:t>151.</w:t>
      </w:r>
    </w:p>
  </w:footnote>
  <w:footnote w:id="88">
    <w:p w14:paraId="2CDCFFF8" w14:textId="7C08E91B" w:rsidR="00FE549D" w:rsidRPr="002309CA" w:rsidRDefault="00FE549D" w:rsidP="00106D62">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Dowell-Jones (n </w:t>
      </w:r>
      <w:r w:rsidR="006C46AF" w:rsidRPr="002309CA">
        <w:rPr>
          <w:rFonts w:ascii="Times New Roman" w:hAnsi="Times New Roman" w:cs="Times New Roman"/>
          <w:color w:val="000000" w:themeColor="text1"/>
        </w:rPr>
        <w:t>31</w:t>
      </w:r>
      <w:r w:rsidRPr="002309CA">
        <w:rPr>
          <w:rFonts w:ascii="Times New Roman" w:hAnsi="Times New Roman" w:cs="Times New Roman"/>
          <w:color w:val="000000" w:themeColor="text1"/>
        </w:rPr>
        <w:t>) 43.</w:t>
      </w:r>
    </w:p>
  </w:footnote>
  <w:footnote w:id="89">
    <w:p w14:paraId="1557EFF5" w14:textId="1DCF4DCC" w:rsidR="00FE549D" w:rsidRPr="002309CA" w:rsidRDefault="00FE549D" w:rsidP="00AC71AF">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Christian </w:t>
      </w:r>
      <w:proofErr w:type="spellStart"/>
      <w:r w:rsidRPr="002309CA">
        <w:rPr>
          <w:color w:val="000000" w:themeColor="text1"/>
          <w:sz w:val="20"/>
          <w:szCs w:val="20"/>
        </w:rPr>
        <w:t>Tomuschat</w:t>
      </w:r>
      <w:proofErr w:type="spellEnd"/>
      <w:r w:rsidRPr="002309CA">
        <w:rPr>
          <w:color w:val="000000" w:themeColor="text1"/>
          <w:sz w:val="20"/>
          <w:szCs w:val="20"/>
        </w:rPr>
        <w:t xml:space="preserve">, </w:t>
      </w:r>
      <w:r w:rsidRPr="002309CA">
        <w:rPr>
          <w:i/>
          <w:iCs/>
          <w:color w:val="000000" w:themeColor="text1"/>
          <w:sz w:val="20"/>
          <w:szCs w:val="20"/>
        </w:rPr>
        <w:t>Human Rights: Between Idealism and Realism</w:t>
      </w:r>
      <w:r w:rsidRPr="002309CA">
        <w:rPr>
          <w:color w:val="000000" w:themeColor="text1"/>
          <w:sz w:val="20"/>
          <w:szCs w:val="20"/>
        </w:rPr>
        <w:t xml:space="preserve"> (Oxford University Press, 2014) 141.</w:t>
      </w:r>
    </w:p>
  </w:footnote>
  <w:footnote w:id="90">
    <w:p w14:paraId="2F7DACE3" w14:textId="12940FB8" w:rsidR="00FE549D" w:rsidRPr="002309CA" w:rsidRDefault="00FE549D" w:rsidP="00124F8C">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r w:rsidRPr="002309CA">
        <w:rPr>
          <w:rStyle w:val="highlight"/>
          <w:color w:val="000000" w:themeColor="text1"/>
          <w:sz w:val="20"/>
          <w:szCs w:val="20"/>
        </w:rPr>
        <w:t>Hertel</w:t>
      </w:r>
      <w:r w:rsidRPr="002309CA">
        <w:rPr>
          <w:color w:val="000000" w:themeColor="text1"/>
          <w:sz w:val="20"/>
          <w:szCs w:val="20"/>
        </w:rPr>
        <w:t xml:space="preserve"> and </w:t>
      </w:r>
      <w:proofErr w:type="spellStart"/>
      <w:r w:rsidRPr="002309CA">
        <w:rPr>
          <w:color w:val="000000" w:themeColor="text1"/>
          <w:sz w:val="20"/>
          <w:szCs w:val="20"/>
        </w:rPr>
        <w:t>Minkler</w:t>
      </w:r>
      <w:proofErr w:type="spellEnd"/>
      <w:r w:rsidRPr="002309CA">
        <w:rPr>
          <w:color w:val="000000" w:themeColor="text1"/>
          <w:sz w:val="20"/>
          <w:szCs w:val="20"/>
        </w:rPr>
        <w:t xml:space="preserve"> (n </w:t>
      </w:r>
      <w:r w:rsidR="00F36543" w:rsidRPr="002309CA">
        <w:rPr>
          <w:color w:val="000000" w:themeColor="text1"/>
          <w:sz w:val="20"/>
          <w:szCs w:val="20"/>
        </w:rPr>
        <w:t>55</w:t>
      </w:r>
      <w:r w:rsidRPr="002309CA">
        <w:rPr>
          <w:color w:val="000000" w:themeColor="text1"/>
          <w:sz w:val="20"/>
          <w:szCs w:val="20"/>
        </w:rPr>
        <w:t>) 23.</w:t>
      </w:r>
    </w:p>
  </w:footnote>
  <w:footnote w:id="91">
    <w:p w14:paraId="521DE222" w14:textId="6B38437B" w:rsidR="00FE549D" w:rsidRPr="002309CA" w:rsidRDefault="00FE549D" w:rsidP="007A448F">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Alicia Ely </w:t>
      </w:r>
      <w:proofErr w:type="spellStart"/>
      <w:r w:rsidRPr="002309CA">
        <w:rPr>
          <w:color w:val="000000" w:themeColor="text1"/>
          <w:sz w:val="20"/>
          <w:szCs w:val="20"/>
        </w:rPr>
        <w:t>Yamin</w:t>
      </w:r>
      <w:proofErr w:type="spellEnd"/>
      <w:r w:rsidRPr="002309CA">
        <w:rPr>
          <w:color w:val="000000" w:themeColor="text1"/>
          <w:sz w:val="20"/>
          <w:szCs w:val="20"/>
        </w:rPr>
        <w:t xml:space="preserve">, ‘The Right to Health: Where Do We Stand and How Far </w:t>
      </w:r>
      <w:proofErr w:type="gramStart"/>
      <w:r w:rsidRPr="002309CA">
        <w:rPr>
          <w:color w:val="000000" w:themeColor="text1"/>
          <w:sz w:val="20"/>
          <w:szCs w:val="20"/>
        </w:rPr>
        <w:t>Have</w:t>
      </w:r>
      <w:proofErr w:type="gramEnd"/>
      <w:r w:rsidRPr="002309CA">
        <w:rPr>
          <w:color w:val="000000" w:themeColor="text1"/>
          <w:sz w:val="20"/>
          <w:szCs w:val="20"/>
        </w:rPr>
        <w:t xml:space="preserve"> We Come?’ (2013) 35 </w:t>
      </w:r>
      <w:r w:rsidRPr="002309CA">
        <w:rPr>
          <w:i/>
          <w:iCs/>
          <w:color w:val="000000" w:themeColor="text1"/>
          <w:sz w:val="20"/>
          <w:szCs w:val="20"/>
        </w:rPr>
        <w:t>Human Rights Quarterly</w:t>
      </w:r>
      <w:r w:rsidRPr="002309CA">
        <w:rPr>
          <w:color w:val="000000" w:themeColor="text1"/>
          <w:sz w:val="20"/>
          <w:szCs w:val="20"/>
        </w:rPr>
        <w:t xml:space="preserve"> 509, 512-513.</w:t>
      </w:r>
    </w:p>
  </w:footnote>
  <w:footnote w:id="92">
    <w:p w14:paraId="551CBAAA" w14:textId="130EA202"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See above (n </w:t>
      </w:r>
      <w:r w:rsidR="00CD5CF1" w:rsidRPr="002309CA">
        <w:rPr>
          <w:rFonts w:ascii="Times New Roman" w:hAnsi="Times New Roman" w:cs="Times New Roman"/>
          <w:color w:val="000000" w:themeColor="text1"/>
        </w:rPr>
        <w:t>7</w:t>
      </w:r>
      <w:r w:rsidRPr="002309CA">
        <w:rPr>
          <w:rFonts w:ascii="Times New Roman" w:hAnsi="Times New Roman" w:cs="Times New Roman"/>
          <w:color w:val="000000" w:themeColor="text1"/>
        </w:rPr>
        <w:t>4) para. 43.</w:t>
      </w:r>
    </w:p>
  </w:footnote>
  <w:footnote w:id="93">
    <w:p w14:paraId="7941F9E5" w14:textId="6CDD712F"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Yamin</w:t>
      </w:r>
      <w:proofErr w:type="spellEnd"/>
      <w:r w:rsidRPr="002309CA">
        <w:rPr>
          <w:rFonts w:ascii="Times New Roman" w:hAnsi="Times New Roman" w:cs="Times New Roman"/>
          <w:color w:val="000000" w:themeColor="text1"/>
        </w:rPr>
        <w:t xml:space="preserve"> ‘Future in the Mirror’ (n </w:t>
      </w:r>
      <w:r w:rsidR="006C46AF" w:rsidRPr="002309CA">
        <w:rPr>
          <w:rFonts w:ascii="Times New Roman" w:hAnsi="Times New Roman" w:cs="Times New Roman"/>
          <w:color w:val="000000" w:themeColor="text1"/>
        </w:rPr>
        <w:t>4</w:t>
      </w:r>
      <w:r w:rsidRPr="002309CA">
        <w:rPr>
          <w:rFonts w:ascii="Times New Roman" w:hAnsi="Times New Roman" w:cs="Times New Roman"/>
          <w:color w:val="000000" w:themeColor="text1"/>
        </w:rPr>
        <w:t>0) 1219.</w:t>
      </w:r>
    </w:p>
  </w:footnote>
  <w:footnote w:id="94">
    <w:p w14:paraId="6A1BCA3D" w14:textId="60F605DB"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Ibid 1222.</w:t>
      </w:r>
    </w:p>
  </w:footnote>
  <w:footnote w:id="95">
    <w:p w14:paraId="4B54D3DB" w14:textId="108A3BDF" w:rsidR="00FE549D" w:rsidRPr="002309CA" w:rsidRDefault="00FE549D" w:rsidP="00C268FA">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Ibid 1221.</w:t>
      </w:r>
    </w:p>
  </w:footnote>
  <w:footnote w:id="96">
    <w:p w14:paraId="2D6D9FC5" w14:textId="1A99CDCC" w:rsidR="00FE549D" w:rsidRPr="002309CA" w:rsidRDefault="00FE549D" w:rsidP="00045736">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Lynn Freedman, ‘Using Human Rights in Maternal Mortality Programs: From Analysis to Strategy’ (2001) 75 </w:t>
      </w:r>
      <w:r w:rsidRPr="002309CA">
        <w:rPr>
          <w:i/>
          <w:iCs/>
          <w:color w:val="000000" w:themeColor="text1"/>
          <w:sz w:val="20"/>
          <w:szCs w:val="20"/>
        </w:rPr>
        <w:t xml:space="preserve">International Journal of </w:t>
      </w:r>
      <w:proofErr w:type="spellStart"/>
      <w:r w:rsidRPr="002309CA">
        <w:rPr>
          <w:i/>
          <w:iCs/>
          <w:color w:val="000000" w:themeColor="text1"/>
          <w:sz w:val="20"/>
          <w:szCs w:val="20"/>
        </w:rPr>
        <w:t>Gynecology</w:t>
      </w:r>
      <w:proofErr w:type="spellEnd"/>
      <w:r w:rsidRPr="002309CA">
        <w:rPr>
          <w:i/>
          <w:iCs/>
          <w:color w:val="000000" w:themeColor="text1"/>
          <w:sz w:val="20"/>
          <w:szCs w:val="20"/>
        </w:rPr>
        <w:t xml:space="preserve"> &amp; Obstetrics</w:t>
      </w:r>
      <w:r w:rsidRPr="002309CA">
        <w:rPr>
          <w:color w:val="000000" w:themeColor="text1"/>
          <w:sz w:val="20"/>
          <w:szCs w:val="20"/>
        </w:rPr>
        <w:t xml:space="preserve"> 51.</w:t>
      </w:r>
    </w:p>
  </w:footnote>
  <w:footnote w:id="97">
    <w:p w14:paraId="1436DC82" w14:textId="00859BD0" w:rsidR="00FE549D" w:rsidRPr="002309CA" w:rsidRDefault="00FE549D" w:rsidP="00BC2910">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Bueno de Mesquita </w:t>
      </w:r>
      <w:r w:rsidRPr="002309CA">
        <w:rPr>
          <w:i/>
          <w:iCs/>
          <w:color w:val="000000" w:themeColor="text1"/>
          <w:sz w:val="20"/>
          <w:szCs w:val="20"/>
        </w:rPr>
        <w:t>et al</w:t>
      </w:r>
      <w:r w:rsidRPr="002309CA">
        <w:rPr>
          <w:color w:val="000000" w:themeColor="text1"/>
          <w:sz w:val="20"/>
          <w:szCs w:val="20"/>
        </w:rPr>
        <w:t xml:space="preserve"> (n </w:t>
      </w:r>
      <w:r w:rsidR="00CD5CF1" w:rsidRPr="002309CA">
        <w:rPr>
          <w:color w:val="000000" w:themeColor="text1"/>
          <w:sz w:val="20"/>
          <w:szCs w:val="20"/>
        </w:rPr>
        <w:t>3</w:t>
      </w:r>
      <w:r w:rsidRPr="002309CA">
        <w:rPr>
          <w:color w:val="000000" w:themeColor="text1"/>
          <w:sz w:val="20"/>
          <w:szCs w:val="20"/>
        </w:rPr>
        <w:t>) 545.</w:t>
      </w:r>
    </w:p>
  </w:footnote>
  <w:footnote w:id="98">
    <w:p w14:paraId="779D325C" w14:textId="56EBFBE7" w:rsidR="00FE549D" w:rsidRPr="002309CA" w:rsidRDefault="00FE549D" w:rsidP="00CC7066">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General Comment No. 13 on the Right to Education, UN </w:t>
      </w:r>
      <w:proofErr w:type="spellStart"/>
      <w:r w:rsidRPr="002309CA">
        <w:rPr>
          <w:color w:val="000000" w:themeColor="text1"/>
          <w:sz w:val="20"/>
          <w:szCs w:val="20"/>
        </w:rPr>
        <w:t>Doc.E</w:t>
      </w:r>
      <w:proofErr w:type="spellEnd"/>
      <w:r w:rsidRPr="002309CA">
        <w:rPr>
          <w:color w:val="000000" w:themeColor="text1"/>
          <w:sz w:val="20"/>
          <w:szCs w:val="20"/>
        </w:rPr>
        <w:t xml:space="preserve">/C.12/1999/10, 8 December 1999, para. 32. </w:t>
      </w:r>
    </w:p>
  </w:footnote>
  <w:footnote w:id="99">
    <w:p w14:paraId="66B24722" w14:textId="6BCC354B"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General Comment No. 11: Plans of Action for Primary Education, UN Doc. E/1992/23, 10 May 1999, para. 10.</w:t>
      </w:r>
    </w:p>
  </w:footnote>
  <w:footnote w:id="100">
    <w:p w14:paraId="580BF77F" w14:textId="57D8F700" w:rsidR="00FE549D" w:rsidRPr="002309CA" w:rsidRDefault="00FE549D" w:rsidP="00FB5A66">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General Comment No. 4: The Right to Adequate Housing, E/1992/23, 13 December 1991, para. 12.</w:t>
      </w:r>
    </w:p>
  </w:footnote>
  <w:footnote w:id="101">
    <w:p w14:paraId="246F1FBE" w14:textId="4334ADFA" w:rsidR="00FE549D" w:rsidRPr="002309CA" w:rsidRDefault="00FE549D" w:rsidP="00DE6793">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Rajindar</w:t>
      </w:r>
      <w:proofErr w:type="spellEnd"/>
      <w:r w:rsidRPr="002309CA">
        <w:rPr>
          <w:rFonts w:ascii="Times New Roman" w:hAnsi="Times New Roman" w:cs="Times New Roman"/>
          <w:color w:val="000000" w:themeColor="text1"/>
        </w:rPr>
        <w:t xml:space="preserve"> Sachar, ‘The right to adequate housing, Final report submitted by Mr </w:t>
      </w:r>
      <w:proofErr w:type="spellStart"/>
      <w:r w:rsidRPr="002309CA">
        <w:rPr>
          <w:rFonts w:ascii="Times New Roman" w:hAnsi="Times New Roman" w:cs="Times New Roman"/>
          <w:color w:val="000000" w:themeColor="text1"/>
        </w:rPr>
        <w:t>Rajindar</w:t>
      </w:r>
      <w:proofErr w:type="spellEnd"/>
      <w:r w:rsidRPr="002309CA">
        <w:rPr>
          <w:rFonts w:ascii="Times New Roman" w:hAnsi="Times New Roman" w:cs="Times New Roman"/>
          <w:color w:val="000000" w:themeColor="text1"/>
        </w:rPr>
        <w:t xml:space="preserve"> Sachar, Special Rapporteur’ UN Doc. E/CN.4/Sub.2/1995/12, 12 July </w:t>
      </w:r>
      <w:proofErr w:type="gramStart"/>
      <w:r w:rsidRPr="002309CA">
        <w:rPr>
          <w:rFonts w:ascii="Times New Roman" w:hAnsi="Times New Roman" w:cs="Times New Roman"/>
          <w:color w:val="000000" w:themeColor="text1"/>
        </w:rPr>
        <w:t>1995..</w:t>
      </w:r>
      <w:proofErr w:type="gramEnd"/>
    </w:p>
  </w:footnote>
  <w:footnote w:id="102">
    <w:p w14:paraId="3AF460C2" w14:textId="492BBEFB" w:rsidR="00FE549D" w:rsidRPr="002309CA" w:rsidRDefault="00FE549D" w:rsidP="00A256F6">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Asbjorn</w:t>
      </w:r>
      <w:proofErr w:type="spellEnd"/>
      <w:r w:rsidRPr="002309CA">
        <w:rPr>
          <w:color w:val="000000" w:themeColor="text1"/>
          <w:sz w:val="20"/>
          <w:szCs w:val="20"/>
        </w:rPr>
        <w:t xml:space="preserve"> Eide and Allan Rosas, ‘Economic, Social and Cultural Rights: A Universal Challenge’ in </w:t>
      </w:r>
      <w:proofErr w:type="spellStart"/>
      <w:r w:rsidRPr="002309CA">
        <w:rPr>
          <w:color w:val="000000" w:themeColor="text1"/>
          <w:sz w:val="20"/>
          <w:szCs w:val="20"/>
        </w:rPr>
        <w:t>Asbjorn</w:t>
      </w:r>
      <w:proofErr w:type="spellEnd"/>
      <w:r w:rsidRPr="002309CA">
        <w:rPr>
          <w:color w:val="000000" w:themeColor="text1"/>
          <w:sz w:val="20"/>
          <w:szCs w:val="20"/>
        </w:rPr>
        <w:t xml:space="preserve"> Eide, Catarina Krause, and Allan Rosas (eds)</w:t>
      </w:r>
      <w:r w:rsidR="00551844" w:rsidRPr="002309CA">
        <w:rPr>
          <w:color w:val="000000" w:themeColor="text1"/>
          <w:sz w:val="20"/>
          <w:szCs w:val="20"/>
        </w:rPr>
        <w:t>,</w:t>
      </w:r>
      <w:r w:rsidRPr="002309CA">
        <w:rPr>
          <w:color w:val="000000" w:themeColor="text1"/>
          <w:sz w:val="20"/>
          <w:szCs w:val="20"/>
        </w:rPr>
        <w:t xml:space="preserve"> </w:t>
      </w:r>
      <w:r w:rsidRPr="002309CA">
        <w:rPr>
          <w:i/>
          <w:iCs/>
          <w:color w:val="000000" w:themeColor="text1"/>
          <w:sz w:val="20"/>
          <w:szCs w:val="20"/>
        </w:rPr>
        <w:t xml:space="preserve">Economic Social and Cultural Rights A Textbook </w:t>
      </w:r>
      <w:r w:rsidRPr="002309CA">
        <w:rPr>
          <w:color w:val="000000" w:themeColor="text1"/>
          <w:sz w:val="20"/>
          <w:szCs w:val="20"/>
        </w:rPr>
        <w:t>(Kluwer, 1995) 1, 6.</w:t>
      </w:r>
    </w:p>
  </w:footnote>
  <w:footnote w:id="103">
    <w:p w14:paraId="7F43FCFA" w14:textId="25462735" w:rsidR="00FE549D" w:rsidRPr="002309CA" w:rsidRDefault="00FE549D" w:rsidP="006E4A55">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General Comment No. 12: The Right to Adequate Food, UN </w:t>
      </w:r>
      <w:proofErr w:type="spellStart"/>
      <w:r w:rsidRPr="002309CA">
        <w:rPr>
          <w:color w:val="000000" w:themeColor="text1"/>
          <w:sz w:val="20"/>
          <w:szCs w:val="20"/>
        </w:rPr>
        <w:t>Doc.E</w:t>
      </w:r>
      <w:proofErr w:type="spellEnd"/>
      <w:r w:rsidRPr="002309CA">
        <w:rPr>
          <w:color w:val="000000" w:themeColor="text1"/>
          <w:sz w:val="20"/>
          <w:szCs w:val="20"/>
        </w:rPr>
        <w:t>/C.12/1999/5), 12 May 1999, para 15.</w:t>
      </w:r>
    </w:p>
  </w:footnote>
  <w:footnote w:id="104">
    <w:p w14:paraId="375717E2" w14:textId="2E4A7921" w:rsidR="00FE549D" w:rsidRPr="002309CA" w:rsidRDefault="00FE549D" w:rsidP="002B79E1">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Olivier De </w:t>
      </w:r>
      <w:proofErr w:type="spellStart"/>
      <w:proofErr w:type="gramStart"/>
      <w:r w:rsidRPr="002309CA">
        <w:rPr>
          <w:color w:val="000000" w:themeColor="text1"/>
          <w:sz w:val="20"/>
          <w:szCs w:val="20"/>
        </w:rPr>
        <w:t>Schutter</w:t>
      </w:r>
      <w:proofErr w:type="spellEnd"/>
      <w:r w:rsidRPr="002309CA">
        <w:rPr>
          <w:color w:val="000000" w:themeColor="text1"/>
          <w:sz w:val="20"/>
          <w:szCs w:val="20"/>
        </w:rPr>
        <w:t>,‘</w:t>
      </w:r>
      <w:proofErr w:type="gramEnd"/>
      <w:r w:rsidRPr="002309CA">
        <w:rPr>
          <w:color w:val="000000" w:themeColor="text1"/>
          <w:sz w:val="20"/>
          <w:szCs w:val="20"/>
        </w:rPr>
        <w:t>Crisis into Opportunity: Reinforcing Multilateralism’ UN Doc A/HRC/12/31, 21July 2009, para. 15</w:t>
      </w:r>
      <w:r w:rsidR="00551844" w:rsidRPr="002309CA">
        <w:rPr>
          <w:color w:val="000000" w:themeColor="text1"/>
          <w:sz w:val="20"/>
          <w:szCs w:val="20"/>
        </w:rPr>
        <w:t>.</w:t>
      </w:r>
    </w:p>
  </w:footnote>
  <w:footnote w:id="105">
    <w:p w14:paraId="6E00BA4B" w14:textId="70DEBCF4" w:rsidR="00FE549D" w:rsidRPr="002309CA" w:rsidRDefault="00FE549D" w:rsidP="00971A89">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Etienne </w:t>
      </w:r>
      <w:proofErr w:type="spellStart"/>
      <w:r w:rsidRPr="002309CA">
        <w:rPr>
          <w:color w:val="000000" w:themeColor="text1"/>
          <w:sz w:val="20"/>
          <w:szCs w:val="20"/>
        </w:rPr>
        <w:t>Mureinik</w:t>
      </w:r>
      <w:proofErr w:type="spellEnd"/>
      <w:r w:rsidRPr="002309CA">
        <w:rPr>
          <w:color w:val="000000" w:themeColor="text1"/>
          <w:sz w:val="20"/>
          <w:szCs w:val="20"/>
        </w:rPr>
        <w:t xml:space="preserve">, ‘Beyond a Charter of Luxuries: Economic Rights in the Constitution’ (1992) 8 </w:t>
      </w:r>
      <w:r w:rsidRPr="002309CA">
        <w:rPr>
          <w:i/>
          <w:iCs/>
          <w:color w:val="000000" w:themeColor="text1"/>
          <w:sz w:val="20"/>
          <w:szCs w:val="20"/>
        </w:rPr>
        <w:t>South African Journal on Human Rights</w:t>
      </w:r>
      <w:r w:rsidRPr="002309CA">
        <w:rPr>
          <w:color w:val="000000" w:themeColor="text1"/>
          <w:sz w:val="20"/>
          <w:szCs w:val="20"/>
        </w:rPr>
        <w:t xml:space="preserve"> 464, 471.</w:t>
      </w:r>
    </w:p>
  </w:footnote>
  <w:footnote w:id="106">
    <w:p w14:paraId="3526D010" w14:textId="77AE5C9E" w:rsidR="00FE549D" w:rsidRPr="002309CA" w:rsidRDefault="00FE549D" w:rsidP="00CF4A96">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Leckie (n </w:t>
      </w:r>
      <w:r w:rsidR="00AD1894" w:rsidRPr="002309CA">
        <w:rPr>
          <w:rFonts w:ascii="Times New Roman" w:hAnsi="Times New Roman" w:cs="Times New Roman"/>
          <w:color w:val="000000" w:themeColor="text1"/>
        </w:rPr>
        <w:t>4</w:t>
      </w:r>
      <w:r w:rsidRPr="002309CA">
        <w:rPr>
          <w:rFonts w:ascii="Times New Roman" w:hAnsi="Times New Roman" w:cs="Times New Roman"/>
          <w:color w:val="000000" w:themeColor="text1"/>
        </w:rPr>
        <w:t>4) 95.</w:t>
      </w:r>
    </w:p>
  </w:footnote>
  <w:footnote w:id="107">
    <w:p w14:paraId="2D08C743" w14:textId="3DE70FD5" w:rsidR="00FE549D" w:rsidRPr="002309CA" w:rsidRDefault="00FE549D" w:rsidP="00CF4A96">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Beitz</w:t>
      </w:r>
      <w:proofErr w:type="spellEnd"/>
      <w:r w:rsidRPr="002309CA">
        <w:rPr>
          <w:rFonts w:ascii="Times New Roman" w:hAnsi="Times New Roman" w:cs="Times New Roman"/>
          <w:color w:val="000000" w:themeColor="text1"/>
        </w:rPr>
        <w:t xml:space="preserve"> (n </w:t>
      </w:r>
      <w:r w:rsidR="0076559D" w:rsidRPr="002309CA">
        <w:rPr>
          <w:rFonts w:ascii="Times New Roman" w:hAnsi="Times New Roman" w:cs="Times New Roman"/>
          <w:color w:val="000000" w:themeColor="text1"/>
        </w:rPr>
        <w:t>7</w:t>
      </w:r>
      <w:r w:rsidRPr="002309CA">
        <w:rPr>
          <w:rFonts w:ascii="Times New Roman" w:hAnsi="Times New Roman" w:cs="Times New Roman"/>
          <w:color w:val="000000" w:themeColor="text1"/>
        </w:rPr>
        <w:t>) 162.</w:t>
      </w:r>
    </w:p>
  </w:footnote>
  <w:footnote w:id="108">
    <w:p w14:paraId="44D119D3" w14:textId="77777777" w:rsidR="00FE549D" w:rsidRPr="002309CA" w:rsidRDefault="00FE549D" w:rsidP="00CF4A96">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Katherine G Young, </w:t>
      </w:r>
      <w:r w:rsidRPr="002309CA">
        <w:rPr>
          <w:rFonts w:ascii="Times New Roman" w:hAnsi="Times New Roman" w:cs="Times New Roman"/>
          <w:i/>
          <w:iCs/>
          <w:color w:val="000000" w:themeColor="text1"/>
        </w:rPr>
        <w:t>Constituting Economic and Social Rights</w:t>
      </w:r>
      <w:r w:rsidRPr="002309CA">
        <w:rPr>
          <w:rFonts w:ascii="Times New Roman" w:hAnsi="Times New Roman" w:cs="Times New Roman"/>
          <w:color w:val="000000" w:themeColor="text1"/>
        </w:rPr>
        <w:t xml:space="preserve"> (Oxford University Press, 2012) 13 (</w:t>
      </w:r>
      <w:r w:rsidRPr="002309CA">
        <w:rPr>
          <w:rFonts w:ascii="Times New Roman" w:hAnsi="Times New Roman" w:cs="Times New Roman"/>
          <w:i/>
          <w:iCs/>
          <w:color w:val="000000" w:themeColor="text1"/>
        </w:rPr>
        <w:t>Constituting</w:t>
      </w:r>
      <w:r w:rsidRPr="002309CA">
        <w:rPr>
          <w:rFonts w:ascii="Times New Roman" w:hAnsi="Times New Roman" w:cs="Times New Roman"/>
          <w:color w:val="000000" w:themeColor="text1"/>
        </w:rPr>
        <w:t>)</w:t>
      </w:r>
    </w:p>
  </w:footnote>
  <w:footnote w:id="109">
    <w:p w14:paraId="5BF9C667" w14:textId="77777777" w:rsidR="00FE549D" w:rsidRPr="002309CA" w:rsidRDefault="00FE549D" w:rsidP="00B61088">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See </w:t>
      </w:r>
      <w:proofErr w:type="gramStart"/>
      <w:r w:rsidRPr="002309CA">
        <w:rPr>
          <w:color w:val="000000" w:themeColor="text1"/>
          <w:sz w:val="20"/>
          <w:szCs w:val="20"/>
        </w:rPr>
        <w:t>e.g.</w:t>
      </w:r>
      <w:proofErr w:type="gramEnd"/>
      <w:r w:rsidRPr="002309CA">
        <w:rPr>
          <w:color w:val="000000" w:themeColor="text1"/>
          <w:sz w:val="20"/>
          <w:szCs w:val="20"/>
        </w:rPr>
        <w:t xml:space="preserve"> General Comment No. 15: The Right to Water, UN </w:t>
      </w:r>
      <w:proofErr w:type="spellStart"/>
      <w:r w:rsidRPr="002309CA">
        <w:rPr>
          <w:color w:val="000000" w:themeColor="text1"/>
          <w:sz w:val="20"/>
          <w:szCs w:val="20"/>
        </w:rPr>
        <w:t>Doc.E</w:t>
      </w:r>
      <w:proofErr w:type="spellEnd"/>
      <w:r w:rsidRPr="002309CA">
        <w:rPr>
          <w:color w:val="000000" w:themeColor="text1"/>
          <w:sz w:val="20"/>
          <w:szCs w:val="20"/>
        </w:rPr>
        <w:t>/C.12/2002/11, 20 January 2003, paras. 47-49.</w:t>
      </w:r>
    </w:p>
  </w:footnote>
  <w:footnote w:id="110">
    <w:p w14:paraId="183D4220" w14:textId="77777777" w:rsidR="00FE549D" w:rsidRPr="002309CA" w:rsidRDefault="00FE549D" w:rsidP="00B61088">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Conclusions and Recommendations of CESCR: Serbia and Montenegro, UN Doc. E/C.12/1/Add. 108 (2005), para 35.</w:t>
      </w:r>
    </w:p>
  </w:footnote>
  <w:footnote w:id="111">
    <w:p w14:paraId="3675D1BE" w14:textId="2BAE1DD2" w:rsidR="00FE549D" w:rsidRPr="002309CA" w:rsidRDefault="00FE549D" w:rsidP="008F2699">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Jeff King, ‘The Future of Social Rights: Social Rights as Capstone’ in Young (ed) (n 1</w:t>
      </w:r>
      <w:r w:rsidR="00872AF7" w:rsidRPr="002309CA">
        <w:rPr>
          <w:rFonts w:ascii="Times New Roman" w:hAnsi="Times New Roman" w:cs="Times New Roman"/>
          <w:color w:val="000000" w:themeColor="text1"/>
        </w:rPr>
        <w:t>6</w:t>
      </w:r>
      <w:r w:rsidRPr="002309CA">
        <w:rPr>
          <w:rFonts w:ascii="Times New Roman" w:hAnsi="Times New Roman" w:cs="Times New Roman"/>
          <w:color w:val="000000" w:themeColor="text1"/>
        </w:rPr>
        <w:t>) 289, 319.</w:t>
      </w:r>
    </w:p>
  </w:footnote>
  <w:footnote w:id="112">
    <w:p w14:paraId="7C07FA1E" w14:textId="77777777" w:rsidR="00FE549D" w:rsidRPr="002309CA" w:rsidRDefault="00FE549D" w:rsidP="00D34118">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Audrey Chapman, ‘A Violations Approach for Monitoring the International Covenant on Economic, Social and Cultural Rights’</w:t>
      </w:r>
      <w:r w:rsidRPr="002309CA">
        <w:rPr>
          <w:i/>
          <w:iCs/>
          <w:color w:val="000000" w:themeColor="text1"/>
          <w:sz w:val="20"/>
          <w:szCs w:val="20"/>
        </w:rPr>
        <w:t xml:space="preserve"> </w:t>
      </w:r>
      <w:r w:rsidRPr="002309CA">
        <w:rPr>
          <w:color w:val="000000" w:themeColor="text1"/>
          <w:sz w:val="20"/>
          <w:szCs w:val="20"/>
        </w:rPr>
        <w:t xml:space="preserve">(1996) 18 </w:t>
      </w:r>
      <w:r w:rsidRPr="002309CA">
        <w:rPr>
          <w:i/>
          <w:iCs/>
          <w:color w:val="000000" w:themeColor="text1"/>
          <w:sz w:val="20"/>
          <w:szCs w:val="20"/>
        </w:rPr>
        <w:t>Human Rights Quarterly</w:t>
      </w:r>
      <w:r w:rsidRPr="002309CA">
        <w:rPr>
          <w:color w:val="000000" w:themeColor="text1"/>
          <w:sz w:val="20"/>
          <w:szCs w:val="20"/>
        </w:rPr>
        <w:t xml:space="preserve"> 23, 37 and 38.</w:t>
      </w:r>
    </w:p>
  </w:footnote>
  <w:footnote w:id="113">
    <w:p w14:paraId="591357B1" w14:textId="77777777" w:rsidR="00FE549D" w:rsidRPr="002309CA" w:rsidRDefault="00FE549D" w:rsidP="00D34118">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Eitan </w:t>
      </w:r>
      <w:proofErr w:type="spellStart"/>
      <w:r w:rsidRPr="002309CA">
        <w:rPr>
          <w:color w:val="000000" w:themeColor="text1"/>
          <w:sz w:val="20"/>
          <w:szCs w:val="20"/>
        </w:rPr>
        <w:t>Felner</w:t>
      </w:r>
      <w:proofErr w:type="spellEnd"/>
      <w:r w:rsidRPr="002309CA">
        <w:rPr>
          <w:color w:val="000000" w:themeColor="text1"/>
          <w:sz w:val="20"/>
          <w:szCs w:val="20"/>
        </w:rPr>
        <w:t xml:space="preserve">, ‘Closing the “Escape Hatch”: A Toolkit to Monitor the Progressive Realization of Economic, Social, and Cultural Rights’ (2009) 1 </w:t>
      </w:r>
      <w:r w:rsidRPr="002309CA">
        <w:rPr>
          <w:i/>
          <w:iCs/>
          <w:color w:val="000000" w:themeColor="text1"/>
          <w:sz w:val="20"/>
          <w:szCs w:val="20"/>
        </w:rPr>
        <w:t>Journal of Human Rights Practice</w:t>
      </w:r>
      <w:r w:rsidRPr="002309CA">
        <w:rPr>
          <w:color w:val="000000" w:themeColor="text1"/>
          <w:sz w:val="20"/>
          <w:szCs w:val="20"/>
        </w:rPr>
        <w:t xml:space="preserve"> 402, 405.</w:t>
      </w:r>
    </w:p>
  </w:footnote>
  <w:footnote w:id="114">
    <w:p w14:paraId="561818CF" w14:textId="17AE5C76" w:rsidR="00FE549D" w:rsidRPr="002309CA" w:rsidRDefault="00FE549D" w:rsidP="00D34118">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Porter (n </w:t>
      </w:r>
      <w:r w:rsidR="00872AF7" w:rsidRPr="002309CA">
        <w:rPr>
          <w:rFonts w:ascii="Times New Roman" w:hAnsi="Times New Roman" w:cs="Times New Roman"/>
          <w:color w:val="000000" w:themeColor="text1"/>
        </w:rPr>
        <w:t>20</w:t>
      </w:r>
      <w:r w:rsidRPr="002309CA">
        <w:rPr>
          <w:rFonts w:ascii="Times New Roman" w:hAnsi="Times New Roman" w:cs="Times New Roman"/>
          <w:color w:val="000000" w:themeColor="text1"/>
        </w:rPr>
        <w:t>) 48.</w:t>
      </w:r>
    </w:p>
  </w:footnote>
  <w:footnote w:id="115">
    <w:p w14:paraId="757CB289" w14:textId="01DABB06" w:rsidR="00FE549D" w:rsidRPr="002309CA" w:rsidRDefault="00FE549D" w:rsidP="00D34118">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Young, </w:t>
      </w:r>
      <w:r w:rsidRPr="002309CA">
        <w:rPr>
          <w:rFonts w:ascii="Times New Roman" w:hAnsi="Times New Roman" w:cs="Times New Roman"/>
          <w:i/>
          <w:iCs/>
          <w:color w:val="000000" w:themeColor="text1"/>
        </w:rPr>
        <w:t>Constituting</w:t>
      </w:r>
      <w:r w:rsidRPr="002309CA">
        <w:rPr>
          <w:rFonts w:ascii="Times New Roman" w:hAnsi="Times New Roman" w:cs="Times New Roman"/>
          <w:color w:val="000000" w:themeColor="text1"/>
        </w:rPr>
        <w:t xml:space="preserve"> (n </w:t>
      </w:r>
      <w:r w:rsidR="00CD5CF1" w:rsidRPr="002309CA">
        <w:rPr>
          <w:rFonts w:ascii="Times New Roman" w:hAnsi="Times New Roman" w:cs="Times New Roman"/>
          <w:color w:val="000000" w:themeColor="text1"/>
        </w:rPr>
        <w:t>108</w:t>
      </w:r>
      <w:r w:rsidRPr="002309CA">
        <w:rPr>
          <w:rFonts w:ascii="Times New Roman" w:hAnsi="Times New Roman" w:cs="Times New Roman"/>
          <w:color w:val="000000" w:themeColor="text1"/>
        </w:rPr>
        <w:t>) 72</w:t>
      </w:r>
      <w:r w:rsidRPr="002309CA">
        <w:rPr>
          <w:rFonts w:ascii="Times New Roman" w:hAnsi="Times New Roman" w:cs="Times New Roman"/>
          <w:i/>
          <w:iCs/>
          <w:color w:val="000000" w:themeColor="text1"/>
        </w:rPr>
        <w:t>.</w:t>
      </w:r>
    </w:p>
  </w:footnote>
  <w:footnote w:id="116">
    <w:p w14:paraId="55F795D9" w14:textId="7A50E503" w:rsidR="00FE549D" w:rsidRPr="002309CA" w:rsidRDefault="00FE549D" w:rsidP="005D6680">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00765FF9" w:rsidRPr="002309CA">
        <w:rPr>
          <w:rFonts w:ascii="Times New Roman" w:hAnsi="Times New Roman" w:cs="Times New Roman"/>
          <w:color w:val="000000" w:themeColor="text1"/>
        </w:rPr>
        <w:t>Fredman</w:t>
      </w:r>
      <w:proofErr w:type="spellEnd"/>
      <w:r w:rsidR="00765FF9" w:rsidRPr="002309CA">
        <w:rPr>
          <w:rFonts w:ascii="Times New Roman" w:hAnsi="Times New Roman" w:cs="Times New Roman"/>
          <w:color w:val="000000" w:themeColor="text1"/>
        </w:rPr>
        <w:t xml:space="preserve"> (n 2) </w:t>
      </w:r>
      <w:r w:rsidRPr="002309CA">
        <w:rPr>
          <w:rFonts w:ascii="Times New Roman" w:hAnsi="Times New Roman" w:cs="Times New Roman"/>
          <w:color w:val="000000" w:themeColor="text1"/>
        </w:rPr>
        <w:t>90.</w:t>
      </w:r>
    </w:p>
  </w:footnote>
  <w:footnote w:id="117">
    <w:p w14:paraId="6BD5C3F9" w14:textId="74922DEF" w:rsidR="00FE549D" w:rsidRPr="002309CA" w:rsidRDefault="00FE549D" w:rsidP="00D34118">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Chapman (n </w:t>
      </w:r>
      <w:r w:rsidR="00F36543" w:rsidRPr="002309CA">
        <w:rPr>
          <w:rFonts w:ascii="Times New Roman" w:hAnsi="Times New Roman" w:cs="Times New Roman"/>
          <w:color w:val="000000" w:themeColor="text1"/>
        </w:rPr>
        <w:t>55</w:t>
      </w:r>
      <w:r w:rsidRPr="002309CA">
        <w:rPr>
          <w:rFonts w:ascii="Times New Roman" w:hAnsi="Times New Roman" w:cs="Times New Roman"/>
          <w:color w:val="000000" w:themeColor="text1"/>
        </w:rPr>
        <w:t>) 205.</w:t>
      </w:r>
    </w:p>
  </w:footnote>
  <w:footnote w:id="118">
    <w:p w14:paraId="4D6AEA3F" w14:textId="77777777" w:rsidR="00FE549D" w:rsidRPr="002309CA" w:rsidRDefault="00FE549D" w:rsidP="0063274A">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Philip Alston, ‘Ships Passing in the Night: The Current State of the Human Rights and Development Debate Seen through the Lens of the Millennium Development Goals’ (2005) 27 </w:t>
      </w:r>
      <w:r w:rsidRPr="002309CA">
        <w:rPr>
          <w:i/>
          <w:iCs/>
          <w:color w:val="000000" w:themeColor="text1"/>
          <w:sz w:val="20"/>
          <w:szCs w:val="20"/>
        </w:rPr>
        <w:t>Human Rights Quarterly</w:t>
      </w:r>
      <w:r w:rsidRPr="002309CA">
        <w:rPr>
          <w:color w:val="000000" w:themeColor="text1"/>
          <w:sz w:val="20"/>
          <w:szCs w:val="20"/>
        </w:rPr>
        <w:t xml:space="preserve"> 755, 789.</w:t>
      </w:r>
    </w:p>
  </w:footnote>
  <w:footnote w:id="119">
    <w:p w14:paraId="02CC141C" w14:textId="298D167A" w:rsidR="00FE549D" w:rsidRPr="002309CA" w:rsidRDefault="00FE549D" w:rsidP="00D34118">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Felner</w:t>
      </w:r>
      <w:proofErr w:type="spellEnd"/>
      <w:r w:rsidRPr="002309CA">
        <w:rPr>
          <w:rFonts w:ascii="Times New Roman" w:hAnsi="Times New Roman" w:cs="Times New Roman"/>
          <w:color w:val="000000" w:themeColor="text1"/>
        </w:rPr>
        <w:t xml:space="preserve"> (n 2</w:t>
      </w:r>
      <w:r w:rsidR="006C46AF" w:rsidRPr="002309CA">
        <w:rPr>
          <w:rFonts w:ascii="Times New Roman" w:hAnsi="Times New Roman" w:cs="Times New Roman"/>
          <w:color w:val="000000" w:themeColor="text1"/>
        </w:rPr>
        <w:t>4</w:t>
      </w:r>
      <w:r w:rsidRPr="002309CA">
        <w:rPr>
          <w:rFonts w:ascii="Times New Roman" w:hAnsi="Times New Roman" w:cs="Times New Roman"/>
          <w:color w:val="000000" w:themeColor="text1"/>
        </w:rPr>
        <w:t>) 124.</w:t>
      </w:r>
    </w:p>
  </w:footnote>
  <w:footnote w:id="120">
    <w:p w14:paraId="3A9A285C" w14:textId="77777777" w:rsidR="00FE549D" w:rsidRPr="002309CA" w:rsidRDefault="00FE549D" w:rsidP="0063274A">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Robert Archer, ‘Linking Rights and Development: Some Critical Challenges’ in Samuel Hickey and Diana </w:t>
      </w:r>
      <w:proofErr w:type="spellStart"/>
      <w:r w:rsidRPr="002309CA">
        <w:rPr>
          <w:color w:val="000000" w:themeColor="text1"/>
          <w:sz w:val="20"/>
          <w:szCs w:val="20"/>
        </w:rPr>
        <w:t>Mitlin</w:t>
      </w:r>
      <w:proofErr w:type="spellEnd"/>
      <w:r w:rsidRPr="002309CA">
        <w:rPr>
          <w:color w:val="000000" w:themeColor="text1"/>
          <w:sz w:val="20"/>
          <w:szCs w:val="20"/>
        </w:rPr>
        <w:t xml:space="preserve"> (eds), </w:t>
      </w:r>
      <w:r w:rsidRPr="002309CA">
        <w:rPr>
          <w:i/>
          <w:iCs/>
          <w:color w:val="000000" w:themeColor="text1"/>
          <w:sz w:val="20"/>
          <w:szCs w:val="20"/>
        </w:rPr>
        <w:t>Rights-based Approaches to Development: Exploring the Potential and Pitfalls</w:t>
      </w:r>
      <w:r w:rsidRPr="002309CA">
        <w:rPr>
          <w:color w:val="000000" w:themeColor="text1"/>
          <w:sz w:val="20"/>
          <w:szCs w:val="20"/>
        </w:rPr>
        <w:t xml:space="preserve"> (</w:t>
      </w:r>
      <w:proofErr w:type="spellStart"/>
      <w:r w:rsidRPr="002309CA">
        <w:rPr>
          <w:color w:val="000000" w:themeColor="text1"/>
          <w:sz w:val="20"/>
          <w:szCs w:val="20"/>
        </w:rPr>
        <w:t>Kumarian</w:t>
      </w:r>
      <w:proofErr w:type="spellEnd"/>
      <w:r w:rsidRPr="002309CA">
        <w:rPr>
          <w:color w:val="000000" w:themeColor="text1"/>
          <w:sz w:val="20"/>
          <w:szCs w:val="20"/>
        </w:rPr>
        <w:t xml:space="preserve"> Press, 2009) 21, 24-25.</w:t>
      </w:r>
    </w:p>
  </w:footnote>
  <w:footnote w:id="121">
    <w:p w14:paraId="6CB1587F" w14:textId="716AB86D" w:rsidR="00FE549D" w:rsidRPr="002309CA" w:rsidRDefault="00FE549D" w:rsidP="00BF2A29">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Dowell-Jones (n </w:t>
      </w:r>
      <w:r w:rsidR="006C46AF" w:rsidRPr="002309CA">
        <w:rPr>
          <w:rFonts w:ascii="Times New Roman" w:hAnsi="Times New Roman" w:cs="Times New Roman"/>
          <w:color w:val="000000" w:themeColor="text1"/>
        </w:rPr>
        <w:t>31</w:t>
      </w:r>
      <w:r w:rsidRPr="002309CA">
        <w:rPr>
          <w:rFonts w:ascii="Times New Roman" w:hAnsi="Times New Roman" w:cs="Times New Roman"/>
          <w:color w:val="000000" w:themeColor="text1"/>
        </w:rPr>
        <w:t>) 18.</w:t>
      </w:r>
    </w:p>
  </w:footnote>
  <w:footnote w:id="122">
    <w:p w14:paraId="24823845" w14:textId="408F2854"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gramStart"/>
      <w:r w:rsidRPr="002309CA">
        <w:rPr>
          <w:rFonts w:ascii="Times New Roman" w:hAnsi="Times New Roman" w:cs="Times New Roman"/>
          <w:color w:val="000000" w:themeColor="text1"/>
        </w:rPr>
        <w:t>E.g.</w:t>
      </w:r>
      <w:proofErr w:type="gramEnd"/>
      <w:r w:rsidRPr="002309CA">
        <w:rPr>
          <w:rFonts w:ascii="Times New Roman" w:hAnsi="Times New Roman" w:cs="Times New Roman"/>
          <w:color w:val="000000" w:themeColor="text1"/>
        </w:rPr>
        <w:t xml:space="preserve"> Leckie (n </w:t>
      </w:r>
      <w:r w:rsidR="00AD1894" w:rsidRPr="002309CA">
        <w:rPr>
          <w:rFonts w:ascii="Times New Roman" w:hAnsi="Times New Roman" w:cs="Times New Roman"/>
          <w:color w:val="000000" w:themeColor="text1"/>
        </w:rPr>
        <w:t>4</w:t>
      </w:r>
      <w:r w:rsidRPr="002309CA">
        <w:rPr>
          <w:rFonts w:ascii="Times New Roman" w:hAnsi="Times New Roman" w:cs="Times New Roman"/>
          <w:color w:val="000000" w:themeColor="text1"/>
        </w:rPr>
        <w:t>4) 96.</w:t>
      </w:r>
    </w:p>
  </w:footnote>
  <w:footnote w:id="123">
    <w:p w14:paraId="3C35C965" w14:textId="2733A7E7" w:rsidR="00FE549D" w:rsidRPr="002309CA" w:rsidRDefault="00FE549D" w:rsidP="00F4577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Tasioulas</w:t>
      </w:r>
      <w:proofErr w:type="spellEnd"/>
      <w:r w:rsidRPr="002309CA">
        <w:rPr>
          <w:rFonts w:ascii="Times New Roman" w:hAnsi="Times New Roman" w:cs="Times New Roman"/>
          <w:color w:val="000000" w:themeColor="text1"/>
        </w:rPr>
        <w:t xml:space="preserve"> (n </w:t>
      </w:r>
      <w:r w:rsidR="006C46AF" w:rsidRPr="002309CA">
        <w:rPr>
          <w:rFonts w:ascii="Times New Roman" w:hAnsi="Times New Roman" w:cs="Times New Roman"/>
          <w:color w:val="000000" w:themeColor="text1"/>
        </w:rPr>
        <w:t>22</w:t>
      </w:r>
      <w:r w:rsidRPr="002309CA">
        <w:rPr>
          <w:rFonts w:ascii="Times New Roman" w:hAnsi="Times New Roman" w:cs="Times New Roman"/>
          <w:color w:val="000000" w:themeColor="text1"/>
        </w:rPr>
        <w:t>) 1192.</w:t>
      </w:r>
    </w:p>
  </w:footnote>
  <w:footnote w:id="124">
    <w:p w14:paraId="6D160ED8" w14:textId="470B1B39"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Forsythe (n 2</w:t>
      </w:r>
      <w:r w:rsidR="006C46AF" w:rsidRPr="002309CA">
        <w:rPr>
          <w:rFonts w:ascii="Times New Roman" w:hAnsi="Times New Roman" w:cs="Times New Roman"/>
          <w:color w:val="000000" w:themeColor="text1"/>
        </w:rPr>
        <w:t>5</w:t>
      </w:r>
      <w:r w:rsidRPr="002309CA">
        <w:rPr>
          <w:rFonts w:ascii="Times New Roman" w:hAnsi="Times New Roman" w:cs="Times New Roman"/>
          <w:color w:val="000000" w:themeColor="text1"/>
        </w:rPr>
        <w:t>) 61.</w:t>
      </w:r>
    </w:p>
  </w:footnote>
  <w:footnote w:id="125">
    <w:p w14:paraId="4533EF29" w14:textId="2BCAA246" w:rsidR="00FE549D" w:rsidRPr="002309CA" w:rsidRDefault="00FE549D" w:rsidP="00715454">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Allison Corkery and Sally-Anne Way, ‘Integrating Quantitative and Qualitative Tools to Monitor the Obligation to </w:t>
      </w:r>
      <w:r w:rsidR="00551844" w:rsidRPr="002309CA">
        <w:rPr>
          <w:color w:val="000000" w:themeColor="text1"/>
          <w:sz w:val="20"/>
          <w:szCs w:val="20"/>
        </w:rPr>
        <w:t>Fulfil</w:t>
      </w:r>
      <w:r w:rsidRPr="002309CA">
        <w:rPr>
          <w:color w:val="000000" w:themeColor="text1"/>
          <w:sz w:val="20"/>
          <w:szCs w:val="20"/>
        </w:rPr>
        <w:t xml:space="preserve"> Economic, Social and Cultural Rights: The OPERA Framework’ (2012) 30 </w:t>
      </w:r>
      <w:r w:rsidRPr="002309CA">
        <w:rPr>
          <w:i/>
          <w:iCs/>
          <w:color w:val="000000" w:themeColor="text1"/>
          <w:sz w:val="20"/>
          <w:szCs w:val="20"/>
        </w:rPr>
        <w:t xml:space="preserve">Nordic Journal of Human Rights </w:t>
      </w:r>
      <w:r w:rsidRPr="002309CA">
        <w:rPr>
          <w:color w:val="000000" w:themeColor="text1"/>
          <w:sz w:val="20"/>
          <w:szCs w:val="20"/>
        </w:rPr>
        <w:t>324, 330.</w:t>
      </w:r>
    </w:p>
  </w:footnote>
  <w:footnote w:id="126">
    <w:p w14:paraId="01105E46" w14:textId="4EE42E39" w:rsidR="00FE549D" w:rsidRPr="002309CA" w:rsidRDefault="00FE549D" w:rsidP="00E86A5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Aryeh </w:t>
      </w:r>
      <w:proofErr w:type="spellStart"/>
      <w:r w:rsidRPr="002309CA">
        <w:rPr>
          <w:color w:val="000000" w:themeColor="text1"/>
          <w:sz w:val="20"/>
          <w:szCs w:val="20"/>
        </w:rPr>
        <w:t>Neier</w:t>
      </w:r>
      <w:proofErr w:type="spellEnd"/>
      <w:r w:rsidRPr="002309CA">
        <w:rPr>
          <w:color w:val="000000" w:themeColor="text1"/>
          <w:sz w:val="20"/>
          <w:szCs w:val="20"/>
        </w:rPr>
        <w:t xml:space="preserve">, ‘Social and Economic Rights: A Critique’ (2006) 13 </w:t>
      </w:r>
      <w:r w:rsidRPr="002309CA">
        <w:rPr>
          <w:i/>
          <w:iCs/>
          <w:color w:val="000000" w:themeColor="text1"/>
          <w:sz w:val="20"/>
          <w:szCs w:val="20"/>
        </w:rPr>
        <w:t>Human Rights Brief</w:t>
      </w:r>
      <w:r w:rsidRPr="002309CA">
        <w:rPr>
          <w:color w:val="000000" w:themeColor="text1"/>
          <w:sz w:val="20"/>
          <w:szCs w:val="20"/>
        </w:rPr>
        <w:t xml:space="preserve"> 1, 2.</w:t>
      </w:r>
    </w:p>
  </w:footnote>
  <w:footnote w:id="127">
    <w:p w14:paraId="1868012B" w14:textId="78B14D59" w:rsidR="00FE549D" w:rsidRPr="002309CA" w:rsidRDefault="00FE549D" w:rsidP="00D50DE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King (n 11</w:t>
      </w:r>
      <w:r w:rsidR="00CD5CF1" w:rsidRPr="002309CA">
        <w:rPr>
          <w:rFonts w:ascii="Times New Roman" w:hAnsi="Times New Roman" w:cs="Times New Roman"/>
          <w:color w:val="000000" w:themeColor="text1"/>
        </w:rPr>
        <w:t>1</w:t>
      </w:r>
      <w:r w:rsidRPr="002309CA">
        <w:rPr>
          <w:rFonts w:ascii="Times New Roman" w:hAnsi="Times New Roman" w:cs="Times New Roman"/>
          <w:color w:val="000000" w:themeColor="text1"/>
        </w:rPr>
        <w:t>) 319.</w:t>
      </w:r>
    </w:p>
  </w:footnote>
  <w:footnote w:id="128">
    <w:p w14:paraId="7C687902" w14:textId="07B03AAA" w:rsidR="005242B4" w:rsidRPr="002309CA" w:rsidRDefault="005242B4" w:rsidP="005242B4">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r w:rsidR="00CD5CF1" w:rsidRPr="002309CA">
        <w:rPr>
          <w:rFonts w:ascii="Times New Roman" w:hAnsi="Times New Roman" w:cs="Times New Roman"/>
          <w:color w:val="000000" w:themeColor="text1"/>
        </w:rPr>
        <w:t>Ibid</w:t>
      </w:r>
      <w:r w:rsidRPr="002309CA">
        <w:rPr>
          <w:rFonts w:ascii="Times New Roman" w:hAnsi="Times New Roman" w:cs="Times New Roman"/>
          <w:color w:val="000000" w:themeColor="text1"/>
        </w:rPr>
        <w:t>.</w:t>
      </w:r>
    </w:p>
  </w:footnote>
  <w:footnote w:id="129">
    <w:p w14:paraId="7CF8F424" w14:textId="1FCAC141"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Katherine G Young, ‘Introduction’ in Young (ed) (n 1</w:t>
      </w:r>
      <w:r w:rsidR="00872AF7" w:rsidRPr="002309CA">
        <w:rPr>
          <w:rFonts w:ascii="Times New Roman" w:hAnsi="Times New Roman" w:cs="Times New Roman"/>
          <w:color w:val="000000" w:themeColor="text1"/>
        </w:rPr>
        <w:t>6</w:t>
      </w:r>
      <w:r w:rsidRPr="002309CA">
        <w:rPr>
          <w:rFonts w:ascii="Times New Roman" w:hAnsi="Times New Roman" w:cs="Times New Roman"/>
          <w:color w:val="000000" w:themeColor="text1"/>
        </w:rPr>
        <w:t>) 12</w:t>
      </w:r>
    </w:p>
  </w:footnote>
  <w:footnote w:id="130">
    <w:p w14:paraId="688DFBCE" w14:textId="6EAE280B"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r w:rsidR="00CD5CF1" w:rsidRPr="002309CA">
        <w:rPr>
          <w:rFonts w:ascii="Times New Roman" w:hAnsi="Times New Roman" w:cs="Times New Roman"/>
          <w:color w:val="000000" w:themeColor="text1"/>
        </w:rPr>
        <w:t xml:space="preserve">Young, </w:t>
      </w:r>
      <w:r w:rsidR="00CD5CF1" w:rsidRPr="002309CA">
        <w:rPr>
          <w:rFonts w:ascii="Times New Roman" w:hAnsi="Times New Roman" w:cs="Times New Roman"/>
          <w:i/>
          <w:iCs/>
          <w:color w:val="000000" w:themeColor="text1"/>
        </w:rPr>
        <w:t>Constituting</w:t>
      </w:r>
      <w:r w:rsidR="00CD5CF1" w:rsidRPr="002309CA">
        <w:rPr>
          <w:rFonts w:ascii="Times New Roman" w:hAnsi="Times New Roman" w:cs="Times New Roman"/>
          <w:color w:val="000000" w:themeColor="text1"/>
        </w:rPr>
        <w:t xml:space="preserve"> (n 108)</w:t>
      </w:r>
    </w:p>
  </w:footnote>
  <w:footnote w:id="131">
    <w:p w14:paraId="746A0571" w14:textId="1C11E622" w:rsidR="00FE549D" w:rsidRPr="002309CA" w:rsidRDefault="00FE549D" w:rsidP="00850EE0">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Radhika </w:t>
      </w:r>
      <w:r w:rsidRPr="002309CA">
        <w:rPr>
          <w:rStyle w:val="highlight"/>
          <w:color w:val="000000" w:themeColor="text1"/>
          <w:sz w:val="20"/>
          <w:szCs w:val="20"/>
        </w:rPr>
        <w:t>Balakr</w:t>
      </w:r>
      <w:r w:rsidRPr="002309CA">
        <w:rPr>
          <w:color w:val="000000" w:themeColor="text1"/>
          <w:sz w:val="20"/>
          <w:szCs w:val="20"/>
        </w:rPr>
        <w:t xml:space="preserve">ishnan and Diane Elson, ‘Introduction: Economic Policies and Human Rights Obligations’ in Radhika </w:t>
      </w:r>
      <w:r w:rsidRPr="002309CA">
        <w:rPr>
          <w:rStyle w:val="highlight"/>
          <w:color w:val="000000" w:themeColor="text1"/>
          <w:sz w:val="20"/>
          <w:szCs w:val="20"/>
        </w:rPr>
        <w:t>Balakr</w:t>
      </w:r>
      <w:r w:rsidRPr="002309CA">
        <w:rPr>
          <w:color w:val="000000" w:themeColor="text1"/>
          <w:sz w:val="20"/>
          <w:szCs w:val="20"/>
        </w:rPr>
        <w:t xml:space="preserve">ishnan and Diane Elson (eds), </w:t>
      </w:r>
      <w:r w:rsidRPr="002309CA">
        <w:rPr>
          <w:i/>
          <w:iCs/>
          <w:color w:val="000000" w:themeColor="text1"/>
          <w:sz w:val="20"/>
          <w:szCs w:val="20"/>
        </w:rPr>
        <w:t>Economic Policy and Human Rights</w:t>
      </w:r>
      <w:r w:rsidRPr="002309CA">
        <w:rPr>
          <w:color w:val="000000" w:themeColor="text1"/>
          <w:sz w:val="20"/>
          <w:szCs w:val="20"/>
        </w:rPr>
        <w:t xml:space="preserve"> (Zed Books, 2011) 1, 14 and 12-13.</w:t>
      </w:r>
    </w:p>
  </w:footnote>
  <w:footnote w:id="132">
    <w:p w14:paraId="04D7153B" w14:textId="60E23ED1"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Aoife Nolan, Rory O’Connell and Colin Harvey, ‘Introduction’ in Nolan,</w:t>
      </w:r>
      <w:r w:rsidR="00551844" w:rsidRPr="002309CA">
        <w:rPr>
          <w:rFonts w:ascii="Times New Roman" w:hAnsi="Times New Roman" w:cs="Times New Roman"/>
          <w:color w:val="000000" w:themeColor="text1"/>
        </w:rPr>
        <w:t xml:space="preserve"> </w:t>
      </w:r>
      <w:r w:rsidRPr="002309CA">
        <w:rPr>
          <w:rFonts w:ascii="Times New Roman" w:hAnsi="Times New Roman" w:cs="Times New Roman"/>
          <w:color w:val="000000" w:themeColor="text1"/>
        </w:rPr>
        <w:t xml:space="preserve">O’Connell and Harvey (eds) (n </w:t>
      </w:r>
      <w:r w:rsidR="00F36543" w:rsidRPr="002309CA">
        <w:rPr>
          <w:rFonts w:ascii="Times New Roman" w:hAnsi="Times New Roman" w:cs="Times New Roman"/>
          <w:color w:val="000000" w:themeColor="text1"/>
        </w:rPr>
        <w:t>61</w:t>
      </w:r>
      <w:r w:rsidRPr="002309CA">
        <w:rPr>
          <w:rFonts w:ascii="Times New Roman" w:hAnsi="Times New Roman" w:cs="Times New Roman"/>
          <w:color w:val="000000" w:themeColor="text1"/>
        </w:rPr>
        <w:t>) 1, 4.</w:t>
      </w:r>
    </w:p>
  </w:footnote>
  <w:footnote w:id="133">
    <w:p w14:paraId="581207C0" w14:textId="347FCC87"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Azadeh</w:t>
      </w:r>
      <w:proofErr w:type="spellEnd"/>
      <w:r w:rsidRPr="002309CA">
        <w:rPr>
          <w:rFonts w:ascii="Times New Roman" w:hAnsi="Times New Roman" w:cs="Times New Roman"/>
          <w:color w:val="000000" w:themeColor="text1"/>
        </w:rPr>
        <w:t xml:space="preserve"> Chalabi, </w:t>
      </w:r>
      <w:r w:rsidRPr="002309CA">
        <w:rPr>
          <w:rFonts w:ascii="Times New Roman" w:hAnsi="Times New Roman" w:cs="Times New Roman"/>
          <w:i/>
          <w:iCs/>
          <w:color w:val="000000" w:themeColor="text1"/>
        </w:rPr>
        <w:t>National Human Rights Action Planning</w:t>
      </w:r>
      <w:r w:rsidRPr="002309CA">
        <w:rPr>
          <w:rFonts w:ascii="Times New Roman" w:hAnsi="Times New Roman" w:cs="Times New Roman"/>
          <w:color w:val="000000" w:themeColor="text1"/>
        </w:rPr>
        <w:t xml:space="preserve"> (Oxford University Press, 2018) 65.</w:t>
      </w:r>
    </w:p>
  </w:footnote>
  <w:footnote w:id="134">
    <w:p w14:paraId="2FC50D29" w14:textId="119E806B"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General Comment No. 1 (n 2</w:t>
      </w:r>
      <w:r w:rsidR="00F36543" w:rsidRPr="002309CA">
        <w:rPr>
          <w:rFonts w:ascii="Times New Roman" w:hAnsi="Times New Roman" w:cs="Times New Roman"/>
          <w:color w:val="000000" w:themeColor="text1"/>
        </w:rPr>
        <w:t>9</w:t>
      </w:r>
      <w:r w:rsidRPr="002309CA">
        <w:rPr>
          <w:rFonts w:ascii="Times New Roman" w:hAnsi="Times New Roman" w:cs="Times New Roman"/>
          <w:color w:val="000000" w:themeColor="text1"/>
        </w:rPr>
        <w:t>) para. 4.</w:t>
      </w:r>
    </w:p>
  </w:footnote>
  <w:footnote w:id="135">
    <w:p w14:paraId="62E77BD1" w14:textId="77EC386B" w:rsidR="00FE549D" w:rsidRPr="002309CA" w:rsidRDefault="00FE549D" w:rsidP="005A1B80">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Office of the High Commissioner for Human Rights, </w:t>
      </w:r>
      <w:r w:rsidRPr="002309CA">
        <w:rPr>
          <w:i/>
          <w:iCs/>
          <w:color w:val="000000" w:themeColor="text1"/>
          <w:sz w:val="20"/>
          <w:szCs w:val="20"/>
        </w:rPr>
        <w:t>Handbook on National Human Rights Plans of Action, Professional Training Series No. 10</w:t>
      </w:r>
      <w:r w:rsidRPr="002309CA">
        <w:rPr>
          <w:color w:val="000000" w:themeColor="text1"/>
          <w:sz w:val="20"/>
          <w:szCs w:val="20"/>
        </w:rPr>
        <w:t>, 73.</w:t>
      </w:r>
    </w:p>
  </w:footnote>
  <w:footnote w:id="136">
    <w:p w14:paraId="097C4F12" w14:textId="1E8043CC" w:rsidR="00FE549D" w:rsidRPr="002309CA" w:rsidRDefault="00FE549D" w:rsidP="007B7F66">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E.g</w:t>
      </w:r>
      <w:proofErr w:type="spellEnd"/>
      <w:r w:rsidRPr="002309CA">
        <w:rPr>
          <w:color w:val="000000" w:themeColor="text1"/>
          <w:sz w:val="20"/>
          <w:szCs w:val="20"/>
        </w:rPr>
        <w:t xml:space="preserve"> General Comment No. 14 (n </w:t>
      </w:r>
      <w:r w:rsidR="00CD5CF1" w:rsidRPr="002309CA">
        <w:rPr>
          <w:color w:val="000000" w:themeColor="text1"/>
          <w:sz w:val="20"/>
          <w:szCs w:val="20"/>
        </w:rPr>
        <w:t>7</w:t>
      </w:r>
      <w:r w:rsidRPr="002309CA">
        <w:rPr>
          <w:color w:val="000000" w:themeColor="text1"/>
          <w:sz w:val="20"/>
          <w:szCs w:val="20"/>
        </w:rPr>
        <w:t>4) para. 43(f).</w:t>
      </w:r>
    </w:p>
  </w:footnote>
  <w:footnote w:id="137">
    <w:p w14:paraId="463492AB" w14:textId="1DADECAA"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UN Doc. E/C.12/UKR/CO/7 of 2 April 2020, para. 13.</w:t>
      </w:r>
    </w:p>
  </w:footnote>
  <w:footnote w:id="138">
    <w:p w14:paraId="1FCD22B1" w14:textId="7118BDD0"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UN Doc. E/C.12/GIN/CO/1, para. 25 of 30 March 2020.</w:t>
      </w:r>
    </w:p>
  </w:footnote>
  <w:footnote w:id="139">
    <w:p w14:paraId="3EC68D32" w14:textId="7E96D8EA"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UN Doc. E/C.12/BEL/CO/5, para.3 of 26 March 2020 and UN Doc. E/C.12/NOR/CO/6, Para. 8 of 20 April 2020.</w:t>
      </w:r>
    </w:p>
  </w:footnote>
  <w:footnote w:id="140">
    <w:p w14:paraId="1611A155" w14:textId="00D79A39"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Office of the High Commissioner for Human Rights (n 1</w:t>
      </w:r>
      <w:r w:rsidR="00CD5CF1" w:rsidRPr="002309CA">
        <w:rPr>
          <w:rFonts w:ascii="Times New Roman" w:hAnsi="Times New Roman" w:cs="Times New Roman"/>
          <w:color w:val="000000" w:themeColor="text1"/>
        </w:rPr>
        <w:t>35</w:t>
      </w:r>
      <w:r w:rsidRPr="002309CA">
        <w:rPr>
          <w:rFonts w:ascii="Times New Roman" w:hAnsi="Times New Roman" w:cs="Times New Roman"/>
          <w:color w:val="000000" w:themeColor="text1"/>
        </w:rPr>
        <w:t>) 18.</w:t>
      </w:r>
    </w:p>
  </w:footnote>
  <w:footnote w:id="141">
    <w:p w14:paraId="612AE834" w14:textId="7E443DD7"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Ibid 1, 8 and 1.</w:t>
      </w:r>
    </w:p>
  </w:footnote>
  <w:footnote w:id="142">
    <w:p w14:paraId="3145A0E9" w14:textId="711E4966"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Chalabi (n 1</w:t>
      </w:r>
      <w:r w:rsidR="00CD5CF1" w:rsidRPr="002309CA">
        <w:rPr>
          <w:rFonts w:ascii="Times New Roman" w:hAnsi="Times New Roman" w:cs="Times New Roman"/>
          <w:color w:val="000000" w:themeColor="text1"/>
        </w:rPr>
        <w:t>33</w:t>
      </w:r>
      <w:r w:rsidRPr="002309CA">
        <w:rPr>
          <w:rFonts w:ascii="Times New Roman" w:hAnsi="Times New Roman" w:cs="Times New Roman"/>
          <w:color w:val="000000" w:themeColor="text1"/>
        </w:rPr>
        <w:t>) 145-149.</w:t>
      </w:r>
    </w:p>
  </w:footnote>
  <w:footnote w:id="143">
    <w:p w14:paraId="58205219" w14:textId="2EF092B4" w:rsidR="00FE549D" w:rsidRPr="002309CA" w:rsidRDefault="00FE549D" w:rsidP="003241AC">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Office of the High Commissioner for Human Rights (n 1</w:t>
      </w:r>
      <w:r w:rsidR="00CD5CF1" w:rsidRPr="002309CA">
        <w:rPr>
          <w:rFonts w:ascii="Times New Roman" w:hAnsi="Times New Roman" w:cs="Times New Roman"/>
          <w:color w:val="000000" w:themeColor="text1"/>
        </w:rPr>
        <w:t>35</w:t>
      </w:r>
      <w:r w:rsidRPr="002309CA">
        <w:rPr>
          <w:rFonts w:ascii="Times New Roman" w:hAnsi="Times New Roman" w:cs="Times New Roman"/>
          <w:color w:val="000000" w:themeColor="text1"/>
        </w:rPr>
        <w:t>) 1.</w:t>
      </w:r>
    </w:p>
  </w:footnote>
  <w:footnote w:id="144">
    <w:p w14:paraId="1738FB8B" w14:textId="361D20A4"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Ibid 10.</w:t>
      </w:r>
    </w:p>
  </w:footnote>
  <w:footnote w:id="145">
    <w:p w14:paraId="69D8D797" w14:textId="02D68420"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Ibid 8.</w:t>
      </w:r>
    </w:p>
  </w:footnote>
  <w:footnote w:id="146">
    <w:p w14:paraId="370D4E72" w14:textId="2B5DCF00" w:rsidR="00FE549D" w:rsidRPr="002309CA" w:rsidRDefault="00FE549D" w:rsidP="00001867">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Ibid 4. The Handbook does however recommend that ‘members of the judiciary and jurists’ be consulted in drafting action plans (43)</w:t>
      </w:r>
    </w:p>
  </w:footnote>
  <w:footnote w:id="147">
    <w:p w14:paraId="1F8D120A" w14:textId="66C01AC0"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Chalabi (n 1</w:t>
      </w:r>
      <w:r w:rsidR="00CD5CF1" w:rsidRPr="002309CA">
        <w:rPr>
          <w:rFonts w:ascii="Times New Roman" w:hAnsi="Times New Roman" w:cs="Times New Roman"/>
          <w:color w:val="000000" w:themeColor="text1"/>
        </w:rPr>
        <w:t>33</w:t>
      </w:r>
      <w:r w:rsidRPr="002309CA">
        <w:rPr>
          <w:rFonts w:ascii="Times New Roman" w:hAnsi="Times New Roman" w:cs="Times New Roman"/>
          <w:color w:val="000000" w:themeColor="text1"/>
        </w:rPr>
        <w:t>) 131.</w:t>
      </w:r>
    </w:p>
  </w:footnote>
  <w:footnote w:id="148">
    <w:p w14:paraId="03C0D01C" w14:textId="673E4568" w:rsidR="00FE549D" w:rsidRPr="002309CA" w:rsidRDefault="00FE549D" w:rsidP="00AF471A">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Ibid 1.</w:t>
      </w:r>
    </w:p>
  </w:footnote>
  <w:footnote w:id="149">
    <w:p w14:paraId="537559A6" w14:textId="397A73CF" w:rsidR="00FE549D" w:rsidRPr="002309CA" w:rsidRDefault="00FE549D" w:rsidP="00823C30">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Patrick Twomey, ‘Human Rights-Based Approaches to Development: Towards Accountability’ in </w:t>
      </w:r>
      <w:proofErr w:type="spellStart"/>
      <w:r w:rsidRPr="002309CA">
        <w:rPr>
          <w:color w:val="000000" w:themeColor="text1"/>
          <w:sz w:val="20"/>
          <w:szCs w:val="20"/>
        </w:rPr>
        <w:t>Baderin</w:t>
      </w:r>
      <w:proofErr w:type="spellEnd"/>
      <w:r w:rsidRPr="002309CA">
        <w:rPr>
          <w:color w:val="000000" w:themeColor="text1"/>
          <w:sz w:val="20"/>
          <w:szCs w:val="20"/>
        </w:rPr>
        <w:t>, and McCorquodale (eds) (n 1</w:t>
      </w:r>
      <w:r w:rsidR="0076559D" w:rsidRPr="002309CA">
        <w:rPr>
          <w:color w:val="000000" w:themeColor="text1"/>
          <w:sz w:val="20"/>
          <w:szCs w:val="20"/>
        </w:rPr>
        <w:t>4</w:t>
      </w:r>
      <w:r w:rsidRPr="002309CA">
        <w:rPr>
          <w:color w:val="000000" w:themeColor="text1"/>
          <w:sz w:val="20"/>
          <w:szCs w:val="20"/>
        </w:rPr>
        <w:t>) 59.</w:t>
      </w:r>
    </w:p>
  </w:footnote>
  <w:footnote w:id="150">
    <w:p w14:paraId="6CFA4FE7" w14:textId="1FFC559E"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Office of the High Commissioner for Human Rights (n 1</w:t>
      </w:r>
      <w:r w:rsidR="00CD5CF1" w:rsidRPr="002309CA">
        <w:rPr>
          <w:rFonts w:ascii="Times New Roman" w:hAnsi="Times New Roman" w:cs="Times New Roman"/>
          <w:color w:val="000000" w:themeColor="text1"/>
        </w:rPr>
        <w:t>35</w:t>
      </w:r>
      <w:r w:rsidRPr="002309CA">
        <w:rPr>
          <w:rFonts w:ascii="Times New Roman" w:hAnsi="Times New Roman" w:cs="Times New Roman"/>
          <w:color w:val="000000" w:themeColor="text1"/>
        </w:rPr>
        <w:t>) 2.</w:t>
      </w:r>
    </w:p>
  </w:footnote>
  <w:footnote w:id="151">
    <w:p w14:paraId="395259AD" w14:textId="29DCD9B5"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Twomey (n 1</w:t>
      </w:r>
      <w:r w:rsidR="00CD5CF1" w:rsidRPr="002309CA">
        <w:rPr>
          <w:rFonts w:ascii="Times New Roman" w:hAnsi="Times New Roman" w:cs="Times New Roman"/>
          <w:color w:val="000000" w:themeColor="text1"/>
        </w:rPr>
        <w:t>49</w:t>
      </w:r>
      <w:r w:rsidRPr="002309CA">
        <w:rPr>
          <w:rFonts w:ascii="Times New Roman" w:hAnsi="Times New Roman" w:cs="Times New Roman"/>
          <w:color w:val="000000" w:themeColor="text1"/>
        </w:rPr>
        <w:t>) 59.</w:t>
      </w:r>
    </w:p>
  </w:footnote>
  <w:footnote w:id="152">
    <w:p w14:paraId="27452D3B" w14:textId="10FBA568" w:rsidR="00FE549D" w:rsidRPr="002309CA" w:rsidRDefault="00FE549D" w:rsidP="002D7B8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Azadeh</w:t>
      </w:r>
      <w:proofErr w:type="spellEnd"/>
      <w:r w:rsidRPr="002309CA">
        <w:rPr>
          <w:color w:val="000000" w:themeColor="text1"/>
          <w:sz w:val="20"/>
          <w:szCs w:val="20"/>
        </w:rPr>
        <w:t xml:space="preserve"> Chalabi, ‘The Nature and Scope of States</w:t>
      </w:r>
      <w:r w:rsidR="00CD5CF1" w:rsidRPr="002309CA">
        <w:rPr>
          <w:color w:val="000000" w:themeColor="text1"/>
          <w:sz w:val="20"/>
          <w:szCs w:val="20"/>
        </w:rPr>
        <w:t>’</w:t>
      </w:r>
      <w:r w:rsidRPr="002309CA">
        <w:rPr>
          <w:color w:val="000000" w:themeColor="text1"/>
          <w:sz w:val="20"/>
          <w:szCs w:val="20"/>
        </w:rPr>
        <w:t xml:space="preserve"> Obligation to Adopt a National Human Rights Action Plan’ (2014) 18</w:t>
      </w:r>
      <w:r w:rsidRPr="002309CA">
        <w:rPr>
          <w:i/>
          <w:iCs/>
          <w:color w:val="000000" w:themeColor="text1"/>
          <w:sz w:val="20"/>
          <w:szCs w:val="20"/>
        </w:rPr>
        <w:t xml:space="preserve"> International Journal of Human Rights</w:t>
      </w:r>
      <w:r w:rsidRPr="002309CA">
        <w:rPr>
          <w:color w:val="000000" w:themeColor="text1"/>
          <w:sz w:val="20"/>
          <w:szCs w:val="20"/>
        </w:rPr>
        <w:t xml:space="preserve"> 391, 403.</w:t>
      </w:r>
    </w:p>
  </w:footnote>
  <w:footnote w:id="153">
    <w:p w14:paraId="46271D33" w14:textId="14D357A2"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Office of the High Commissioner for Human Rights (n 1</w:t>
      </w:r>
      <w:r w:rsidR="00CD5CF1" w:rsidRPr="002309CA">
        <w:rPr>
          <w:rFonts w:ascii="Times New Roman" w:hAnsi="Times New Roman" w:cs="Times New Roman"/>
          <w:color w:val="000000" w:themeColor="text1"/>
        </w:rPr>
        <w:t>35</w:t>
      </w:r>
      <w:r w:rsidRPr="002309CA">
        <w:rPr>
          <w:rFonts w:ascii="Times New Roman" w:hAnsi="Times New Roman" w:cs="Times New Roman"/>
          <w:color w:val="000000" w:themeColor="text1"/>
        </w:rPr>
        <w:t>) 19.</w:t>
      </w:r>
    </w:p>
  </w:footnote>
  <w:footnote w:id="154">
    <w:p w14:paraId="65AB0C7A" w14:textId="1BC2EA2D" w:rsidR="00FE549D" w:rsidRPr="002309CA" w:rsidRDefault="00FE549D" w:rsidP="0001444B">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Diana </w:t>
      </w:r>
      <w:proofErr w:type="spellStart"/>
      <w:r w:rsidRPr="002309CA">
        <w:rPr>
          <w:color w:val="000000" w:themeColor="text1"/>
          <w:sz w:val="20"/>
          <w:szCs w:val="20"/>
        </w:rPr>
        <w:t>Mitlin</w:t>
      </w:r>
      <w:proofErr w:type="spellEnd"/>
      <w:r w:rsidRPr="002309CA">
        <w:rPr>
          <w:color w:val="000000" w:themeColor="text1"/>
          <w:sz w:val="20"/>
          <w:szCs w:val="20"/>
        </w:rPr>
        <w:t xml:space="preserve"> and Samuel Hickey, ‘Introduction’ in Hickey and </w:t>
      </w:r>
      <w:proofErr w:type="spellStart"/>
      <w:r w:rsidRPr="002309CA">
        <w:rPr>
          <w:color w:val="000000" w:themeColor="text1"/>
          <w:sz w:val="20"/>
          <w:szCs w:val="20"/>
        </w:rPr>
        <w:t>Mitlin</w:t>
      </w:r>
      <w:proofErr w:type="spellEnd"/>
      <w:r w:rsidRPr="002309CA">
        <w:rPr>
          <w:color w:val="000000" w:themeColor="text1"/>
          <w:sz w:val="20"/>
          <w:szCs w:val="20"/>
        </w:rPr>
        <w:t xml:space="preserve"> (eds) (n 1</w:t>
      </w:r>
      <w:r w:rsidR="00CD5CF1" w:rsidRPr="002309CA">
        <w:rPr>
          <w:color w:val="000000" w:themeColor="text1"/>
          <w:sz w:val="20"/>
          <w:szCs w:val="20"/>
        </w:rPr>
        <w:t>20</w:t>
      </w:r>
      <w:r w:rsidRPr="002309CA">
        <w:rPr>
          <w:color w:val="000000" w:themeColor="text1"/>
          <w:sz w:val="20"/>
          <w:szCs w:val="20"/>
        </w:rPr>
        <w:t>) 16-17.</w:t>
      </w:r>
    </w:p>
  </w:footnote>
  <w:footnote w:id="155">
    <w:p w14:paraId="6E0A9263" w14:textId="0C82E9E0" w:rsidR="00FE549D" w:rsidRPr="002309CA" w:rsidRDefault="00FE549D" w:rsidP="0001444B">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Paul Nelson and Ellen Dorsey, ‘Who Practices Rights-based Development? A Progress Report on Work at the Nexus of Human Rights and Development’ (2018) 104 </w:t>
      </w:r>
      <w:r w:rsidRPr="002309CA">
        <w:rPr>
          <w:i/>
          <w:iCs/>
          <w:color w:val="000000" w:themeColor="text1"/>
          <w:sz w:val="20"/>
          <w:szCs w:val="20"/>
        </w:rPr>
        <w:t>World Development</w:t>
      </w:r>
      <w:r w:rsidRPr="002309CA">
        <w:rPr>
          <w:color w:val="000000" w:themeColor="text1"/>
          <w:sz w:val="20"/>
          <w:szCs w:val="20"/>
        </w:rPr>
        <w:t xml:space="preserve"> 97, 98.</w:t>
      </w:r>
    </w:p>
  </w:footnote>
  <w:footnote w:id="156">
    <w:p w14:paraId="269ED9A6" w14:textId="4D0BEBCC" w:rsidR="00FE549D" w:rsidRPr="002309CA" w:rsidRDefault="00FE549D" w:rsidP="0001444B">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Jakob </w:t>
      </w:r>
      <w:proofErr w:type="spellStart"/>
      <w:r w:rsidRPr="002309CA">
        <w:rPr>
          <w:color w:val="000000" w:themeColor="text1"/>
          <w:sz w:val="20"/>
          <w:szCs w:val="20"/>
        </w:rPr>
        <w:t>Kirkemann</w:t>
      </w:r>
      <w:proofErr w:type="spellEnd"/>
      <w:r w:rsidRPr="002309CA">
        <w:rPr>
          <w:color w:val="000000" w:themeColor="text1"/>
          <w:sz w:val="20"/>
          <w:szCs w:val="20"/>
        </w:rPr>
        <w:t xml:space="preserve"> and Hans-Otto Sano, ‘The Implications and Value Added of a Human Rights-based Approach’ in </w:t>
      </w:r>
      <w:r w:rsidR="00CD5CF1" w:rsidRPr="002309CA">
        <w:rPr>
          <w:color w:val="000000" w:themeColor="text1"/>
          <w:sz w:val="20"/>
          <w:szCs w:val="20"/>
        </w:rPr>
        <w:t xml:space="preserve">Bard </w:t>
      </w:r>
      <w:proofErr w:type="spellStart"/>
      <w:r w:rsidR="00CD5CF1" w:rsidRPr="002309CA">
        <w:rPr>
          <w:color w:val="000000" w:themeColor="text1"/>
          <w:sz w:val="20"/>
          <w:szCs w:val="20"/>
        </w:rPr>
        <w:t>Andreassen</w:t>
      </w:r>
      <w:proofErr w:type="spellEnd"/>
      <w:r w:rsidR="00CD5CF1" w:rsidRPr="002309CA">
        <w:rPr>
          <w:color w:val="000000" w:themeColor="text1"/>
          <w:sz w:val="20"/>
          <w:szCs w:val="20"/>
        </w:rPr>
        <w:t xml:space="preserve"> and Stephen P Marks (eds), </w:t>
      </w:r>
      <w:r w:rsidR="00CD5CF1" w:rsidRPr="002309CA">
        <w:rPr>
          <w:i/>
          <w:iCs/>
          <w:color w:val="000000" w:themeColor="text1"/>
          <w:sz w:val="20"/>
          <w:szCs w:val="20"/>
        </w:rPr>
        <w:t>Development as a Human Right: Legal, Political, and Economic Dimensions</w:t>
      </w:r>
      <w:r w:rsidR="00CD5CF1" w:rsidRPr="002309CA">
        <w:rPr>
          <w:color w:val="000000" w:themeColor="text1"/>
          <w:sz w:val="20"/>
          <w:szCs w:val="20"/>
        </w:rPr>
        <w:t xml:space="preserve"> (Harvard University Press, 2010)</w:t>
      </w:r>
      <w:r w:rsidRPr="002309CA">
        <w:rPr>
          <w:color w:val="000000" w:themeColor="text1"/>
          <w:sz w:val="20"/>
          <w:szCs w:val="20"/>
        </w:rPr>
        <w:t xml:space="preserve"> 61.</w:t>
      </w:r>
    </w:p>
  </w:footnote>
  <w:footnote w:id="157">
    <w:p w14:paraId="37108E8C" w14:textId="20FAB3D0"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Jean </w:t>
      </w:r>
      <w:proofErr w:type="spellStart"/>
      <w:r w:rsidRPr="002309CA">
        <w:rPr>
          <w:rFonts w:ascii="Times New Roman" w:hAnsi="Times New Roman" w:cs="Times New Roman"/>
          <w:color w:val="000000" w:themeColor="text1"/>
        </w:rPr>
        <w:t>Grugel</w:t>
      </w:r>
      <w:proofErr w:type="spellEnd"/>
      <w:r w:rsidRPr="002309CA">
        <w:rPr>
          <w:rFonts w:ascii="Times New Roman" w:hAnsi="Times New Roman" w:cs="Times New Roman"/>
          <w:color w:val="000000" w:themeColor="text1"/>
        </w:rPr>
        <w:t xml:space="preserve"> and Nicola Piper, ‘Do Rights Promote Development?’ (2009) 9 </w:t>
      </w:r>
      <w:r w:rsidRPr="002309CA">
        <w:rPr>
          <w:rFonts w:ascii="Times New Roman" w:hAnsi="Times New Roman" w:cs="Times New Roman"/>
          <w:i/>
          <w:iCs/>
          <w:color w:val="000000" w:themeColor="text1"/>
        </w:rPr>
        <w:t>Global Social Policy</w:t>
      </w:r>
      <w:r w:rsidRPr="002309CA">
        <w:rPr>
          <w:rFonts w:ascii="Times New Roman" w:hAnsi="Times New Roman" w:cs="Times New Roman"/>
          <w:color w:val="000000" w:themeColor="text1"/>
        </w:rPr>
        <w:t xml:space="preserve"> 79, 80.</w:t>
      </w:r>
    </w:p>
  </w:footnote>
  <w:footnote w:id="158">
    <w:p w14:paraId="11395127" w14:textId="0B03DB54"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Langford (n 1</w:t>
      </w:r>
      <w:r w:rsidR="00872AF7" w:rsidRPr="002309CA">
        <w:rPr>
          <w:rFonts w:ascii="Times New Roman" w:hAnsi="Times New Roman" w:cs="Times New Roman"/>
          <w:color w:val="000000" w:themeColor="text1"/>
        </w:rPr>
        <w:t>5</w:t>
      </w:r>
      <w:r w:rsidRPr="002309CA">
        <w:rPr>
          <w:rFonts w:ascii="Times New Roman" w:hAnsi="Times New Roman" w:cs="Times New Roman"/>
          <w:color w:val="000000" w:themeColor="text1"/>
        </w:rPr>
        <w:t>) 10.</w:t>
      </w:r>
    </w:p>
  </w:footnote>
  <w:footnote w:id="159">
    <w:p w14:paraId="5EEAF2CC" w14:textId="26C617BE" w:rsidR="00FE549D" w:rsidRPr="002309CA" w:rsidRDefault="00FE549D" w:rsidP="0001444B">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Office for the High Commissioner of Human Rights, </w:t>
      </w:r>
      <w:r w:rsidRPr="002309CA">
        <w:rPr>
          <w:i/>
          <w:iCs/>
          <w:color w:val="000000" w:themeColor="text1"/>
          <w:sz w:val="20"/>
          <w:szCs w:val="20"/>
        </w:rPr>
        <w:t>Frequently Asked Questions on a Human Rights-Based Approach to Development Cooperation</w:t>
      </w:r>
      <w:r w:rsidRPr="002309CA">
        <w:rPr>
          <w:color w:val="000000" w:themeColor="text1"/>
          <w:sz w:val="20"/>
          <w:szCs w:val="20"/>
        </w:rPr>
        <w:t xml:space="preserve"> (Web Page) (2006), &lt;http://ohchr.org/english/about/publications/docs/FAQ_en.pdf&gt; 14.</w:t>
      </w:r>
    </w:p>
  </w:footnote>
  <w:footnote w:id="160">
    <w:p w14:paraId="76716DB3" w14:textId="5823A937" w:rsidR="00FE549D" w:rsidRPr="002309CA" w:rsidRDefault="00FE549D" w:rsidP="0001444B">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Anuradha Joshi, ‘Do Rights Work? Law, Activism, and the Employment Guarantee Scheme’ (2010) 38 </w:t>
      </w:r>
      <w:r w:rsidRPr="002309CA">
        <w:rPr>
          <w:i/>
          <w:iCs/>
          <w:color w:val="000000" w:themeColor="text1"/>
          <w:sz w:val="20"/>
          <w:szCs w:val="20"/>
        </w:rPr>
        <w:t>World Development</w:t>
      </w:r>
      <w:r w:rsidRPr="002309CA">
        <w:rPr>
          <w:color w:val="000000" w:themeColor="text1"/>
          <w:sz w:val="20"/>
          <w:szCs w:val="20"/>
        </w:rPr>
        <w:t xml:space="preserve"> 620, 622.</w:t>
      </w:r>
    </w:p>
  </w:footnote>
  <w:footnote w:id="161">
    <w:p w14:paraId="788A53F3" w14:textId="7EEFD855" w:rsidR="00FE549D" w:rsidRPr="002309CA" w:rsidRDefault="00FE549D" w:rsidP="0001444B">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Paul </w:t>
      </w:r>
      <w:proofErr w:type="spellStart"/>
      <w:r w:rsidRPr="002309CA">
        <w:rPr>
          <w:color w:val="000000" w:themeColor="text1"/>
          <w:sz w:val="20"/>
          <w:szCs w:val="20"/>
        </w:rPr>
        <w:t>Gready</w:t>
      </w:r>
      <w:proofErr w:type="spellEnd"/>
      <w:r w:rsidRPr="002309CA">
        <w:rPr>
          <w:color w:val="000000" w:themeColor="text1"/>
          <w:sz w:val="20"/>
          <w:szCs w:val="20"/>
        </w:rPr>
        <w:t xml:space="preserve">, ‘Rights-based Approaches to Development: What is the Value-Added?’ (2008) 18 </w:t>
      </w:r>
      <w:r w:rsidRPr="002309CA">
        <w:rPr>
          <w:i/>
          <w:iCs/>
          <w:color w:val="000000" w:themeColor="text1"/>
          <w:sz w:val="20"/>
          <w:szCs w:val="20"/>
        </w:rPr>
        <w:t>Development in Practice</w:t>
      </w:r>
      <w:r w:rsidRPr="002309CA">
        <w:rPr>
          <w:color w:val="000000" w:themeColor="text1"/>
          <w:sz w:val="20"/>
          <w:szCs w:val="20"/>
        </w:rPr>
        <w:t xml:space="preserve"> 735, 737.</w:t>
      </w:r>
    </w:p>
  </w:footnote>
  <w:footnote w:id="162">
    <w:p w14:paraId="6DC38F14" w14:textId="44E49278"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See for example World Health Organisation, </w:t>
      </w:r>
      <w:r w:rsidRPr="002309CA">
        <w:rPr>
          <w:rFonts w:ascii="Times New Roman" w:hAnsi="Times New Roman" w:cs="Times New Roman"/>
          <w:i/>
          <w:iCs/>
          <w:color w:val="000000" w:themeColor="text1"/>
        </w:rPr>
        <w:t>A Human Rights-Based Approach to Health</w:t>
      </w:r>
      <w:r w:rsidRPr="002309CA">
        <w:rPr>
          <w:rFonts w:ascii="Times New Roman" w:hAnsi="Times New Roman" w:cs="Times New Roman"/>
          <w:color w:val="000000" w:themeColor="text1"/>
        </w:rPr>
        <w:t xml:space="preserve"> (Policy Paper) (2010), &lt;</w:t>
      </w:r>
      <w:hyperlink r:id="rId2" w:history="1">
        <w:r w:rsidRPr="002309CA">
          <w:rPr>
            <w:rStyle w:val="Hyperlink"/>
            <w:rFonts w:ascii="Times New Roman" w:hAnsi="Times New Roman" w:cs="Times New Roman"/>
            <w:color w:val="000000" w:themeColor="text1"/>
            <w:u w:val="none"/>
          </w:rPr>
          <w:t>https://www.who.int/hhr/news/hrba_to_health2.pdf</w:t>
        </w:r>
      </w:hyperlink>
      <w:r w:rsidRPr="002309CA">
        <w:rPr>
          <w:rStyle w:val="Hyperlink"/>
          <w:rFonts w:ascii="Times New Roman" w:hAnsi="Times New Roman" w:cs="Times New Roman"/>
          <w:color w:val="000000" w:themeColor="text1"/>
          <w:u w:val="none"/>
        </w:rPr>
        <w:t>&gt;</w:t>
      </w:r>
      <w:r w:rsidRPr="002309CA">
        <w:rPr>
          <w:rFonts w:ascii="Times New Roman" w:hAnsi="Times New Roman" w:cs="Times New Roman"/>
          <w:color w:val="000000" w:themeColor="text1"/>
        </w:rPr>
        <w:t xml:space="preserve"> 2.</w:t>
      </w:r>
    </w:p>
  </w:footnote>
  <w:footnote w:id="163">
    <w:p w14:paraId="0254F193" w14:textId="6A6B31EA"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Twomey (n 1</w:t>
      </w:r>
      <w:r w:rsidR="00CD5CF1" w:rsidRPr="002309CA">
        <w:rPr>
          <w:rFonts w:ascii="Times New Roman" w:hAnsi="Times New Roman" w:cs="Times New Roman"/>
          <w:color w:val="000000" w:themeColor="text1"/>
        </w:rPr>
        <w:t>49</w:t>
      </w:r>
      <w:r w:rsidRPr="002309CA">
        <w:rPr>
          <w:rFonts w:ascii="Times New Roman" w:hAnsi="Times New Roman" w:cs="Times New Roman"/>
          <w:color w:val="000000" w:themeColor="text1"/>
        </w:rPr>
        <w:t>) 49.</w:t>
      </w:r>
    </w:p>
  </w:footnote>
  <w:footnote w:id="164">
    <w:p w14:paraId="0FC438E5" w14:textId="6AB91F0C" w:rsidR="00FE549D" w:rsidRPr="002309CA" w:rsidRDefault="00FE549D" w:rsidP="00151ECE">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Dan </w:t>
      </w:r>
      <w:proofErr w:type="spellStart"/>
      <w:r w:rsidRPr="002309CA">
        <w:rPr>
          <w:color w:val="000000" w:themeColor="text1"/>
          <w:sz w:val="20"/>
          <w:szCs w:val="20"/>
        </w:rPr>
        <w:t>Banik</w:t>
      </w:r>
      <w:proofErr w:type="spellEnd"/>
      <w:r w:rsidRPr="002309CA">
        <w:rPr>
          <w:color w:val="000000" w:themeColor="text1"/>
          <w:sz w:val="20"/>
          <w:szCs w:val="20"/>
        </w:rPr>
        <w:t xml:space="preserve">, ‘Human Rights for Human Development: The Rhetoric and the Reality’ (2012) 30 </w:t>
      </w:r>
      <w:r w:rsidRPr="002309CA">
        <w:rPr>
          <w:i/>
          <w:iCs/>
          <w:color w:val="000000" w:themeColor="text1"/>
          <w:sz w:val="20"/>
          <w:szCs w:val="20"/>
        </w:rPr>
        <w:t xml:space="preserve">Nordic Journal of Human Rights </w:t>
      </w:r>
      <w:r w:rsidRPr="002309CA">
        <w:rPr>
          <w:color w:val="000000" w:themeColor="text1"/>
          <w:sz w:val="20"/>
          <w:szCs w:val="20"/>
        </w:rPr>
        <w:t>4.</w:t>
      </w:r>
    </w:p>
  </w:footnote>
  <w:footnote w:id="165">
    <w:p w14:paraId="75C76E46" w14:textId="1623B5CD" w:rsidR="00FE549D" w:rsidRPr="002309CA" w:rsidRDefault="00FE549D" w:rsidP="00151ECE">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Mac Darrow and Amparo Tomas, ‘Power, Capture, and Conflict: A Call for Human Rights Accountability in Development Cooperation’ (2005) </w:t>
      </w:r>
      <w:r w:rsidRPr="002309CA">
        <w:rPr>
          <w:i/>
          <w:iCs/>
          <w:color w:val="000000" w:themeColor="text1"/>
          <w:sz w:val="20"/>
          <w:szCs w:val="20"/>
        </w:rPr>
        <w:t xml:space="preserve">Human Rights Quarterly </w:t>
      </w:r>
      <w:r w:rsidRPr="002309CA">
        <w:rPr>
          <w:color w:val="000000" w:themeColor="text1"/>
          <w:sz w:val="20"/>
          <w:szCs w:val="20"/>
        </w:rPr>
        <w:t>471, 488.</w:t>
      </w:r>
    </w:p>
  </w:footnote>
  <w:footnote w:id="166">
    <w:p w14:paraId="7EDE7667" w14:textId="25016D58"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Nelson and Dorsey (n 1</w:t>
      </w:r>
      <w:r w:rsidR="00CD5CF1" w:rsidRPr="002309CA">
        <w:rPr>
          <w:rFonts w:ascii="Times New Roman" w:hAnsi="Times New Roman" w:cs="Times New Roman"/>
          <w:color w:val="000000" w:themeColor="text1"/>
        </w:rPr>
        <w:t>55</w:t>
      </w:r>
      <w:r w:rsidRPr="002309CA">
        <w:rPr>
          <w:rFonts w:ascii="Times New Roman" w:hAnsi="Times New Roman" w:cs="Times New Roman"/>
          <w:color w:val="000000" w:themeColor="text1"/>
        </w:rPr>
        <w:t xml:space="preserve">) 101. </w:t>
      </w:r>
    </w:p>
  </w:footnote>
  <w:footnote w:id="167">
    <w:p w14:paraId="37713ABD" w14:textId="5B8B00BB"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Stephen P. Marks, ‘The Human Rights Framework for Development: Seven Approaches’ in</w:t>
      </w:r>
      <w:r w:rsidRPr="002309CA">
        <w:rPr>
          <w:rFonts w:ascii="Times New Roman" w:hAnsi="Times New Roman" w:cs="Times New Roman"/>
          <w:i/>
          <w:iCs/>
          <w:color w:val="000000" w:themeColor="text1"/>
        </w:rPr>
        <w:t xml:space="preserve"> </w:t>
      </w:r>
      <w:r w:rsidRPr="002309CA">
        <w:rPr>
          <w:rFonts w:ascii="Times New Roman" w:hAnsi="Times New Roman" w:cs="Times New Roman"/>
          <w:color w:val="000000" w:themeColor="text1"/>
        </w:rPr>
        <w:t xml:space="preserve">Arjun Sengupta, Archana Negi and Moushumi </w:t>
      </w:r>
      <w:proofErr w:type="spellStart"/>
      <w:r w:rsidRPr="002309CA">
        <w:rPr>
          <w:rFonts w:ascii="Times New Roman" w:hAnsi="Times New Roman" w:cs="Times New Roman"/>
          <w:color w:val="000000" w:themeColor="text1"/>
        </w:rPr>
        <w:t>Basu</w:t>
      </w:r>
      <w:proofErr w:type="spellEnd"/>
      <w:r w:rsidRPr="002309CA">
        <w:rPr>
          <w:rFonts w:ascii="Times New Roman" w:hAnsi="Times New Roman" w:cs="Times New Roman"/>
          <w:color w:val="000000" w:themeColor="text1"/>
        </w:rPr>
        <w:t xml:space="preserve"> (eds), </w:t>
      </w:r>
      <w:r w:rsidRPr="002309CA">
        <w:rPr>
          <w:rFonts w:ascii="Times New Roman" w:hAnsi="Times New Roman" w:cs="Times New Roman"/>
          <w:i/>
          <w:iCs/>
          <w:color w:val="000000" w:themeColor="text1"/>
        </w:rPr>
        <w:t xml:space="preserve">Reflections of the Right to Development </w:t>
      </w:r>
      <w:r w:rsidRPr="002309CA">
        <w:rPr>
          <w:rFonts w:ascii="Times New Roman" w:hAnsi="Times New Roman" w:cs="Times New Roman"/>
          <w:color w:val="000000" w:themeColor="text1"/>
        </w:rPr>
        <w:t>(Sage Publications, 2005), 23 at 28.</w:t>
      </w:r>
    </w:p>
  </w:footnote>
  <w:footnote w:id="168">
    <w:p w14:paraId="0DE73F1A" w14:textId="7CED8898"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Ibid 52.</w:t>
      </w:r>
    </w:p>
  </w:footnote>
  <w:footnote w:id="169">
    <w:p w14:paraId="7B6C8522" w14:textId="3BAF1754" w:rsidR="00FE549D" w:rsidRPr="002309CA" w:rsidRDefault="00FE549D" w:rsidP="00011A94">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Alicia Ely </w:t>
      </w:r>
      <w:proofErr w:type="spellStart"/>
      <w:r w:rsidRPr="002309CA">
        <w:rPr>
          <w:color w:val="000000" w:themeColor="text1"/>
          <w:sz w:val="20"/>
          <w:szCs w:val="20"/>
        </w:rPr>
        <w:t>Yamin</w:t>
      </w:r>
      <w:proofErr w:type="spellEnd"/>
      <w:r w:rsidRPr="002309CA">
        <w:rPr>
          <w:color w:val="000000" w:themeColor="text1"/>
          <w:sz w:val="20"/>
          <w:szCs w:val="20"/>
        </w:rPr>
        <w:t xml:space="preserve"> and Rebecca Cantor, ‘Between Insurrectional Discourse and Operational Guidance: Challenges and Dilemmas in Implementing Human Rights-based Approaches to Health’ (2014) 6 </w:t>
      </w:r>
      <w:r w:rsidRPr="002309CA">
        <w:rPr>
          <w:i/>
          <w:iCs/>
          <w:color w:val="000000" w:themeColor="text1"/>
          <w:sz w:val="20"/>
          <w:szCs w:val="20"/>
        </w:rPr>
        <w:t>Journal of Human Rights Practice</w:t>
      </w:r>
      <w:r w:rsidRPr="002309CA">
        <w:rPr>
          <w:color w:val="000000" w:themeColor="text1"/>
          <w:sz w:val="20"/>
          <w:szCs w:val="20"/>
        </w:rPr>
        <w:t xml:space="preserve"> 451, 458.</w:t>
      </w:r>
    </w:p>
  </w:footnote>
  <w:footnote w:id="170">
    <w:p w14:paraId="0D3C6E81" w14:textId="3097E2F3"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Twomey (n 1</w:t>
      </w:r>
      <w:r w:rsidR="00CD5CF1" w:rsidRPr="002309CA">
        <w:rPr>
          <w:rFonts w:ascii="Times New Roman" w:hAnsi="Times New Roman" w:cs="Times New Roman"/>
          <w:color w:val="000000" w:themeColor="text1"/>
        </w:rPr>
        <w:t>49</w:t>
      </w:r>
      <w:r w:rsidRPr="002309CA">
        <w:rPr>
          <w:rFonts w:ascii="Times New Roman" w:hAnsi="Times New Roman" w:cs="Times New Roman"/>
          <w:color w:val="000000" w:themeColor="text1"/>
        </w:rPr>
        <w:t>) 49.</w:t>
      </w:r>
    </w:p>
  </w:footnote>
  <w:footnote w:id="171">
    <w:p w14:paraId="6267F5CC" w14:textId="7BE14934"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Sheela Patel and Diana </w:t>
      </w:r>
      <w:proofErr w:type="spellStart"/>
      <w:r w:rsidRPr="002309CA">
        <w:rPr>
          <w:rFonts w:ascii="Times New Roman" w:hAnsi="Times New Roman" w:cs="Times New Roman"/>
          <w:color w:val="000000" w:themeColor="text1"/>
        </w:rPr>
        <w:t>Mitlin</w:t>
      </w:r>
      <w:proofErr w:type="spellEnd"/>
      <w:r w:rsidRPr="002309CA">
        <w:rPr>
          <w:rFonts w:ascii="Times New Roman" w:hAnsi="Times New Roman" w:cs="Times New Roman"/>
          <w:color w:val="000000" w:themeColor="text1"/>
        </w:rPr>
        <w:t xml:space="preserve">, ‘Reinterpreting the Rights-Based Approach: A Grassroots Perspective on Rights and Development’ in Hickey and </w:t>
      </w:r>
      <w:proofErr w:type="spellStart"/>
      <w:r w:rsidRPr="002309CA">
        <w:rPr>
          <w:rFonts w:ascii="Times New Roman" w:hAnsi="Times New Roman" w:cs="Times New Roman"/>
          <w:color w:val="000000" w:themeColor="text1"/>
        </w:rPr>
        <w:t>Mitlin</w:t>
      </w:r>
      <w:proofErr w:type="spellEnd"/>
      <w:r w:rsidRPr="002309CA">
        <w:rPr>
          <w:rFonts w:ascii="Times New Roman" w:hAnsi="Times New Roman" w:cs="Times New Roman"/>
          <w:color w:val="000000" w:themeColor="text1"/>
        </w:rPr>
        <w:t xml:space="preserve"> (eds) (n 115) 111.</w:t>
      </w:r>
    </w:p>
  </w:footnote>
  <w:footnote w:id="172">
    <w:p w14:paraId="3ACF52A6" w14:textId="2B93D9CC"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003E521F" w:rsidRPr="002309CA">
        <w:rPr>
          <w:rFonts w:ascii="Times New Roman" w:hAnsi="Times New Roman" w:cs="Times New Roman"/>
          <w:color w:val="000000" w:themeColor="text1"/>
        </w:rPr>
        <w:t>Center</w:t>
      </w:r>
      <w:proofErr w:type="spellEnd"/>
      <w:r w:rsidR="003E521F" w:rsidRPr="002309CA">
        <w:rPr>
          <w:rFonts w:ascii="Times New Roman" w:hAnsi="Times New Roman" w:cs="Times New Roman"/>
          <w:color w:val="000000" w:themeColor="text1"/>
        </w:rPr>
        <w:t xml:space="preserve"> for Economic and Social Rights, </w:t>
      </w:r>
      <w:r w:rsidR="003E521F" w:rsidRPr="002309CA">
        <w:rPr>
          <w:rFonts w:ascii="Times New Roman" w:hAnsi="Times New Roman" w:cs="Times New Roman"/>
          <w:i/>
          <w:iCs/>
          <w:color w:val="000000" w:themeColor="text1"/>
        </w:rPr>
        <w:t>A Matter of Justice: Securing Human Rights in the Post-2015 Sustainable Development Agenda</w:t>
      </w:r>
      <w:r w:rsidR="003E521F" w:rsidRPr="002309CA">
        <w:rPr>
          <w:rFonts w:ascii="Times New Roman" w:hAnsi="Times New Roman" w:cs="Times New Roman"/>
          <w:color w:val="000000" w:themeColor="text1"/>
        </w:rPr>
        <w:t xml:space="preserve"> (Policy Document) (2013), &lt;</w:t>
      </w:r>
      <w:hyperlink r:id="rId3" w:history="1">
        <w:r w:rsidR="003E521F" w:rsidRPr="002309CA">
          <w:rPr>
            <w:rStyle w:val="Hyperlink"/>
            <w:rFonts w:ascii="Times New Roman" w:hAnsi="Times New Roman" w:cs="Times New Roman"/>
            <w:color w:val="000000" w:themeColor="text1"/>
            <w:u w:val="none"/>
          </w:rPr>
          <w:t>https://cesr.org/sites/default/files/matter.of_.justice.pdf</w:t>
        </w:r>
      </w:hyperlink>
      <w:r w:rsidR="003E521F" w:rsidRPr="002309CA">
        <w:rPr>
          <w:rStyle w:val="Hyperlink"/>
          <w:rFonts w:ascii="Times New Roman" w:hAnsi="Times New Roman" w:cs="Times New Roman"/>
          <w:color w:val="000000" w:themeColor="text1"/>
          <w:u w:val="none"/>
        </w:rPr>
        <w:t>&gt;</w:t>
      </w:r>
      <w:r w:rsidR="003E521F" w:rsidRPr="002309CA">
        <w:rPr>
          <w:rFonts w:ascii="Times New Roman" w:hAnsi="Times New Roman" w:cs="Times New Roman"/>
          <w:color w:val="000000" w:themeColor="text1"/>
        </w:rPr>
        <w:t xml:space="preserve"> </w:t>
      </w:r>
      <w:r w:rsidRPr="002309CA">
        <w:rPr>
          <w:rFonts w:ascii="Times New Roman" w:hAnsi="Times New Roman" w:cs="Times New Roman"/>
          <w:color w:val="000000" w:themeColor="text1"/>
        </w:rPr>
        <w:t>ii.</w:t>
      </w:r>
    </w:p>
  </w:footnote>
  <w:footnote w:id="173">
    <w:p w14:paraId="3EA2742F" w14:textId="2E0C3E22"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Twomey (n 1</w:t>
      </w:r>
      <w:r w:rsidR="00CD5CF1" w:rsidRPr="002309CA">
        <w:rPr>
          <w:rFonts w:ascii="Times New Roman" w:hAnsi="Times New Roman" w:cs="Times New Roman"/>
          <w:color w:val="000000" w:themeColor="text1"/>
        </w:rPr>
        <w:t>49</w:t>
      </w:r>
      <w:r w:rsidRPr="002309CA">
        <w:rPr>
          <w:rFonts w:ascii="Times New Roman" w:hAnsi="Times New Roman" w:cs="Times New Roman"/>
          <w:color w:val="000000" w:themeColor="text1"/>
        </w:rPr>
        <w:t>) 67.</w:t>
      </w:r>
    </w:p>
  </w:footnote>
  <w:footnote w:id="174">
    <w:p w14:paraId="79500CA8" w14:textId="30CC8C05"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Freedman (n 9</w:t>
      </w:r>
      <w:r w:rsidR="00CD5CF1" w:rsidRPr="002309CA">
        <w:rPr>
          <w:rFonts w:ascii="Times New Roman" w:hAnsi="Times New Roman" w:cs="Times New Roman"/>
          <w:color w:val="000000" w:themeColor="text1"/>
        </w:rPr>
        <w:t>6</w:t>
      </w:r>
      <w:r w:rsidRPr="002309CA">
        <w:rPr>
          <w:rFonts w:ascii="Times New Roman" w:hAnsi="Times New Roman" w:cs="Times New Roman"/>
          <w:color w:val="000000" w:themeColor="text1"/>
        </w:rPr>
        <w:t>) 55.</w:t>
      </w:r>
    </w:p>
  </w:footnote>
  <w:footnote w:id="175">
    <w:p w14:paraId="0F028437" w14:textId="2EFBDCBF" w:rsidR="00FE549D" w:rsidRPr="002309CA" w:rsidRDefault="00FE549D" w:rsidP="0001444B">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Yamin</w:t>
      </w:r>
      <w:proofErr w:type="spellEnd"/>
      <w:r w:rsidRPr="002309CA">
        <w:rPr>
          <w:color w:val="000000" w:themeColor="text1"/>
          <w:sz w:val="20"/>
          <w:szCs w:val="20"/>
        </w:rPr>
        <w:t xml:space="preserve"> ‘Future in the Mirror’ (n </w:t>
      </w:r>
      <w:r w:rsidR="006C46AF" w:rsidRPr="002309CA">
        <w:rPr>
          <w:color w:val="000000" w:themeColor="text1"/>
          <w:sz w:val="20"/>
          <w:szCs w:val="20"/>
        </w:rPr>
        <w:t>4</w:t>
      </w:r>
      <w:r w:rsidRPr="002309CA">
        <w:rPr>
          <w:color w:val="000000" w:themeColor="text1"/>
          <w:sz w:val="20"/>
          <w:szCs w:val="20"/>
        </w:rPr>
        <w:t>0) 1208.</w:t>
      </w:r>
    </w:p>
  </w:footnote>
  <w:footnote w:id="176">
    <w:p w14:paraId="6E96FD22" w14:textId="50EFF021" w:rsidR="00FE549D" w:rsidRPr="002309CA" w:rsidRDefault="00FE549D" w:rsidP="0001444B">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Jane Cottingham, Adrienne Germain and Paul Hunt, ‘Use of Human Rights to Meet the Unmet Need for Family Planning’ (2012) 380 </w:t>
      </w:r>
      <w:r w:rsidRPr="002309CA">
        <w:rPr>
          <w:i/>
          <w:iCs/>
          <w:color w:val="000000" w:themeColor="text1"/>
          <w:sz w:val="20"/>
          <w:szCs w:val="20"/>
        </w:rPr>
        <w:t>Lancet</w:t>
      </w:r>
      <w:r w:rsidRPr="002309CA">
        <w:rPr>
          <w:color w:val="000000" w:themeColor="text1"/>
          <w:sz w:val="20"/>
          <w:szCs w:val="20"/>
        </w:rPr>
        <w:t xml:space="preserve"> 172, 177.</w:t>
      </w:r>
    </w:p>
  </w:footnote>
  <w:footnote w:id="177">
    <w:p w14:paraId="3179E24F" w14:textId="45917308" w:rsidR="00FE549D" w:rsidRPr="002309CA" w:rsidRDefault="00FE549D" w:rsidP="0001444B">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Darrow and Tomas (n 1</w:t>
      </w:r>
      <w:r w:rsidR="003E521F" w:rsidRPr="002309CA">
        <w:rPr>
          <w:rFonts w:ascii="Times New Roman" w:hAnsi="Times New Roman" w:cs="Times New Roman"/>
          <w:color w:val="000000" w:themeColor="text1"/>
        </w:rPr>
        <w:t>65</w:t>
      </w:r>
      <w:r w:rsidRPr="002309CA">
        <w:rPr>
          <w:rFonts w:ascii="Times New Roman" w:hAnsi="Times New Roman" w:cs="Times New Roman"/>
          <w:color w:val="000000" w:themeColor="text1"/>
        </w:rPr>
        <w:t>) 522.</w:t>
      </w:r>
    </w:p>
  </w:footnote>
  <w:footnote w:id="178">
    <w:p w14:paraId="06CA6D8B" w14:textId="7BDD0774" w:rsidR="00FE549D" w:rsidRPr="002309CA" w:rsidRDefault="00FE549D" w:rsidP="00935DC9">
      <w:pPr>
        <w:pStyle w:val="Heading3"/>
        <w:rPr>
          <w:rFonts w:ascii="Times New Roman" w:hAnsi="Times New Roman" w:cs="Times New Roman"/>
          <w:i/>
          <w:iCs/>
          <w:color w:val="000000" w:themeColor="text1"/>
          <w:sz w:val="20"/>
          <w:szCs w:val="20"/>
        </w:rPr>
      </w:pPr>
      <w:r w:rsidRPr="002309CA">
        <w:rPr>
          <w:rStyle w:val="FootnoteReference"/>
          <w:rFonts w:ascii="Times New Roman" w:hAnsi="Times New Roman" w:cs="Times New Roman"/>
          <w:color w:val="000000" w:themeColor="text1"/>
          <w:sz w:val="20"/>
          <w:szCs w:val="20"/>
        </w:rPr>
        <w:footnoteRef/>
      </w:r>
      <w:r w:rsidRPr="002309CA">
        <w:rPr>
          <w:rFonts w:ascii="Times New Roman" w:hAnsi="Times New Roman" w:cs="Times New Roman"/>
          <w:color w:val="000000" w:themeColor="text1"/>
          <w:sz w:val="20"/>
          <w:szCs w:val="20"/>
        </w:rPr>
        <w:t xml:space="preserve"> Varun Gauri and Daniel Brinks, ‘Introduction: The Elements of Legalization and the Triangular Shape of Social and Economic Rights’ in Varun Gauri and Daniel Brinks (eds), </w:t>
      </w:r>
      <w:r w:rsidRPr="002309CA">
        <w:rPr>
          <w:rFonts w:ascii="Times New Roman" w:hAnsi="Times New Roman" w:cs="Times New Roman"/>
          <w:i/>
          <w:iCs/>
          <w:color w:val="000000" w:themeColor="text1"/>
          <w:sz w:val="20"/>
          <w:szCs w:val="20"/>
        </w:rPr>
        <w:t xml:space="preserve">Courting Social Justice: Judicial Enforcement of Social and Economic Rights in the Developing World </w:t>
      </w:r>
      <w:r w:rsidRPr="002309CA">
        <w:rPr>
          <w:rFonts w:ascii="Times New Roman" w:hAnsi="Times New Roman" w:cs="Times New Roman"/>
          <w:color w:val="000000" w:themeColor="text1"/>
          <w:sz w:val="20"/>
          <w:szCs w:val="20"/>
        </w:rPr>
        <w:t>(Cambridge University Press, 2008) 1, 14.</w:t>
      </w:r>
    </w:p>
  </w:footnote>
  <w:footnote w:id="179">
    <w:p w14:paraId="467C18F2" w14:textId="4D0F8055" w:rsidR="00FE549D" w:rsidRPr="002309CA" w:rsidRDefault="00FE549D" w:rsidP="00FB516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Varun Gauri, </w:t>
      </w:r>
      <w:r w:rsidRPr="002309CA">
        <w:rPr>
          <w:i/>
          <w:iCs/>
          <w:color w:val="000000" w:themeColor="text1"/>
          <w:sz w:val="20"/>
          <w:szCs w:val="20"/>
        </w:rPr>
        <w:t>Redressing Grievances and Complaints Regarding Basic Service Delivery</w:t>
      </w:r>
      <w:r w:rsidRPr="002309CA">
        <w:rPr>
          <w:color w:val="000000" w:themeColor="text1"/>
          <w:sz w:val="20"/>
          <w:szCs w:val="20"/>
        </w:rPr>
        <w:t xml:space="preserve"> (World Bank, 2011) 7.</w:t>
      </w:r>
    </w:p>
  </w:footnote>
  <w:footnote w:id="180">
    <w:p w14:paraId="2A25AAA3" w14:textId="77BF4EEC"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Felner</w:t>
      </w:r>
      <w:proofErr w:type="spellEnd"/>
      <w:r w:rsidRPr="002309CA">
        <w:rPr>
          <w:rFonts w:ascii="Times New Roman" w:hAnsi="Times New Roman" w:cs="Times New Roman"/>
          <w:color w:val="000000" w:themeColor="text1"/>
        </w:rPr>
        <w:t xml:space="preserve"> (n </w:t>
      </w:r>
      <w:r w:rsidR="00CD5CF1" w:rsidRPr="002309CA">
        <w:rPr>
          <w:rFonts w:ascii="Times New Roman" w:hAnsi="Times New Roman" w:cs="Times New Roman"/>
          <w:color w:val="000000" w:themeColor="text1"/>
        </w:rPr>
        <w:t>113</w:t>
      </w:r>
      <w:r w:rsidRPr="002309CA">
        <w:rPr>
          <w:rFonts w:ascii="Times New Roman" w:hAnsi="Times New Roman" w:cs="Times New Roman"/>
          <w:color w:val="000000" w:themeColor="text1"/>
        </w:rPr>
        <w:t>) 430.</w:t>
      </w:r>
    </w:p>
  </w:footnote>
  <w:footnote w:id="181">
    <w:p w14:paraId="4CD2B0E4" w14:textId="245A4391"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Dudai</w:t>
      </w:r>
      <w:proofErr w:type="spellEnd"/>
      <w:r w:rsidRPr="002309CA">
        <w:rPr>
          <w:rFonts w:ascii="Times New Roman" w:hAnsi="Times New Roman" w:cs="Times New Roman"/>
          <w:color w:val="000000" w:themeColor="text1"/>
        </w:rPr>
        <w:t xml:space="preserve"> (n </w:t>
      </w:r>
      <w:r w:rsidR="00F36543" w:rsidRPr="002309CA">
        <w:rPr>
          <w:rFonts w:ascii="Times New Roman" w:hAnsi="Times New Roman" w:cs="Times New Roman"/>
          <w:color w:val="000000" w:themeColor="text1"/>
        </w:rPr>
        <w:t>60</w:t>
      </w:r>
      <w:r w:rsidRPr="002309CA">
        <w:rPr>
          <w:rFonts w:ascii="Times New Roman" w:hAnsi="Times New Roman" w:cs="Times New Roman"/>
          <w:color w:val="000000" w:themeColor="text1"/>
        </w:rPr>
        <w:t>) 393.</w:t>
      </w:r>
    </w:p>
  </w:footnote>
  <w:footnote w:id="182">
    <w:p w14:paraId="6751779D" w14:textId="5CD9E1BF"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Daniel Brinks and Varun Gauri, ‘A New Policy Landscape: Legalizing Social and Economic Rights in the Developing World’ in Gauri and Brinks (eds) (n 1</w:t>
      </w:r>
      <w:r w:rsidR="003E521F" w:rsidRPr="002309CA">
        <w:rPr>
          <w:rFonts w:ascii="Times New Roman" w:hAnsi="Times New Roman" w:cs="Times New Roman"/>
          <w:color w:val="000000" w:themeColor="text1"/>
        </w:rPr>
        <w:t>78</w:t>
      </w:r>
      <w:r w:rsidRPr="002309CA">
        <w:rPr>
          <w:rFonts w:ascii="Times New Roman" w:hAnsi="Times New Roman" w:cs="Times New Roman"/>
          <w:color w:val="000000" w:themeColor="text1"/>
        </w:rPr>
        <w:t>) 348.</w:t>
      </w:r>
    </w:p>
  </w:footnote>
  <w:footnote w:id="183">
    <w:p w14:paraId="391B4E15" w14:textId="717742CD" w:rsidR="00FE549D" w:rsidRPr="002309CA" w:rsidRDefault="00FE549D" w:rsidP="001F6FB5">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Poorvi</w:t>
      </w:r>
      <w:proofErr w:type="spellEnd"/>
      <w:r w:rsidRPr="002309CA">
        <w:rPr>
          <w:color w:val="000000" w:themeColor="text1"/>
          <w:sz w:val="20"/>
          <w:szCs w:val="20"/>
        </w:rPr>
        <w:t xml:space="preserve"> </w:t>
      </w:r>
      <w:proofErr w:type="spellStart"/>
      <w:r w:rsidRPr="002309CA">
        <w:rPr>
          <w:color w:val="000000" w:themeColor="text1"/>
          <w:sz w:val="20"/>
          <w:szCs w:val="20"/>
        </w:rPr>
        <w:t>Chitalkar</w:t>
      </w:r>
      <w:proofErr w:type="spellEnd"/>
      <w:r w:rsidRPr="002309CA">
        <w:rPr>
          <w:color w:val="000000" w:themeColor="text1"/>
          <w:sz w:val="20"/>
          <w:szCs w:val="20"/>
        </w:rPr>
        <w:t xml:space="preserve"> and Varun Gauri, ‘India: Compliance with Orders on the Right to Food’ in Langford, Rodriguez-</w:t>
      </w:r>
      <w:proofErr w:type="spellStart"/>
      <w:r w:rsidRPr="002309CA">
        <w:rPr>
          <w:color w:val="000000" w:themeColor="text1"/>
          <w:sz w:val="20"/>
          <w:szCs w:val="20"/>
        </w:rPr>
        <w:t>Garavito</w:t>
      </w:r>
      <w:proofErr w:type="spellEnd"/>
      <w:r w:rsidRPr="002309CA">
        <w:rPr>
          <w:color w:val="000000" w:themeColor="text1"/>
          <w:sz w:val="20"/>
          <w:szCs w:val="20"/>
        </w:rPr>
        <w:t xml:space="preserve"> and Rossi (eds) (n 1</w:t>
      </w:r>
      <w:r w:rsidR="00872AF7" w:rsidRPr="002309CA">
        <w:rPr>
          <w:color w:val="000000" w:themeColor="text1"/>
          <w:sz w:val="20"/>
          <w:szCs w:val="20"/>
        </w:rPr>
        <w:t>7</w:t>
      </w:r>
      <w:r w:rsidRPr="002309CA">
        <w:rPr>
          <w:color w:val="000000" w:themeColor="text1"/>
          <w:sz w:val="20"/>
          <w:szCs w:val="20"/>
        </w:rPr>
        <w:t>) 288.</w:t>
      </w:r>
    </w:p>
  </w:footnote>
  <w:footnote w:id="184">
    <w:p w14:paraId="40207630" w14:textId="77777777" w:rsidR="00FE549D" w:rsidRPr="002309CA" w:rsidRDefault="00FE549D" w:rsidP="00C110C3">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Raymond </w:t>
      </w:r>
      <w:proofErr w:type="spellStart"/>
      <w:r w:rsidRPr="002309CA">
        <w:rPr>
          <w:color w:val="000000" w:themeColor="text1"/>
          <w:sz w:val="20"/>
          <w:szCs w:val="20"/>
        </w:rPr>
        <w:t>Atuguba</w:t>
      </w:r>
      <w:proofErr w:type="spellEnd"/>
      <w:r w:rsidRPr="002309CA">
        <w:rPr>
          <w:color w:val="000000" w:themeColor="text1"/>
          <w:sz w:val="20"/>
          <w:szCs w:val="20"/>
        </w:rPr>
        <w:t>, ‘The Right to Health in Ghana: Healthcare, Human Rights, and Politics’ in</w:t>
      </w:r>
      <w:r w:rsidRPr="002309CA">
        <w:rPr>
          <w:i/>
          <w:iCs/>
          <w:color w:val="000000" w:themeColor="text1"/>
          <w:sz w:val="20"/>
          <w:szCs w:val="20"/>
        </w:rPr>
        <w:t xml:space="preserve"> </w:t>
      </w:r>
      <w:r w:rsidRPr="002309CA">
        <w:rPr>
          <w:rStyle w:val="Emphasis"/>
          <w:color w:val="000000" w:themeColor="text1"/>
          <w:sz w:val="20"/>
          <w:szCs w:val="20"/>
        </w:rPr>
        <w:t>José</w:t>
      </w:r>
    </w:p>
    <w:p w14:paraId="0AF623B3" w14:textId="5E2E156D" w:rsidR="00FE549D" w:rsidRPr="002309CA" w:rsidRDefault="00FE549D" w:rsidP="00EB2C76">
      <w:pPr>
        <w:rPr>
          <w:color w:val="000000" w:themeColor="text1"/>
          <w:sz w:val="20"/>
          <w:szCs w:val="20"/>
        </w:rPr>
      </w:pPr>
      <w:r w:rsidRPr="002309CA">
        <w:rPr>
          <w:color w:val="000000" w:themeColor="text1"/>
          <w:sz w:val="20"/>
          <w:szCs w:val="20"/>
        </w:rPr>
        <w:t xml:space="preserve">Zuniga, Stephen P. Marks and Lawrence </w:t>
      </w:r>
      <w:proofErr w:type="spellStart"/>
      <w:r w:rsidRPr="002309CA">
        <w:rPr>
          <w:color w:val="000000" w:themeColor="text1"/>
          <w:sz w:val="20"/>
          <w:szCs w:val="20"/>
        </w:rPr>
        <w:t>Gostin</w:t>
      </w:r>
      <w:proofErr w:type="spellEnd"/>
      <w:r w:rsidRPr="002309CA">
        <w:rPr>
          <w:color w:val="000000" w:themeColor="text1"/>
          <w:sz w:val="20"/>
          <w:szCs w:val="20"/>
        </w:rPr>
        <w:t xml:space="preserve"> (eds), </w:t>
      </w:r>
      <w:r w:rsidRPr="002309CA">
        <w:rPr>
          <w:i/>
          <w:iCs/>
          <w:color w:val="000000" w:themeColor="text1"/>
          <w:sz w:val="20"/>
          <w:szCs w:val="20"/>
        </w:rPr>
        <w:t>Advancing the Human Right to Health</w:t>
      </w:r>
      <w:r w:rsidRPr="002309CA">
        <w:rPr>
          <w:color w:val="000000" w:themeColor="text1"/>
          <w:sz w:val="20"/>
          <w:szCs w:val="20"/>
        </w:rPr>
        <w:t xml:space="preserve"> (Oxford University Press, 2013) 101, 104.</w:t>
      </w:r>
    </w:p>
  </w:footnote>
  <w:footnote w:id="185">
    <w:p w14:paraId="1A687CD4" w14:textId="22BDF6CE" w:rsidR="00FE549D" w:rsidRPr="002309CA" w:rsidRDefault="00FE549D" w:rsidP="001E18E7">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Jackie </w:t>
      </w:r>
      <w:proofErr w:type="spellStart"/>
      <w:r w:rsidRPr="002309CA">
        <w:rPr>
          <w:color w:val="000000" w:themeColor="text1"/>
          <w:sz w:val="20"/>
          <w:szCs w:val="20"/>
        </w:rPr>
        <w:t>Dugard</w:t>
      </w:r>
      <w:proofErr w:type="spellEnd"/>
      <w:r w:rsidRPr="002309CA">
        <w:rPr>
          <w:color w:val="000000" w:themeColor="text1"/>
          <w:sz w:val="20"/>
          <w:szCs w:val="20"/>
        </w:rPr>
        <w:t xml:space="preserve"> and Malcolm Langford, ‘Art or Science? Synthesising Lessons from Public Interest Litigation and the Dangers of Legal Determinism’ (2011) 27 </w:t>
      </w:r>
      <w:r w:rsidRPr="002309CA">
        <w:rPr>
          <w:i/>
          <w:iCs/>
          <w:color w:val="000000" w:themeColor="text1"/>
          <w:sz w:val="20"/>
          <w:szCs w:val="20"/>
        </w:rPr>
        <w:t>South African Journal on Human Rights</w:t>
      </w:r>
      <w:r w:rsidRPr="002309CA">
        <w:rPr>
          <w:color w:val="000000" w:themeColor="text1"/>
          <w:sz w:val="20"/>
          <w:szCs w:val="20"/>
        </w:rPr>
        <w:t xml:space="preserve"> 39.</w:t>
      </w:r>
    </w:p>
  </w:footnote>
  <w:footnote w:id="186">
    <w:p w14:paraId="0702C347" w14:textId="5864C0A1" w:rsidR="00FE549D" w:rsidRPr="002309CA" w:rsidRDefault="00FE549D" w:rsidP="00FD48DA">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Daniel Brinks, ‘Solving the Problem of (Non) Compliance in Social and Economic Rights’ in Langford, Rodriguez-</w:t>
      </w:r>
      <w:proofErr w:type="spellStart"/>
      <w:r w:rsidRPr="002309CA">
        <w:rPr>
          <w:color w:val="000000" w:themeColor="text1"/>
          <w:sz w:val="20"/>
          <w:szCs w:val="20"/>
        </w:rPr>
        <w:t>Garavito</w:t>
      </w:r>
      <w:proofErr w:type="spellEnd"/>
      <w:r w:rsidRPr="002309CA">
        <w:rPr>
          <w:color w:val="000000" w:themeColor="text1"/>
          <w:sz w:val="20"/>
          <w:szCs w:val="20"/>
        </w:rPr>
        <w:t xml:space="preserve"> and Rossi (eds) (n 1</w:t>
      </w:r>
      <w:r w:rsidR="00872AF7" w:rsidRPr="002309CA">
        <w:rPr>
          <w:color w:val="000000" w:themeColor="text1"/>
          <w:sz w:val="20"/>
          <w:szCs w:val="20"/>
        </w:rPr>
        <w:t>7</w:t>
      </w:r>
      <w:r w:rsidRPr="002309CA">
        <w:rPr>
          <w:color w:val="000000" w:themeColor="text1"/>
          <w:sz w:val="20"/>
          <w:szCs w:val="20"/>
        </w:rPr>
        <w:t>) 475.</w:t>
      </w:r>
    </w:p>
  </w:footnote>
  <w:footnote w:id="187">
    <w:p w14:paraId="7E06136D" w14:textId="41F39CBC" w:rsidR="00FE549D" w:rsidRPr="002309CA" w:rsidRDefault="00FE549D" w:rsidP="00495A80">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Sally Engle Merry, </w:t>
      </w:r>
      <w:r w:rsidRPr="002309CA">
        <w:rPr>
          <w:i/>
          <w:iCs/>
          <w:color w:val="000000" w:themeColor="text1"/>
          <w:sz w:val="20"/>
          <w:szCs w:val="20"/>
        </w:rPr>
        <w:t>Human Rights and Gender Violence: Translating International Law into Local Justice</w:t>
      </w:r>
      <w:r w:rsidRPr="002309CA">
        <w:rPr>
          <w:color w:val="000000" w:themeColor="text1"/>
          <w:sz w:val="20"/>
          <w:szCs w:val="20"/>
        </w:rPr>
        <w:t xml:space="preserve"> (Chicago University Press, 2009) 228-229.</w:t>
      </w:r>
    </w:p>
  </w:footnote>
  <w:footnote w:id="188">
    <w:p w14:paraId="5AD53572" w14:textId="54C42B36" w:rsidR="00FE549D" w:rsidRPr="002309CA" w:rsidRDefault="00FE549D" w:rsidP="00940F67">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Moser et al (n 7</w:t>
      </w:r>
      <w:r w:rsidR="00F36543" w:rsidRPr="002309CA">
        <w:rPr>
          <w:rFonts w:ascii="Times New Roman" w:hAnsi="Times New Roman" w:cs="Times New Roman"/>
          <w:color w:val="000000" w:themeColor="text1"/>
        </w:rPr>
        <w:t>9</w:t>
      </w:r>
      <w:r w:rsidRPr="002309CA">
        <w:rPr>
          <w:rFonts w:ascii="Times New Roman" w:hAnsi="Times New Roman" w:cs="Times New Roman"/>
          <w:color w:val="000000" w:themeColor="text1"/>
        </w:rPr>
        <w:t>) 21.</w:t>
      </w:r>
    </w:p>
  </w:footnote>
  <w:footnote w:id="189">
    <w:p w14:paraId="7B7C7CD7" w14:textId="2134B449" w:rsidR="00FE549D" w:rsidRPr="002309CA" w:rsidRDefault="00FE549D" w:rsidP="00940F67">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LaDawn</w:t>
      </w:r>
      <w:proofErr w:type="spellEnd"/>
      <w:r w:rsidRPr="002309CA">
        <w:rPr>
          <w:color w:val="000000" w:themeColor="text1"/>
          <w:sz w:val="20"/>
          <w:szCs w:val="20"/>
        </w:rPr>
        <w:t xml:space="preserve"> Haglund and </w:t>
      </w:r>
      <w:proofErr w:type="spellStart"/>
      <w:r w:rsidRPr="002309CA">
        <w:rPr>
          <w:color w:val="000000" w:themeColor="text1"/>
          <w:sz w:val="20"/>
          <w:szCs w:val="20"/>
        </w:rPr>
        <w:t>Rimjhim</w:t>
      </w:r>
      <w:proofErr w:type="spellEnd"/>
      <w:r w:rsidRPr="002309CA">
        <w:rPr>
          <w:color w:val="000000" w:themeColor="text1"/>
          <w:sz w:val="20"/>
          <w:szCs w:val="20"/>
        </w:rPr>
        <w:t xml:space="preserve"> Aggarwal, ‘Test of Our Progress: The Translation of Economic and Social Rights Norms into Practice’ (2011) 10 </w:t>
      </w:r>
      <w:r w:rsidRPr="002309CA">
        <w:rPr>
          <w:i/>
          <w:iCs/>
          <w:color w:val="000000" w:themeColor="text1"/>
          <w:sz w:val="20"/>
          <w:szCs w:val="20"/>
        </w:rPr>
        <w:t>Journal of Human Rights</w:t>
      </w:r>
      <w:r w:rsidRPr="002309CA">
        <w:rPr>
          <w:color w:val="000000" w:themeColor="text1"/>
          <w:sz w:val="20"/>
          <w:szCs w:val="20"/>
        </w:rPr>
        <w:t xml:space="preserve"> 494, 501.</w:t>
      </w:r>
    </w:p>
  </w:footnote>
  <w:footnote w:id="190">
    <w:p w14:paraId="72B991AE" w14:textId="213C1838" w:rsidR="00FE549D" w:rsidRPr="002309CA" w:rsidRDefault="00FE549D" w:rsidP="00E8482C">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Ariadna</w:t>
      </w:r>
      <w:proofErr w:type="spellEnd"/>
      <w:r w:rsidRPr="002309CA">
        <w:rPr>
          <w:color w:val="000000" w:themeColor="text1"/>
          <w:sz w:val="20"/>
          <w:szCs w:val="20"/>
        </w:rPr>
        <w:t xml:space="preserve"> </w:t>
      </w:r>
      <w:proofErr w:type="spellStart"/>
      <w:r w:rsidRPr="002309CA">
        <w:rPr>
          <w:color w:val="000000" w:themeColor="text1"/>
          <w:sz w:val="20"/>
          <w:szCs w:val="20"/>
        </w:rPr>
        <w:t>Estévez</w:t>
      </w:r>
      <w:proofErr w:type="spellEnd"/>
      <w:r w:rsidRPr="002309CA">
        <w:rPr>
          <w:color w:val="000000" w:themeColor="text1"/>
          <w:sz w:val="20"/>
          <w:szCs w:val="20"/>
        </w:rPr>
        <w:t xml:space="preserve">, ‘Human Rights in Contemporary Political Sociology: The Primacy of Social Subjects’ (2011) 33 </w:t>
      </w:r>
      <w:r w:rsidRPr="002309CA">
        <w:rPr>
          <w:i/>
          <w:iCs/>
          <w:color w:val="000000" w:themeColor="text1"/>
          <w:sz w:val="20"/>
          <w:szCs w:val="20"/>
        </w:rPr>
        <w:t>Human Rights Quarterly</w:t>
      </w:r>
      <w:r w:rsidRPr="002309CA">
        <w:rPr>
          <w:color w:val="000000" w:themeColor="text1"/>
          <w:sz w:val="20"/>
          <w:szCs w:val="20"/>
        </w:rPr>
        <w:t xml:space="preserve"> 1142, 1152-3.</w:t>
      </w:r>
    </w:p>
  </w:footnote>
  <w:footnote w:id="191">
    <w:p w14:paraId="0FE504DB" w14:textId="4C044358" w:rsidR="00FE549D" w:rsidRPr="002309CA" w:rsidRDefault="00FE549D" w:rsidP="004124AD">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Paul Hunt, ‘Rights and Social Movements: Counter-Hegemonic Strategies’ (1990) 17 </w:t>
      </w:r>
      <w:r w:rsidRPr="002309CA">
        <w:rPr>
          <w:i/>
          <w:iCs/>
          <w:color w:val="000000" w:themeColor="text1"/>
          <w:sz w:val="20"/>
          <w:szCs w:val="20"/>
        </w:rPr>
        <w:t>Journal of Law &amp; Society</w:t>
      </w:r>
      <w:r w:rsidRPr="002309CA">
        <w:rPr>
          <w:color w:val="000000" w:themeColor="text1"/>
          <w:sz w:val="20"/>
          <w:szCs w:val="20"/>
        </w:rPr>
        <w:t xml:space="preserve"> 309.</w:t>
      </w:r>
    </w:p>
  </w:footnote>
  <w:footnote w:id="192">
    <w:p w14:paraId="2C321BAC" w14:textId="6AB855A8"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r w:rsidR="00CD5CF1" w:rsidRPr="002309CA">
        <w:rPr>
          <w:rFonts w:ascii="Times New Roman" w:hAnsi="Times New Roman" w:cs="Times New Roman"/>
          <w:color w:val="000000" w:themeColor="text1"/>
        </w:rPr>
        <w:t xml:space="preserve">Young, </w:t>
      </w:r>
      <w:r w:rsidR="00CD5CF1" w:rsidRPr="002309CA">
        <w:rPr>
          <w:rFonts w:ascii="Times New Roman" w:hAnsi="Times New Roman" w:cs="Times New Roman"/>
          <w:i/>
          <w:iCs/>
          <w:color w:val="000000" w:themeColor="text1"/>
        </w:rPr>
        <w:t>Constituting</w:t>
      </w:r>
      <w:r w:rsidR="00CD5CF1" w:rsidRPr="002309CA">
        <w:rPr>
          <w:rFonts w:ascii="Times New Roman" w:hAnsi="Times New Roman" w:cs="Times New Roman"/>
          <w:color w:val="000000" w:themeColor="text1"/>
        </w:rPr>
        <w:t xml:space="preserve"> (n 108) </w:t>
      </w:r>
      <w:r w:rsidRPr="002309CA">
        <w:rPr>
          <w:rFonts w:ascii="Times New Roman" w:hAnsi="Times New Roman" w:cs="Times New Roman"/>
          <w:color w:val="000000" w:themeColor="text1"/>
        </w:rPr>
        <w:t>239 and 244.</w:t>
      </w:r>
    </w:p>
  </w:footnote>
  <w:footnote w:id="193">
    <w:p w14:paraId="21E4D6DE" w14:textId="213D7BC2" w:rsidR="00FE549D" w:rsidRPr="002309CA" w:rsidRDefault="00FE549D" w:rsidP="004124AD">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Michael Goodhart, ‘Human Rights and the Politics of Contestation’ in Mark Goodale (ed), </w:t>
      </w:r>
      <w:r w:rsidRPr="002309CA">
        <w:rPr>
          <w:i/>
          <w:iCs/>
          <w:color w:val="000000" w:themeColor="text1"/>
          <w:sz w:val="20"/>
          <w:szCs w:val="20"/>
        </w:rPr>
        <w:t>Human Rights at the Crossroads</w:t>
      </w:r>
      <w:r w:rsidRPr="002309CA">
        <w:rPr>
          <w:color w:val="000000" w:themeColor="text1"/>
          <w:sz w:val="20"/>
          <w:szCs w:val="20"/>
        </w:rPr>
        <w:t xml:space="preserve"> (Oxford University Press, 2013) 31, 31.</w:t>
      </w:r>
    </w:p>
  </w:footnote>
  <w:footnote w:id="194">
    <w:p w14:paraId="1F6D8D44" w14:textId="2A2573B0" w:rsidR="00FE549D" w:rsidRPr="002309CA" w:rsidRDefault="00FE549D" w:rsidP="003259B6">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w:t>
      </w:r>
      <w:proofErr w:type="spellStart"/>
      <w:r w:rsidRPr="002309CA">
        <w:rPr>
          <w:color w:val="000000" w:themeColor="text1"/>
          <w:sz w:val="20"/>
          <w:szCs w:val="20"/>
        </w:rPr>
        <w:t>Ariadna</w:t>
      </w:r>
      <w:proofErr w:type="spellEnd"/>
      <w:r w:rsidRPr="002309CA">
        <w:rPr>
          <w:color w:val="000000" w:themeColor="text1"/>
          <w:sz w:val="20"/>
          <w:szCs w:val="20"/>
        </w:rPr>
        <w:t xml:space="preserve"> </w:t>
      </w:r>
      <w:proofErr w:type="spellStart"/>
      <w:r w:rsidRPr="002309CA">
        <w:rPr>
          <w:color w:val="000000" w:themeColor="text1"/>
          <w:sz w:val="20"/>
          <w:szCs w:val="20"/>
        </w:rPr>
        <w:t>Estévez</w:t>
      </w:r>
      <w:proofErr w:type="spellEnd"/>
      <w:r w:rsidRPr="002309CA">
        <w:rPr>
          <w:color w:val="000000" w:themeColor="text1"/>
          <w:sz w:val="20"/>
          <w:szCs w:val="20"/>
        </w:rPr>
        <w:t xml:space="preserve">, ‘A Latin American </w:t>
      </w:r>
      <w:proofErr w:type="spellStart"/>
      <w:r w:rsidRPr="002309CA">
        <w:rPr>
          <w:color w:val="000000" w:themeColor="text1"/>
          <w:sz w:val="20"/>
          <w:szCs w:val="20"/>
        </w:rPr>
        <w:t>Sociopolitical</w:t>
      </w:r>
      <w:proofErr w:type="spellEnd"/>
      <w:r w:rsidRPr="002309CA">
        <w:rPr>
          <w:color w:val="000000" w:themeColor="text1"/>
          <w:sz w:val="20"/>
          <w:szCs w:val="20"/>
        </w:rPr>
        <w:t xml:space="preserve"> Conceptualization of Human Rights’ (2008) 7 </w:t>
      </w:r>
      <w:r w:rsidRPr="002309CA">
        <w:rPr>
          <w:i/>
          <w:iCs/>
          <w:color w:val="000000" w:themeColor="text1"/>
          <w:sz w:val="20"/>
          <w:szCs w:val="20"/>
        </w:rPr>
        <w:t>Journal of Human Rights</w:t>
      </w:r>
      <w:r w:rsidRPr="002309CA">
        <w:rPr>
          <w:color w:val="000000" w:themeColor="text1"/>
          <w:sz w:val="20"/>
          <w:szCs w:val="20"/>
        </w:rPr>
        <w:t xml:space="preserve"> 245, 255.</w:t>
      </w:r>
    </w:p>
  </w:footnote>
  <w:footnote w:id="195">
    <w:p w14:paraId="2DA49058" w14:textId="60989100" w:rsidR="00FE549D" w:rsidRPr="002309CA" w:rsidRDefault="00FE549D" w:rsidP="00657EFA">
      <w:pPr>
        <w:pStyle w:val="Heading3"/>
        <w:rPr>
          <w:rFonts w:ascii="Times New Roman" w:eastAsia="Times New Roman" w:hAnsi="Times New Roman" w:cs="Times New Roman"/>
          <w:color w:val="000000" w:themeColor="text1"/>
          <w:sz w:val="20"/>
          <w:szCs w:val="20"/>
        </w:rPr>
      </w:pPr>
      <w:r w:rsidRPr="002309CA">
        <w:rPr>
          <w:rStyle w:val="FootnoteReference"/>
          <w:rFonts w:ascii="Times New Roman" w:hAnsi="Times New Roman" w:cs="Times New Roman"/>
          <w:color w:val="000000" w:themeColor="text1"/>
          <w:sz w:val="20"/>
          <w:szCs w:val="20"/>
        </w:rPr>
        <w:footnoteRef/>
      </w:r>
      <w:r w:rsidRPr="002309CA">
        <w:rPr>
          <w:rFonts w:ascii="Times New Roman" w:hAnsi="Times New Roman" w:cs="Times New Roman"/>
          <w:color w:val="000000" w:themeColor="text1"/>
          <w:sz w:val="20"/>
          <w:szCs w:val="20"/>
        </w:rPr>
        <w:t xml:space="preserve"> Jean </w:t>
      </w:r>
      <w:proofErr w:type="spellStart"/>
      <w:r w:rsidRPr="002309CA">
        <w:rPr>
          <w:rFonts w:ascii="Times New Roman" w:eastAsia="Times New Roman" w:hAnsi="Times New Roman" w:cs="Times New Roman"/>
          <w:color w:val="000000" w:themeColor="text1"/>
          <w:sz w:val="20"/>
          <w:szCs w:val="20"/>
        </w:rPr>
        <w:t>Drěze</w:t>
      </w:r>
      <w:proofErr w:type="spellEnd"/>
      <w:r w:rsidRPr="002309CA">
        <w:rPr>
          <w:rFonts w:ascii="Times New Roman" w:eastAsia="Times New Roman" w:hAnsi="Times New Roman" w:cs="Times New Roman"/>
          <w:color w:val="000000" w:themeColor="text1"/>
          <w:sz w:val="20"/>
          <w:szCs w:val="20"/>
        </w:rPr>
        <w:t xml:space="preserve">, ‘Democracy and the Right to Food’ in </w:t>
      </w:r>
      <w:r w:rsidR="003E521F" w:rsidRPr="002309CA">
        <w:rPr>
          <w:rFonts w:ascii="Times New Roman" w:hAnsi="Times New Roman" w:cs="Times New Roman"/>
          <w:color w:val="000000" w:themeColor="text1"/>
          <w:sz w:val="20"/>
          <w:szCs w:val="20"/>
        </w:rPr>
        <w:t xml:space="preserve">Philip Alston and Mary Robinson (eds), </w:t>
      </w:r>
      <w:r w:rsidR="003E521F" w:rsidRPr="002309CA">
        <w:rPr>
          <w:rFonts w:ascii="Times New Roman" w:hAnsi="Times New Roman" w:cs="Times New Roman"/>
          <w:i/>
          <w:iCs/>
          <w:color w:val="000000" w:themeColor="text1"/>
          <w:sz w:val="20"/>
          <w:szCs w:val="20"/>
        </w:rPr>
        <w:t>Human Rights and Development: Towards Mutual Reinforcement</w:t>
      </w:r>
      <w:r w:rsidR="003E521F" w:rsidRPr="002309CA">
        <w:rPr>
          <w:rFonts w:ascii="Times New Roman" w:hAnsi="Times New Roman" w:cs="Times New Roman"/>
          <w:color w:val="000000" w:themeColor="text1"/>
          <w:sz w:val="20"/>
          <w:szCs w:val="20"/>
        </w:rPr>
        <w:t xml:space="preserve"> (Oxford University Press, 2005</w:t>
      </w:r>
      <w:proofErr w:type="gramStart"/>
      <w:r w:rsidR="003E521F" w:rsidRPr="002309CA">
        <w:rPr>
          <w:rFonts w:ascii="Times New Roman" w:hAnsi="Times New Roman" w:cs="Times New Roman"/>
          <w:color w:val="000000" w:themeColor="text1"/>
          <w:sz w:val="20"/>
          <w:szCs w:val="20"/>
        </w:rPr>
        <w:t xml:space="preserve">) </w:t>
      </w:r>
      <w:r w:rsidRPr="002309CA">
        <w:rPr>
          <w:rFonts w:ascii="Times New Roman" w:eastAsia="Times New Roman" w:hAnsi="Times New Roman" w:cs="Times New Roman"/>
          <w:color w:val="000000" w:themeColor="text1"/>
          <w:sz w:val="20"/>
          <w:szCs w:val="20"/>
        </w:rPr>
        <w:t xml:space="preserve"> 45</w:t>
      </w:r>
      <w:proofErr w:type="gramEnd"/>
      <w:r w:rsidRPr="002309CA">
        <w:rPr>
          <w:rFonts w:ascii="Times New Roman" w:eastAsia="Times New Roman" w:hAnsi="Times New Roman" w:cs="Times New Roman"/>
          <w:color w:val="000000" w:themeColor="text1"/>
          <w:sz w:val="20"/>
          <w:szCs w:val="20"/>
        </w:rPr>
        <w:t>-64.</w:t>
      </w:r>
    </w:p>
  </w:footnote>
  <w:footnote w:id="196">
    <w:p w14:paraId="7F79AE6A" w14:textId="6E86D4ED"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Joshi (n 1</w:t>
      </w:r>
      <w:r w:rsidR="00CD5CF1" w:rsidRPr="002309CA">
        <w:rPr>
          <w:rFonts w:ascii="Times New Roman" w:hAnsi="Times New Roman" w:cs="Times New Roman"/>
          <w:color w:val="000000" w:themeColor="text1"/>
        </w:rPr>
        <w:t>60</w:t>
      </w:r>
      <w:r w:rsidRPr="002309CA">
        <w:rPr>
          <w:rFonts w:ascii="Times New Roman" w:hAnsi="Times New Roman" w:cs="Times New Roman"/>
          <w:color w:val="000000" w:themeColor="text1"/>
        </w:rPr>
        <w:t>) 621.</w:t>
      </w:r>
    </w:p>
  </w:footnote>
  <w:footnote w:id="197">
    <w:p w14:paraId="6A55C7A4" w14:textId="27957825" w:rsidR="00FE549D" w:rsidRPr="002309CA" w:rsidRDefault="00FE549D" w:rsidP="00C30B04">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Yash </w:t>
      </w:r>
      <w:proofErr w:type="spellStart"/>
      <w:r w:rsidRPr="002309CA">
        <w:rPr>
          <w:color w:val="000000" w:themeColor="text1"/>
          <w:sz w:val="20"/>
          <w:szCs w:val="20"/>
        </w:rPr>
        <w:t>Ghai</w:t>
      </w:r>
      <w:proofErr w:type="spellEnd"/>
      <w:r w:rsidRPr="002309CA">
        <w:rPr>
          <w:color w:val="000000" w:themeColor="text1"/>
          <w:sz w:val="20"/>
          <w:szCs w:val="20"/>
        </w:rPr>
        <w:t xml:space="preserve">, ‘Yash </w:t>
      </w:r>
      <w:proofErr w:type="spellStart"/>
      <w:r w:rsidRPr="002309CA">
        <w:rPr>
          <w:color w:val="000000" w:themeColor="text1"/>
          <w:sz w:val="20"/>
          <w:szCs w:val="20"/>
        </w:rPr>
        <w:t>Ghai</w:t>
      </w:r>
      <w:proofErr w:type="spellEnd"/>
      <w:r w:rsidRPr="002309CA">
        <w:rPr>
          <w:color w:val="000000" w:themeColor="text1"/>
          <w:sz w:val="20"/>
          <w:szCs w:val="20"/>
        </w:rPr>
        <w:t xml:space="preserve">’ in William Twining (ed), </w:t>
      </w:r>
      <w:r w:rsidRPr="002309CA">
        <w:rPr>
          <w:i/>
          <w:iCs/>
          <w:color w:val="000000" w:themeColor="text1"/>
          <w:sz w:val="20"/>
          <w:szCs w:val="20"/>
        </w:rPr>
        <w:t xml:space="preserve">Human Rights, Southern Voices: Francis Deng, Abdullahi An-Na'im, Yash </w:t>
      </w:r>
      <w:proofErr w:type="spellStart"/>
      <w:r w:rsidRPr="002309CA">
        <w:rPr>
          <w:i/>
          <w:iCs/>
          <w:color w:val="000000" w:themeColor="text1"/>
          <w:sz w:val="20"/>
          <w:szCs w:val="20"/>
        </w:rPr>
        <w:t>Ghai</w:t>
      </w:r>
      <w:proofErr w:type="spellEnd"/>
      <w:r w:rsidRPr="002309CA">
        <w:rPr>
          <w:i/>
          <w:iCs/>
          <w:color w:val="000000" w:themeColor="text1"/>
          <w:sz w:val="20"/>
          <w:szCs w:val="20"/>
        </w:rPr>
        <w:t xml:space="preserve"> and Upendra </w:t>
      </w:r>
      <w:proofErr w:type="spellStart"/>
      <w:r w:rsidRPr="002309CA">
        <w:rPr>
          <w:i/>
          <w:iCs/>
          <w:color w:val="000000" w:themeColor="text1"/>
          <w:sz w:val="20"/>
          <w:szCs w:val="20"/>
        </w:rPr>
        <w:t>Baxi</w:t>
      </w:r>
      <w:proofErr w:type="spellEnd"/>
      <w:r w:rsidRPr="002309CA">
        <w:rPr>
          <w:color w:val="000000" w:themeColor="text1"/>
          <w:sz w:val="20"/>
          <w:szCs w:val="20"/>
        </w:rPr>
        <w:t xml:space="preserve"> (Oxford University Press, 2009) 104, 149.</w:t>
      </w:r>
    </w:p>
  </w:footnote>
  <w:footnote w:id="198">
    <w:p w14:paraId="1576892B" w14:textId="19D2590C"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Yamin</w:t>
      </w:r>
      <w:proofErr w:type="spellEnd"/>
      <w:r w:rsidRPr="002309CA">
        <w:rPr>
          <w:rFonts w:ascii="Times New Roman" w:hAnsi="Times New Roman" w:cs="Times New Roman"/>
          <w:color w:val="000000" w:themeColor="text1"/>
        </w:rPr>
        <w:t xml:space="preserve"> ‘Future in the Mirror’ (n </w:t>
      </w:r>
      <w:r w:rsidR="006C46AF" w:rsidRPr="002309CA">
        <w:rPr>
          <w:rFonts w:ascii="Times New Roman" w:hAnsi="Times New Roman" w:cs="Times New Roman"/>
          <w:color w:val="000000" w:themeColor="text1"/>
        </w:rPr>
        <w:t>4</w:t>
      </w:r>
      <w:r w:rsidRPr="002309CA">
        <w:rPr>
          <w:rFonts w:ascii="Times New Roman" w:hAnsi="Times New Roman" w:cs="Times New Roman"/>
          <w:color w:val="000000" w:themeColor="text1"/>
        </w:rPr>
        <w:t>0) 1239.</w:t>
      </w:r>
    </w:p>
  </w:footnote>
  <w:footnote w:id="199">
    <w:p w14:paraId="3895E6CF" w14:textId="46C5B2C4"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Gerald Rosenberg, </w:t>
      </w:r>
      <w:r w:rsidRPr="002309CA">
        <w:rPr>
          <w:rFonts w:ascii="Times New Roman" w:hAnsi="Times New Roman" w:cs="Times New Roman"/>
          <w:i/>
          <w:iCs/>
          <w:color w:val="000000" w:themeColor="text1"/>
        </w:rPr>
        <w:t xml:space="preserve">The Hollow Hope: Can Courts Bring </w:t>
      </w:r>
      <w:proofErr w:type="gramStart"/>
      <w:r w:rsidRPr="002309CA">
        <w:rPr>
          <w:rFonts w:ascii="Times New Roman" w:hAnsi="Times New Roman" w:cs="Times New Roman"/>
          <w:i/>
          <w:iCs/>
          <w:color w:val="000000" w:themeColor="text1"/>
        </w:rPr>
        <w:t>about</w:t>
      </w:r>
      <w:proofErr w:type="gramEnd"/>
      <w:r w:rsidRPr="002309CA">
        <w:rPr>
          <w:rFonts w:ascii="Times New Roman" w:hAnsi="Times New Roman" w:cs="Times New Roman"/>
          <w:i/>
          <w:iCs/>
          <w:color w:val="000000" w:themeColor="text1"/>
        </w:rPr>
        <w:t xml:space="preserve"> Social Change?</w:t>
      </w:r>
      <w:r w:rsidRPr="002309CA">
        <w:rPr>
          <w:rFonts w:ascii="Times New Roman" w:hAnsi="Times New Roman" w:cs="Times New Roman"/>
          <w:color w:val="000000" w:themeColor="text1"/>
        </w:rPr>
        <w:t xml:space="preserve"> (University of Chicago Press, 1991).</w:t>
      </w:r>
    </w:p>
  </w:footnote>
  <w:footnote w:id="200">
    <w:p w14:paraId="5BB5F687" w14:textId="071EC955"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Moser </w:t>
      </w:r>
      <w:r w:rsidRPr="002309CA">
        <w:rPr>
          <w:rFonts w:ascii="Times New Roman" w:hAnsi="Times New Roman" w:cs="Times New Roman"/>
          <w:i/>
          <w:iCs/>
          <w:color w:val="000000" w:themeColor="text1"/>
        </w:rPr>
        <w:t>et al</w:t>
      </w:r>
      <w:r w:rsidRPr="002309CA">
        <w:rPr>
          <w:rFonts w:ascii="Times New Roman" w:hAnsi="Times New Roman" w:cs="Times New Roman"/>
          <w:color w:val="000000" w:themeColor="text1"/>
        </w:rPr>
        <w:t xml:space="preserve"> (n 7</w:t>
      </w:r>
      <w:r w:rsidR="00F36543" w:rsidRPr="002309CA">
        <w:rPr>
          <w:rFonts w:ascii="Times New Roman" w:hAnsi="Times New Roman" w:cs="Times New Roman"/>
          <w:color w:val="000000" w:themeColor="text1"/>
        </w:rPr>
        <w:t>9</w:t>
      </w:r>
      <w:r w:rsidRPr="002309CA">
        <w:rPr>
          <w:rFonts w:ascii="Times New Roman" w:hAnsi="Times New Roman" w:cs="Times New Roman"/>
          <w:color w:val="000000" w:themeColor="text1"/>
        </w:rPr>
        <w:t>) 35.</w:t>
      </w:r>
    </w:p>
  </w:footnote>
  <w:footnote w:id="201">
    <w:p w14:paraId="73BA7692" w14:textId="201F7022" w:rsidR="00FE549D" w:rsidRPr="002309CA" w:rsidRDefault="00FE549D" w:rsidP="0098022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UN Research Institute for Social Development, </w:t>
      </w:r>
      <w:r w:rsidRPr="002309CA">
        <w:rPr>
          <w:rFonts w:ascii="Times New Roman" w:hAnsi="Times New Roman" w:cs="Times New Roman"/>
          <w:i/>
          <w:iCs/>
          <w:color w:val="000000" w:themeColor="text1"/>
        </w:rPr>
        <w:t>Transformative Social Policy: Lessons from UNRISD Research</w:t>
      </w:r>
      <w:r w:rsidRPr="002309CA">
        <w:rPr>
          <w:rFonts w:ascii="Times New Roman" w:hAnsi="Times New Roman" w:cs="Times New Roman"/>
          <w:color w:val="000000" w:themeColor="text1"/>
        </w:rPr>
        <w:t xml:space="preserve"> (Report) (2006) &lt;</w:t>
      </w:r>
      <w:hyperlink r:id="rId4" w:history="1">
        <w:r w:rsidRPr="002309CA">
          <w:rPr>
            <w:rStyle w:val="Hyperlink"/>
            <w:rFonts w:ascii="Times New Roman" w:hAnsi="Times New Roman" w:cs="Times New Roman"/>
            <w:color w:val="000000" w:themeColor="text1"/>
            <w:u w:val="none"/>
          </w:rPr>
          <w:t>https://www.unrisd.org/rpb5</w:t>
        </w:r>
      </w:hyperlink>
      <w:r w:rsidRPr="002309CA">
        <w:rPr>
          <w:rStyle w:val="Hyperlink"/>
          <w:rFonts w:ascii="Times New Roman" w:hAnsi="Times New Roman" w:cs="Times New Roman"/>
          <w:color w:val="000000" w:themeColor="text1"/>
          <w:u w:val="none"/>
        </w:rPr>
        <w:t>&gt;</w:t>
      </w:r>
      <w:r w:rsidRPr="002309CA">
        <w:rPr>
          <w:rFonts w:ascii="Times New Roman" w:hAnsi="Times New Roman" w:cs="Times New Roman"/>
          <w:color w:val="000000" w:themeColor="text1"/>
        </w:rPr>
        <w:t xml:space="preserve"> 5.</w:t>
      </w:r>
    </w:p>
  </w:footnote>
  <w:footnote w:id="202">
    <w:p w14:paraId="57A61A33" w14:textId="1169AD6C"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Pr="002309CA">
        <w:rPr>
          <w:rFonts w:ascii="Times New Roman" w:hAnsi="Times New Roman" w:cs="Times New Roman"/>
          <w:color w:val="000000" w:themeColor="text1"/>
        </w:rPr>
        <w:t>Yamin</w:t>
      </w:r>
      <w:proofErr w:type="spellEnd"/>
      <w:r w:rsidRPr="002309CA">
        <w:rPr>
          <w:rFonts w:ascii="Times New Roman" w:hAnsi="Times New Roman" w:cs="Times New Roman"/>
          <w:color w:val="000000" w:themeColor="text1"/>
        </w:rPr>
        <w:t xml:space="preserve"> ‘Future in the Mirror’ (n </w:t>
      </w:r>
      <w:r w:rsidR="006C46AF" w:rsidRPr="002309CA">
        <w:rPr>
          <w:rFonts w:ascii="Times New Roman" w:hAnsi="Times New Roman" w:cs="Times New Roman"/>
          <w:color w:val="000000" w:themeColor="text1"/>
        </w:rPr>
        <w:t>4</w:t>
      </w:r>
      <w:r w:rsidRPr="002309CA">
        <w:rPr>
          <w:rFonts w:ascii="Times New Roman" w:hAnsi="Times New Roman" w:cs="Times New Roman"/>
          <w:color w:val="000000" w:themeColor="text1"/>
        </w:rPr>
        <w:t>0) 1204 and 1207.</w:t>
      </w:r>
    </w:p>
  </w:footnote>
  <w:footnote w:id="203">
    <w:p w14:paraId="3540BA2A" w14:textId="62CB9442"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Patel and </w:t>
      </w:r>
      <w:proofErr w:type="spellStart"/>
      <w:r w:rsidRPr="002309CA">
        <w:rPr>
          <w:rFonts w:ascii="Times New Roman" w:hAnsi="Times New Roman" w:cs="Times New Roman"/>
          <w:color w:val="000000" w:themeColor="text1"/>
        </w:rPr>
        <w:t>Mitlin</w:t>
      </w:r>
      <w:proofErr w:type="spellEnd"/>
      <w:r w:rsidRPr="002309CA">
        <w:rPr>
          <w:rFonts w:ascii="Times New Roman" w:hAnsi="Times New Roman" w:cs="Times New Roman"/>
          <w:color w:val="000000" w:themeColor="text1"/>
        </w:rPr>
        <w:t xml:space="preserve"> (n 1</w:t>
      </w:r>
      <w:r w:rsidR="003E521F" w:rsidRPr="002309CA">
        <w:rPr>
          <w:rFonts w:ascii="Times New Roman" w:hAnsi="Times New Roman" w:cs="Times New Roman"/>
          <w:color w:val="000000" w:themeColor="text1"/>
        </w:rPr>
        <w:t>71</w:t>
      </w:r>
      <w:r w:rsidRPr="002309CA">
        <w:rPr>
          <w:rFonts w:ascii="Times New Roman" w:hAnsi="Times New Roman" w:cs="Times New Roman"/>
          <w:color w:val="000000" w:themeColor="text1"/>
        </w:rPr>
        <w:t>) 111.</w:t>
      </w:r>
    </w:p>
  </w:footnote>
  <w:footnote w:id="204">
    <w:p w14:paraId="56CA2A61" w14:textId="6C802399" w:rsidR="00FE549D" w:rsidRPr="002309CA" w:rsidRDefault="00FE549D" w:rsidP="0098022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r w:rsidR="00CD5CF1" w:rsidRPr="002309CA">
        <w:rPr>
          <w:rFonts w:ascii="Times New Roman" w:hAnsi="Times New Roman" w:cs="Times New Roman"/>
          <w:color w:val="000000" w:themeColor="text1"/>
        </w:rPr>
        <w:t xml:space="preserve">Young, </w:t>
      </w:r>
      <w:r w:rsidR="00CD5CF1" w:rsidRPr="002309CA">
        <w:rPr>
          <w:rFonts w:ascii="Times New Roman" w:hAnsi="Times New Roman" w:cs="Times New Roman"/>
          <w:i/>
          <w:iCs/>
          <w:color w:val="000000" w:themeColor="text1"/>
        </w:rPr>
        <w:t>Constituting</w:t>
      </w:r>
      <w:r w:rsidR="00CD5CF1" w:rsidRPr="002309CA">
        <w:rPr>
          <w:rFonts w:ascii="Times New Roman" w:hAnsi="Times New Roman" w:cs="Times New Roman"/>
          <w:color w:val="000000" w:themeColor="text1"/>
        </w:rPr>
        <w:t xml:space="preserve"> (n 108) </w:t>
      </w:r>
      <w:r w:rsidRPr="002309CA">
        <w:rPr>
          <w:rFonts w:ascii="Times New Roman" w:hAnsi="Times New Roman" w:cs="Times New Roman"/>
          <w:color w:val="000000" w:themeColor="text1"/>
        </w:rPr>
        <w:t>225.</w:t>
      </w:r>
    </w:p>
  </w:footnote>
  <w:footnote w:id="205">
    <w:p w14:paraId="4AE98F1A" w14:textId="449ABBD4" w:rsidR="00FE549D" w:rsidRPr="002309CA" w:rsidRDefault="00FE549D" w:rsidP="00CF4BD0">
      <w:pPr>
        <w:rPr>
          <w:color w:val="000000" w:themeColor="text1"/>
          <w:sz w:val="20"/>
          <w:szCs w:val="20"/>
        </w:rPr>
      </w:pPr>
      <w:r w:rsidRPr="002309CA">
        <w:rPr>
          <w:rStyle w:val="FootnoteReference"/>
          <w:color w:val="000000" w:themeColor="text1"/>
          <w:sz w:val="20"/>
          <w:szCs w:val="20"/>
        </w:rPr>
        <w:footnoteRef/>
      </w:r>
      <w:r w:rsidRPr="002309CA">
        <w:rPr>
          <w:color w:val="000000" w:themeColor="text1"/>
          <w:sz w:val="20"/>
          <w:szCs w:val="20"/>
        </w:rPr>
        <w:t xml:space="preserve"> O'Connell et al (n </w:t>
      </w:r>
      <w:r w:rsidR="0076559D" w:rsidRPr="002309CA">
        <w:rPr>
          <w:color w:val="000000" w:themeColor="text1"/>
          <w:sz w:val="20"/>
          <w:szCs w:val="20"/>
        </w:rPr>
        <w:t>6</w:t>
      </w:r>
      <w:r w:rsidRPr="002309CA">
        <w:rPr>
          <w:color w:val="000000" w:themeColor="text1"/>
          <w:sz w:val="20"/>
          <w:szCs w:val="20"/>
        </w:rPr>
        <w:t>) 198.</w:t>
      </w:r>
    </w:p>
  </w:footnote>
  <w:footnote w:id="206">
    <w:p w14:paraId="7D23A432" w14:textId="33F26387" w:rsidR="00FE549D" w:rsidRPr="002309CA" w:rsidRDefault="00FE549D" w:rsidP="00CF4BD0">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r w:rsidR="00CD5CF1" w:rsidRPr="002309CA">
        <w:rPr>
          <w:rFonts w:ascii="Times New Roman" w:hAnsi="Times New Roman" w:cs="Times New Roman"/>
          <w:color w:val="000000" w:themeColor="text1"/>
        </w:rPr>
        <w:t xml:space="preserve">Young, </w:t>
      </w:r>
      <w:r w:rsidR="00CD5CF1" w:rsidRPr="002309CA">
        <w:rPr>
          <w:rFonts w:ascii="Times New Roman" w:hAnsi="Times New Roman" w:cs="Times New Roman"/>
          <w:i/>
          <w:iCs/>
          <w:color w:val="000000" w:themeColor="text1"/>
        </w:rPr>
        <w:t>Constituting</w:t>
      </w:r>
      <w:r w:rsidR="00CD5CF1" w:rsidRPr="002309CA">
        <w:rPr>
          <w:rFonts w:ascii="Times New Roman" w:hAnsi="Times New Roman" w:cs="Times New Roman"/>
          <w:color w:val="000000" w:themeColor="text1"/>
        </w:rPr>
        <w:t xml:space="preserve"> (n 108) </w:t>
      </w:r>
      <w:r w:rsidRPr="002309CA">
        <w:rPr>
          <w:rFonts w:ascii="Times New Roman" w:hAnsi="Times New Roman" w:cs="Times New Roman"/>
          <w:color w:val="000000" w:themeColor="text1"/>
        </w:rPr>
        <w:t>296.</w:t>
      </w:r>
    </w:p>
  </w:footnote>
  <w:footnote w:id="207">
    <w:p w14:paraId="4E44B858" w14:textId="648DF486" w:rsidR="00AB09E0" w:rsidRPr="002309CA" w:rsidRDefault="00AB09E0" w:rsidP="00AB09E0">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To draw on the presentation of the dichotomy in Koch (n 7</w:t>
      </w:r>
      <w:r w:rsidR="00AD1894" w:rsidRPr="002309CA">
        <w:rPr>
          <w:rFonts w:ascii="Times New Roman" w:hAnsi="Times New Roman" w:cs="Times New Roman"/>
          <w:color w:val="000000" w:themeColor="text1"/>
        </w:rPr>
        <w:t>5</w:t>
      </w:r>
      <w:r w:rsidRPr="002309CA">
        <w:rPr>
          <w:rFonts w:ascii="Times New Roman" w:hAnsi="Times New Roman" w:cs="Times New Roman"/>
          <w:color w:val="000000" w:themeColor="text1"/>
        </w:rPr>
        <w:t>) 85.</w:t>
      </w:r>
    </w:p>
  </w:footnote>
  <w:footnote w:id="208">
    <w:p w14:paraId="6EF74BCA" w14:textId="1EB09B5A"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David Beetham, ‘What Future for Economic and Social Rights?’ (1995) 43 </w:t>
      </w:r>
      <w:r w:rsidRPr="002309CA">
        <w:rPr>
          <w:rFonts w:ascii="Times New Roman" w:hAnsi="Times New Roman" w:cs="Times New Roman"/>
          <w:i/>
          <w:iCs/>
          <w:color w:val="000000" w:themeColor="text1"/>
        </w:rPr>
        <w:t>Political Studies</w:t>
      </w:r>
      <w:r w:rsidRPr="002309CA">
        <w:rPr>
          <w:rFonts w:ascii="Times New Roman" w:hAnsi="Times New Roman" w:cs="Times New Roman"/>
          <w:color w:val="000000" w:themeColor="text1"/>
        </w:rPr>
        <w:t xml:space="preserve"> 41, 56.</w:t>
      </w:r>
    </w:p>
  </w:footnote>
  <w:footnote w:id="209">
    <w:p w14:paraId="51D98157" w14:textId="093A7EAC" w:rsidR="00FE549D" w:rsidRPr="002309CA" w:rsidRDefault="00FE549D">
      <w:pPr>
        <w:pStyle w:val="FootnoteText"/>
        <w:rPr>
          <w:rFonts w:ascii="Times New Roman" w:hAnsi="Times New Roman" w:cs="Times New Roman"/>
          <w:color w:val="000000" w:themeColor="text1"/>
        </w:rPr>
      </w:pPr>
      <w:r w:rsidRPr="002309CA">
        <w:rPr>
          <w:rStyle w:val="FootnoteReference"/>
          <w:rFonts w:ascii="Times New Roman" w:hAnsi="Times New Roman" w:cs="Times New Roman"/>
          <w:color w:val="000000" w:themeColor="text1"/>
        </w:rPr>
        <w:footnoteRef/>
      </w:r>
      <w:r w:rsidRPr="002309CA">
        <w:rPr>
          <w:rFonts w:ascii="Times New Roman" w:hAnsi="Times New Roman" w:cs="Times New Roman"/>
          <w:color w:val="000000" w:themeColor="text1"/>
        </w:rPr>
        <w:t xml:space="preserve"> </w:t>
      </w:r>
      <w:proofErr w:type="spellStart"/>
      <w:r w:rsidR="00765FF9" w:rsidRPr="002309CA">
        <w:rPr>
          <w:rFonts w:ascii="Times New Roman" w:hAnsi="Times New Roman" w:cs="Times New Roman"/>
          <w:color w:val="000000" w:themeColor="text1"/>
        </w:rPr>
        <w:t>Fredman</w:t>
      </w:r>
      <w:proofErr w:type="spellEnd"/>
      <w:r w:rsidR="00765FF9" w:rsidRPr="002309CA">
        <w:rPr>
          <w:rFonts w:ascii="Times New Roman" w:hAnsi="Times New Roman" w:cs="Times New Roman"/>
          <w:color w:val="000000" w:themeColor="text1"/>
        </w:rPr>
        <w:t xml:space="preserve"> (n 2) </w:t>
      </w:r>
      <w:r w:rsidRPr="002309CA">
        <w:rPr>
          <w:rFonts w:ascii="Times New Roman" w:hAnsi="Times New Roman" w:cs="Times New Roman"/>
          <w:color w:val="000000" w:themeColor="text1"/>
        </w:rPr>
        <w:t>5 and 150.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529"/>
    <w:multiLevelType w:val="hybridMultilevel"/>
    <w:tmpl w:val="0548D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B71CB"/>
    <w:multiLevelType w:val="multilevel"/>
    <w:tmpl w:val="B3CE71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637EF"/>
    <w:multiLevelType w:val="hybridMultilevel"/>
    <w:tmpl w:val="8672248C"/>
    <w:lvl w:ilvl="0" w:tplc="17C09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E001A"/>
    <w:multiLevelType w:val="hybridMultilevel"/>
    <w:tmpl w:val="AEE409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331F2"/>
    <w:multiLevelType w:val="multilevel"/>
    <w:tmpl w:val="B73A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241E91"/>
    <w:multiLevelType w:val="hybridMultilevel"/>
    <w:tmpl w:val="F9F24F98"/>
    <w:lvl w:ilvl="0" w:tplc="0C6C04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B2B85"/>
    <w:multiLevelType w:val="hybridMultilevel"/>
    <w:tmpl w:val="7EC008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E5E52"/>
    <w:multiLevelType w:val="hybridMultilevel"/>
    <w:tmpl w:val="36EA294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601C8"/>
    <w:multiLevelType w:val="hybridMultilevel"/>
    <w:tmpl w:val="04D499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A32A19"/>
    <w:multiLevelType w:val="hybridMultilevel"/>
    <w:tmpl w:val="03427A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CE64A6"/>
    <w:multiLevelType w:val="hybridMultilevel"/>
    <w:tmpl w:val="FDC867D2"/>
    <w:lvl w:ilvl="0" w:tplc="A2CCE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F4D99"/>
    <w:multiLevelType w:val="hybridMultilevel"/>
    <w:tmpl w:val="15FA9E8E"/>
    <w:lvl w:ilvl="0" w:tplc="D9AAEF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31436F"/>
    <w:multiLevelType w:val="hybridMultilevel"/>
    <w:tmpl w:val="1DF22D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12"/>
  </w:num>
  <w:num w:numId="6">
    <w:abstractNumId w:val="9"/>
  </w:num>
  <w:num w:numId="7">
    <w:abstractNumId w:val="10"/>
  </w:num>
  <w:num w:numId="8">
    <w:abstractNumId w:val="5"/>
  </w:num>
  <w:num w:numId="9">
    <w:abstractNumId w:val="11"/>
  </w:num>
  <w:num w:numId="10">
    <w:abstractNumId w:val="8"/>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54"/>
    <w:rsid w:val="00001867"/>
    <w:rsid w:val="00003EE0"/>
    <w:rsid w:val="00007DDA"/>
    <w:rsid w:val="00010E20"/>
    <w:rsid w:val="00011A94"/>
    <w:rsid w:val="00011AEB"/>
    <w:rsid w:val="0001444B"/>
    <w:rsid w:val="00017868"/>
    <w:rsid w:val="0002433F"/>
    <w:rsid w:val="00033D37"/>
    <w:rsid w:val="00033F7D"/>
    <w:rsid w:val="000367ED"/>
    <w:rsid w:val="00040D58"/>
    <w:rsid w:val="0004198A"/>
    <w:rsid w:val="0004407E"/>
    <w:rsid w:val="0004409D"/>
    <w:rsid w:val="00045736"/>
    <w:rsid w:val="00051A76"/>
    <w:rsid w:val="00055243"/>
    <w:rsid w:val="00061EB3"/>
    <w:rsid w:val="00063DC1"/>
    <w:rsid w:val="0006735E"/>
    <w:rsid w:val="00072C8D"/>
    <w:rsid w:val="00076548"/>
    <w:rsid w:val="000806A0"/>
    <w:rsid w:val="000853B6"/>
    <w:rsid w:val="00085FB5"/>
    <w:rsid w:val="00086826"/>
    <w:rsid w:val="000871BF"/>
    <w:rsid w:val="000916BE"/>
    <w:rsid w:val="00091D54"/>
    <w:rsid w:val="00094020"/>
    <w:rsid w:val="000962F6"/>
    <w:rsid w:val="000A50EC"/>
    <w:rsid w:val="000A510E"/>
    <w:rsid w:val="000A5EA0"/>
    <w:rsid w:val="000B2DE9"/>
    <w:rsid w:val="000B4922"/>
    <w:rsid w:val="000C0045"/>
    <w:rsid w:val="000C23DE"/>
    <w:rsid w:val="000C4B09"/>
    <w:rsid w:val="000C6727"/>
    <w:rsid w:val="000D0631"/>
    <w:rsid w:val="000D381A"/>
    <w:rsid w:val="000D414F"/>
    <w:rsid w:val="000E043B"/>
    <w:rsid w:val="000F1CA6"/>
    <w:rsid w:val="00102482"/>
    <w:rsid w:val="00102F5E"/>
    <w:rsid w:val="00103B1D"/>
    <w:rsid w:val="00103F1B"/>
    <w:rsid w:val="001065A2"/>
    <w:rsid w:val="00106D62"/>
    <w:rsid w:val="00113174"/>
    <w:rsid w:val="00114977"/>
    <w:rsid w:val="0011529C"/>
    <w:rsid w:val="001160DE"/>
    <w:rsid w:val="00121276"/>
    <w:rsid w:val="00124F8C"/>
    <w:rsid w:val="00127B84"/>
    <w:rsid w:val="00134638"/>
    <w:rsid w:val="001350B3"/>
    <w:rsid w:val="001379D4"/>
    <w:rsid w:val="0014321A"/>
    <w:rsid w:val="00145C17"/>
    <w:rsid w:val="0014726B"/>
    <w:rsid w:val="001478A5"/>
    <w:rsid w:val="00151ECE"/>
    <w:rsid w:val="0015425F"/>
    <w:rsid w:val="001543C7"/>
    <w:rsid w:val="00157AA5"/>
    <w:rsid w:val="0016043C"/>
    <w:rsid w:val="00161D68"/>
    <w:rsid w:val="001660D0"/>
    <w:rsid w:val="00166FEB"/>
    <w:rsid w:val="0017253B"/>
    <w:rsid w:val="0017329E"/>
    <w:rsid w:val="001738F8"/>
    <w:rsid w:val="00175311"/>
    <w:rsid w:val="00182843"/>
    <w:rsid w:val="001841BE"/>
    <w:rsid w:val="00186F12"/>
    <w:rsid w:val="00192361"/>
    <w:rsid w:val="001A37B3"/>
    <w:rsid w:val="001A7CFF"/>
    <w:rsid w:val="001B2033"/>
    <w:rsid w:val="001B4145"/>
    <w:rsid w:val="001B58F5"/>
    <w:rsid w:val="001C0269"/>
    <w:rsid w:val="001C4889"/>
    <w:rsid w:val="001D026E"/>
    <w:rsid w:val="001D2E58"/>
    <w:rsid w:val="001D4081"/>
    <w:rsid w:val="001D4BFF"/>
    <w:rsid w:val="001E1400"/>
    <w:rsid w:val="001E18E7"/>
    <w:rsid w:val="001E380A"/>
    <w:rsid w:val="001E7BF4"/>
    <w:rsid w:val="001F4932"/>
    <w:rsid w:val="001F4C4A"/>
    <w:rsid w:val="001F5013"/>
    <w:rsid w:val="001F6FB5"/>
    <w:rsid w:val="002005C1"/>
    <w:rsid w:val="00205610"/>
    <w:rsid w:val="00207026"/>
    <w:rsid w:val="0020739D"/>
    <w:rsid w:val="002112F2"/>
    <w:rsid w:val="002121F4"/>
    <w:rsid w:val="002165D2"/>
    <w:rsid w:val="002235BE"/>
    <w:rsid w:val="00226E11"/>
    <w:rsid w:val="00227F5C"/>
    <w:rsid w:val="002309CA"/>
    <w:rsid w:val="00231587"/>
    <w:rsid w:val="00231E02"/>
    <w:rsid w:val="002321E6"/>
    <w:rsid w:val="002328A7"/>
    <w:rsid w:val="002429A4"/>
    <w:rsid w:val="00246D1F"/>
    <w:rsid w:val="002525EC"/>
    <w:rsid w:val="002528DE"/>
    <w:rsid w:val="0025351F"/>
    <w:rsid w:val="00253CBC"/>
    <w:rsid w:val="002542EB"/>
    <w:rsid w:val="002660AF"/>
    <w:rsid w:val="00266866"/>
    <w:rsid w:val="00275DB6"/>
    <w:rsid w:val="00280366"/>
    <w:rsid w:val="002868B2"/>
    <w:rsid w:val="00290EB3"/>
    <w:rsid w:val="00292742"/>
    <w:rsid w:val="00294032"/>
    <w:rsid w:val="0029419F"/>
    <w:rsid w:val="0029657F"/>
    <w:rsid w:val="002A0D0F"/>
    <w:rsid w:val="002A2D2D"/>
    <w:rsid w:val="002B6021"/>
    <w:rsid w:val="002B677C"/>
    <w:rsid w:val="002B6A54"/>
    <w:rsid w:val="002B79E1"/>
    <w:rsid w:val="002D7B83"/>
    <w:rsid w:val="002E4BA5"/>
    <w:rsid w:val="002E53C2"/>
    <w:rsid w:val="002E6B49"/>
    <w:rsid w:val="002F118D"/>
    <w:rsid w:val="002F21F2"/>
    <w:rsid w:val="002F2557"/>
    <w:rsid w:val="002F67AB"/>
    <w:rsid w:val="002F6EE4"/>
    <w:rsid w:val="00311B66"/>
    <w:rsid w:val="00314CD3"/>
    <w:rsid w:val="00315E13"/>
    <w:rsid w:val="00317D7D"/>
    <w:rsid w:val="003241AC"/>
    <w:rsid w:val="0032532C"/>
    <w:rsid w:val="003259B6"/>
    <w:rsid w:val="00332792"/>
    <w:rsid w:val="003335DD"/>
    <w:rsid w:val="003357C7"/>
    <w:rsid w:val="0033775C"/>
    <w:rsid w:val="00340DCB"/>
    <w:rsid w:val="003417C1"/>
    <w:rsid w:val="00355B4D"/>
    <w:rsid w:val="00355E98"/>
    <w:rsid w:val="0036713C"/>
    <w:rsid w:val="00370752"/>
    <w:rsid w:val="00372169"/>
    <w:rsid w:val="00372CDE"/>
    <w:rsid w:val="00385041"/>
    <w:rsid w:val="003851A5"/>
    <w:rsid w:val="003857A0"/>
    <w:rsid w:val="00387CD1"/>
    <w:rsid w:val="00390AD8"/>
    <w:rsid w:val="003A37E7"/>
    <w:rsid w:val="003B00CA"/>
    <w:rsid w:val="003B31D2"/>
    <w:rsid w:val="003B3F84"/>
    <w:rsid w:val="003C3E45"/>
    <w:rsid w:val="003D447A"/>
    <w:rsid w:val="003D4B38"/>
    <w:rsid w:val="003E13BC"/>
    <w:rsid w:val="003E2C1E"/>
    <w:rsid w:val="003E521F"/>
    <w:rsid w:val="003F4DE0"/>
    <w:rsid w:val="003F68EB"/>
    <w:rsid w:val="003F6D28"/>
    <w:rsid w:val="004001AA"/>
    <w:rsid w:val="004124AD"/>
    <w:rsid w:val="00413963"/>
    <w:rsid w:val="00413A86"/>
    <w:rsid w:val="00415FBD"/>
    <w:rsid w:val="004176B3"/>
    <w:rsid w:val="00417DA1"/>
    <w:rsid w:val="00420DDF"/>
    <w:rsid w:val="00424FA3"/>
    <w:rsid w:val="004327EC"/>
    <w:rsid w:val="004375B0"/>
    <w:rsid w:val="004424AB"/>
    <w:rsid w:val="0044351F"/>
    <w:rsid w:val="0044592C"/>
    <w:rsid w:val="00446220"/>
    <w:rsid w:val="0045073E"/>
    <w:rsid w:val="00450879"/>
    <w:rsid w:val="004537CA"/>
    <w:rsid w:val="00454B79"/>
    <w:rsid w:val="004561EB"/>
    <w:rsid w:val="00456314"/>
    <w:rsid w:val="00456B1E"/>
    <w:rsid w:val="00460467"/>
    <w:rsid w:val="00463338"/>
    <w:rsid w:val="00464FBA"/>
    <w:rsid w:val="00467D79"/>
    <w:rsid w:val="00472A14"/>
    <w:rsid w:val="004771F3"/>
    <w:rsid w:val="004852C5"/>
    <w:rsid w:val="004863F2"/>
    <w:rsid w:val="00486A43"/>
    <w:rsid w:val="00486BD2"/>
    <w:rsid w:val="0049011F"/>
    <w:rsid w:val="00495A80"/>
    <w:rsid w:val="00497108"/>
    <w:rsid w:val="004A01F4"/>
    <w:rsid w:val="004A0F71"/>
    <w:rsid w:val="004A12E6"/>
    <w:rsid w:val="004A196F"/>
    <w:rsid w:val="004A335F"/>
    <w:rsid w:val="004A4157"/>
    <w:rsid w:val="004A47C7"/>
    <w:rsid w:val="004A7280"/>
    <w:rsid w:val="004B1391"/>
    <w:rsid w:val="004B7D2E"/>
    <w:rsid w:val="004C03CF"/>
    <w:rsid w:val="004C0FAB"/>
    <w:rsid w:val="004C57FB"/>
    <w:rsid w:val="004D52D1"/>
    <w:rsid w:val="004D5376"/>
    <w:rsid w:val="004D7231"/>
    <w:rsid w:val="004D7F3D"/>
    <w:rsid w:val="004E1BE7"/>
    <w:rsid w:val="004E3A17"/>
    <w:rsid w:val="004E48D4"/>
    <w:rsid w:val="004E662B"/>
    <w:rsid w:val="004E6B52"/>
    <w:rsid w:val="004E6DB1"/>
    <w:rsid w:val="004E7F1D"/>
    <w:rsid w:val="004F4F34"/>
    <w:rsid w:val="004F52E7"/>
    <w:rsid w:val="004F62A9"/>
    <w:rsid w:val="00502C7F"/>
    <w:rsid w:val="00503C4D"/>
    <w:rsid w:val="00504C12"/>
    <w:rsid w:val="005058AD"/>
    <w:rsid w:val="00505A7B"/>
    <w:rsid w:val="00512B0A"/>
    <w:rsid w:val="00513788"/>
    <w:rsid w:val="00513F14"/>
    <w:rsid w:val="00515492"/>
    <w:rsid w:val="00516DF3"/>
    <w:rsid w:val="00517B3A"/>
    <w:rsid w:val="00520166"/>
    <w:rsid w:val="005208B7"/>
    <w:rsid w:val="00522C9F"/>
    <w:rsid w:val="005242B4"/>
    <w:rsid w:val="005278DE"/>
    <w:rsid w:val="00532C66"/>
    <w:rsid w:val="00533534"/>
    <w:rsid w:val="00534563"/>
    <w:rsid w:val="005350E7"/>
    <w:rsid w:val="00535955"/>
    <w:rsid w:val="00536C0A"/>
    <w:rsid w:val="005400A2"/>
    <w:rsid w:val="00545DA4"/>
    <w:rsid w:val="005473EE"/>
    <w:rsid w:val="00551844"/>
    <w:rsid w:val="00551BA5"/>
    <w:rsid w:val="005569A7"/>
    <w:rsid w:val="00561852"/>
    <w:rsid w:val="00562B4B"/>
    <w:rsid w:val="00564C46"/>
    <w:rsid w:val="005659B3"/>
    <w:rsid w:val="0057216F"/>
    <w:rsid w:val="00572A4B"/>
    <w:rsid w:val="00573749"/>
    <w:rsid w:val="005809D2"/>
    <w:rsid w:val="00581450"/>
    <w:rsid w:val="005A100E"/>
    <w:rsid w:val="005A1A62"/>
    <w:rsid w:val="005A1B80"/>
    <w:rsid w:val="005A2C2D"/>
    <w:rsid w:val="005A704D"/>
    <w:rsid w:val="005B0FF9"/>
    <w:rsid w:val="005B234B"/>
    <w:rsid w:val="005B317E"/>
    <w:rsid w:val="005B50D4"/>
    <w:rsid w:val="005B5C77"/>
    <w:rsid w:val="005B7FBC"/>
    <w:rsid w:val="005C1808"/>
    <w:rsid w:val="005C71FF"/>
    <w:rsid w:val="005C7C1E"/>
    <w:rsid w:val="005D6680"/>
    <w:rsid w:val="005E0949"/>
    <w:rsid w:val="005E1801"/>
    <w:rsid w:val="005E7A31"/>
    <w:rsid w:val="005F12B0"/>
    <w:rsid w:val="005F2F62"/>
    <w:rsid w:val="0060104C"/>
    <w:rsid w:val="00604474"/>
    <w:rsid w:val="00614AD5"/>
    <w:rsid w:val="00614CF9"/>
    <w:rsid w:val="00615CB5"/>
    <w:rsid w:val="00615FEE"/>
    <w:rsid w:val="006276D0"/>
    <w:rsid w:val="006276FF"/>
    <w:rsid w:val="0063274A"/>
    <w:rsid w:val="006336E6"/>
    <w:rsid w:val="00637F3D"/>
    <w:rsid w:val="006439F9"/>
    <w:rsid w:val="00646F17"/>
    <w:rsid w:val="00651A50"/>
    <w:rsid w:val="006553E9"/>
    <w:rsid w:val="00657EFA"/>
    <w:rsid w:val="00661A1C"/>
    <w:rsid w:val="0066203F"/>
    <w:rsid w:val="006636DA"/>
    <w:rsid w:val="00663A6E"/>
    <w:rsid w:val="00682016"/>
    <w:rsid w:val="00684CF7"/>
    <w:rsid w:val="006858BD"/>
    <w:rsid w:val="00687695"/>
    <w:rsid w:val="00690FC6"/>
    <w:rsid w:val="00691B58"/>
    <w:rsid w:val="006974FD"/>
    <w:rsid w:val="00697525"/>
    <w:rsid w:val="006A38DD"/>
    <w:rsid w:val="006A5572"/>
    <w:rsid w:val="006B47FD"/>
    <w:rsid w:val="006B4CFE"/>
    <w:rsid w:val="006B51EB"/>
    <w:rsid w:val="006B6B6C"/>
    <w:rsid w:val="006C04E7"/>
    <w:rsid w:val="006C230F"/>
    <w:rsid w:val="006C2802"/>
    <w:rsid w:val="006C438B"/>
    <w:rsid w:val="006C46AF"/>
    <w:rsid w:val="006C506D"/>
    <w:rsid w:val="006D2357"/>
    <w:rsid w:val="006D2830"/>
    <w:rsid w:val="006D4584"/>
    <w:rsid w:val="006D69A0"/>
    <w:rsid w:val="006E2B18"/>
    <w:rsid w:val="006E4A55"/>
    <w:rsid w:val="006E74A1"/>
    <w:rsid w:val="006F1B69"/>
    <w:rsid w:val="006F5E81"/>
    <w:rsid w:val="00700D7A"/>
    <w:rsid w:val="007038CC"/>
    <w:rsid w:val="00704FF9"/>
    <w:rsid w:val="00711E1C"/>
    <w:rsid w:val="00711E6C"/>
    <w:rsid w:val="00715454"/>
    <w:rsid w:val="00721AD3"/>
    <w:rsid w:val="00723F1E"/>
    <w:rsid w:val="00725296"/>
    <w:rsid w:val="00735DA4"/>
    <w:rsid w:val="00736038"/>
    <w:rsid w:val="00746BDA"/>
    <w:rsid w:val="00747D5E"/>
    <w:rsid w:val="00750262"/>
    <w:rsid w:val="007544A0"/>
    <w:rsid w:val="00754AED"/>
    <w:rsid w:val="00755D05"/>
    <w:rsid w:val="0075722C"/>
    <w:rsid w:val="00764257"/>
    <w:rsid w:val="0076559D"/>
    <w:rsid w:val="00765FF9"/>
    <w:rsid w:val="007670B9"/>
    <w:rsid w:val="00773354"/>
    <w:rsid w:val="007735B4"/>
    <w:rsid w:val="00774B53"/>
    <w:rsid w:val="00783FD5"/>
    <w:rsid w:val="007875B9"/>
    <w:rsid w:val="00793C5C"/>
    <w:rsid w:val="0079506E"/>
    <w:rsid w:val="00796357"/>
    <w:rsid w:val="00796416"/>
    <w:rsid w:val="007971EF"/>
    <w:rsid w:val="007A0757"/>
    <w:rsid w:val="007A1099"/>
    <w:rsid w:val="007A1E94"/>
    <w:rsid w:val="007A40E1"/>
    <w:rsid w:val="007A448F"/>
    <w:rsid w:val="007B0E26"/>
    <w:rsid w:val="007B4300"/>
    <w:rsid w:val="007B5708"/>
    <w:rsid w:val="007B7F66"/>
    <w:rsid w:val="007D0692"/>
    <w:rsid w:val="007D099D"/>
    <w:rsid w:val="007D24D7"/>
    <w:rsid w:val="007D2E1D"/>
    <w:rsid w:val="007D3E95"/>
    <w:rsid w:val="007E0717"/>
    <w:rsid w:val="007E2370"/>
    <w:rsid w:val="007E48E7"/>
    <w:rsid w:val="007E532A"/>
    <w:rsid w:val="007F1D34"/>
    <w:rsid w:val="007F290A"/>
    <w:rsid w:val="007F3C09"/>
    <w:rsid w:val="00802295"/>
    <w:rsid w:val="0080408C"/>
    <w:rsid w:val="00820AA6"/>
    <w:rsid w:val="00821183"/>
    <w:rsid w:val="008217ED"/>
    <w:rsid w:val="00823C30"/>
    <w:rsid w:val="00824355"/>
    <w:rsid w:val="00830916"/>
    <w:rsid w:val="0083263A"/>
    <w:rsid w:val="00834C91"/>
    <w:rsid w:val="008360C0"/>
    <w:rsid w:val="008365A4"/>
    <w:rsid w:val="0084196D"/>
    <w:rsid w:val="00842762"/>
    <w:rsid w:val="00844581"/>
    <w:rsid w:val="00845050"/>
    <w:rsid w:val="00847C4E"/>
    <w:rsid w:val="00850EE0"/>
    <w:rsid w:val="0085286A"/>
    <w:rsid w:val="00852ADE"/>
    <w:rsid w:val="0085734D"/>
    <w:rsid w:val="00857B5A"/>
    <w:rsid w:val="00857DF0"/>
    <w:rsid w:val="00861138"/>
    <w:rsid w:val="00862F01"/>
    <w:rsid w:val="00866EF6"/>
    <w:rsid w:val="00872AF7"/>
    <w:rsid w:val="00882DDB"/>
    <w:rsid w:val="008830EB"/>
    <w:rsid w:val="00884EFD"/>
    <w:rsid w:val="0088646F"/>
    <w:rsid w:val="00886596"/>
    <w:rsid w:val="00887B48"/>
    <w:rsid w:val="008910CC"/>
    <w:rsid w:val="00892F9C"/>
    <w:rsid w:val="00896108"/>
    <w:rsid w:val="008972EB"/>
    <w:rsid w:val="008A0F50"/>
    <w:rsid w:val="008A153E"/>
    <w:rsid w:val="008A3824"/>
    <w:rsid w:val="008C03DF"/>
    <w:rsid w:val="008C1219"/>
    <w:rsid w:val="008C16CA"/>
    <w:rsid w:val="008C1D73"/>
    <w:rsid w:val="008D0DCC"/>
    <w:rsid w:val="008D2A60"/>
    <w:rsid w:val="008D65BB"/>
    <w:rsid w:val="008D78D9"/>
    <w:rsid w:val="008E41A7"/>
    <w:rsid w:val="008E64B7"/>
    <w:rsid w:val="008E7495"/>
    <w:rsid w:val="008F2699"/>
    <w:rsid w:val="008F39B8"/>
    <w:rsid w:val="008F3CA5"/>
    <w:rsid w:val="008F694F"/>
    <w:rsid w:val="009011BB"/>
    <w:rsid w:val="00902B31"/>
    <w:rsid w:val="00911147"/>
    <w:rsid w:val="00930CFC"/>
    <w:rsid w:val="009318A8"/>
    <w:rsid w:val="00935DC9"/>
    <w:rsid w:val="00940F67"/>
    <w:rsid w:val="009456D3"/>
    <w:rsid w:val="009503D0"/>
    <w:rsid w:val="00950A78"/>
    <w:rsid w:val="009515CB"/>
    <w:rsid w:val="009520E2"/>
    <w:rsid w:val="00953DA3"/>
    <w:rsid w:val="00954359"/>
    <w:rsid w:val="00954B48"/>
    <w:rsid w:val="00957729"/>
    <w:rsid w:val="00961FED"/>
    <w:rsid w:val="00966BE2"/>
    <w:rsid w:val="00971A89"/>
    <w:rsid w:val="00971A8C"/>
    <w:rsid w:val="0097287A"/>
    <w:rsid w:val="009729FD"/>
    <w:rsid w:val="00973EF2"/>
    <w:rsid w:val="0097502E"/>
    <w:rsid w:val="00976484"/>
    <w:rsid w:val="00976D30"/>
    <w:rsid w:val="0098022D"/>
    <w:rsid w:val="0098297E"/>
    <w:rsid w:val="0098619B"/>
    <w:rsid w:val="00990F0C"/>
    <w:rsid w:val="00992164"/>
    <w:rsid w:val="00993498"/>
    <w:rsid w:val="009935CB"/>
    <w:rsid w:val="009952B3"/>
    <w:rsid w:val="00996CB3"/>
    <w:rsid w:val="009B2086"/>
    <w:rsid w:val="009B27B0"/>
    <w:rsid w:val="009C1756"/>
    <w:rsid w:val="009C2574"/>
    <w:rsid w:val="009C3325"/>
    <w:rsid w:val="009D2189"/>
    <w:rsid w:val="009D3D84"/>
    <w:rsid w:val="009D6521"/>
    <w:rsid w:val="009E07A6"/>
    <w:rsid w:val="009E4E3F"/>
    <w:rsid w:val="009E68D8"/>
    <w:rsid w:val="009F2DE8"/>
    <w:rsid w:val="009F4A5D"/>
    <w:rsid w:val="009F6D21"/>
    <w:rsid w:val="009F7DE7"/>
    <w:rsid w:val="00A02103"/>
    <w:rsid w:val="00A03FF8"/>
    <w:rsid w:val="00A043C7"/>
    <w:rsid w:val="00A04906"/>
    <w:rsid w:val="00A126D5"/>
    <w:rsid w:val="00A13E0A"/>
    <w:rsid w:val="00A168FC"/>
    <w:rsid w:val="00A17C44"/>
    <w:rsid w:val="00A20784"/>
    <w:rsid w:val="00A2287C"/>
    <w:rsid w:val="00A2406A"/>
    <w:rsid w:val="00A256F6"/>
    <w:rsid w:val="00A27307"/>
    <w:rsid w:val="00A30028"/>
    <w:rsid w:val="00A31CC7"/>
    <w:rsid w:val="00A32714"/>
    <w:rsid w:val="00A425DF"/>
    <w:rsid w:val="00A46852"/>
    <w:rsid w:val="00A46AA1"/>
    <w:rsid w:val="00A47648"/>
    <w:rsid w:val="00A50D05"/>
    <w:rsid w:val="00A513D8"/>
    <w:rsid w:val="00A51DAC"/>
    <w:rsid w:val="00A5553E"/>
    <w:rsid w:val="00A609BE"/>
    <w:rsid w:val="00A712EE"/>
    <w:rsid w:val="00A7331F"/>
    <w:rsid w:val="00A74F3E"/>
    <w:rsid w:val="00A75053"/>
    <w:rsid w:val="00A75D3C"/>
    <w:rsid w:val="00A8018F"/>
    <w:rsid w:val="00A90E01"/>
    <w:rsid w:val="00A93153"/>
    <w:rsid w:val="00A96BEA"/>
    <w:rsid w:val="00A973AC"/>
    <w:rsid w:val="00AA0D1F"/>
    <w:rsid w:val="00AA2BCA"/>
    <w:rsid w:val="00AA4D10"/>
    <w:rsid w:val="00AA4E44"/>
    <w:rsid w:val="00AB09E0"/>
    <w:rsid w:val="00AB1B68"/>
    <w:rsid w:val="00AB29E6"/>
    <w:rsid w:val="00AB3983"/>
    <w:rsid w:val="00AB3E92"/>
    <w:rsid w:val="00AB4D88"/>
    <w:rsid w:val="00AB5E44"/>
    <w:rsid w:val="00AC2FED"/>
    <w:rsid w:val="00AC71AF"/>
    <w:rsid w:val="00AD1894"/>
    <w:rsid w:val="00AD570B"/>
    <w:rsid w:val="00AE4428"/>
    <w:rsid w:val="00AF471A"/>
    <w:rsid w:val="00AF4853"/>
    <w:rsid w:val="00AF50A9"/>
    <w:rsid w:val="00B00BD9"/>
    <w:rsid w:val="00B05A03"/>
    <w:rsid w:val="00B07482"/>
    <w:rsid w:val="00B07836"/>
    <w:rsid w:val="00B07EEE"/>
    <w:rsid w:val="00B11D7E"/>
    <w:rsid w:val="00B12454"/>
    <w:rsid w:val="00B15AF0"/>
    <w:rsid w:val="00B15B4E"/>
    <w:rsid w:val="00B3045F"/>
    <w:rsid w:val="00B31F6B"/>
    <w:rsid w:val="00B35F58"/>
    <w:rsid w:val="00B409D6"/>
    <w:rsid w:val="00B43F4E"/>
    <w:rsid w:val="00B45AA2"/>
    <w:rsid w:val="00B471D5"/>
    <w:rsid w:val="00B50926"/>
    <w:rsid w:val="00B54707"/>
    <w:rsid w:val="00B54790"/>
    <w:rsid w:val="00B55E2A"/>
    <w:rsid w:val="00B57473"/>
    <w:rsid w:val="00B60CA8"/>
    <w:rsid w:val="00B60EAF"/>
    <w:rsid w:val="00B61088"/>
    <w:rsid w:val="00B620D7"/>
    <w:rsid w:val="00B62235"/>
    <w:rsid w:val="00B625EC"/>
    <w:rsid w:val="00B6359C"/>
    <w:rsid w:val="00B64C0D"/>
    <w:rsid w:val="00B64C54"/>
    <w:rsid w:val="00B73896"/>
    <w:rsid w:val="00B74B27"/>
    <w:rsid w:val="00B7531D"/>
    <w:rsid w:val="00B75B1F"/>
    <w:rsid w:val="00B76158"/>
    <w:rsid w:val="00B90E70"/>
    <w:rsid w:val="00B9231D"/>
    <w:rsid w:val="00B96C99"/>
    <w:rsid w:val="00BA18D6"/>
    <w:rsid w:val="00BA3690"/>
    <w:rsid w:val="00BA7018"/>
    <w:rsid w:val="00BB198F"/>
    <w:rsid w:val="00BB30D9"/>
    <w:rsid w:val="00BB48CD"/>
    <w:rsid w:val="00BC1946"/>
    <w:rsid w:val="00BC199A"/>
    <w:rsid w:val="00BC2910"/>
    <w:rsid w:val="00BC350B"/>
    <w:rsid w:val="00BD0713"/>
    <w:rsid w:val="00BD1300"/>
    <w:rsid w:val="00BD345F"/>
    <w:rsid w:val="00BD6A2A"/>
    <w:rsid w:val="00BE17C9"/>
    <w:rsid w:val="00BE405B"/>
    <w:rsid w:val="00BF1B60"/>
    <w:rsid w:val="00BF1C9F"/>
    <w:rsid w:val="00BF1F25"/>
    <w:rsid w:val="00BF2A29"/>
    <w:rsid w:val="00BF2FC2"/>
    <w:rsid w:val="00BF5DC1"/>
    <w:rsid w:val="00BF68F4"/>
    <w:rsid w:val="00C004BD"/>
    <w:rsid w:val="00C023DE"/>
    <w:rsid w:val="00C040AB"/>
    <w:rsid w:val="00C040FD"/>
    <w:rsid w:val="00C05C96"/>
    <w:rsid w:val="00C109D6"/>
    <w:rsid w:val="00C110C3"/>
    <w:rsid w:val="00C12583"/>
    <w:rsid w:val="00C1306D"/>
    <w:rsid w:val="00C22022"/>
    <w:rsid w:val="00C26891"/>
    <w:rsid w:val="00C268FA"/>
    <w:rsid w:val="00C30B04"/>
    <w:rsid w:val="00C30E93"/>
    <w:rsid w:val="00C32D4B"/>
    <w:rsid w:val="00C363D7"/>
    <w:rsid w:val="00C37990"/>
    <w:rsid w:val="00C4049E"/>
    <w:rsid w:val="00C54809"/>
    <w:rsid w:val="00C6104C"/>
    <w:rsid w:val="00C6408E"/>
    <w:rsid w:val="00C65551"/>
    <w:rsid w:val="00C73117"/>
    <w:rsid w:val="00C76125"/>
    <w:rsid w:val="00C77E47"/>
    <w:rsid w:val="00C91A52"/>
    <w:rsid w:val="00C94F74"/>
    <w:rsid w:val="00C95BCC"/>
    <w:rsid w:val="00CA5D05"/>
    <w:rsid w:val="00CB06AA"/>
    <w:rsid w:val="00CB683B"/>
    <w:rsid w:val="00CC3C9F"/>
    <w:rsid w:val="00CC5782"/>
    <w:rsid w:val="00CC7066"/>
    <w:rsid w:val="00CD0ECE"/>
    <w:rsid w:val="00CD25A9"/>
    <w:rsid w:val="00CD2845"/>
    <w:rsid w:val="00CD39DF"/>
    <w:rsid w:val="00CD3D47"/>
    <w:rsid w:val="00CD46D2"/>
    <w:rsid w:val="00CD5BCE"/>
    <w:rsid w:val="00CD5CF1"/>
    <w:rsid w:val="00CD638F"/>
    <w:rsid w:val="00CE05EA"/>
    <w:rsid w:val="00CE2ECF"/>
    <w:rsid w:val="00CE2F39"/>
    <w:rsid w:val="00CE6D1D"/>
    <w:rsid w:val="00CF1693"/>
    <w:rsid w:val="00CF4A96"/>
    <w:rsid w:val="00CF4BD0"/>
    <w:rsid w:val="00D0037C"/>
    <w:rsid w:val="00D00E23"/>
    <w:rsid w:val="00D06AD7"/>
    <w:rsid w:val="00D11433"/>
    <w:rsid w:val="00D12635"/>
    <w:rsid w:val="00D1642F"/>
    <w:rsid w:val="00D16DFC"/>
    <w:rsid w:val="00D21014"/>
    <w:rsid w:val="00D24317"/>
    <w:rsid w:val="00D256F0"/>
    <w:rsid w:val="00D34118"/>
    <w:rsid w:val="00D372CB"/>
    <w:rsid w:val="00D42B21"/>
    <w:rsid w:val="00D506FB"/>
    <w:rsid w:val="00D50DED"/>
    <w:rsid w:val="00D5187D"/>
    <w:rsid w:val="00D53E11"/>
    <w:rsid w:val="00D55B6F"/>
    <w:rsid w:val="00D5641E"/>
    <w:rsid w:val="00D63E49"/>
    <w:rsid w:val="00D64253"/>
    <w:rsid w:val="00D70454"/>
    <w:rsid w:val="00D75E28"/>
    <w:rsid w:val="00D76062"/>
    <w:rsid w:val="00D86A4C"/>
    <w:rsid w:val="00D91621"/>
    <w:rsid w:val="00D9228A"/>
    <w:rsid w:val="00D94BA8"/>
    <w:rsid w:val="00D95AD9"/>
    <w:rsid w:val="00DA04E4"/>
    <w:rsid w:val="00DA1EAA"/>
    <w:rsid w:val="00DA2125"/>
    <w:rsid w:val="00DA2677"/>
    <w:rsid w:val="00DA29A1"/>
    <w:rsid w:val="00DA7FD8"/>
    <w:rsid w:val="00DB5EBE"/>
    <w:rsid w:val="00DB5F8B"/>
    <w:rsid w:val="00DC02B6"/>
    <w:rsid w:val="00DC77CB"/>
    <w:rsid w:val="00DC7CE8"/>
    <w:rsid w:val="00DD453B"/>
    <w:rsid w:val="00DD477B"/>
    <w:rsid w:val="00DD6AAD"/>
    <w:rsid w:val="00DD6E5D"/>
    <w:rsid w:val="00DE5CE4"/>
    <w:rsid w:val="00DE6793"/>
    <w:rsid w:val="00DE7D5E"/>
    <w:rsid w:val="00DF3E21"/>
    <w:rsid w:val="00DF4A12"/>
    <w:rsid w:val="00DF7A70"/>
    <w:rsid w:val="00E009AA"/>
    <w:rsid w:val="00E031FB"/>
    <w:rsid w:val="00E1086D"/>
    <w:rsid w:val="00E11A7B"/>
    <w:rsid w:val="00E125C9"/>
    <w:rsid w:val="00E13AF0"/>
    <w:rsid w:val="00E16E28"/>
    <w:rsid w:val="00E17DAA"/>
    <w:rsid w:val="00E200D0"/>
    <w:rsid w:val="00E21230"/>
    <w:rsid w:val="00E22109"/>
    <w:rsid w:val="00E25396"/>
    <w:rsid w:val="00E26E07"/>
    <w:rsid w:val="00E27D22"/>
    <w:rsid w:val="00E30D36"/>
    <w:rsid w:val="00E3184D"/>
    <w:rsid w:val="00E32FE2"/>
    <w:rsid w:val="00E36C13"/>
    <w:rsid w:val="00E40122"/>
    <w:rsid w:val="00E4103D"/>
    <w:rsid w:val="00E4255D"/>
    <w:rsid w:val="00E42928"/>
    <w:rsid w:val="00E52865"/>
    <w:rsid w:val="00E554E4"/>
    <w:rsid w:val="00E60C79"/>
    <w:rsid w:val="00E62DAB"/>
    <w:rsid w:val="00E6379C"/>
    <w:rsid w:val="00E64E2F"/>
    <w:rsid w:val="00E65BE6"/>
    <w:rsid w:val="00E66FC4"/>
    <w:rsid w:val="00E75B50"/>
    <w:rsid w:val="00E80D5C"/>
    <w:rsid w:val="00E821DC"/>
    <w:rsid w:val="00E8482C"/>
    <w:rsid w:val="00E84926"/>
    <w:rsid w:val="00E851B9"/>
    <w:rsid w:val="00E86A53"/>
    <w:rsid w:val="00E871AB"/>
    <w:rsid w:val="00E926B2"/>
    <w:rsid w:val="00E96345"/>
    <w:rsid w:val="00EA1748"/>
    <w:rsid w:val="00EA2713"/>
    <w:rsid w:val="00EA2718"/>
    <w:rsid w:val="00EA3402"/>
    <w:rsid w:val="00EA6412"/>
    <w:rsid w:val="00EB28E2"/>
    <w:rsid w:val="00EB2C03"/>
    <w:rsid w:val="00EB2C76"/>
    <w:rsid w:val="00EB2D42"/>
    <w:rsid w:val="00EB64ED"/>
    <w:rsid w:val="00EC56F7"/>
    <w:rsid w:val="00EC6347"/>
    <w:rsid w:val="00EC6DE8"/>
    <w:rsid w:val="00ED1F06"/>
    <w:rsid w:val="00ED39A2"/>
    <w:rsid w:val="00EE2C92"/>
    <w:rsid w:val="00F02EF6"/>
    <w:rsid w:val="00F034A0"/>
    <w:rsid w:val="00F05366"/>
    <w:rsid w:val="00F05C95"/>
    <w:rsid w:val="00F12BD1"/>
    <w:rsid w:val="00F14E68"/>
    <w:rsid w:val="00F17B22"/>
    <w:rsid w:val="00F20D08"/>
    <w:rsid w:val="00F22B5A"/>
    <w:rsid w:val="00F25616"/>
    <w:rsid w:val="00F2581C"/>
    <w:rsid w:val="00F311D1"/>
    <w:rsid w:val="00F33B86"/>
    <w:rsid w:val="00F36543"/>
    <w:rsid w:val="00F4099B"/>
    <w:rsid w:val="00F430A0"/>
    <w:rsid w:val="00F4409E"/>
    <w:rsid w:val="00F44F60"/>
    <w:rsid w:val="00F4577D"/>
    <w:rsid w:val="00F51B29"/>
    <w:rsid w:val="00F53845"/>
    <w:rsid w:val="00F55904"/>
    <w:rsid w:val="00F60F6B"/>
    <w:rsid w:val="00F619D8"/>
    <w:rsid w:val="00F62670"/>
    <w:rsid w:val="00F6358F"/>
    <w:rsid w:val="00F63A91"/>
    <w:rsid w:val="00F64E72"/>
    <w:rsid w:val="00F656B9"/>
    <w:rsid w:val="00F669C2"/>
    <w:rsid w:val="00F70FE2"/>
    <w:rsid w:val="00F75A57"/>
    <w:rsid w:val="00F80448"/>
    <w:rsid w:val="00F8216F"/>
    <w:rsid w:val="00F86C14"/>
    <w:rsid w:val="00F907B8"/>
    <w:rsid w:val="00F91863"/>
    <w:rsid w:val="00F91CB6"/>
    <w:rsid w:val="00F97E36"/>
    <w:rsid w:val="00FA071E"/>
    <w:rsid w:val="00FA3A5F"/>
    <w:rsid w:val="00FB0EA3"/>
    <w:rsid w:val="00FB0F59"/>
    <w:rsid w:val="00FB1017"/>
    <w:rsid w:val="00FB34DE"/>
    <w:rsid w:val="00FB3E9C"/>
    <w:rsid w:val="00FB477F"/>
    <w:rsid w:val="00FB5163"/>
    <w:rsid w:val="00FB5A66"/>
    <w:rsid w:val="00FB6031"/>
    <w:rsid w:val="00FC4C87"/>
    <w:rsid w:val="00FC5DAC"/>
    <w:rsid w:val="00FD1ED6"/>
    <w:rsid w:val="00FD30FF"/>
    <w:rsid w:val="00FD48DA"/>
    <w:rsid w:val="00FE3663"/>
    <w:rsid w:val="00FE48A2"/>
    <w:rsid w:val="00FE52AD"/>
    <w:rsid w:val="00FE549D"/>
    <w:rsid w:val="00FE6562"/>
    <w:rsid w:val="00FF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2A16F5"/>
  <w15:chartTrackingRefBased/>
  <w15:docId w15:val="{3570534F-74DB-BE4D-8F19-0DD6FDE0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13"/>
    <w:rPr>
      <w:rFonts w:ascii="Times New Roman" w:eastAsia="Times New Roman" w:hAnsi="Times New Roman" w:cs="Times New Roman"/>
      <w:lang w:eastAsia="en-GB"/>
    </w:rPr>
  </w:style>
  <w:style w:type="paragraph" w:styleId="Heading1">
    <w:name w:val="heading 1"/>
    <w:basedOn w:val="Normal"/>
    <w:link w:val="Heading1Char"/>
    <w:uiPriority w:val="9"/>
    <w:qFormat/>
    <w:rsid w:val="00E031F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6336E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570B"/>
    <w:rPr>
      <w:sz w:val="16"/>
      <w:szCs w:val="16"/>
    </w:rPr>
  </w:style>
  <w:style w:type="paragraph" w:styleId="CommentText">
    <w:name w:val="annotation text"/>
    <w:basedOn w:val="Normal"/>
    <w:link w:val="CommentTextChar"/>
    <w:uiPriority w:val="99"/>
    <w:unhideWhenUsed/>
    <w:rsid w:val="00AD570B"/>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D570B"/>
    <w:rPr>
      <w:sz w:val="20"/>
      <w:szCs w:val="20"/>
    </w:rPr>
  </w:style>
  <w:style w:type="paragraph" w:styleId="CommentSubject">
    <w:name w:val="annotation subject"/>
    <w:basedOn w:val="CommentText"/>
    <w:next w:val="CommentText"/>
    <w:link w:val="CommentSubjectChar"/>
    <w:uiPriority w:val="99"/>
    <w:semiHidden/>
    <w:unhideWhenUsed/>
    <w:rsid w:val="00AD570B"/>
    <w:rPr>
      <w:b/>
      <w:bCs/>
    </w:rPr>
  </w:style>
  <w:style w:type="character" w:customStyle="1" w:styleId="CommentSubjectChar">
    <w:name w:val="Comment Subject Char"/>
    <w:basedOn w:val="CommentTextChar"/>
    <w:link w:val="CommentSubject"/>
    <w:uiPriority w:val="99"/>
    <w:semiHidden/>
    <w:rsid w:val="00AD570B"/>
    <w:rPr>
      <w:b/>
      <w:bCs/>
      <w:sz w:val="20"/>
      <w:szCs w:val="20"/>
    </w:rPr>
  </w:style>
  <w:style w:type="paragraph" w:styleId="BalloonText">
    <w:name w:val="Balloon Text"/>
    <w:basedOn w:val="Normal"/>
    <w:link w:val="BalloonTextChar"/>
    <w:uiPriority w:val="99"/>
    <w:semiHidden/>
    <w:unhideWhenUsed/>
    <w:rsid w:val="00AD570B"/>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D570B"/>
    <w:rPr>
      <w:rFonts w:ascii="Times New Roman" w:hAnsi="Times New Roman" w:cs="Times New Roman"/>
      <w:sz w:val="18"/>
      <w:szCs w:val="18"/>
    </w:rPr>
  </w:style>
  <w:style w:type="paragraph" w:styleId="NormalWeb">
    <w:name w:val="Normal (Web)"/>
    <w:basedOn w:val="Normal"/>
    <w:uiPriority w:val="99"/>
    <w:unhideWhenUsed/>
    <w:rsid w:val="007D0692"/>
    <w:pPr>
      <w:spacing w:before="100" w:beforeAutospacing="1" w:after="100" w:afterAutospacing="1"/>
    </w:pPr>
  </w:style>
  <w:style w:type="paragraph" w:styleId="FootnoteText">
    <w:name w:val="footnote text"/>
    <w:basedOn w:val="Normal"/>
    <w:link w:val="FootnoteTextChar"/>
    <w:uiPriority w:val="99"/>
    <w:unhideWhenUsed/>
    <w:rsid w:val="007A1E9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A1E94"/>
    <w:rPr>
      <w:sz w:val="20"/>
      <w:szCs w:val="20"/>
    </w:rPr>
  </w:style>
  <w:style w:type="character" w:styleId="FootnoteReference">
    <w:name w:val="footnote reference"/>
    <w:basedOn w:val="DefaultParagraphFont"/>
    <w:uiPriority w:val="99"/>
    <w:semiHidden/>
    <w:unhideWhenUsed/>
    <w:rsid w:val="007A1E94"/>
    <w:rPr>
      <w:vertAlign w:val="superscript"/>
    </w:rPr>
  </w:style>
  <w:style w:type="character" w:customStyle="1" w:styleId="apple-converted-space">
    <w:name w:val="apple-converted-space"/>
    <w:basedOn w:val="DefaultParagraphFont"/>
    <w:rsid w:val="003A37E7"/>
  </w:style>
  <w:style w:type="character" w:customStyle="1" w:styleId="highlight">
    <w:name w:val="highlight"/>
    <w:basedOn w:val="DefaultParagraphFont"/>
    <w:rsid w:val="007E48E7"/>
  </w:style>
  <w:style w:type="paragraph" w:styleId="ListParagraph">
    <w:name w:val="List Paragraph"/>
    <w:basedOn w:val="Normal"/>
    <w:uiPriority w:val="34"/>
    <w:qFormat/>
    <w:rsid w:val="00774B53"/>
    <w:pPr>
      <w:ind w:left="720"/>
      <w:contextualSpacing/>
    </w:pPr>
  </w:style>
  <w:style w:type="character" w:customStyle="1" w:styleId="Heading1Char">
    <w:name w:val="Heading 1 Char"/>
    <w:basedOn w:val="DefaultParagraphFont"/>
    <w:link w:val="Heading1"/>
    <w:uiPriority w:val="9"/>
    <w:rsid w:val="00E031F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031FB"/>
    <w:rPr>
      <w:b/>
      <w:bCs/>
    </w:rPr>
  </w:style>
  <w:style w:type="character" w:customStyle="1" w:styleId="st">
    <w:name w:val="st"/>
    <w:basedOn w:val="DefaultParagraphFont"/>
    <w:rsid w:val="0004409D"/>
  </w:style>
  <w:style w:type="character" w:styleId="Emphasis">
    <w:name w:val="Emphasis"/>
    <w:basedOn w:val="DefaultParagraphFont"/>
    <w:uiPriority w:val="20"/>
    <w:qFormat/>
    <w:rsid w:val="0004409D"/>
    <w:rPr>
      <w:i/>
      <w:iCs/>
    </w:rPr>
  </w:style>
  <w:style w:type="character" w:styleId="Hyperlink">
    <w:name w:val="Hyperlink"/>
    <w:basedOn w:val="DefaultParagraphFont"/>
    <w:uiPriority w:val="99"/>
    <w:unhideWhenUsed/>
    <w:rsid w:val="00E52865"/>
    <w:rPr>
      <w:color w:val="0563C1" w:themeColor="hyperlink"/>
      <w:u w:val="single"/>
    </w:rPr>
  </w:style>
  <w:style w:type="character" w:styleId="UnresolvedMention">
    <w:name w:val="Unresolved Mention"/>
    <w:basedOn w:val="DefaultParagraphFont"/>
    <w:uiPriority w:val="99"/>
    <w:semiHidden/>
    <w:unhideWhenUsed/>
    <w:rsid w:val="00E52865"/>
    <w:rPr>
      <w:color w:val="605E5C"/>
      <w:shd w:val="clear" w:color="auto" w:fill="E1DFDD"/>
    </w:rPr>
  </w:style>
  <w:style w:type="character" w:customStyle="1" w:styleId="Heading3Char">
    <w:name w:val="Heading 3 Char"/>
    <w:basedOn w:val="DefaultParagraphFont"/>
    <w:link w:val="Heading3"/>
    <w:uiPriority w:val="9"/>
    <w:rsid w:val="006336E6"/>
    <w:rPr>
      <w:rFonts w:asciiTheme="majorHAnsi" w:eastAsiaTheme="majorEastAsia" w:hAnsiTheme="majorHAnsi" w:cstheme="majorBidi"/>
      <w:color w:val="1F3763" w:themeColor="accent1" w:themeShade="7F"/>
      <w:lang w:eastAsia="en-GB"/>
    </w:rPr>
  </w:style>
  <w:style w:type="character" w:styleId="FollowedHyperlink">
    <w:name w:val="FollowedHyperlink"/>
    <w:basedOn w:val="DefaultParagraphFont"/>
    <w:uiPriority w:val="99"/>
    <w:semiHidden/>
    <w:unhideWhenUsed/>
    <w:rsid w:val="00886596"/>
    <w:rPr>
      <w:color w:val="954F72" w:themeColor="followedHyperlink"/>
      <w:u w:val="single"/>
    </w:rPr>
  </w:style>
  <w:style w:type="character" w:customStyle="1" w:styleId="a-list-item">
    <w:name w:val="a-list-item"/>
    <w:basedOn w:val="DefaultParagraphFont"/>
    <w:rsid w:val="009D3D84"/>
  </w:style>
  <w:style w:type="paragraph" w:styleId="Revision">
    <w:name w:val="Revision"/>
    <w:hidden/>
    <w:uiPriority w:val="99"/>
    <w:semiHidden/>
    <w:rsid w:val="00AB4D8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4877">
      <w:bodyDiv w:val="1"/>
      <w:marLeft w:val="0"/>
      <w:marRight w:val="0"/>
      <w:marTop w:val="0"/>
      <w:marBottom w:val="0"/>
      <w:divBdr>
        <w:top w:val="none" w:sz="0" w:space="0" w:color="auto"/>
        <w:left w:val="none" w:sz="0" w:space="0" w:color="auto"/>
        <w:bottom w:val="none" w:sz="0" w:space="0" w:color="auto"/>
        <w:right w:val="none" w:sz="0" w:space="0" w:color="auto"/>
      </w:divBdr>
    </w:div>
    <w:div w:id="18554434">
      <w:bodyDiv w:val="1"/>
      <w:marLeft w:val="0"/>
      <w:marRight w:val="0"/>
      <w:marTop w:val="0"/>
      <w:marBottom w:val="0"/>
      <w:divBdr>
        <w:top w:val="none" w:sz="0" w:space="0" w:color="auto"/>
        <w:left w:val="none" w:sz="0" w:space="0" w:color="auto"/>
        <w:bottom w:val="none" w:sz="0" w:space="0" w:color="auto"/>
        <w:right w:val="none" w:sz="0" w:space="0" w:color="auto"/>
      </w:divBdr>
    </w:div>
    <w:div w:id="25916012">
      <w:bodyDiv w:val="1"/>
      <w:marLeft w:val="0"/>
      <w:marRight w:val="0"/>
      <w:marTop w:val="0"/>
      <w:marBottom w:val="0"/>
      <w:divBdr>
        <w:top w:val="none" w:sz="0" w:space="0" w:color="auto"/>
        <w:left w:val="none" w:sz="0" w:space="0" w:color="auto"/>
        <w:bottom w:val="none" w:sz="0" w:space="0" w:color="auto"/>
        <w:right w:val="none" w:sz="0" w:space="0" w:color="auto"/>
      </w:divBdr>
    </w:div>
    <w:div w:id="26220915">
      <w:bodyDiv w:val="1"/>
      <w:marLeft w:val="0"/>
      <w:marRight w:val="0"/>
      <w:marTop w:val="0"/>
      <w:marBottom w:val="0"/>
      <w:divBdr>
        <w:top w:val="none" w:sz="0" w:space="0" w:color="auto"/>
        <w:left w:val="none" w:sz="0" w:space="0" w:color="auto"/>
        <w:bottom w:val="none" w:sz="0" w:space="0" w:color="auto"/>
        <w:right w:val="none" w:sz="0" w:space="0" w:color="auto"/>
      </w:divBdr>
    </w:div>
    <w:div w:id="38282383">
      <w:bodyDiv w:val="1"/>
      <w:marLeft w:val="0"/>
      <w:marRight w:val="0"/>
      <w:marTop w:val="0"/>
      <w:marBottom w:val="0"/>
      <w:divBdr>
        <w:top w:val="none" w:sz="0" w:space="0" w:color="auto"/>
        <w:left w:val="none" w:sz="0" w:space="0" w:color="auto"/>
        <w:bottom w:val="none" w:sz="0" w:space="0" w:color="auto"/>
        <w:right w:val="none" w:sz="0" w:space="0" w:color="auto"/>
      </w:divBdr>
      <w:divsChild>
        <w:div w:id="904335007">
          <w:marLeft w:val="0"/>
          <w:marRight w:val="0"/>
          <w:marTop w:val="0"/>
          <w:marBottom w:val="0"/>
          <w:divBdr>
            <w:top w:val="none" w:sz="0" w:space="0" w:color="auto"/>
            <w:left w:val="none" w:sz="0" w:space="0" w:color="auto"/>
            <w:bottom w:val="none" w:sz="0" w:space="0" w:color="auto"/>
            <w:right w:val="none" w:sz="0" w:space="0" w:color="auto"/>
          </w:divBdr>
        </w:div>
      </w:divsChild>
    </w:div>
    <w:div w:id="66656720">
      <w:bodyDiv w:val="1"/>
      <w:marLeft w:val="0"/>
      <w:marRight w:val="0"/>
      <w:marTop w:val="0"/>
      <w:marBottom w:val="0"/>
      <w:divBdr>
        <w:top w:val="none" w:sz="0" w:space="0" w:color="auto"/>
        <w:left w:val="none" w:sz="0" w:space="0" w:color="auto"/>
        <w:bottom w:val="none" w:sz="0" w:space="0" w:color="auto"/>
        <w:right w:val="none" w:sz="0" w:space="0" w:color="auto"/>
      </w:divBdr>
    </w:div>
    <w:div w:id="90443561">
      <w:bodyDiv w:val="1"/>
      <w:marLeft w:val="0"/>
      <w:marRight w:val="0"/>
      <w:marTop w:val="0"/>
      <w:marBottom w:val="0"/>
      <w:divBdr>
        <w:top w:val="none" w:sz="0" w:space="0" w:color="auto"/>
        <w:left w:val="none" w:sz="0" w:space="0" w:color="auto"/>
        <w:bottom w:val="none" w:sz="0" w:space="0" w:color="auto"/>
        <w:right w:val="none" w:sz="0" w:space="0" w:color="auto"/>
      </w:divBdr>
    </w:div>
    <w:div w:id="91897320">
      <w:bodyDiv w:val="1"/>
      <w:marLeft w:val="0"/>
      <w:marRight w:val="0"/>
      <w:marTop w:val="0"/>
      <w:marBottom w:val="0"/>
      <w:divBdr>
        <w:top w:val="none" w:sz="0" w:space="0" w:color="auto"/>
        <w:left w:val="none" w:sz="0" w:space="0" w:color="auto"/>
        <w:bottom w:val="none" w:sz="0" w:space="0" w:color="auto"/>
        <w:right w:val="none" w:sz="0" w:space="0" w:color="auto"/>
      </w:divBdr>
      <w:divsChild>
        <w:div w:id="460270118">
          <w:marLeft w:val="0"/>
          <w:marRight w:val="0"/>
          <w:marTop w:val="0"/>
          <w:marBottom w:val="0"/>
          <w:divBdr>
            <w:top w:val="none" w:sz="0" w:space="0" w:color="auto"/>
            <w:left w:val="none" w:sz="0" w:space="0" w:color="auto"/>
            <w:bottom w:val="none" w:sz="0" w:space="0" w:color="auto"/>
            <w:right w:val="none" w:sz="0" w:space="0" w:color="auto"/>
          </w:divBdr>
        </w:div>
      </w:divsChild>
    </w:div>
    <w:div w:id="94054802">
      <w:bodyDiv w:val="1"/>
      <w:marLeft w:val="0"/>
      <w:marRight w:val="0"/>
      <w:marTop w:val="0"/>
      <w:marBottom w:val="0"/>
      <w:divBdr>
        <w:top w:val="none" w:sz="0" w:space="0" w:color="auto"/>
        <w:left w:val="none" w:sz="0" w:space="0" w:color="auto"/>
        <w:bottom w:val="none" w:sz="0" w:space="0" w:color="auto"/>
        <w:right w:val="none" w:sz="0" w:space="0" w:color="auto"/>
      </w:divBdr>
    </w:div>
    <w:div w:id="100415416">
      <w:bodyDiv w:val="1"/>
      <w:marLeft w:val="0"/>
      <w:marRight w:val="0"/>
      <w:marTop w:val="0"/>
      <w:marBottom w:val="0"/>
      <w:divBdr>
        <w:top w:val="none" w:sz="0" w:space="0" w:color="auto"/>
        <w:left w:val="none" w:sz="0" w:space="0" w:color="auto"/>
        <w:bottom w:val="none" w:sz="0" w:space="0" w:color="auto"/>
        <w:right w:val="none" w:sz="0" w:space="0" w:color="auto"/>
      </w:divBdr>
    </w:div>
    <w:div w:id="105083792">
      <w:bodyDiv w:val="1"/>
      <w:marLeft w:val="0"/>
      <w:marRight w:val="0"/>
      <w:marTop w:val="0"/>
      <w:marBottom w:val="0"/>
      <w:divBdr>
        <w:top w:val="none" w:sz="0" w:space="0" w:color="auto"/>
        <w:left w:val="none" w:sz="0" w:space="0" w:color="auto"/>
        <w:bottom w:val="none" w:sz="0" w:space="0" w:color="auto"/>
        <w:right w:val="none" w:sz="0" w:space="0" w:color="auto"/>
      </w:divBdr>
    </w:div>
    <w:div w:id="105513703">
      <w:bodyDiv w:val="1"/>
      <w:marLeft w:val="0"/>
      <w:marRight w:val="0"/>
      <w:marTop w:val="0"/>
      <w:marBottom w:val="0"/>
      <w:divBdr>
        <w:top w:val="none" w:sz="0" w:space="0" w:color="auto"/>
        <w:left w:val="none" w:sz="0" w:space="0" w:color="auto"/>
        <w:bottom w:val="none" w:sz="0" w:space="0" w:color="auto"/>
        <w:right w:val="none" w:sz="0" w:space="0" w:color="auto"/>
      </w:divBdr>
      <w:divsChild>
        <w:div w:id="564343645">
          <w:marLeft w:val="0"/>
          <w:marRight w:val="0"/>
          <w:marTop w:val="0"/>
          <w:marBottom w:val="0"/>
          <w:divBdr>
            <w:top w:val="none" w:sz="0" w:space="0" w:color="auto"/>
            <w:left w:val="none" w:sz="0" w:space="0" w:color="auto"/>
            <w:bottom w:val="none" w:sz="0" w:space="0" w:color="auto"/>
            <w:right w:val="none" w:sz="0" w:space="0" w:color="auto"/>
          </w:divBdr>
        </w:div>
      </w:divsChild>
    </w:div>
    <w:div w:id="108822449">
      <w:bodyDiv w:val="1"/>
      <w:marLeft w:val="0"/>
      <w:marRight w:val="0"/>
      <w:marTop w:val="0"/>
      <w:marBottom w:val="0"/>
      <w:divBdr>
        <w:top w:val="none" w:sz="0" w:space="0" w:color="auto"/>
        <w:left w:val="none" w:sz="0" w:space="0" w:color="auto"/>
        <w:bottom w:val="none" w:sz="0" w:space="0" w:color="auto"/>
        <w:right w:val="none" w:sz="0" w:space="0" w:color="auto"/>
      </w:divBdr>
    </w:div>
    <w:div w:id="109470257">
      <w:bodyDiv w:val="1"/>
      <w:marLeft w:val="0"/>
      <w:marRight w:val="0"/>
      <w:marTop w:val="0"/>
      <w:marBottom w:val="0"/>
      <w:divBdr>
        <w:top w:val="none" w:sz="0" w:space="0" w:color="auto"/>
        <w:left w:val="none" w:sz="0" w:space="0" w:color="auto"/>
        <w:bottom w:val="none" w:sz="0" w:space="0" w:color="auto"/>
        <w:right w:val="none" w:sz="0" w:space="0" w:color="auto"/>
      </w:divBdr>
      <w:divsChild>
        <w:div w:id="1916931059">
          <w:marLeft w:val="0"/>
          <w:marRight w:val="0"/>
          <w:marTop w:val="0"/>
          <w:marBottom w:val="0"/>
          <w:divBdr>
            <w:top w:val="none" w:sz="0" w:space="0" w:color="auto"/>
            <w:left w:val="none" w:sz="0" w:space="0" w:color="auto"/>
            <w:bottom w:val="none" w:sz="0" w:space="0" w:color="auto"/>
            <w:right w:val="none" w:sz="0" w:space="0" w:color="auto"/>
          </w:divBdr>
        </w:div>
      </w:divsChild>
    </w:div>
    <w:div w:id="117914718">
      <w:bodyDiv w:val="1"/>
      <w:marLeft w:val="0"/>
      <w:marRight w:val="0"/>
      <w:marTop w:val="0"/>
      <w:marBottom w:val="0"/>
      <w:divBdr>
        <w:top w:val="none" w:sz="0" w:space="0" w:color="auto"/>
        <w:left w:val="none" w:sz="0" w:space="0" w:color="auto"/>
        <w:bottom w:val="none" w:sz="0" w:space="0" w:color="auto"/>
        <w:right w:val="none" w:sz="0" w:space="0" w:color="auto"/>
      </w:divBdr>
    </w:div>
    <w:div w:id="119036790">
      <w:bodyDiv w:val="1"/>
      <w:marLeft w:val="0"/>
      <w:marRight w:val="0"/>
      <w:marTop w:val="0"/>
      <w:marBottom w:val="0"/>
      <w:divBdr>
        <w:top w:val="none" w:sz="0" w:space="0" w:color="auto"/>
        <w:left w:val="none" w:sz="0" w:space="0" w:color="auto"/>
        <w:bottom w:val="none" w:sz="0" w:space="0" w:color="auto"/>
        <w:right w:val="none" w:sz="0" w:space="0" w:color="auto"/>
      </w:divBdr>
    </w:div>
    <w:div w:id="144133060">
      <w:bodyDiv w:val="1"/>
      <w:marLeft w:val="0"/>
      <w:marRight w:val="0"/>
      <w:marTop w:val="0"/>
      <w:marBottom w:val="0"/>
      <w:divBdr>
        <w:top w:val="none" w:sz="0" w:space="0" w:color="auto"/>
        <w:left w:val="none" w:sz="0" w:space="0" w:color="auto"/>
        <w:bottom w:val="none" w:sz="0" w:space="0" w:color="auto"/>
        <w:right w:val="none" w:sz="0" w:space="0" w:color="auto"/>
      </w:divBdr>
    </w:div>
    <w:div w:id="150293631">
      <w:bodyDiv w:val="1"/>
      <w:marLeft w:val="0"/>
      <w:marRight w:val="0"/>
      <w:marTop w:val="0"/>
      <w:marBottom w:val="0"/>
      <w:divBdr>
        <w:top w:val="none" w:sz="0" w:space="0" w:color="auto"/>
        <w:left w:val="none" w:sz="0" w:space="0" w:color="auto"/>
        <w:bottom w:val="none" w:sz="0" w:space="0" w:color="auto"/>
        <w:right w:val="none" w:sz="0" w:space="0" w:color="auto"/>
      </w:divBdr>
      <w:divsChild>
        <w:div w:id="631908085">
          <w:marLeft w:val="0"/>
          <w:marRight w:val="0"/>
          <w:marTop w:val="0"/>
          <w:marBottom w:val="0"/>
          <w:divBdr>
            <w:top w:val="none" w:sz="0" w:space="0" w:color="auto"/>
            <w:left w:val="none" w:sz="0" w:space="0" w:color="auto"/>
            <w:bottom w:val="none" w:sz="0" w:space="0" w:color="auto"/>
            <w:right w:val="none" w:sz="0" w:space="0" w:color="auto"/>
          </w:divBdr>
        </w:div>
      </w:divsChild>
    </w:div>
    <w:div w:id="150485617">
      <w:bodyDiv w:val="1"/>
      <w:marLeft w:val="0"/>
      <w:marRight w:val="0"/>
      <w:marTop w:val="0"/>
      <w:marBottom w:val="0"/>
      <w:divBdr>
        <w:top w:val="none" w:sz="0" w:space="0" w:color="auto"/>
        <w:left w:val="none" w:sz="0" w:space="0" w:color="auto"/>
        <w:bottom w:val="none" w:sz="0" w:space="0" w:color="auto"/>
        <w:right w:val="none" w:sz="0" w:space="0" w:color="auto"/>
      </w:divBdr>
    </w:div>
    <w:div w:id="161553308">
      <w:bodyDiv w:val="1"/>
      <w:marLeft w:val="0"/>
      <w:marRight w:val="0"/>
      <w:marTop w:val="0"/>
      <w:marBottom w:val="0"/>
      <w:divBdr>
        <w:top w:val="none" w:sz="0" w:space="0" w:color="auto"/>
        <w:left w:val="none" w:sz="0" w:space="0" w:color="auto"/>
        <w:bottom w:val="none" w:sz="0" w:space="0" w:color="auto"/>
        <w:right w:val="none" w:sz="0" w:space="0" w:color="auto"/>
      </w:divBdr>
    </w:div>
    <w:div w:id="169756117">
      <w:bodyDiv w:val="1"/>
      <w:marLeft w:val="0"/>
      <w:marRight w:val="0"/>
      <w:marTop w:val="0"/>
      <w:marBottom w:val="0"/>
      <w:divBdr>
        <w:top w:val="none" w:sz="0" w:space="0" w:color="auto"/>
        <w:left w:val="none" w:sz="0" w:space="0" w:color="auto"/>
        <w:bottom w:val="none" w:sz="0" w:space="0" w:color="auto"/>
        <w:right w:val="none" w:sz="0" w:space="0" w:color="auto"/>
      </w:divBdr>
    </w:div>
    <w:div w:id="177429278">
      <w:bodyDiv w:val="1"/>
      <w:marLeft w:val="0"/>
      <w:marRight w:val="0"/>
      <w:marTop w:val="0"/>
      <w:marBottom w:val="0"/>
      <w:divBdr>
        <w:top w:val="none" w:sz="0" w:space="0" w:color="auto"/>
        <w:left w:val="none" w:sz="0" w:space="0" w:color="auto"/>
        <w:bottom w:val="none" w:sz="0" w:space="0" w:color="auto"/>
        <w:right w:val="none" w:sz="0" w:space="0" w:color="auto"/>
      </w:divBdr>
    </w:div>
    <w:div w:id="181090240">
      <w:bodyDiv w:val="1"/>
      <w:marLeft w:val="0"/>
      <w:marRight w:val="0"/>
      <w:marTop w:val="0"/>
      <w:marBottom w:val="0"/>
      <w:divBdr>
        <w:top w:val="none" w:sz="0" w:space="0" w:color="auto"/>
        <w:left w:val="none" w:sz="0" w:space="0" w:color="auto"/>
        <w:bottom w:val="none" w:sz="0" w:space="0" w:color="auto"/>
        <w:right w:val="none" w:sz="0" w:space="0" w:color="auto"/>
      </w:divBdr>
    </w:div>
    <w:div w:id="183445214">
      <w:bodyDiv w:val="1"/>
      <w:marLeft w:val="0"/>
      <w:marRight w:val="0"/>
      <w:marTop w:val="0"/>
      <w:marBottom w:val="0"/>
      <w:divBdr>
        <w:top w:val="none" w:sz="0" w:space="0" w:color="auto"/>
        <w:left w:val="none" w:sz="0" w:space="0" w:color="auto"/>
        <w:bottom w:val="none" w:sz="0" w:space="0" w:color="auto"/>
        <w:right w:val="none" w:sz="0" w:space="0" w:color="auto"/>
      </w:divBdr>
    </w:div>
    <w:div w:id="185798727">
      <w:bodyDiv w:val="1"/>
      <w:marLeft w:val="0"/>
      <w:marRight w:val="0"/>
      <w:marTop w:val="0"/>
      <w:marBottom w:val="0"/>
      <w:divBdr>
        <w:top w:val="none" w:sz="0" w:space="0" w:color="auto"/>
        <w:left w:val="none" w:sz="0" w:space="0" w:color="auto"/>
        <w:bottom w:val="none" w:sz="0" w:space="0" w:color="auto"/>
        <w:right w:val="none" w:sz="0" w:space="0" w:color="auto"/>
      </w:divBdr>
    </w:div>
    <w:div w:id="186530526">
      <w:bodyDiv w:val="1"/>
      <w:marLeft w:val="0"/>
      <w:marRight w:val="0"/>
      <w:marTop w:val="0"/>
      <w:marBottom w:val="0"/>
      <w:divBdr>
        <w:top w:val="none" w:sz="0" w:space="0" w:color="auto"/>
        <w:left w:val="none" w:sz="0" w:space="0" w:color="auto"/>
        <w:bottom w:val="none" w:sz="0" w:space="0" w:color="auto"/>
        <w:right w:val="none" w:sz="0" w:space="0" w:color="auto"/>
      </w:divBdr>
    </w:div>
    <w:div w:id="197471911">
      <w:bodyDiv w:val="1"/>
      <w:marLeft w:val="0"/>
      <w:marRight w:val="0"/>
      <w:marTop w:val="0"/>
      <w:marBottom w:val="0"/>
      <w:divBdr>
        <w:top w:val="none" w:sz="0" w:space="0" w:color="auto"/>
        <w:left w:val="none" w:sz="0" w:space="0" w:color="auto"/>
        <w:bottom w:val="none" w:sz="0" w:space="0" w:color="auto"/>
        <w:right w:val="none" w:sz="0" w:space="0" w:color="auto"/>
      </w:divBdr>
      <w:divsChild>
        <w:div w:id="1739011229">
          <w:marLeft w:val="0"/>
          <w:marRight w:val="0"/>
          <w:marTop w:val="0"/>
          <w:marBottom w:val="0"/>
          <w:divBdr>
            <w:top w:val="none" w:sz="0" w:space="0" w:color="auto"/>
            <w:left w:val="none" w:sz="0" w:space="0" w:color="auto"/>
            <w:bottom w:val="none" w:sz="0" w:space="0" w:color="auto"/>
            <w:right w:val="none" w:sz="0" w:space="0" w:color="auto"/>
          </w:divBdr>
          <w:divsChild>
            <w:div w:id="2110004205">
              <w:marLeft w:val="0"/>
              <w:marRight w:val="0"/>
              <w:marTop w:val="0"/>
              <w:marBottom w:val="0"/>
              <w:divBdr>
                <w:top w:val="none" w:sz="0" w:space="0" w:color="auto"/>
                <w:left w:val="none" w:sz="0" w:space="0" w:color="auto"/>
                <w:bottom w:val="none" w:sz="0" w:space="0" w:color="auto"/>
                <w:right w:val="none" w:sz="0" w:space="0" w:color="auto"/>
              </w:divBdr>
              <w:divsChild>
                <w:div w:id="15623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494">
      <w:bodyDiv w:val="1"/>
      <w:marLeft w:val="0"/>
      <w:marRight w:val="0"/>
      <w:marTop w:val="0"/>
      <w:marBottom w:val="0"/>
      <w:divBdr>
        <w:top w:val="none" w:sz="0" w:space="0" w:color="auto"/>
        <w:left w:val="none" w:sz="0" w:space="0" w:color="auto"/>
        <w:bottom w:val="none" w:sz="0" w:space="0" w:color="auto"/>
        <w:right w:val="none" w:sz="0" w:space="0" w:color="auto"/>
      </w:divBdr>
      <w:divsChild>
        <w:div w:id="1457986485">
          <w:marLeft w:val="0"/>
          <w:marRight w:val="0"/>
          <w:marTop w:val="0"/>
          <w:marBottom w:val="0"/>
          <w:divBdr>
            <w:top w:val="none" w:sz="0" w:space="0" w:color="auto"/>
            <w:left w:val="none" w:sz="0" w:space="0" w:color="auto"/>
            <w:bottom w:val="none" w:sz="0" w:space="0" w:color="auto"/>
            <w:right w:val="none" w:sz="0" w:space="0" w:color="auto"/>
          </w:divBdr>
        </w:div>
      </w:divsChild>
    </w:div>
    <w:div w:id="210390757">
      <w:bodyDiv w:val="1"/>
      <w:marLeft w:val="0"/>
      <w:marRight w:val="0"/>
      <w:marTop w:val="0"/>
      <w:marBottom w:val="0"/>
      <w:divBdr>
        <w:top w:val="none" w:sz="0" w:space="0" w:color="auto"/>
        <w:left w:val="none" w:sz="0" w:space="0" w:color="auto"/>
        <w:bottom w:val="none" w:sz="0" w:space="0" w:color="auto"/>
        <w:right w:val="none" w:sz="0" w:space="0" w:color="auto"/>
      </w:divBdr>
    </w:div>
    <w:div w:id="214584940">
      <w:bodyDiv w:val="1"/>
      <w:marLeft w:val="0"/>
      <w:marRight w:val="0"/>
      <w:marTop w:val="0"/>
      <w:marBottom w:val="0"/>
      <w:divBdr>
        <w:top w:val="none" w:sz="0" w:space="0" w:color="auto"/>
        <w:left w:val="none" w:sz="0" w:space="0" w:color="auto"/>
        <w:bottom w:val="none" w:sz="0" w:space="0" w:color="auto"/>
        <w:right w:val="none" w:sz="0" w:space="0" w:color="auto"/>
      </w:divBdr>
    </w:div>
    <w:div w:id="237709546">
      <w:bodyDiv w:val="1"/>
      <w:marLeft w:val="0"/>
      <w:marRight w:val="0"/>
      <w:marTop w:val="0"/>
      <w:marBottom w:val="0"/>
      <w:divBdr>
        <w:top w:val="none" w:sz="0" w:space="0" w:color="auto"/>
        <w:left w:val="none" w:sz="0" w:space="0" w:color="auto"/>
        <w:bottom w:val="none" w:sz="0" w:space="0" w:color="auto"/>
        <w:right w:val="none" w:sz="0" w:space="0" w:color="auto"/>
      </w:divBdr>
    </w:div>
    <w:div w:id="250630230">
      <w:bodyDiv w:val="1"/>
      <w:marLeft w:val="0"/>
      <w:marRight w:val="0"/>
      <w:marTop w:val="0"/>
      <w:marBottom w:val="0"/>
      <w:divBdr>
        <w:top w:val="none" w:sz="0" w:space="0" w:color="auto"/>
        <w:left w:val="none" w:sz="0" w:space="0" w:color="auto"/>
        <w:bottom w:val="none" w:sz="0" w:space="0" w:color="auto"/>
        <w:right w:val="none" w:sz="0" w:space="0" w:color="auto"/>
      </w:divBdr>
      <w:divsChild>
        <w:div w:id="2144419311">
          <w:marLeft w:val="0"/>
          <w:marRight w:val="0"/>
          <w:marTop w:val="0"/>
          <w:marBottom w:val="0"/>
          <w:divBdr>
            <w:top w:val="none" w:sz="0" w:space="0" w:color="auto"/>
            <w:left w:val="none" w:sz="0" w:space="0" w:color="auto"/>
            <w:bottom w:val="none" w:sz="0" w:space="0" w:color="auto"/>
            <w:right w:val="none" w:sz="0" w:space="0" w:color="auto"/>
          </w:divBdr>
        </w:div>
      </w:divsChild>
    </w:div>
    <w:div w:id="255868308">
      <w:bodyDiv w:val="1"/>
      <w:marLeft w:val="0"/>
      <w:marRight w:val="0"/>
      <w:marTop w:val="0"/>
      <w:marBottom w:val="0"/>
      <w:divBdr>
        <w:top w:val="none" w:sz="0" w:space="0" w:color="auto"/>
        <w:left w:val="none" w:sz="0" w:space="0" w:color="auto"/>
        <w:bottom w:val="none" w:sz="0" w:space="0" w:color="auto"/>
        <w:right w:val="none" w:sz="0" w:space="0" w:color="auto"/>
      </w:divBdr>
    </w:div>
    <w:div w:id="265315052">
      <w:bodyDiv w:val="1"/>
      <w:marLeft w:val="0"/>
      <w:marRight w:val="0"/>
      <w:marTop w:val="0"/>
      <w:marBottom w:val="0"/>
      <w:divBdr>
        <w:top w:val="none" w:sz="0" w:space="0" w:color="auto"/>
        <w:left w:val="none" w:sz="0" w:space="0" w:color="auto"/>
        <w:bottom w:val="none" w:sz="0" w:space="0" w:color="auto"/>
        <w:right w:val="none" w:sz="0" w:space="0" w:color="auto"/>
      </w:divBdr>
    </w:div>
    <w:div w:id="269821124">
      <w:bodyDiv w:val="1"/>
      <w:marLeft w:val="0"/>
      <w:marRight w:val="0"/>
      <w:marTop w:val="0"/>
      <w:marBottom w:val="0"/>
      <w:divBdr>
        <w:top w:val="none" w:sz="0" w:space="0" w:color="auto"/>
        <w:left w:val="none" w:sz="0" w:space="0" w:color="auto"/>
        <w:bottom w:val="none" w:sz="0" w:space="0" w:color="auto"/>
        <w:right w:val="none" w:sz="0" w:space="0" w:color="auto"/>
      </w:divBdr>
      <w:divsChild>
        <w:div w:id="1376197170">
          <w:marLeft w:val="0"/>
          <w:marRight w:val="0"/>
          <w:marTop w:val="0"/>
          <w:marBottom w:val="0"/>
          <w:divBdr>
            <w:top w:val="none" w:sz="0" w:space="0" w:color="auto"/>
            <w:left w:val="none" w:sz="0" w:space="0" w:color="auto"/>
            <w:bottom w:val="none" w:sz="0" w:space="0" w:color="auto"/>
            <w:right w:val="none" w:sz="0" w:space="0" w:color="auto"/>
          </w:divBdr>
        </w:div>
      </w:divsChild>
    </w:div>
    <w:div w:id="276836886">
      <w:bodyDiv w:val="1"/>
      <w:marLeft w:val="0"/>
      <w:marRight w:val="0"/>
      <w:marTop w:val="0"/>
      <w:marBottom w:val="0"/>
      <w:divBdr>
        <w:top w:val="none" w:sz="0" w:space="0" w:color="auto"/>
        <w:left w:val="none" w:sz="0" w:space="0" w:color="auto"/>
        <w:bottom w:val="none" w:sz="0" w:space="0" w:color="auto"/>
        <w:right w:val="none" w:sz="0" w:space="0" w:color="auto"/>
      </w:divBdr>
    </w:div>
    <w:div w:id="280496785">
      <w:bodyDiv w:val="1"/>
      <w:marLeft w:val="0"/>
      <w:marRight w:val="0"/>
      <w:marTop w:val="0"/>
      <w:marBottom w:val="0"/>
      <w:divBdr>
        <w:top w:val="none" w:sz="0" w:space="0" w:color="auto"/>
        <w:left w:val="none" w:sz="0" w:space="0" w:color="auto"/>
        <w:bottom w:val="none" w:sz="0" w:space="0" w:color="auto"/>
        <w:right w:val="none" w:sz="0" w:space="0" w:color="auto"/>
      </w:divBdr>
      <w:divsChild>
        <w:div w:id="1216549306">
          <w:marLeft w:val="0"/>
          <w:marRight w:val="0"/>
          <w:marTop w:val="0"/>
          <w:marBottom w:val="0"/>
          <w:divBdr>
            <w:top w:val="none" w:sz="0" w:space="0" w:color="auto"/>
            <w:left w:val="none" w:sz="0" w:space="0" w:color="auto"/>
            <w:bottom w:val="none" w:sz="0" w:space="0" w:color="auto"/>
            <w:right w:val="none" w:sz="0" w:space="0" w:color="auto"/>
          </w:divBdr>
        </w:div>
      </w:divsChild>
    </w:div>
    <w:div w:id="295255757">
      <w:bodyDiv w:val="1"/>
      <w:marLeft w:val="0"/>
      <w:marRight w:val="0"/>
      <w:marTop w:val="0"/>
      <w:marBottom w:val="0"/>
      <w:divBdr>
        <w:top w:val="none" w:sz="0" w:space="0" w:color="auto"/>
        <w:left w:val="none" w:sz="0" w:space="0" w:color="auto"/>
        <w:bottom w:val="none" w:sz="0" w:space="0" w:color="auto"/>
        <w:right w:val="none" w:sz="0" w:space="0" w:color="auto"/>
      </w:divBdr>
      <w:divsChild>
        <w:div w:id="726798618">
          <w:marLeft w:val="0"/>
          <w:marRight w:val="0"/>
          <w:marTop w:val="0"/>
          <w:marBottom w:val="0"/>
          <w:divBdr>
            <w:top w:val="none" w:sz="0" w:space="0" w:color="auto"/>
            <w:left w:val="none" w:sz="0" w:space="0" w:color="auto"/>
            <w:bottom w:val="none" w:sz="0" w:space="0" w:color="auto"/>
            <w:right w:val="none" w:sz="0" w:space="0" w:color="auto"/>
          </w:divBdr>
        </w:div>
      </w:divsChild>
    </w:div>
    <w:div w:id="297222320">
      <w:bodyDiv w:val="1"/>
      <w:marLeft w:val="0"/>
      <w:marRight w:val="0"/>
      <w:marTop w:val="0"/>
      <w:marBottom w:val="0"/>
      <w:divBdr>
        <w:top w:val="none" w:sz="0" w:space="0" w:color="auto"/>
        <w:left w:val="none" w:sz="0" w:space="0" w:color="auto"/>
        <w:bottom w:val="none" w:sz="0" w:space="0" w:color="auto"/>
        <w:right w:val="none" w:sz="0" w:space="0" w:color="auto"/>
      </w:divBdr>
    </w:div>
    <w:div w:id="297879660">
      <w:bodyDiv w:val="1"/>
      <w:marLeft w:val="0"/>
      <w:marRight w:val="0"/>
      <w:marTop w:val="0"/>
      <w:marBottom w:val="0"/>
      <w:divBdr>
        <w:top w:val="none" w:sz="0" w:space="0" w:color="auto"/>
        <w:left w:val="none" w:sz="0" w:space="0" w:color="auto"/>
        <w:bottom w:val="none" w:sz="0" w:space="0" w:color="auto"/>
        <w:right w:val="none" w:sz="0" w:space="0" w:color="auto"/>
      </w:divBdr>
    </w:div>
    <w:div w:id="298345713">
      <w:bodyDiv w:val="1"/>
      <w:marLeft w:val="0"/>
      <w:marRight w:val="0"/>
      <w:marTop w:val="0"/>
      <w:marBottom w:val="0"/>
      <w:divBdr>
        <w:top w:val="none" w:sz="0" w:space="0" w:color="auto"/>
        <w:left w:val="none" w:sz="0" w:space="0" w:color="auto"/>
        <w:bottom w:val="none" w:sz="0" w:space="0" w:color="auto"/>
        <w:right w:val="none" w:sz="0" w:space="0" w:color="auto"/>
      </w:divBdr>
    </w:div>
    <w:div w:id="301929053">
      <w:bodyDiv w:val="1"/>
      <w:marLeft w:val="0"/>
      <w:marRight w:val="0"/>
      <w:marTop w:val="0"/>
      <w:marBottom w:val="0"/>
      <w:divBdr>
        <w:top w:val="none" w:sz="0" w:space="0" w:color="auto"/>
        <w:left w:val="none" w:sz="0" w:space="0" w:color="auto"/>
        <w:bottom w:val="none" w:sz="0" w:space="0" w:color="auto"/>
        <w:right w:val="none" w:sz="0" w:space="0" w:color="auto"/>
      </w:divBdr>
    </w:div>
    <w:div w:id="315115516">
      <w:bodyDiv w:val="1"/>
      <w:marLeft w:val="0"/>
      <w:marRight w:val="0"/>
      <w:marTop w:val="0"/>
      <w:marBottom w:val="0"/>
      <w:divBdr>
        <w:top w:val="none" w:sz="0" w:space="0" w:color="auto"/>
        <w:left w:val="none" w:sz="0" w:space="0" w:color="auto"/>
        <w:bottom w:val="none" w:sz="0" w:space="0" w:color="auto"/>
        <w:right w:val="none" w:sz="0" w:space="0" w:color="auto"/>
      </w:divBdr>
      <w:divsChild>
        <w:div w:id="223294121">
          <w:marLeft w:val="0"/>
          <w:marRight w:val="0"/>
          <w:marTop w:val="0"/>
          <w:marBottom w:val="0"/>
          <w:divBdr>
            <w:top w:val="none" w:sz="0" w:space="0" w:color="auto"/>
            <w:left w:val="none" w:sz="0" w:space="0" w:color="auto"/>
            <w:bottom w:val="none" w:sz="0" w:space="0" w:color="auto"/>
            <w:right w:val="none" w:sz="0" w:space="0" w:color="auto"/>
          </w:divBdr>
        </w:div>
      </w:divsChild>
    </w:div>
    <w:div w:id="323124317">
      <w:bodyDiv w:val="1"/>
      <w:marLeft w:val="0"/>
      <w:marRight w:val="0"/>
      <w:marTop w:val="0"/>
      <w:marBottom w:val="0"/>
      <w:divBdr>
        <w:top w:val="none" w:sz="0" w:space="0" w:color="auto"/>
        <w:left w:val="none" w:sz="0" w:space="0" w:color="auto"/>
        <w:bottom w:val="none" w:sz="0" w:space="0" w:color="auto"/>
        <w:right w:val="none" w:sz="0" w:space="0" w:color="auto"/>
      </w:divBdr>
    </w:div>
    <w:div w:id="335152224">
      <w:bodyDiv w:val="1"/>
      <w:marLeft w:val="0"/>
      <w:marRight w:val="0"/>
      <w:marTop w:val="0"/>
      <w:marBottom w:val="0"/>
      <w:divBdr>
        <w:top w:val="none" w:sz="0" w:space="0" w:color="auto"/>
        <w:left w:val="none" w:sz="0" w:space="0" w:color="auto"/>
        <w:bottom w:val="none" w:sz="0" w:space="0" w:color="auto"/>
        <w:right w:val="none" w:sz="0" w:space="0" w:color="auto"/>
      </w:divBdr>
      <w:divsChild>
        <w:div w:id="1579947684">
          <w:marLeft w:val="0"/>
          <w:marRight w:val="0"/>
          <w:marTop w:val="0"/>
          <w:marBottom w:val="0"/>
          <w:divBdr>
            <w:top w:val="none" w:sz="0" w:space="0" w:color="auto"/>
            <w:left w:val="none" w:sz="0" w:space="0" w:color="auto"/>
            <w:bottom w:val="none" w:sz="0" w:space="0" w:color="auto"/>
            <w:right w:val="none" w:sz="0" w:space="0" w:color="auto"/>
          </w:divBdr>
        </w:div>
      </w:divsChild>
    </w:div>
    <w:div w:id="337779422">
      <w:bodyDiv w:val="1"/>
      <w:marLeft w:val="0"/>
      <w:marRight w:val="0"/>
      <w:marTop w:val="0"/>
      <w:marBottom w:val="0"/>
      <w:divBdr>
        <w:top w:val="none" w:sz="0" w:space="0" w:color="auto"/>
        <w:left w:val="none" w:sz="0" w:space="0" w:color="auto"/>
        <w:bottom w:val="none" w:sz="0" w:space="0" w:color="auto"/>
        <w:right w:val="none" w:sz="0" w:space="0" w:color="auto"/>
      </w:divBdr>
    </w:div>
    <w:div w:id="343897999">
      <w:bodyDiv w:val="1"/>
      <w:marLeft w:val="0"/>
      <w:marRight w:val="0"/>
      <w:marTop w:val="0"/>
      <w:marBottom w:val="0"/>
      <w:divBdr>
        <w:top w:val="none" w:sz="0" w:space="0" w:color="auto"/>
        <w:left w:val="none" w:sz="0" w:space="0" w:color="auto"/>
        <w:bottom w:val="none" w:sz="0" w:space="0" w:color="auto"/>
        <w:right w:val="none" w:sz="0" w:space="0" w:color="auto"/>
      </w:divBdr>
      <w:divsChild>
        <w:div w:id="1739281468">
          <w:marLeft w:val="0"/>
          <w:marRight w:val="0"/>
          <w:marTop w:val="0"/>
          <w:marBottom w:val="0"/>
          <w:divBdr>
            <w:top w:val="none" w:sz="0" w:space="0" w:color="auto"/>
            <w:left w:val="none" w:sz="0" w:space="0" w:color="auto"/>
            <w:bottom w:val="none" w:sz="0" w:space="0" w:color="auto"/>
            <w:right w:val="none" w:sz="0" w:space="0" w:color="auto"/>
          </w:divBdr>
        </w:div>
      </w:divsChild>
    </w:div>
    <w:div w:id="353726039">
      <w:bodyDiv w:val="1"/>
      <w:marLeft w:val="0"/>
      <w:marRight w:val="0"/>
      <w:marTop w:val="0"/>
      <w:marBottom w:val="0"/>
      <w:divBdr>
        <w:top w:val="none" w:sz="0" w:space="0" w:color="auto"/>
        <w:left w:val="none" w:sz="0" w:space="0" w:color="auto"/>
        <w:bottom w:val="none" w:sz="0" w:space="0" w:color="auto"/>
        <w:right w:val="none" w:sz="0" w:space="0" w:color="auto"/>
      </w:divBdr>
      <w:divsChild>
        <w:div w:id="1081098892">
          <w:marLeft w:val="0"/>
          <w:marRight w:val="0"/>
          <w:marTop w:val="0"/>
          <w:marBottom w:val="0"/>
          <w:divBdr>
            <w:top w:val="none" w:sz="0" w:space="0" w:color="auto"/>
            <w:left w:val="none" w:sz="0" w:space="0" w:color="auto"/>
            <w:bottom w:val="none" w:sz="0" w:space="0" w:color="auto"/>
            <w:right w:val="none" w:sz="0" w:space="0" w:color="auto"/>
          </w:divBdr>
        </w:div>
      </w:divsChild>
    </w:div>
    <w:div w:id="372854468">
      <w:bodyDiv w:val="1"/>
      <w:marLeft w:val="0"/>
      <w:marRight w:val="0"/>
      <w:marTop w:val="0"/>
      <w:marBottom w:val="0"/>
      <w:divBdr>
        <w:top w:val="none" w:sz="0" w:space="0" w:color="auto"/>
        <w:left w:val="none" w:sz="0" w:space="0" w:color="auto"/>
        <w:bottom w:val="none" w:sz="0" w:space="0" w:color="auto"/>
        <w:right w:val="none" w:sz="0" w:space="0" w:color="auto"/>
      </w:divBdr>
      <w:divsChild>
        <w:div w:id="1434011764">
          <w:marLeft w:val="0"/>
          <w:marRight w:val="0"/>
          <w:marTop w:val="0"/>
          <w:marBottom w:val="0"/>
          <w:divBdr>
            <w:top w:val="none" w:sz="0" w:space="0" w:color="auto"/>
            <w:left w:val="none" w:sz="0" w:space="0" w:color="auto"/>
            <w:bottom w:val="none" w:sz="0" w:space="0" w:color="auto"/>
            <w:right w:val="none" w:sz="0" w:space="0" w:color="auto"/>
          </w:divBdr>
        </w:div>
      </w:divsChild>
    </w:div>
    <w:div w:id="385492722">
      <w:bodyDiv w:val="1"/>
      <w:marLeft w:val="0"/>
      <w:marRight w:val="0"/>
      <w:marTop w:val="0"/>
      <w:marBottom w:val="0"/>
      <w:divBdr>
        <w:top w:val="none" w:sz="0" w:space="0" w:color="auto"/>
        <w:left w:val="none" w:sz="0" w:space="0" w:color="auto"/>
        <w:bottom w:val="none" w:sz="0" w:space="0" w:color="auto"/>
        <w:right w:val="none" w:sz="0" w:space="0" w:color="auto"/>
      </w:divBdr>
    </w:div>
    <w:div w:id="389422652">
      <w:bodyDiv w:val="1"/>
      <w:marLeft w:val="0"/>
      <w:marRight w:val="0"/>
      <w:marTop w:val="0"/>
      <w:marBottom w:val="0"/>
      <w:divBdr>
        <w:top w:val="none" w:sz="0" w:space="0" w:color="auto"/>
        <w:left w:val="none" w:sz="0" w:space="0" w:color="auto"/>
        <w:bottom w:val="none" w:sz="0" w:space="0" w:color="auto"/>
        <w:right w:val="none" w:sz="0" w:space="0" w:color="auto"/>
      </w:divBdr>
    </w:div>
    <w:div w:id="390926944">
      <w:bodyDiv w:val="1"/>
      <w:marLeft w:val="0"/>
      <w:marRight w:val="0"/>
      <w:marTop w:val="0"/>
      <w:marBottom w:val="0"/>
      <w:divBdr>
        <w:top w:val="none" w:sz="0" w:space="0" w:color="auto"/>
        <w:left w:val="none" w:sz="0" w:space="0" w:color="auto"/>
        <w:bottom w:val="none" w:sz="0" w:space="0" w:color="auto"/>
        <w:right w:val="none" w:sz="0" w:space="0" w:color="auto"/>
      </w:divBdr>
    </w:div>
    <w:div w:id="404962886">
      <w:bodyDiv w:val="1"/>
      <w:marLeft w:val="0"/>
      <w:marRight w:val="0"/>
      <w:marTop w:val="0"/>
      <w:marBottom w:val="0"/>
      <w:divBdr>
        <w:top w:val="none" w:sz="0" w:space="0" w:color="auto"/>
        <w:left w:val="none" w:sz="0" w:space="0" w:color="auto"/>
        <w:bottom w:val="none" w:sz="0" w:space="0" w:color="auto"/>
        <w:right w:val="none" w:sz="0" w:space="0" w:color="auto"/>
      </w:divBdr>
      <w:divsChild>
        <w:div w:id="1866628352">
          <w:marLeft w:val="0"/>
          <w:marRight w:val="0"/>
          <w:marTop w:val="0"/>
          <w:marBottom w:val="0"/>
          <w:divBdr>
            <w:top w:val="none" w:sz="0" w:space="0" w:color="auto"/>
            <w:left w:val="none" w:sz="0" w:space="0" w:color="auto"/>
            <w:bottom w:val="none" w:sz="0" w:space="0" w:color="auto"/>
            <w:right w:val="none" w:sz="0" w:space="0" w:color="auto"/>
          </w:divBdr>
        </w:div>
      </w:divsChild>
    </w:div>
    <w:div w:id="411588962">
      <w:bodyDiv w:val="1"/>
      <w:marLeft w:val="0"/>
      <w:marRight w:val="0"/>
      <w:marTop w:val="0"/>
      <w:marBottom w:val="0"/>
      <w:divBdr>
        <w:top w:val="none" w:sz="0" w:space="0" w:color="auto"/>
        <w:left w:val="none" w:sz="0" w:space="0" w:color="auto"/>
        <w:bottom w:val="none" w:sz="0" w:space="0" w:color="auto"/>
        <w:right w:val="none" w:sz="0" w:space="0" w:color="auto"/>
      </w:divBdr>
    </w:div>
    <w:div w:id="416679128">
      <w:bodyDiv w:val="1"/>
      <w:marLeft w:val="0"/>
      <w:marRight w:val="0"/>
      <w:marTop w:val="0"/>
      <w:marBottom w:val="0"/>
      <w:divBdr>
        <w:top w:val="none" w:sz="0" w:space="0" w:color="auto"/>
        <w:left w:val="none" w:sz="0" w:space="0" w:color="auto"/>
        <w:bottom w:val="none" w:sz="0" w:space="0" w:color="auto"/>
        <w:right w:val="none" w:sz="0" w:space="0" w:color="auto"/>
      </w:divBdr>
      <w:divsChild>
        <w:div w:id="2038433616">
          <w:marLeft w:val="0"/>
          <w:marRight w:val="0"/>
          <w:marTop w:val="0"/>
          <w:marBottom w:val="0"/>
          <w:divBdr>
            <w:top w:val="none" w:sz="0" w:space="0" w:color="auto"/>
            <w:left w:val="none" w:sz="0" w:space="0" w:color="auto"/>
            <w:bottom w:val="none" w:sz="0" w:space="0" w:color="auto"/>
            <w:right w:val="none" w:sz="0" w:space="0" w:color="auto"/>
          </w:divBdr>
        </w:div>
      </w:divsChild>
    </w:div>
    <w:div w:id="417874114">
      <w:bodyDiv w:val="1"/>
      <w:marLeft w:val="0"/>
      <w:marRight w:val="0"/>
      <w:marTop w:val="0"/>
      <w:marBottom w:val="0"/>
      <w:divBdr>
        <w:top w:val="none" w:sz="0" w:space="0" w:color="auto"/>
        <w:left w:val="none" w:sz="0" w:space="0" w:color="auto"/>
        <w:bottom w:val="none" w:sz="0" w:space="0" w:color="auto"/>
        <w:right w:val="none" w:sz="0" w:space="0" w:color="auto"/>
      </w:divBdr>
    </w:div>
    <w:div w:id="427432709">
      <w:bodyDiv w:val="1"/>
      <w:marLeft w:val="0"/>
      <w:marRight w:val="0"/>
      <w:marTop w:val="0"/>
      <w:marBottom w:val="0"/>
      <w:divBdr>
        <w:top w:val="none" w:sz="0" w:space="0" w:color="auto"/>
        <w:left w:val="none" w:sz="0" w:space="0" w:color="auto"/>
        <w:bottom w:val="none" w:sz="0" w:space="0" w:color="auto"/>
        <w:right w:val="none" w:sz="0" w:space="0" w:color="auto"/>
      </w:divBdr>
    </w:div>
    <w:div w:id="434643132">
      <w:bodyDiv w:val="1"/>
      <w:marLeft w:val="0"/>
      <w:marRight w:val="0"/>
      <w:marTop w:val="0"/>
      <w:marBottom w:val="0"/>
      <w:divBdr>
        <w:top w:val="none" w:sz="0" w:space="0" w:color="auto"/>
        <w:left w:val="none" w:sz="0" w:space="0" w:color="auto"/>
        <w:bottom w:val="none" w:sz="0" w:space="0" w:color="auto"/>
        <w:right w:val="none" w:sz="0" w:space="0" w:color="auto"/>
      </w:divBdr>
      <w:divsChild>
        <w:div w:id="1887066636">
          <w:marLeft w:val="0"/>
          <w:marRight w:val="0"/>
          <w:marTop w:val="0"/>
          <w:marBottom w:val="0"/>
          <w:divBdr>
            <w:top w:val="none" w:sz="0" w:space="0" w:color="auto"/>
            <w:left w:val="none" w:sz="0" w:space="0" w:color="auto"/>
            <w:bottom w:val="none" w:sz="0" w:space="0" w:color="auto"/>
            <w:right w:val="none" w:sz="0" w:space="0" w:color="auto"/>
          </w:divBdr>
        </w:div>
      </w:divsChild>
    </w:div>
    <w:div w:id="436102952">
      <w:bodyDiv w:val="1"/>
      <w:marLeft w:val="0"/>
      <w:marRight w:val="0"/>
      <w:marTop w:val="0"/>
      <w:marBottom w:val="0"/>
      <w:divBdr>
        <w:top w:val="none" w:sz="0" w:space="0" w:color="auto"/>
        <w:left w:val="none" w:sz="0" w:space="0" w:color="auto"/>
        <w:bottom w:val="none" w:sz="0" w:space="0" w:color="auto"/>
        <w:right w:val="none" w:sz="0" w:space="0" w:color="auto"/>
      </w:divBdr>
      <w:divsChild>
        <w:div w:id="1630161622">
          <w:marLeft w:val="0"/>
          <w:marRight w:val="0"/>
          <w:marTop w:val="0"/>
          <w:marBottom w:val="0"/>
          <w:divBdr>
            <w:top w:val="none" w:sz="0" w:space="0" w:color="auto"/>
            <w:left w:val="none" w:sz="0" w:space="0" w:color="auto"/>
            <w:bottom w:val="none" w:sz="0" w:space="0" w:color="auto"/>
            <w:right w:val="none" w:sz="0" w:space="0" w:color="auto"/>
          </w:divBdr>
        </w:div>
      </w:divsChild>
    </w:div>
    <w:div w:id="438063255">
      <w:bodyDiv w:val="1"/>
      <w:marLeft w:val="0"/>
      <w:marRight w:val="0"/>
      <w:marTop w:val="0"/>
      <w:marBottom w:val="0"/>
      <w:divBdr>
        <w:top w:val="none" w:sz="0" w:space="0" w:color="auto"/>
        <w:left w:val="none" w:sz="0" w:space="0" w:color="auto"/>
        <w:bottom w:val="none" w:sz="0" w:space="0" w:color="auto"/>
        <w:right w:val="none" w:sz="0" w:space="0" w:color="auto"/>
      </w:divBdr>
    </w:div>
    <w:div w:id="444353774">
      <w:bodyDiv w:val="1"/>
      <w:marLeft w:val="0"/>
      <w:marRight w:val="0"/>
      <w:marTop w:val="0"/>
      <w:marBottom w:val="0"/>
      <w:divBdr>
        <w:top w:val="none" w:sz="0" w:space="0" w:color="auto"/>
        <w:left w:val="none" w:sz="0" w:space="0" w:color="auto"/>
        <w:bottom w:val="none" w:sz="0" w:space="0" w:color="auto"/>
        <w:right w:val="none" w:sz="0" w:space="0" w:color="auto"/>
      </w:divBdr>
    </w:div>
    <w:div w:id="452791279">
      <w:bodyDiv w:val="1"/>
      <w:marLeft w:val="0"/>
      <w:marRight w:val="0"/>
      <w:marTop w:val="0"/>
      <w:marBottom w:val="0"/>
      <w:divBdr>
        <w:top w:val="none" w:sz="0" w:space="0" w:color="auto"/>
        <w:left w:val="none" w:sz="0" w:space="0" w:color="auto"/>
        <w:bottom w:val="none" w:sz="0" w:space="0" w:color="auto"/>
        <w:right w:val="none" w:sz="0" w:space="0" w:color="auto"/>
      </w:divBdr>
    </w:div>
    <w:div w:id="458256562">
      <w:bodyDiv w:val="1"/>
      <w:marLeft w:val="0"/>
      <w:marRight w:val="0"/>
      <w:marTop w:val="0"/>
      <w:marBottom w:val="0"/>
      <w:divBdr>
        <w:top w:val="none" w:sz="0" w:space="0" w:color="auto"/>
        <w:left w:val="none" w:sz="0" w:space="0" w:color="auto"/>
        <w:bottom w:val="none" w:sz="0" w:space="0" w:color="auto"/>
        <w:right w:val="none" w:sz="0" w:space="0" w:color="auto"/>
      </w:divBdr>
      <w:divsChild>
        <w:div w:id="1400591216">
          <w:marLeft w:val="0"/>
          <w:marRight w:val="0"/>
          <w:marTop w:val="0"/>
          <w:marBottom w:val="0"/>
          <w:divBdr>
            <w:top w:val="none" w:sz="0" w:space="0" w:color="auto"/>
            <w:left w:val="none" w:sz="0" w:space="0" w:color="auto"/>
            <w:bottom w:val="none" w:sz="0" w:space="0" w:color="auto"/>
            <w:right w:val="none" w:sz="0" w:space="0" w:color="auto"/>
          </w:divBdr>
        </w:div>
      </w:divsChild>
    </w:div>
    <w:div w:id="467433813">
      <w:bodyDiv w:val="1"/>
      <w:marLeft w:val="0"/>
      <w:marRight w:val="0"/>
      <w:marTop w:val="0"/>
      <w:marBottom w:val="0"/>
      <w:divBdr>
        <w:top w:val="none" w:sz="0" w:space="0" w:color="auto"/>
        <w:left w:val="none" w:sz="0" w:space="0" w:color="auto"/>
        <w:bottom w:val="none" w:sz="0" w:space="0" w:color="auto"/>
        <w:right w:val="none" w:sz="0" w:space="0" w:color="auto"/>
      </w:divBdr>
      <w:divsChild>
        <w:div w:id="1574192767">
          <w:marLeft w:val="0"/>
          <w:marRight w:val="0"/>
          <w:marTop w:val="0"/>
          <w:marBottom w:val="0"/>
          <w:divBdr>
            <w:top w:val="none" w:sz="0" w:space="0" w:color="auto"/>
            <w:left w:val="none" w:sz="0" w:space="0" w:color="auto"/>
            <w:bottom w:val="none" w:sz="0" w:space="0" w:color="auto"/>
            <w:right w:val="none" w:sz="0" w:space="0" w:color="auto"/>
          </w:divBdr>
        </w:div>
      </w:divsChild>
    </w:div>
    <w:div w:id="467862839">
      <w:bodyDiv w:val="1"/>
      <w:marLeft w:val="0"/>
      <w:marRight w:val="0"/>
      <w:marTop w:val="0"/>
      <w:marBottom w:val="0"/>
      <w:divBdr>
        <w:top w:val="none" w:sz="0" w:space="0" w:color="auto"/>
        <w:left w:val="none" w:sz="0" w:space="0" w:color="auto"/>
        <w:bottom w:val="none" w:sz="0" w:space="0" w:color="auto"/>
        <w:right w:val="none" w:sz="0" w:space="0" w:color="auto"/>
      </w:divBdr>
      <w:divsChild>
        <w:div w:id="243611813">
          <w:marLeft w:val="0"/>
          <w:marRight w:val="0"/>
          <w:marTop w:val="0"/>
          <w:marBottom w:val="0"/>
          <w:divBdr>
            <w:top w:val="none" w:sz="0" w:space="0" w:color="auto"/>
            <w:left w:val="none" w:sz="0" w:space="0" w:color="auto"/>
            <w:bottom w:val="none" w:sz="0" w:space="0" w:color="auto"/>
            <w:right w:val="none" w:sz="0" w:space="0" w:color="auto"/>
          </w:divBdr>
        </w:div>
      </w:divsChild>
    </w:div>
    <w:div w:id="475267219">
      <w:bodyDiv w:val="1"/>
      <w:marLeft w:val="0"/>
      <w:marRight w:val="0"/>
      <w:marTop w:val="0"/>
      <w:marBottom w:val="0"/>
      <w:divBdr>
        <w:top w:val="none" w:sz="0" w:space="0" w:color="auto"/>
        <w:left w:val="none" w:sz="0" w:space="0" w:color="auto"/>
        <w:bottom w:val="none" w:sz="0" w:space="0" w:color="auto"/>
        <w:right w:val="none" w:sz="0" w:space="0" w:color="auto"/>
      </w:divBdr>
    </w:div>
    <w:div w:id="476607186">
      <w:bodyDiv w:val="1"/>
      <w:marLeft w:val="0"/>
      <w:marRight w:val="0"/>
      <w:marTop w:val="0"/>
      <w:marBottom w:val="0"/>
      <w:divBdr>
        <w:top w:val="none" w:sz="0" w:space="0" w:color="auto"/>
        <w:left w:val="none" w:sz="0" w:space="0" w:color="auto"/>
        <w:bottom w:val="none" w:sz="0" w:space="0" w:color="auto"/>
        <w:right w:val="none" w:sz="0" w:space="0" w:color="auto"/>
      </w:divBdr>
      <w:divsChild>
        <w:div w:id="538903126">
          <w:marLeft w:val="0"/>
          <w:marRight w:val="0"/>
          <w:marTop w:val="0"/>
          <w:marBottom w:val="0"/>
          <w:divBdr>
            <w:top w:val="none" w:sz="0" w:space="0" w:color="auto"/>
            <w:left w:val="none" w:sz="0" w:space="0" w:color="auto"/>
            <w:bottom w:val="none" w:sz="0" w:space="0" w:color="auto"/>
            <w:right w:val="none" w:sz="0" w:space="0" w:color="auto"/>
          </w:divBdr>
        </w:div>
      </w:divsChild>
    </w:div>
    <w:div w:id="477576960">
      <w:bodyDiv w:val="1"/>
      <w:marLeft w:val="0"/>
      <w:marRight w:val="0"/>
      <w:marTop w:val="0"/>
      <w:marBottom w:val="0"/>
      <w:divBdr>
        <w:top w:val="none" w:sz="0" w:space="0" w:color="auto"/>
        <w:left w:val="none" w:sz="0" w:space="0" w:color="auto"/>
        <w:bottom w:val="none" w:sz="0" w:space="0" w:color="auto"/>
        <w:right w:val="none" w:sz="0" w:space="0" w:color="auto"/>
      </w:divBdr>
      <w:divsChild>
        <w:div w:id="791022093">
          <w:marLeft w:val="0"/>
          <w:marRight w:val="0"/>
          <w:marTop w:val="0"/>
          <w:marBottom w:val="0"/>
          <w:divBdr>
            <w:top w:val="none" w:sz="0" w:space="0" w:color="auto"/>
            <w:left w:val="none" w:sz="0" w:space="0" w:color="auto"/>
            <w:bottom w:val="none" w:sz="0" w:space="0" w:color="auto"/>
            <w:right w:val="none" w:sz="0" w:space="0" w:color="auto"/>
          </w:divBdr>
        </w:div>
      </w:divsChild>
    </w:div>
    <w:div w:id="486242065">
      <w:bodyDiv w:val="1"/>
      <w:marLeft w:val="0"/>
      <w:marRight w:val="0"/>
      <w:marTop w:val="0"/>
      <w:marBottom w:val="0"/>
      <w:divBdr>
        <w:top w:val="none" w:sz="0" w:space="0" w:color="auto"/>
        <w:left w:val="none" w:sz="0" w:space="0" w:color="auto"/>
        <w:bottom w:val="none" w:sz="0" w:space="0" w:color="auto"/>
        <w:right w:val="none" w:sz="0" w:space="0" w:color="auto"/>
      </w:divBdr>
    </w:div>
    <w:div w:id="488058708">
      <w:bodyDiv w:val="1"/>
      <w:marLeft w:val="0"/>
      <w:marRight w:val="0"/>
      <w:marTop w:val="0"/>
      <w:marBottom w:val="0"/>
      <w:divBdr>
        <w:top w:val="none" w:sz="0" w:space="0" w:color="auto"/>
        <w:left w:val="none" w:sz="0" w:space="0" w:color="auto"/>
        <w:bottom w:val="none" w:sz="0" w:space="0" w:color="auto"/>
        <w:right w:val="none" w:sz="0" w:space="0" w:color="auto"/>
      </w:divBdr>
      <w:divsChild>
        <w:div w:id="697044687">
          <w:marLeft w:val="0"/>
          <w:marRight w:val="0"/>
          <w:marTop w:val="0"/>
          <w:marBottom w:val="0"/>
          <w:divBdr>
            <w:top w:val="none" w:sz="0" w:space="0" w:color="auto"/>
            <w:left w:val="none" w:sz="0" w:space="0" w:color="auto"/>
            <w:bottom w:val="none" w:sz="0" w:space="0" w:color="auto"/>
            <w:right w:val="none" w:sz="0" w:space="0" w:color="auto"/>
          </w:divBdr>
        </w:div>
      </w:divsChild>
    </w:div>
    <w:div w:id="493768153">
      <w:bodyDiv w:val="1"/>
      <w:marLeft w:val="0"/>
      <w:marRight w:val="0"/>
      <w:marTop w:val="0"/>
      <w:marBottom w:val="0"/>
      <w:divBdr>
        <w:top w:val="none" w:sz="0" w:space="0" w:color="auto"/>
        <w:left w:val="none" w:sz="0" w:space="0" w:color="auto"/>
        <w:bottom w:val="none" w:sz="0" w:space="0" w:color="auto"/>
        <w:right w:val="none" w:sz="0" w:space="0" w:color="auto"/>
      </w:divBdr>
    </w:div>
    <w:div w:id="501748683">
      <w:bodyDiv w:val="1"/>
      <w:marLeft w:val="0"/>
      <w:marRight w:val="0"/>
      <w:marTop w:val="0"/>
      <w:marBottom w:val="0"/>
      <w:divBdr>
        <w:top w:val="none" w:sz="0" w:space="0" w:color="auto"/>
        <w:left w:val="none" w:sz="0" w:space="0" w:color="auto"/>
        <w:bottom w:val="none" w:sz="0" w:space="0" w:color="auto"/>
        <w:right w:val="none" w:sz="0" w:space="0" w:color="auto"/>
      </w:divBdr>
    </w:div>
    <w:div w:id="506407054">
      <w:bodyDiv w:val="1"/>
      <w:marLeft w:val="0"/>
      <w:marRight w:val="0"/>
      <w:marTop w:val="0"/>
      <w:marBottom w:val="0"/>
      <w:divBdr>
        <w:top w:val="none" w:sz="0" w:space="0" w:color="auto"/>
        <w:left w:val="none" w:sz="0" w:space="0" w:color="auto"/>
        <w:bottom w:val="none" w:sz="0" w:space="0" w:color="auto"/>
        <w:right w:val="none" w:sz="0" w:space="0" w:color="auto"/>
      </w:divBdr>
    </w:div>
    <w:div w:id="511262003">
      <w:bodyDiv w:val="1"/>
      <w:marLeft w:val="0"/>
      <w:marRight w:val="0"/>
      <w:marTop w:val="0"/>
      <w:marBottom w:val="0"/>
      <w:divBdr>
        <w:top w:val="none" w:sz="0" w:space="0" w:color="auto"/>
        <w:left w:val="none" w:sz="0" w:space="0" w:color="auto"/>
        <w:bottom w:val="none" w:sz="0" w:space="0" w:color="auto"/>
        <w:right w:val="none" w:sz="0" w:space="0" w:color="auto"/>
      </w:divBdr>
    </w:div>
    <w:div w:id="514462103">
      <w:bodyDiv w:val="1"/>
      <w:marLeft w:val="0"/>
      <w:marRight w:val="0"/>
      <w:marTop w:val="0"/>
      <w:marBottom w:val="0"/>
      <w:divBdr>
        <w:top w:val="none" w:sz="0" w:space="0" w:color="auto"/>
        <w:left w:val="none" w:sz="0" w:space="0" w:color="auto"/>
        <w:bottom w:val="none" w:sz="0" w:space="0" w:color="auto"/>
        <w:right w:val="none" w:sz="0" w:space="0" w:color="auto"/>
      </w:divBdr>
      <w:divsChild>
        <w:div w:id="1724863495">
          <w:marLeft w:val="0"/>
          <w:marRight w:val="0"/>
          <w:marTop w:val="0"/>
          <w:marBottom w:val="0"/>
          <w:divBdr>
            <w:top w:val="none" w:sz="0" w:space="0" w:color="auto"/>
            <w:left w:val="none" w:sz="0" w:space="0" w:color="auto"/>
            <w:bottom w:val="none" w:sz="0" w:space="0" w:color="auto"/>
            <w:right w:val="none" w:sz="0" w:space="0" w:color="auto"/>
          </w:divBdr>
        </w:div>
      </w:divsChild>
    </w:div>
    <w:div w:id="514883320">
      <w:bodyDiv w:val="1"/>
      <w:marLeft w:val="0"/>
      <w:marRight w:val="0"/>
      <w:marTop w:val="0"/>
      <w:marBottom w:val="0"/>
      <w:divBdr>
        <w:top w:val="none" w:sz="0" w:space="0" w:color="auto"/>
        <w:left w:val="none" w:sz="0" w:space="0" w:color="auto"/>
        <w:bottom w:val="none" w:sz="0" w:space="0" w:color="auto"/>
        <w:right w:val="none" w:sz="0" w:space="0" w:color="auto"/>
      </w:divBdr>
      <w:divsChild>
        <w:div w:id="379598295">
          <w:marLeft w:val="0"/>
          <w:marRight w:val="0"/>
          <w:marTop w:val="0"/>
          <w:marBottom w:val="0"/>
          <w:divBdr>
            <w:top w:val="none" w:sz="0" w:space="0" w:color="auto"/>
            <w:left w:val="none" w:sz="0" w:space="0" w:color="auto"/>
            <w:bottom w:val="none" w:sz="0" w:space="0" w:color="auto"/>
            <w:right w:val="none" w:sz="0" w:space="0" w:color="auto"/>
          </w:divBdr>
        </w:div>
      </w:divsChild>
    </w:div>
    <w:div w:id="527565189">
      <w:bodyDiv w:val="1"/>
      <w:marLeft w:val="0"/>
      <w:marRight w:val="0"/>
      <w:marTop w:val="0"/>
      <w:marBottom w:val="0"/>
      <w:divBdr>
        <w:top w:val="none" w:sz="0" w:space="0" w:color="auto"/>
        <w:left w:val="none" w:sz="0" w:space="0" w:color="auto"/>
        <w:bottom w:val="none" w:sz="0" w:space="0" w:color="auto"/>
        <w:right w:val="none" w:sz="0" w:space="0" w:color="auto"/>
      </w:divBdr>
      <w:divsChild>
        <w:div w:id="1473710708">
          <w:marLeft w:val="0"/>
          <w:marRight w:val="0"/>
          <w:marTop w:val="0"/>
          <w:marBottom w:val="0"/>
          <w:divBdr>
            <w:top w:val="none" w:sz="0" w:space="0" w:color="auto"/>
            <w:left w:val="none" w:sz="0" w:space="0" w:color="auto"/>
            <w:bottom w:val="none" w:sz="0" w:space="0" w:color="auto"/>
            <w:right w:val="none" w:sz="0" w:space="0" w:color="auto"/>
          </w:divBdr>
        </w:div>
      </w:divsChild>
    </w:div>
    <w:div w:id="528181277">
      <w:bodyDiv w:val="1"/>
      <w:marLeft w:val="0"/>
      <w:marRight w:val="0"/>
      <w:marTop w:val="0"/>
      <w:marBottom w:val="0"/>
      <w:divBdr>
        <w:top w:val="none" w:sz="0" w:space="0" w:color="auto"/>
        <w:left w:val="none" w:sz="0" w:space="0" w:color="auto"/>
        <w:bottom w:val="none" w:sz="0" w:space="0" w:color="auto"/>
        <w:right w:val="none" w:sz="0" w:space="0" w:color="auto"/>
      </w:divBdr>
    </w:div>
    <w:div w:id="544368310">
      <w:bodyDiv w:val="1"/>
      <w:marLeft w:val="0"/>
      <w:marRight w:val="0"/>
      <w:marTop w:val="0"/>
      <w:marBottom w:val="0"/>
      <w:divBdr>
        <w:top w:val="none" w:sz="0" w:space="0" w:color="auto"/>
        <w:left w:val="none" w:sz="0" w:space="0" w:color="auto"/>
        <w:bottom w:val="none" w:sz="0" w:space="0" w:color="auto"/>
        <w:right w:val="none" w:sz="0" w:space="0" w:color="auto"/>
      </w:divBdr>
      <w:divsChild>
        <w:div w:id="1103695250">
          <w:marLeft w:val="0"/>
          <w:marRight w:val="0"/>
          <w:marTop w:val="0"/>
          <w:marBottom w:val="0"/>
          <w:divBdr>
            <w:top w:val="none" w:sz="0" w:space="0" w:color="auto"/>
            <w:left w:val="none" w:sz="0" w:space="0" w:color="auto"/>
            <w:bottom w:val="none" w:sz="0" w:space="0" w:color="auto"/>
            <w:right w:val="none" w:sz="0" w:space="0" w:color="auto"/>
          </w:divBdr>
          <w:divsChild>
            <w:div w:id="2137018255">
              <w:marLeft w:val="0"/>
              <w:marRight w:val="0"/>
              <w:marTop w:val="0"/>
              <w:marBottom w:val="0"/>
              <w:divBdr>
                <w:top w:val="none" w:sz="0" w:space="0" w:color="auto"/>
                <w:left w:val="none" w:sz="0" w:space="0" w:color="auto"/>
                <w:bottom w:val="none" w:sz="0" w:space="0" w:color="auto"/>
                <w:right w:val="none" w:sz="0" w:space="0" w:color="auto"/>
              </w:divBdr>
              <w:divsChild>
                <w:div w:id="545221636">
                  <w:marLeft w:val="0"/>
                  <w:marRight w:val="0"/>
                  <w:marTop w:val="0"/>
                  <w:marBottom w:val="0"/>
                  <w:divBdr>
                    <w:top w:val="none" w:sz="0" w:space="0" w:color="auto"/>
                    <w:left w:val="none" w:sz="0" w:space="0" w:color="auto"/>
                    <w:bottom w:val="none" w:sz="0" w:space="0" w:color="auto"/>
                    <w:right w:val="none" w:sz="0" w:space="0" w:color="auto"/>
                  </w:divBdr>
                  <w:divsChild>
                    <w:div w:id="3139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164523">
      <w:bodyDiv w:val="1"/>
      <w:marLeft w:val="0"/>
      <w:marRight w:val="0"/>
      <w:marTop w:val="0"/>
      <w:marBottom w:val="0"/>
      <w:divBdr>
        <w:top w:val="none" w:sz="0" w:space="0" w:color="auto"/>
        <w:left w:val="none" w:sz="0" w:space="0" w:color="auto"/>
        <w:bottom w:val="none" w:sz="0" w:space="0" w:color="auto"/>
        <w:right w:val="none" w:sz="0" w:space="0" w:color="auto"/>
      </w:divBdr>
    </w:div>
    <w:div w:id="557937889">
      <w:bodyDiv w:val="1"/>
      <w:marLeft w:val="0"/>
      <w:marRight w:val="0"/>
      <w:marTop w:val="0"/>
      <w:marBottom w:val="0"/>
      <w:divBdr>
        <w:top w:val="none" w:sz="0" w:space="0" w:color="auto"/>
        <w:left w:val="none" w:sz="0" w:space="0" w:color="auto"/>
        <w:bottom w:val="none" w:sz="0" w:space="0" w:color="auto"/>
        <w:right w:val="none" w:sz="0" w:space="0" w:color="auto"/>
      </w:divBdr>
    </w:div>
    <w:div w:id="567153726">
      <w:bodyDiv w:val="1"/>
      <w:marLeft w:val="0"/>
      <w:marRight w:val="0"/>
      <w:marTop w:val="0"/>
      <w:marBottom w:val="0"/>
      <w:divBdr>
        <w:top w:val="none" w:sz="0" w:space="0" w:color="auto"/>
        <w:left w:val="none" w:sz="0" w:space="0" w:color="auto"/>
        <w:bottom w:val="none" w:sz="0" w:space="0" w:color="auto"/>
        <w:right w:val="none" w:sz="0" w:space="0" w:color="auto"/>
      </w:divBdr>
      <w:divsChild>
        <w:div w:id="1766415607">
          <w:marLeft w:val="0"/>
          <w:marRight w:val="0"/>
          <w:marTop w:val="0"/>
          <w:marBottom w:val="0"/>
          <w:divBdr>
            <w:top w:val="none" w:sz="0" w:space="0" w:color="auto"/>
            <w:left w:val="none" w:sz="0" w:space="0" w:color="auto"/>
            <w:bottom w:val="none" w:sz="0" w:space="0" w:color="auto"/>
            <w:right w:val="none" w:sz="0" w:space="0" w:color="auto"/>
          </w:divBdr>
        </w:div>
      </w:divsChild>
    </w:div>
    <w:div w:id="572548914">
      <w:bodyDiv w:val="1"/>
      <w:marLeft w:val="0"/>
      <w:marRight w:val="0"/>
      <w:marTop w:val="0"/>
      <w:marBottom w:val="0"/>
      <w:divBdr>
        <w:top w:val="none" w:sz="0" w:space="0" w:color="auto"/>
        <w:left w:val="none" w:sz="0" w:space="0" w:color="auto"/>
        <w:bottom w:val="none" w:sz="0" w:space="0" w:color="auto"/>
        <w:right w:val="none" w:sz="0" w:space="0" w:color="auto"/>
      </w:divBdr>
      <w:divsChild>
        <w:div w:id="150100295">
          <w:marLeft w:val="0"/>
          <w:marRight w:val="0"/>
          <w:marTop w:val="0"/>
          <w:marBottom w:val="0"/>
          <w:divBdr>
            <w:top w:val="none" w:sz="0" w:space="0" w:color="auto"/>
            <w:left w:val="none" w:sz="0" w:space="0" w:color="auto"/>
            <w:bottom w:val="none" w:sz="0" w:space="0" w:color="auto"/>
            <w:right w:val="none" w:sz="0" w:space="0" w:color="auto"/>
          </w:divBdr>
        </w:div>
      </w:divsChild>
    </w:div>
    <w:div w:id="579367940">
      <w:bodyDiv w:val="1"/>
      <w:marLeft w:val="0"/>
      <w:marRight w:val="0"/>
      <w:marTop w:val="0"/>
      <w:marBottom w:val="0"/>
      <w:divBdr>
        <w:top w:val="none" w:sz="0" w:space="0" w:color="auto"/>
        <w:left w:val="none" w:sz="0" w:space="0" w:color="auto"/>
        <w:bottom w:val="none" w:sz="0" w:space="0" w:color="auto"/>
        <w:right w:val="none" w:sz="0" w:space="0" w:color="auto"/>
      </w:divBdr>
    </w:div>
    <w:div w:id="586383274">
      <w:bodyDiv w:val="1"/>
      <w:marLeft w:val="0"/>
      <w:marRight w:val="0"/>
      <w:marTop w:val="0"/>
      <w:marBottom w:val="0"/>
      <w:divBdr>
        <w:top w:val="none" w:sz="0" w:space="0" w:color="auto"/>
        <w:left w:val="none" w:sz="0" w:space="0" w:color="auto"/>
        <w:bottom w:val="none" w:sz="0" w:space="0" w:color="auto"/>
        <w:right w:val="none" w:sz="0" w:space="0" w:color="auto"/>
      </w:divBdr>
    </w:div>
    <w:div w:id="587691184">
      <w:bodyDiv w:val="1"/>
      <w:marLeft w:val="0"/>
      <w:marRight w:val="0"/>
      <w:marTop w:val="0"/>
      <w:marBottom w:val="0"/>
      <w:divBdr>
        <w:top w:val="none" w:sz="0" w:space="0" w:color="auto"/>
        <w:left w:val="none" w:sz="0" w:space="0" w:color="auto"/>
        <w:bottom w:val="none" w:sz="0" w:space="0" w:color="auto"/>
        <w:right w:val="none" w:sz="0" w:space="0" w:color="auto"/>
      </w:divBdr>
      <w:divsChild>
        <w:div w:id="175119203">
          <w:marLeft w:val="0"/>
          <w:marRight w:val="0"/>
          <w:marTop w:val="0"/>
          <w:marBottom w:val="0"/>
          <w:divBdr>
            <w:top w:val="none" w:sz="0" w:space="0" w:color="auto"/>
            <w:left w:val="none" w:sz="0" w:space="0" w:color="auto"/>
            <w:bottom w:val="none" w:sz="0" w:space="0" w:color="auto"/>
            <w:right w:val="none" w:sz="0" w:space="0" w:color="auto"/>
          </w:divBdr>
        </w:div>
      </w:divsChild>
    </w:div>
    <w:div w:id="589240179">
      <w:bodyDiv w:val="1"/>
      <w:marLeft w:val="0"/>
      <w:marRight w:val="0"/>
      <w:marTop w:val="0"/>
      <w:marBottom w:val="0"/>
      <w:divBdr>
        <w:top w:val="none" w:sz="0" w:space="0" w:color="auto"/>
        <w:left w:val="none" w:sz="0" w:space="0" w:color="auto"/>
        <w:bottom w:val="none" w:sz="0" w:space="0" w:color="auto"/>
        <w:right w:val="none" w:sz="0" w:space="0" w:color="auto"/>
      </w:divBdr>
      <w:divsChild>
        <w:div w:id="458688787">
          <w:marLeft w:val="0"/>
          <w:marRight w:val="0"/>
          <w:marTop w:val="0"/>
          <w:marBottom w:val="0"/>
          <w:divBdr>
            <w:top w:val="none" w:sz="0" w:space="0" w:color="auto"/>
            <w:left w:val="none" w:sz="0" w:space="0" w:color="auto"/>
            <w:bottom w:val="none" w:sz="0" w:space="0" w:color="auto"/>
            <w:right w:val="none" w:sz="0" w:space="0" w:color="auto"/>
          </w:divBdr>
        </w:div>
      </w:divsChild>
    </w:div>
    <w:div w:id="595677573">
      <w:bodyDiv w:val="1"/>
      <w:marLeft w:val="0"/>
      <w:marRight w:val="0"/>
      <w:marTop w:val="0"/>
      <w:marBottom w:val="0"/>
      <w:divBdr>
        <w:top w:val="none" w:sz="0" w:space="0" w:color="auto"/>
        <w:left w:val="none" w:sz="0" w:space="0" w:color="auto"/>
        <w:bottom w:val="none" w:sz="0" w:space="0" w:color="auto"/>
        <w:right w:val="none" w:sz="0" w:space="0" w:color="auto"/>
      </w:divBdr>
    </w:div>
    <w:div w:id="597064139">
      <w:bodyDiv w:val="1"/>
      <w:marLeft w:val="0"/>
      <w:marRight w:val="0"/>
      <w:marTop w:val="0"/>
      <w:marBottom w:val="0"/>
      <w:divBdr>
        <w:top w:val="none" w:sz="0" w:space="0" w:color="auto"/>
        <w:left w:val="none" w:sz="0" w:space="0" w:color="auto"/>
        <w:bottom w:val="none" w:sz="0" w:space="0" w:color="auto"/>
        <w:right w:val="none" w:sz="0" w:space="0" w:color="auto"/>
      </w:divBdr>
      <w:divsChild>
        <w:div w:id="719473320">
          <w:marLeft w:val="0"/>
          <w:marRight w:val="0"/>
          <w:marTop w:val="0"/>
          <w:marBottom w:val="0"/>
          <w:divBdr>
            <w:top w:val="none" w:sz="0" w:space="0" w:color="auto"/>
            <w:left w:val="none" w:sz="0" w:space="0" w:color="auto"/>
            <w:bottom w:val="none" w:sz="0" w:space="0" w:color="auto"/>
            <w:right w:val="none" w:sz="0" w:space="0" w:color="auto"/>
          </w:divBdr>
        </w:div>
      </w:divsChild>
    </w:div>
    <w:div w:id="598563538">
      <w:bodyDiv w:val="1"/>
      <w:marLeft w:val="0"/>
      <w:marRight w:val="0"/>
      <w:marTop w:val="0"/>
      <w:marBottom w:val="0"/>
      <w:divBdr>
        <w:top w:val="none" w:sz="0" w:space="0" w:color="auto"/>
        <w:left w:val="none" w:sz="0" w:space="0" w:color="auto"/>
        <w:bottom w:val="none" w:sz="0" w:space="0" w:color="auto"/>
        <w:right w:val="none" w:sz="0" w:space="0" w:color="auto"/>
      </w:divBdr>
    </w:div>
    <w:div w:id="604269868">
      <w:bodyDiv w:val="1"/>
      <w:marLeft w:val="0"/>
      <w:marRight w:val="0"/>
      <w:marTop w:val="0"/>
      <w:marBottom w:val="0"/>
      <w:divBdr>
        <w:top w:val="none" w:sz="0" w:space="0" w:color="auto"/>
        <w:left w:val="none" w:sz="0" w:space="0" w:color="auto"/>
        <w:bottom w:val="none" w:sz="0" w:space="0" w:color="auto"/>
        <w:right w:val="none" w:sz="0" w:space="0" w:color="auto"/>
      </w:divBdr>
    </w:div>
    <w:div w:id="616373153">
      <w:bodyDiv w:val="1"/>
      <w:marLeft w:val="0"/>
      <w:marRight w:val="0"/>
      <w:marTop w:val="0"/>
      <w:marBottom w:val="0"/>
      <w:divBdr>
        <w:top w:val="none" w:sz="0" w:space="0" w:color="auto"/>
        <w:left w:val="none" w:sz="0" w:space="0" w:color="auto"/>
        <w:bottom w:val="none" w:sz="0" w:space="0" w:color="auto"/>
        <w:right w:val="none" w:sz="0" w:space="0" w:color="auto"/>
      </w:divBdr>
    </w:div>
    <w:div w:id="625695606">
      <w:bodyDiv w:val="1"/>
      <w:marLeft w:val="0"/>
      <w:marRight w:val="0"/>
      <w:marTop w:val="0"/>
      <w:marBottom w:val="0"/>
      <w:divBdr>
        <w:top w:val="none" w:sz="0" w:space="0" w:color="auto"/>
        <w:left w:val="none" w:sz="0" w:space="0" w:color="auto"/>
        <w:bottom w:val="none" w:sz="0" w:space="0" w:color="auto"/>
        <w:right w:val="none" w:sz="0" w:space="0" w:color="auto"/>
      </w:divBdr>
      <w:divsChild>
        <w:div w:id="843662785">
          <w:marLeft w:val="0"/>
          <w:marRight w:val="0"/>
          <w:marTop w:val="0"/>
          <w:marBottom w:val="0"/>
          <w:divBdr>
            <w:top w:val="none" w:sz="0" w:space="0" w:color="auto"/>
            <w:left w:val="none" w:sz="0" w:space="0" w:color="auto"/>
            <w:bottom w:val="none" w:sz="0" w:space="0" w:color="auto"/>
            <w:right w:val="none" w:sz="0" w:space="0" w:color="auto"/>
          </w:divBdr>
        </w:div>
      </w:divsChild>
    </w:div>
    <w:div w:id="630594297">
      <w:bodyDiv w:val="1"/>
      <w:marLeft w:val="0"/>
      <w:marRight w:val="0"/>
      <w:marTop w:val="0"/>
      <w:marBottom w:val="0"/>
      <w:divBdr>
        <w:top w:val="none" w:sz="0" w:space="0" w:color="auto"/>
        <w:left w:val="none" w:sz="0" w:space="0" w:color="auto"/>
        <w:bottom w:val="none" w:sz="0" w:space="0" w:color="auto"/>
        <w:right w:val="none" w:sz="0" w:space="0" w:color="auto"/>
      </w:divBdr>
      <w:divsChild>
        <w:div w:id="1205406201">
          <w:marLeft w:val="0"/>
          <w:marRight w:val="0"/>
          <w:marTop w:val="0"/>
          <w:marBottom w:val="0"/>
          <w:divBdr>
            <w:top w:val="none" w:sz="0" w:space="0" w:color="auto"/>
            <w:left w:val="none" w:sz="0" w:space="0" w:color="auto"/>
            <w:bottom w:val="none" w:sz="0" w:space="0" w:color="auto"/>
            <w:right w:val="none" w:sz="0" w:space="0" w:color="auto"/>
          </w:divBdr>
        </w:div>
      </w:divsChild>
    </w:div>
    <w:div w:id="631054643">
      <w:bodyDiv w:val="1"/>
      <w:marLeft w:val="0"/>
      <w:marRight w:val="0"/>
      <w:marTop w:val="0"/>
      <w:marBottom w:val="0"/>
      <w:divBdr>
        <w:top w:val="none" w:sz="0" w:space="0" w:color="auto"/>
        <w:left w:val="none" w:sz="0" w:space="0" w:color="auto"/>
        <w:bottom w:val="none" w:sz="0" w:space="0" w:color="auto"/>
        <w:right w:val="none" w:sz="0" w:space="0" w:color="auto"/>
      </w:divBdr>
      <w:divsChild>
        <w:div w:id="1149787874">
          <w:marLeft w:val="0"/>
          <w:marRight w:val="0"/>
          <w:marTop w:val="0"/>
          <w:marBottom w:val="0"/>
          <w:divBdr>
            <w:top w:val="none" w:sz="0" w:space="0" w:color="auto"/>
            <w:left w:val="none" w:sz="0" w:space="0" w:color="auto"/>
            <w:bottom w:val="none" w:sz="0" w:space="0" w:color="auto"/>
            <w:right w:val="none" w:sz="0" w:space="0" w:color="auto"/>
          </w:divBdr>
        </w:div>
      </w:divsChild>
    </w:div>
    <w:div w:id="644236103">
      <w:bodyDiv w:val="1"/>
      <w:marLeft w:val="0"/>
      <w:marRight w:val="0"/>
      <w:marTop w:val="0"/>
      <w:marBottom w:val="0"/>
      <w:divBdr>
        <w:top w:val="none" w:sz="0" w:space="0" w:color="auto"/>
        <w:left w:val="none" w:sz="0" w:space="0" w:color="auto"/>
        <w:bottom w:val="none" w:sz="0" w:space="0" w:color="auto"/>
        <w:right w:val="none" w:sz="0" w:space="0" w:color="auto"/>
      </w:divBdr>
    </w:div>
    <w:div w:id="650987743">
      <w:bodyDiv w:val="1"/>
      <w:marLeft w:val="0"/>
      <w:marRight w:val="0"/>
      <w:marTop w:val="0"/>
      <w:marBottom w:val="0"/>
      <w:divBdr>
        <w:top w:val="none" w:sz="0" w:space="0" w:color="auto"/>
        <w:left w:val="none" w:sz="0" w:space="0" w:color="auto"/>
        <w:bottom w:val="none" w:sz="0" w:space="0" w:color="auto"/>
        <w:right w:val="none" w:sz="0" w:space="0" w:color="auto"/>
      </w:divBdr>
    </w:div>
    <w:div w:id="661204497">
      <w:bodyDiv w:val="1"/>
      <w:marLeft w:val="0"/>
      <w:marRight w:val="0"/>
      <w:marTop w:val="0"/>
      <w:marBottom w:val="0"/>
      <w:divBdr>
        <w:top w:val="none" w:sz="0" w:space="0" w:color="auto"/>
        <w:left w:val="none" w:sz="0" w:space="0" w:color="auto"/>
        <w:bottom w:val="none" w:sz="0" w:space="0" w:color="auto"/>
        <w:right w:val="none" w:sz="0" w:space="0" w:color="auto"/>
      </w:divBdr>
    </w:div>
    <w:div w:id="663630258">
      <w:bodyDiv w:val="1"/>
      <w:marLeft w:val="0"/>
      <w:marRight w:val="0"/>
      <w:marTop w:val="0"/>
      <w:marBottom w:val="0"/>
      <w:divBdr>
        <w:top w:val="none" w:sz="0" w:space="0" w:color="auto"/>
        <w:left w:val="none" w:sz="0" w:space="0" w:color="auto"/>
        <w:bottom w:val="none" w:sz="0" w:space="0" w:color="auto"/>
        <w:right w:val="none" w:sz="0" w:space="0" w:color="auto"/>
      </w:divBdr>
    </w:div>
    <w:div w:id="668099035">
      <w:bodyDiv w:val="1"/>
      <w:marLeft w:val="0"/>
      <w:marRight w:val="0"/>
      <w:marTop w:val="0"/>
      <w:marBottom w:val="0"/>
      <w:divBdr>
        <w:top w:val="none" w:sz="0" w:space="0" w:color="auto"/>
        <w:left w:val="none" w:sz="0" w:space="0" w:color="auto"/>
        <w:bottom w:val="none" w:sz="0" w:space="0" w:color="auto"/>
        <w:right w:val="none" w:sz="0" w:space="0" w:color="auto"/>
      </w:divBdr>
      <w:divsChild>
        <w:div w:id="1333294746">
          <w:marLeft w:val="0"/>
          <w:marRight w:val="0"/>
          <w:marTop w:val="0"/>
          <w:marBottom w:val="0"/>
          <w:divBdr>
            <w:top w:val="none" w:sz="0" w:space="0" w:color="auto"/>
            <w:left w:val="none" w:sz="0" w:space="0" w:color="auto"/>
            <w:bottom w:val="none" w:sz="0" w:space="0" w:color="auto"/>
            <w:right w:val="none" w:sz="0" w:space="0" w:color="auto"/>
          </w:divBdr>
          <w:divsChild>
            <w:div w:id="5522602">
              <w:marLeft w:val="0"/>
              <w:marRight w:val="0"/>
              <w:marTop w:val="0"/>
              <w:marBottom w:val="0"/>
              <w:divBdr>
                <w:top w:val="none" w:sz="0" w:space="0" w:color="auto"/>
                <w:left w:val="none" w:sz="0" w:space="0" w:color="auto"/>
                <w:bottom w:val="none" w:sz="0" w:space="0" w:color="auto"/>
                <w:right w:val="none" w:sz="0" w:space="0" w:color="auto"/>
              </w:divBdr>
              <w:divsChild>
                <w:div w:id="7871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7823">
      <w:bodyDiv w:val="1"/>
      <w:marLeft w:val="0"/>
      <w:marRight w:val="0"/>
      <w:marTop w:val="0"/>
      <w:marBottom w:val="0"/>
      <w:divBdr>
        <w:top w:val="none" w:sz="0" w:space="0" w:color="auto"/>
        <w:left w:val="none" w:sz="0" w:space="0" w:color="auto"/>
        <w:bottom w:val="none" w:sz="0" w:space="0" w:color="auto"/>
        <w:right w:val="none" w:sz="0" w:space="0" w:color="auto"/>
      </w:divBdr>
    </w:div>
    <w:div w:id="671372039">
      <w:bodyDiv w:val="1"/>
      <w:marLeft w:val="0"/>
      <w:marRight w:val="0"/>
      <w:marTop w:val="0"/>
      <w:marBottom w:val="0"/>
      <w:divBdr>
        <w:top w:val="none" w:sz="0" w:space="0" w:color="auto"/>
        <w:left w:val="none" w:sz="0" w:space="0" w:color="auto"/>
        <w:bottom w:val="none" w:sz="0" w:space="0" w:color="auto"/>
        <w:right w:val="none" w:sz="0" w:space="0" w:color="auto"/>
      </w:divBdr>
      <w:divsChild>
        <w:div w:id="922952240">
          <w:marLeft w:val="0"/>
          <w:marRight w:val="0"/>
          <w:marTop w:val="0"/>
          <w:marBottom w:val="0"/>
          <w:divBdr>
            <w:top w:val="none" w:sz="0" w:space="0" w:color="auto"/>
            <w:left w:val="none" w:sz="0" w:space="0" w:color="auto"/>
            <w:bottom w:val="none" w:sz="0" w:space="0" w:color="auto"/>
            <w:right w:val="none" w:sz="0" w:space="0" w:color="auto"/>
          </w:divBdr>
        </w:div>
      </w:divsChild>
    </w:div>
    <w:div w:id="682971568">
      <w:bodyDiv w:val="1"/>
      <w:marLeft w:val="0"/>
      <w:marRight w:val="0"/>
      <w:marTop w:val="0"/>
      <w:marBottom w:val="0"/>
      <w:divBdr>
        <w:top w:val="none" w:sz="0" w:space="0" w:color="auto"/>
        <w:left w:val="none" w:sz="0" w:space="0" w:color="auto"/>
        <w:bottom w:val="none" w:sz="0" w:space="0" w:color="auto"/>
        <w:right w:val="none" w:sz="0" w:space="0" w:color="auto"/>
      </w:divBdr>
      <w:divsChild>
        <w:div w:id="2058704269">
          <w:marLeft w:val="0"/>
          <w:marRight w:val="0"/>
          <w:marTop w:val="0"/>
          <w:marBottom w:val="0"/>
          <w:divBdr>
            <w:top w:val="none" w:sz="0" w:space="0" w:color="auto"/>
            <w:left w:val="none" w:sz="0" w:space="0" w:color="auto"/>
            <w:bottom w:val="none" w:sz="0" w:space="0" w:color="auto"/>
            <w:right w:val="none" w:sz="0" w:space="0" w:color="auto"/>
          </w:divBdr>
        </w:div>
      </w:divsChild>
    </w:div>
    <w:div w:id="685063054">
      <w:bodyDiv w:val="1"/>
      <w:marLeft w:val="0"/>
      <w:marRight w:val="0"/>
      <w:marTop w:val="0"/>
      <w:marBottom w:val="0"/>
      <w:divBdr>
        <w:top w:val="none" w:sz="0" w:space="0" w:color="auto"/>
        <w:left w:val="none" w:sz="0" w:space="0" w:color="auto"/>
        <w:bottom w:val="none" w:sz="0" w:space="0" w:color="auto"/>
        <w:right w:val="none" w:sz="0" w:space="0" w:color="auto"/>
      </w:divBdr>
      <w:divsChild>
        <w:div w:id="970404765">
          <w:marLeft w:val="0"/>
          <w:marRight w:val="0"/>
          <w:marTop w:val="0"/>
          <w:marBottom w:val="0"/>
          <w:divBdr>
            <w:top w:val="none" w:sz="0" w:space="0" w:color="auto"/>
            <w:left w:val="none" w:sz="0" w:space="0" w:color="auto"/>
            <w:bottom w:val="none" w:sz="0" w:space="0" w:color="auto"/>
            <w:right w:val="none" w:sz="0" w:space="0" w:color="auto"/>
          </w:divBdr>
        </w:div>
      </w:divsChild>
    </w:div>
    <w:div w:id="693846252">
      <w:bodyDiv w:val="1"/>
      <w:marLeft w:val="0"/>
      <w:marRight w:val="0"/>
      <w:marTop w:val="0"/>
      <w:marBottom w:val="0"/>
      <w:divBdr>
        <w:top w:val="none" w:sz="0" w:space="0" w:color="auto"/>
        <w:left w:val="none" w:sz="0" w:space="0" w:color="auto"/>
        <w:bottom w:val="none" w:sz="0" w:space="0" w:color="auto"/>
        <w:right w:val="none" w:sz="0" w:space="0" w:color="auto"/>
      </w:divBdr>
    </w:div>
    <w:div w:id="6950816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816">
          <w:marLeft w:val="0"/>
          <w:marRight w:val="0"/>
          <w:marTop w:val="0"/>
          <w:marBottom w:val="0"/>
          <w:divBdr>
            <w:top w:val="none" w:sz="0" w:space="0" w:color="auto"/>
            <w:left w:val="none" w:sz="0" w:space="0" w:color="auto"/>
            <w:bottom w:val="none" w:sz="0" w:space="0" w:color="auto"/>
            <w:right w:val="none" w:sz="0" w:space="0" w:color="auto"/>
          </w:divBdr>
        </w:div>
      </w:divsChild>
    </w:div>
    <w:div w:id="695614781">
      <w:bodyDiv w:val="1"/>
      <w:marLeft w:val="0"/>
      <w:marRight w:val="0"/>
      <w:marTop w:val="0"/>
      <w:marBottom w:val="0"/>
      <w:divBdr>
        <w:top w:val="none" w:sz="0" w:space="0" w:color="auto"/>
        <w:left w:val="none" w:sz="0" w:space="0" w:color="auto"/>
        <w:bottom w:val="none" w:sz="0" w:space="0" w:color="auto"/>
        <w:right w:val="none" w:sz="0" w:space="0" w:color="auto"/>
      </w:divBdr>
    </w:div>
    <w:div w:id="705445093">
      <w:bodyDiv w:val="1"/>
      <w:marLeft w:val="0"/>
      <w:marRight w:val="0"/>
      <w:marTop w:val="0"/>
      <w:marBottom w:val="0"/>
      <w:divBdr>
        <w:top w:val="none" w:sz="0" w:space="0" w:color="auto"/>
        <w:left w:val="none" w:sz="0" w:space="0" w:color="auto"/>
        <w:bottom w:val="none" w:sz="0" w:space="0" w:color="auto"/>
        <w:right w:val="none" w:sz="0" w:space="0" w:color="auto"/>
      </w:divBdr>
      <w:divsChild>
        <w:div w:id="1327783930">
          <w:marLeft w:val="0"/>
          <w:marRight w:val="0"/>
          <w:marTop w:val="0"/>
          <w:marBottom w:val="0"/>
          <w:divBdr>
            <w:top w:val="none" w:sz="0" w:space="0" w:color="auto"/>
            <w:left w:val="none" w:sz="0" w:space="0" w:color="auto"/>
            <w:bottom w:val="none" w:sz="0" w:space="0" w:color="auto"/>
            <w:right w:val="none" w:sz="0" w:space="0" w:color="auto"/>
          </w:divBdr>
        </w:div>
      </w:divsChild>
    </w:div>
    <w:div w:id="710348437">
      <w:bodyDiv w:val="1"/>
      <w:marLeft w:val="0"/>
      <w:marRight w:val="0"/>
      <w:marTop w:val="0"/>
      <w:marBottom w:val="0"/>
      <w:divBdr>
        <w:top w:val="none" w:sz="0" w:space="0" w:color="auto"/>
        <w:left w:val="none" w:sz="0" w:space="0" w:color="auto"/>
        <w:bottom w:val="none" w:sz="0" w:space="0" w:color="auto"/>
        <w:right w:val="none" w:sz="0" w:space="0" w:color="auto"/>
      </w:divBdr>
      <w:divsChild>
        <w:div w:id="535045053">
          <w:marLeft w:val="0"/>
          <w:marRight w:val="0"/>
          <w:marTop w:val="0"/>
          <w:marBottom w:val="0"/>
          <w:divBdr>
            <w:top w:val="none" w:sz="0" w:space="0" w:color="auto"/>
            <w:left w:val="none" w:sz="0" w:space="0" w:color="auto"/>
            <w:bottom w:val="none" w:sz="0" w:space="0" w:color="auto"/>
            <w:right w:val="none" w:sz="0" w:space="0" w:color="auto"/>
          </w:divBdr>
        </w:div>
      </w:divsChild>
    </w:div>
    <w:div w:id="715272742">
      <w:bodyDiv w:val="1"/>
      <w:marLeft w:val="0"/>
      <w:marRight w:val="0"/>
      <w:marTop w:val="0"/>
      <w:marBottom w:val="0"/>
      <w:divBdr>
        <w:top w:val="none" w:sz="0" w:space="0" w:color="auto"/>
        <w:left w:val="none" w:sz="0" w:space="0" w:color="auto"/>
        <w:bottom w:val="none" w:sz="0" w:space="0" w:color="auto"/>
        <w:right w:val="none" w:sz="0" w:space="0" w:color="auto"/>
      </w:divBdr>
    </w:div>
    <w:div w:id="724453559">
      <w:bodyDiv w:val="1"/>
      <w:marLeft w:val="0"/>
      <w:marRight w:val="0"/>
      <w:marTop w:val="0"/>
      <w:marBottom w:val="0"/>
      <w:divBdr>
        <w:top w:val="none" w:sz="0" w:space="0" w:color="auto"/>
        <w:left w:val="none" w:sz="0" w:space="0" w:color="auto"/>
        <w:bottom w:val="none" w:sz="0" w:space="0" w:color="auto"/>
        <w:right w:val="none" w:sz="0" w:space="0" w:color="auto"/>
      </w:divBdr>
      <w:divsChild>
        <w:div w:id="200943063">
          <w:marLeft w:val="0"/>
          <w:marRight w:val="0"/>
          <w:marTop w:val="0"/>
          <w:marBottom w:val="0"/>
          <w:divBdr>
            <w:top w:val="none" w:sz="0" w:space="0" w:color="auto"/>
            <w:left w:val="none" w:sz="0" w:space="0" w:color="auto"/>
            <w:bottom w:val="none" w:sz="0" w:space="0" w:color="auto"/>
            <w:right w:val="none" w:sz="0" w:space="0" w:color="auto"/>
          </w:divBdr>
        </w:div>
      </w:divsChild>
    </w:div>
    <w:div w:id="731269656">
      <w:bodyDiv w:val="1"/>
      <w:marLeft w:val="0"/>
      <w:marRight w:val="0"/>
      <w:marTop w:val="0"/>
      <w:marBottom w:val="0"/>
      <w:divBdr>
        <w:top w:val="none" w:sz="0" w:space="0" w:color="auto"/>
        <w:left w:val="none" w:sz="0" w:space="0" w:color="auto"/>
        <w:bottom w:val="none" w:sz="0" w:space="0" w:color="auto"/>
        <w:right w:val="none" w:sz="0" w:space="0" w:color="auto"/>
      </w:divBdr>
      <w:divsChild>
        <w:div w:id="1908029085">
          <w:marLeft w:val="0"/>
          <w:marRight w:val="0"/>
          <w:marTop w:val="0"/>
          <w:marBottom w:val="0"/>
          <w:divBdr>
            <w:top w:val="none" w:sz="0" w:space="0" w:color="auto"/>
            <w:left w:val="none" w:sz="0" w:space="0" w:color="auto"/>
            <w:bottom w:val="none" w:sz="0" w:space="0" w:color="auto"/>
            <w:right w:val="none" w:sz="0" w:space="0" w:color="auto"/>
          </w:divBdr>
        </w:div>
      </w:divsChild>
    </w:div>
    <w:div w:id="741216919">
      <w:bodyDiv w:val="1"/>
      <w:marLeft w:val="0"/>
      <w:marRight w:val="0"/>
      <w:marTop w:val="0"/>
      <w:marBottom w:val="0"/>
      <w:divBdr>
        <w:top w:val="none" w:sz="0" w:space="0" w:color="auto"/>
        <w:left w:val="none" w:sz="0" w:space="0" w:color="auto"/>
        <w:bottom w:val="none" w:sz="0" w:space="0" w:color="auto"/>
        <w:right w:val="none" w:sz="0" w:space="0" w:color="auto"/>
      </w:divBdr>
      <w:divsChild>
        <w:div w:id="1857423929">
          <w:marLeft w:val="0"/>
          <w:marRight w:val="0"/>
          <w:marTop w:val="0"/>
          <w:marBottom w:val="0"/>
          <w:divBdr>
            <w:top w:val="none" w:sz="0" w:space="0" w:color="auto"/>
            <w:left w:val="none" w:sz="0" w:space="0" w:color="auto"/>
            <w:bottom w:val="none" w:sz="0" w:space="0" w:color="auto"/>
            <w:right w:val="none" w:sz="0" w:space="0" w:color="auto"/>
          </w:divBdr>
        </w:div>
      </w:divsChild>
    </w:div>
    <w:div w:id="745110838">
      <w:bodyDiv w:val="1"/>
      <w:marLeft w:val="0"/>
      <w:marRight w:val="0"/>
      <w:marTop w:val="0"/>
      <w:marBottom w:val="0"/>
      <w:divBdr>
        <w:top w:val="none" w:sz="0" w:space="0" w:color="auto"/>
        <w:left w:val="none" w:sz="0" w:space="0" w:color="auto"/>
        <w:bottom w:val="none" w:sz="0" w:space="0" w:color="auto"/>
        <w:right w:val="none" w:sz="0" w:space="0" w:color="auto"/>
      </w:divBdr>
    </w:div>
    <w:div w:id="749155338">
      <w:bodyDiv w:val="1"/>
      <w:marLeft w:val="0"/>
      <w:marRight w:val="0"/>
      <w:marTop w:val="0"/>
      <w:marBottom w:val="0"/>
      <w:divBdr>
        <w:top w:val="none" w:sz="0" w:space="0" w:color="auto"/>
        <w:left w:val="none" w:sz="0" w:space="0" w:color="auto"/>
        <w:bottom w:val="none" w:sz="0" w:space="0" w:color="auto"/>
        <w:right w:val="none" w:sz="0" w:space="0" w:color="auto"/>
      </w:divBdr>
    </w:div>
    <w:div w:id="756291865">
      <w:bodyDiv w:val="1"/>
      <w:marLeft w:val="0"/>
      <w:marRight w:val="0"/>
      <w:marTop w:val="0"/>
      <w:marBottom w:val="0"/>
      <w:divBdr>
        <w:top w:val="none" w:sz="0" w:space="0" w:color="auto"/>
        <w:left w:val="none" w:sz="0" w:space="0" w:color="auto"/>
        <w:bottom w:val="none" w:sz="0" w:space="0" w:color="auto"/>
        <w:right w:val="none" w:sz="0" w:space="0" w:color="auto"/>
      </w:divBdr>
      <w:divsChild>
        <w:div w:id="1403257143">
          <w:marLeft w:val="0"/>
          <w:marRight w:val="0"/>
          <w:marTop w:val="0"/>
          <w:marBottom w:val="0"/>
          <w:divBdr>
            <w:top w:val="none" w:sz="0" w:space="0" w:color="auto"/>
            <w:left w:val="none" w:sz="0" w:space="0" w:color="auto"/>
            <w:bottom w:val="none" w:sz="0" w:space="0" w:color="auto"/>
            <w:right w:val="none" w:sz="0" w:space="0" w:color="auto"/>
          </w:divBdr>
        </w:div>
      </w:divsChild>
    </w:div>
    <w:div w:id="764502169">
      <w:bodyDiv w:val="1"/>
      <w:marLeft w:val="0"/>
      <w:marRight w:val="0"/>
      <w:marTop w:val="0"/>
      <w:marBottom w:val="0"/>
      <w:divBdr>
        <w:top w:val="none" w:sz="0" w:space="0" w:color="auto"/>
        <w:left w:val="none" w:sz="0" w:space="0" w:color="auto"/>
        <w:bottom w:val="none" w:sz="0" w:space="0" w:color="auto"/>
        <w:right w:val="none" w:sz="0" w:space="0" w:color="auto"/>
      </w:divBdr>
    </w:div>
    <w:div w:id="776219850">
      <w:bodyDiv w:val="1"/>
      <w:marLeft w:val="0"/>
      <w:marRight w:val="0"/>
      <w:marTop w:val="0"/>
      <w:marBottom w:val="0"/>
      <w:divBdr>
        <w:top w:val="none" w:sz="0" w:space="0" w:color="auto"/>
        <w:left w:val="none" w:sz="0" w:space="0" w:color="auto"/>
        <w:bottom w:val="none" w:sz="0" w:space="0" w:color="auto"/>
        <w:right w:val="none" w:sz="0" w:space="0" w:color="auto"/>
      </w:divBdr>
    </w:div>
    <w:div w:id="776677454">
      <w:bodyDiv w:val="1"/>
      <w:marLeft w:val="0"/>
      <w:marRight w:val="0"/>
      <w:marTop w:val="0"/>
      <w:marBottom w:val="0"/>
      <w:divBdr>
        <w:top w:val="none" w:sz="0" w:space="0" w:color="auto"/>
        <w:left w:val="none" w:sz="0" w:space="0" w:color="auto"/>
        <w:bottom w:val="none" w:sz="0" w:space="0" w:color="auto"/>
        <w:right w:val="none" w:sz="0" w:space="0" w:color="auto"/>
      </w:divBdr>
    </w:div>
    <w:div w:id="798836908">
      <w:bodyDiv w:val="1"/>
      <w:marLeft w:val="0"/>
      <w:marRight w:val="0"/>
      <w:marTop w:val="0"/>
      <w:marBottom w:val="0"/>
      <w:divBdr>
        <w:top w:val="none" w:sz="0" w:space="0" w:color="auto"/>
        <w:left w:val="none" w:sz="0" w:space="0" w:color="auto"/>
        <w:bottom w:val="none" w:sz="0" w:space="0" w:color="auto"/>
        <w:right w:val="none" w:sz="0" w:space="0" w:color="auto"/>
      </w:divBdr>
    </w:div>
    <w:div w:id="801918593">
      <w:bodyDiv w:val="1"/>
      <w:marLeft w:val="0"/>
      <w:marRight w:val="0"/>
      <w:marTop w:val="0"/>
      <w:marBottom w:val="0"/>
      <w:divBdr>
        <w:top w:val="none" w:sz="0" w:space="0" w:color="auto"/>
        <w:left w:val="none" w:sz="0" w:space="0" w:color="auto"/>
        <w:bottom w:val="none" w:sz="0" w:space="0" w:color="auto"/>
        <w:right w:val="none" w:sz="0" w:space="0" w:color="auto"/>
      </w:divBdr>
    </w:div>
    <w:div w:id="802502591">
      <w:bodyDiv w:val="1"/>
      <w:marLeft w:val="0"/>
      <w:marRight w:val="0"/>
      <w:marTop w:val="0"/>
      <w:marBottom w:val="0"/>
      <w:divBdr>
        <w:top w:val="none" w:sz="0" w:space="0" w:color="auto"/>
        <w:left w:val="none" w:sz="0" w:space="0" w:color="auto"/>
        <w:bottom w:val="none" w:sz="0" w:space="0" w:color="auto"/>
        <w:right w:val="none" w:sz="0" w:space="0" w:color="auto"/>
      </w:divBdr>
      <w:divsChild>
        <w:div w:id="1434398070">
          <w:marLeft w:val="0"/>
          <w:marRight w:val="0"/>
          <w:marTop w:val="0"/>
          <w:marBottom w:val="0"/>
          <w:divBdr>
            <w:top w:val="none" w:sz="0" w:space="0" w:color="auto"/>
            <w:left w:val="none" w:sz="0" w:space="0" w:color="auto"/>
            <w:bottom w:val="none" w:sz="0" w:space="0" w:color="auto"/>
            <w:right w:val="none" w:sz="0" w:space="0" w:color="auto"/>
          </w:divBdr>
        </w:div>
      </w:divsChild>
    </w:div>
    <w:div w:id="820124989">
      <w:bodyDiv w:val="1"/>
      <w:marLeft w:val="0"/>
      <w:marRight w:val="0"/>
      <w:marTop w:val="0"/>
      <w:marBottom w:val="0"/>
      <w:divBdr>
        <w:top w:val="none" w:sz="0" w:space="0" w:color="auto"/>
        <w:left w:val="none" w:sz="0" w:space="0" w:color="auto"/>
        <w:bottom w:val="none" w:sz="0" w:space="0" w:color="auto"/>
        <w:right w:val="none" w:sz="0" w:space="0" w:color="auto"/>
      </w:divBdr>
    </w:div>
    <w:div w:id="826481989">
      <w:bodyDiv w:val="1"/>
      <w:marLeft w:val="0"/>
      <w:marRight w:val="0"/>
      <w:marTop w:val="0"/>
      <w:marBottom w:val="0"/>
      <w:divBdr>
        <w:top w:val="none" w:sz="0" w:space="0" w:color="auto"/>
        <w:left w:val="none" w:sz="0" w:space="0" w:color="auto"/>
        <w:bottom w:val="none" w:sz="0" w:space="0" w:color="auto"/>
        <w:right w:val="none" w:sz="0" w:space="0" w:color="auto"/>
      </w:divBdr>
      <w:divsChild>
        <w:div w:id="852378076">
          <w:marLeft w:val="0"/>
          <w:marRight w:val="0"/>
          <w:marTop w:val="0"/>
          <w:marBottom w:val="0"/>
          <w:divBdr>
            <w:top w:val="none" w:sz="0" w:space="0" w:color="auto"/>
            <w:left w:val="none" w:sz="0" w:space="0" w:color="auto"/>
            <w:bottom w:val="none" w:sz="0" w:space="0" w:color="auto"/>
            <w:right w:val="none" w:sz="0" w:space="0" w:color="auto"/>
          </w:divBdr>
        </w:div>
      </w:divsChild>
    </w:div>
    <w:div w:id="831140772">
      <w:bodyDiv w:val="1"/>
      <w:marLeft w:val="0"/>
      <w:marRight w:val="0"/>
      <w:marTop w:val="0"/>
      <w:marBottom w:val="0"/>
      <w:divBdr>
        <w:top w:val="none" w:sz="0" w:space="0" w:color="auto"/>
        <w:left w:val="none" w:sz="0" w:space="0" w:color="auto"/>
        <w:bottom w:val="none" w:sz="0" w:space="0" w:color="auto"/>
        <w:right w:val="none" w:sz="0" w:space="0" w:color="auto"/>
      </w:divBdr>
    </w:div>
    <w:div w:id="833186692">
      <w:bodyDiv w:val="1"/>
      <w:marLeft w:val="0"/>
      <w:marRight w:val="0"/>
      <w:marTop w:val="0"/>
      <w:marBottom w:val="0"/>
      <w:divBdr>
        <w:top w:val="none" w:sz="0" w:space="0" w:color="auto"/>
        <w:left w:val="none" w:sz="0" w:space="0" w:color="auto"/>
        <w:bottom w:val="none" w:sz="0" w:space="0" w:color="auto"/>
        <w:right w:val="none" w:sz="0" w:space="0" w:color="auto"/>
      </w:divBdr>
      <w:divsChild>
        <w:div w:id="147938722">
          <w:marLeft w:val="0"/>
          <w:marRight w:val="0"/>
          <w:marTop w:val="0"/>
          <w:marBottom w:val="0"/>
          <w:divBdr>
            <w:top w:val="none" w:sz="0" w:space="0" w:color="auto"/>
            <w:left w:val="none" w:sz="0" w:space="0" w:color="auto"/>
            <w:bottom w:val="none" w:sz="0" w:space="0" w:color="auto"/>
            <w:right w:val="none" w:sz="0" w:space="0" w:color="auto"/>
          </w:divBdr>
        </w:div>
      </w:divsChild>
    </w:div>
    <w:div w:id="844855849">
      <w:bodyDiv w:val="1"/>
      <w:marLeft w:val="0"/>
      <w:marRight w:val="0"/>
      <w:marTop w:val="0"/>
      <w:marBottom w:val="0"/>
      <w:divBdr>
        <w:top w:val="none" w:sz="0" w:space="0" w:color="auto"/>
        <w:left w:val="none" w:sz="0" w:space="0" w:color="auto"/>
        <w:bottom w:val="none" w:sz="0" w:space="0" w:color="auto"/>
        <w:right w:val="none" w:sz="0" w:space="0" w:color="auto"/>
      </w:divBdr>
      <w:divsChild>
        <w:div w:id="925773602">
          <w:marLeft w:val="0"/>
          <w:marRight w:val="0"/>
          <w:marTop w:val="0"/>
          <w:marBottom w:val="0"/>
          <w:divBdr>
            <w:top w:val="none" w:sz="0" w:space="0" w:color="auto"/>
            <w:left w:val="none" w:sz="0" w:space="0" w:color="auto"/>
            <w:bottom w:val="none" w:sz="0" w:space="0" w:color="auto"/>
            <w:right w:val="none" w:sz="0" w:space="0" w:color="auto"/>
          </w:divBdr>
        </w:div>
      </w:divsChild>
    </w:div>
    <w:div w:id="847908870">
      <w:bodyDiv w:val="1"/>
      <w:marLeft w:val="0"/>
      <w:marRight w:val="0"/>
      <w:marTop w:val="0"/>
      <w:marBottom w:val="0"/>
      <w:divBdr>
        <w:top w:val="none" w:sz="0" w:space="0" w:color="auto"/>
        <w:left w:val="none" w:sz="0" w:space="0" w:color="auto"/>
        <w:bottom w:val="none" w:sz="0" w:space="0" w:color="auto"/>
        <w:right w:val="none" w:sz="0" w:space="0" w:color="auto"/>
      </w:divBdr>
    </w:div>
    <w:div w:id="848058956">
      <w:bodyDiv w:val="1"/>
      <w:marLeft w:val="0"/>
      <w:marRight w:val="0"/>
      <w:marTop w:val="0"/>
      <w:marBottom w:val="0"/>
      <w:divBdr>
        <w:top w:val="none" w:sz="0" w:space="0" w:color="auto"/>
        <w:left w:val="none" w:sz="0" w:space="0" w:color="auto"/>
        <w:bottom w:val="none" w:sz="0" w:space="0" w:color="auto"/>
        <w:right w:val="none" w:sz="0" w:space="0" w:color="auto"/>
      </w:divBdr>
    </w:div>
    <w:div w:id="848177792">
      <w:bodyDiv w:val="1"/>
      <w:marLeft w:val="0"/>
      <w:marRight w:val="0"/>
      <w:marTop w:val="0"/>
      <w:marBottom w:val="0"/>
      <w:divBdr>
        <w:top w:val="none" w:sz="0" w:space="0" w:color="auto"/>
        <w:left w:val="none" w:sz="0" w:space="0" w:color="auto"/>
        <w:bottom w:val="none" w:sz="0" w:space="0" w:color="auto"/>
        <w:right w:val="none" w:sz="0" w:space="0" w:color="auto"/>
      </w:divBdr>
      <w:divsChild>
        <w:div w:id="625048346">
          <w:marLeft w:val="0"/>
          <w:marRight w:val="0"/>
          <w:marTop w:val="0"/>
          <w:marBottom w:val="0"/>
          <w:divBdr>
            <w:top w:val="none" w:sz="0" w:space="0" w:color="auto"/>
            <w:left w:val="none" w:sz="0" w:space="0" w:color="auto"/>
            <w:bottom w:val="none" w:sz="0" w:space="0" w:color="auto"/>
            <w:right w:val="none" w:sz="0" w:space="0" w:color="auto"/>
          </w:divBdr>
        </w:div>
      </w:divsChild>
    </w:div>
    <w:div w:id="859733440">
      <w:bodyDiv w:val="1"/>
      <w:marLeft w:val="0"/>
      <w:marRight w:val="0"/>
      <w:marTop w:val="0"/>
      <w:marBottom w:val="0"/>
      <w:divBdr>
        <w:top w:val="none" w:sz="0" w:space="0" w:color="auto"/>
        <w:left w:val="none" w:sz="0" w:space="0" w:color="auto"/>
        <w:bottom w:val="none" w:sz="0" w:space="0" w:color="auto"/>
        <w:right w:val="none" w:sz="0" w:space="0" w:color="auto"/>
      </w:divBdr>
    </w:div>
    <w:div w:id="872764028">
      <w:bodyDiv w:val="1"/>
      <w:marLeft w:val="0"/>
      <w:marRight w:val="0"/>
      <w:marTop w:val="0"/>
      <w:marBottom w:val="0"/>
      <w:divBdr>
        <w:top w:val="none" w:sz="0" w:space="0" w:color="auto"/>
        <w:left w:val="none" w:sz="0" w:space="0" w:color="auto"/>
        <w:bottom w:val="none" w:sz="0" w:space="0" w:color="auto"/>
        <w:right w:val="none" w:sz="0" w:space="0" w:color="auto"/>
      </w:divBdr>
    </w:div>
    <w:div w:id="878129808">
      <w:bodyDiv w:val="1"/>
      <w:marLeft w:val="0"/>
      <w:marRight w:val="0"/>
      <w:marTop w:val="0"/>
      <w:marBottom w:val="0"/>
      <w:divBdr>
        <w:top w:val="none" w:sz="0" w:space="0" w:color="auto"/>
        <w:left w:val="none" w:sz="0" w:space="0" w:color="auto"/>
        <w:bottom w:val="none" w:sz="0" w:space="0" w:color="auto"/>
        <w:right w:val="none" w:sz="0" w:space="0" w:color="auto"/>
      </w:divBdr>
      <w:divsChild>
        <w:div w:id="1434395942">
          <w:marLeft w:val="0"/>
          <w:marRight w:val="0"/>
          <w:marTop w:val="0"/>
          <w:marBottom w:val="0"/>
          <w:divBdr>
            <w:top w:val="none" w:sz="0" w:space="0" w:color="auto"/>
            <w:left w:val="none" w:sz="0" w:space="0" w:color="auto"/>
            <w:bottom w:val="none" w:sz="0" w:space="0" w:color="auto"/>
            <w:right w:val="none" w:sz="0" w:space="0" w:color="auto"/>
          </w:divBdr>
        </w:div>
      </w:divsChild>
    </w:div>
    <w:div w:id="883176043">
      <w:bodyDiv w:val="1"/>
      <w:marLeft w:val="0"/>
      <w:marRight w:val="0"/>
      <w:marTop w:val="0"/>
      <w:marBottom w:val="0"/>
      <w:divBdr>
        <w:top w:val="none" w:sz="0" w:space="0" w:color="auto"/>
        <w:left w:val="none" w:sz="0" w:space="0" w:color="auto"/>
        <w:bottom w:val="none" w:sz="0" w:space="0" w:color="auto"/>
        <w:right w:val="none" w:sz="0" w:space="0" w:color="auto"/>
      </w:divBdr>
      <w:divsChild>
        <w:div w:id="1322999783">
          <w:marLeft w:val="0"/>
          <w:marRight w:val="0"/>
          <w:marTop w:val="0"/>
          <w:marBottom w:val="0"/>
          <w:divBdr>
            <w:top w:val="none" w:sz="0" w:space="0" w:color="auto"/>
            <w:left w:val="none" w:sz="0" w:space="0" w:color="auto"/>
            <w:bottom w:val="none" w:sz="0" w:space="0" w:color="auto"/>
            <w:right w:val="none" w:sz="0" w:space="0" w:color="auto"/>
          </w:divBdr>
        </w:div>
      </w:divsChild>
    </w:div>
    <w:div w:id="887450835">
      <w:bodyDiv w:val="1"/>
      <w:marLeft w:val="0"/>
      <w:marRight w:val="0"/>
      <w:marTop w:val="0"/>
      <w:marBottom w:val="0"/>
      <w:divBdr>
        <w:top w:val="none" w:sz="0" w:space="0" w:color="auto"/>
        <w:left w:val="none" w:sz="0" w:space="0" w:color="auto"/>
        <w:bottom w:val="none" w:sz="0" w:space="0" w:color="auto"/>
        <w:right w:val="none" w:sz="0" w:space="0" w:color="auto"/>
      </w:divBdr>
    </w:div>
    <w:div w:id="892083084">
      <w:bodyDiv w:val="1"/>
      <w:marLeft w:val="0"/>
      <w:marRight w:val="0"/>
      <w:marTop w:val="0"/>
      <w:marBottom w:val="0"/>
      <w:divBdr>
        <w:top w:val="none" w:sz="0" w:space="0" w:color="auto"/>
        <w:left w:val="none" w:sz="0" w:space="0" w:color="auto"/>
        <w:bottom w:val="none" w:sz="0" w:space="0" w:color="auto"/>
        <w:right w:val="none" w:sz="0" w:space="0" w:color="auto"/>
      </w:divBdr>
    </w:div>
    <w:div w:id="894699943">
      <w:bodyDiv w:val="1"/>
      <w:marLeft w:val="0"/>
      <w:marRight w:val="0"/>
      <w:marTop w:val="0"/>
      <w:marBottom w:val="0"/>
      <w:divBdr>
        <w:top w:val="none" w:sz="0" w:space="0" w:color="auto"/>
        <w:left w:val="none" w:sz="0" w:space="0" w:color="auto"/>
        <w:bottom w:val="none" w:sz="0" w:space="0" w:color="auto"/>
        <w:right w:val="none" w:sz="0" w:space="0" w:color="auto"/>
      </w:divBdr>
    </w:div>
    <w:div w:id="898587525">
      <w:bodyDiv w:val="1"/>
      <w:marLeft w:val="0"/>
      <w:marRight w:val="0"/>
      <w:marTop w:val="0"/>
      <w:marBottom w:val="0"/>
      <w:divBdr>
        <w:top w:val="none" w:sz="0" w:space="0" w:color="auto"/>
        <w:left w:val="none" w:sz="0" w:space="0" w:color="auto"/>
        <w:bottom w:val="none" w:sz="0" w:space="0" w:color="auto"/>
        <w:right w:val="none" w:sz="0" w:space="0" w:color="auto"/>
      </w:divBdr>
    </w:div>
    <w:div w:id="913471685">
      <w:bodyDiv w:val="1"/>
      <w:marLeft w:val="0"/>
      <w:marRight w:val="0"/>
      <w:marTop w:val="0"/>
      <w:marBottom w:val="0"/>
      <w:divBdr>
        <w:top w:val="none" w:sz="0" w:space="0" w:color="auto"/>
        <w:left w:val="none" w:sz="0" w:space="0" w:color="auto"/>
        <w:bottom w:val="none" w:sz="0" w:space="0" w:color="auto"/>
        <w:right w:val="none" w:sz="0" w:space="0" w:color="auto"/>
      </w:divBdr>
      <w:divsChild>
        <w:div w:id="69620540">
          <w:marLeft w:val="0"/>
          <w:marRight w:val="0"/>
          <w:marTop w:val="0"/>
          <w:marBottom w:val="0"/>
          <w:divBdr>
            <w:top w:val="none" w:sz="0" w:space="0" w:color="auto"/>
            <w:left w:val="none" w:sz="0" w:space="0" w:color="auto"/>
            <w:bottom w:val="none" w:sz="0" w:space="0" w:color="auto"/>
            <w:right w:val="none" w:sz="0" w:space="0" w:color="auto"/>
          </w:divBdr>
        </w:div>
      </w:divsChild>
    </w:div>
    <w:div w:id="914316801">
      <w:bodyDiv w:val="1"/>
      <w:marLeft w:val="0"/>
      <w:marRight w:val="0"/>
      <w:marTop w:val="0"/>
      <w:marBottom w:val="0"/>
      <w:divBdr>
        <w:top w:val="none" w:sz="0" w:space="0" w:color="auto"/>
        <w:left w:val="none" w:sz="0" w:space="0" w:color="auto"/>
        <w:bottom w:val="none" w:sz="0" w:space="0" w:color="auto"/>
        <w:right w:val="none" w:sz="0" w:space="0" w:color="auto"/>
      </w:divBdr>
      <w:divsChild>
        <w:div w:id="1222137643">
          <w:marLeft w:val="0"/>
          <w:marRight w:val="0"/>
          <w:marTop w:val="0"/>
          <w:marBottom w:val="0"/>
          <w:divBdr>
            <w:top w:val="none" w:sz="0" w:space="0" w:color="auto"/>
            <w:left w:val="none" w:sz="0" w:space="0" w:color="auto"/>
            <w:bottom w:val="none" w:sz="0" w:space="0" w:color="auto"/>
            <w:right w:val="none" w:sz="0" w:space="0" w:color="auto"/>
          </w:divBdr>
        </w:div>
      </w:divsChild>
    </w:div>
    <w:div w:id="917246387">
      <w:bodyDiv w:val="1"/>
      <w:marLeft w:val="0"/>
      <w:marRight w:val="0"/>
      <w:marTop w:val="0"/>
      <w:marBottom w:val="0"/>
      <w:divBdr>
        <w:top w:val="none" w:sz="0" w:space="0" w:color="auto"/>
        <w:left w:val="none" w:sz="0" w:space="0" w:color="auto"/>
        <w:bottom w:val="none" w:sz="0" w:space="0" w:color="auto"/>
        <w:right w:val="none" w:sz="0" w:space="0" w:color="auto"/>
      </w:divBdr>
    </w:div>
    <w:div w:id="921376047">
      <w:bodyDiv w:val="1"/>
      <w:marLeft w:val="0"/>
      <w:marRight w:val="0"/>
      <w:marTop w:val="0"/>
      <w:marBottom w:val="0"/>
      <w:divBdr>
        <w:top w:val="none" w:sz="0" w:space="0" w:color="auto"/>
        <w:left w:val="none" w:sz="0" w:space="0" w:color="auto"/>
        <w:bottom w:val="none" w:sz="0" w:space="0" w:color="auto"/>
        <w:right w:val="none" w:sz="0" w:space="0" w:color="auto"/>
      </w:divBdr>
      <w:divsChild>
        <w:div w:id="88433332">
          <w:marLeft w:val="0"/>
          <w:marRight w:val="0"/>
          <w:marTop w:val="0"/>
          <w:marBottom w:val="0"/>
          <w:divBdr>
            <w:top w:val="none" w:sz="0" w:space="0" w:color="auto"/>
            <w:left w:val="none" w:sz="0" w:space="0" w:color="auto"/>
            <w:bottom w:val="none" w:sz="0" w:space="0" w:color="auto"/>
            <w:right w:val="none" w:sz="0" w:space="0" w:color="auto"/>
          </w:divBdr>
        </w:div>
      </w:divsChild>
    </w:div>
    <w:div w:id="924263247">
      <w:bodyDiv w:val="1"/>
      <w:marLeft w:val="0"/>
      <w:marRight w:val="0"/>
      <w:marTop w:val="0"/>
      <w:marBottom w:val="0"/>
      <w:divBdr>
        <w:top w:val="none" w:sz="0" w:space="0" w:color="auto"/>
        <w:left w:val="none" w:sz="0" w:space="0" w:color="auto"/>
        <w:bottom w:val="none" w:sz="0" w:space="0" w:color="auto"/>
        <w:right w:val="none" w:sz="0" w:space="0" w:color="auto"/>
      </w:divBdr>
    </w:div>
    <w:div w:id="926382480">
      <w:bodyDiv w:val="1"/>
      <w:marLeft w:val="0"/>
      <w:marRight w:val="0"/>
      <w:marTop w:val="0"/>
      <w:marBottom w:val="0"/>
      <w:divBdr>
        <w:top w:val="none" w:sz="0" w:space="0" w:color="auto"/>
        <w:left w:val="none" w:sz="0" w:space="0" w:color="auto"/>
        <w:bottom w:val="none" w:sz="0" w:space="0" w:color="auto"/>
        <w:right w:val="none" w:sz="0" w:space="0" w:color="auto"/>
      </w:divBdr>
      <w:divsChild>
        <w:div w:id="1044019270">
          <w:marLeft w:val="0"/>
          <w:marRight w:val="0"/>
          <w:marTop w:val="0"/>
          <w:marBottom w:val="0"/>
          <w:divBdr>
            <w:top w:val="none" w:sz="0" w:space="0" w:color="auto"/>
            <w:left w:val="none" w:sz="0" w:space="0" w:color="auto"/>
            <w:bottom w:val="none" w:sz="0" w:space="0" w:color="auto"/>
            <w:right w:val="none" w:sz="0" w:space="0" w:color="auto"/>
          </w:divBdr>
          <w:divsChild>
            <w:div w:id="84542012">
              <w:marLeft w:val="0"/>
              <w:marRight w:val="0"/>
              <w:marTop w:val="0"/>
              <w:marBottom w:val="0"/>
              <w:divBdr>
                <w:top w:val="none" w:sz="0" w:space="0" w:color="auto"/>
                <w:left w:val="none" w:sz="0" w:space="0" w:color="auto"/>
                <w:bottom w:val="none" w:sz="0" w:space="0" w:color="auto"/>
                <w:right w:val="none" w:sz="0" w:space="0" w:color="auto"/>
              </w:divBdr>
              <w:divsChild>
                <w:div w:id="78911116">
                  <w:marLeft w:val="0"/>
                  <w:marRight w:val="0"/>
                  <w:marTop w:val="0"/>
                  <w:marBottom w:val="0"/>
                  <w:divBdr>
                    <w:top w:val="none" w:sz="0" w:space="0" w:color="auto"/>
                    <w:left w:val="none" w:sz="0" w:space="0" w:color="auto"/>
                    <w:bottom w:val="none" w:sz="0" w:space="0" w:color="auto"/>
                    <w:right w:val="none" w:sz="0" w:space="0" w:color="auto"/>
                  </w:divBdr>
                  <w:divsChild>
                    <w:div w:id="17312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4937">
      <w:bodyDiv w:val="1"/>
      <w:marLeft w:val="0"/>
      <w:marRight w:val="0"/>
      <w:marTop w:val="0"/>
      <w:marBottom w:val="0"/>
      <w:divBdr>
        <w:top w:val="none" w:sz="0" w:space="0" w:color="auto"/>
        <w:left w:val="none" w:sz="0" w:space="0" w:color="auto"/>
        <w:bottom w:val="none" w:sz="0" w:space="0" w:color="auto"/>
        <w:right w:val="none" w:sz="0" w:space="0" w:color="auto"/>
      </w:divBdr>
      <w:divsChild>
        <w:div w:id="20400331">
          <w:marLeft w:val="0"/>
          <w:marRight w:val="0"/>
          <w:marTop w:val="0"/>
          <w:marBottom w:val="0"/>
          <w:divBdr>
            <w:top w:val="none" w:sz="0" w:space="0" w:color="auto"/>
            <w:left w:val="none" w:sz="0" w:space="0" w:color="auto"/>
            <w:bottom w:val="none" w:sz="0" w:space="0" w:color="auto"/>
            <w:right w:val="none" w:sz="0" w:space="0" w:color="auto"/>
          </w:divBdr>
        </w:div>
      </w:divsChild>
    </w:div>
    <w:div w:id="929660879">
      <w:bodyDiv w:val="1"/>
      <w:marLeft w:val="0"/>
      <w:marRight w:val="0"/>
      <w:marTop w:val="0"/>
      <w:marBottom w:val="0"/>
      <w:divBdr>
        <w:top w:val="none" w:sz="0" w:space="0" w:color="auto"/>
        <w:left w:val="none" w:sz="0" w:space="0" w:color="auto"/>
        <w:bottom w:val="none" w:sz="0" w:space="0" w:color="auto"/>
        <w:right w:val="none" w:sz="0" w:space="0" w:color="auto"/>
      </w:divBdr>
    </w:div>
    <w:div w:id="938374483">
      <w:bodyDiv w:val="1"/>
      <w:marLeft w:val="0"/>
      <w:marRight w:val="0"/>
      <w:marTop w:val="0"/>
      <w:marBottom w:val="0"/>
      <w:divBdr>
        <w:top w:val="none" w:sz="0" w:space="0" w:color="auto"/>
        <w:left w:val="none" w:sz="0" w:space="0" w:color="auto"/>
        <w:bottom w:val="none" w:sz="0" w:space="0" w:color="auto"/>
        <w:right w:val="none" w:sz="0" w:space="0" w:color="auto"/>
      </w:divBdr>
    </w:div>
    <w:div w:id="942303590">
      <w:bodyDiv w:val="1"/>
      <w:marLeft w:val="0"/>
      <w:marRight w:val="0"/>
      <w:marTop w:val="0"/>
      <w:marBottom w:val="0"/>
      <w:divBdr>
        <w:top w:val="none" w:sz="0" w:space="0" w:color="auto"/>
        <w:left w:val="none" w:sz="0" w:space="0" w:color="auto"/>
        <w:bottom w:val="none" w:sz="0" w:space="0" w:color="auto"/>
        <w:right w:val="none" w:sz="0" w:space="0" w:color="auto"/>
      </w:divBdr>
    </w:div>
    <w:div w:id="948662594">
      <w:bodyDiv w:val="1"/>
      <w:marLeft w:val="0"/>
      <w:marRight w:val="0"/>
      <w:marTop w:val="0"/>
      <w:marBottom w:val="0"/>
      <w:divBdr>
        <w:top w:val="none" w:sz="0" w:space="0" w:color="auto"/>
        <w:left w:val="none" w:sz="0" w:space="0" w:color="auto"/>
        <w:bottom w:val="none" w:sz="0" w:space="0" w:color="auto"/>
        <w:right w:val="none" w:sz="0" w:space="0" w:color="auto"/>
      </w:divBdr>
      <w:divsChild>
        <w:div w:id="944117409">
          <w:marLeft w:val="0"/>
          <w:marRight w:val="0"/>
          <w:marTop w:val="0"/>
          <w:marBottom w:val="0"/>
          <w:divBdr>
            <w:top w:val="none" w:sz="0" w:space="0" w:color="auto"/>
            <w:left w:val="none" w:sz="0" w:space="0" w:color="auto"/>
            <w:bottom w:val="none" w:sz="0" w:space="0" w:color="auto"/>
            <w:right w:val="none" w:sz="0" w:space="0" w:color="auto"/>
          </w:divBdr>
        </w:div>
      </w:divsChild>
    </w:div>
    <w:div w:id="949975976">
      <w:bodyDiv w:val="1"/>
      <w:marLeft w:val="0"/>
      <w:marRight w:val="0"/>
      <w:marTop w:val="0"/>
      <w:marBottom w:val="0"/>
      <w:divBdr>
        <w:top w:val="none" w:sz="0" w:space="0" w:color="auto"/>
        <w:left w:val="none" w:sz="0" w:space="0" w:color="auto"/>
        <w:bottom w:val="none" w:sz="0" w:space="0" w:color="auto"/>
        <w:right w:val="none" w:sz="0" w:space="0" w:color="auto"/>
      </w:divBdr>
    </w:div>
    <w:div w:id="952444590">
      <w:bodyDiv w:val="1"/>
      <w:marLeft w:val="0"/>
      <w:marRight w:val="0"/>
      <w:marTop w:val="0"/>
      <w:marBottom w:val="0"/>
      <w:divBdr>
        <w:top w:val="none" w:sz="0" w:space="0" w:color="auto"/>
        <w:left w:val="none" w:sz="0" w:space="0" w:color="auto"/>
        <w:bottom w:val="none" w:sz="0" w:space="0" w:color="auto"/>
        <w:right w:val="none" w:sz="0" w:space="0" w:color="auto"/>
      </w:divBdr>
    </w:div>
    <w:div w:id="954017086">
      <w:bodyDiv w:val="1"/>
      <w:marLeft w:val="0"/>
      <w:marRight w:val="0"/>
      <w:marTop w:val="0"/>
      <w:marBottom w:val="0"/>
      <w:divBdr>
        <w:top w:val="none" w:sz="0" w:space="0" w:color="auto"/>
        <w:left w:val="none" w:sz="0" w:space="0" w:color="auto"/>
        <w:bottom w:val="none" w:sz="0" w:space="0" w:color="auto"/>
        <w:right w:val="none" w:sz="0" w:space="0" w:color="auto"/>
      </w:divBdr>
    </w:div>
    <w:div w:id="962419204">
      <w:bodyDiv w:val="1"/>
      <w:marLeft w:val="0"/>
      <w:marRight w:val="0"/>
      <w:marTop w:val="0"/>
      <w:marBottom w:val="0"/>
      <w:divBdr>
        <w:top w:val="none" w:sz="0" w:space="0" w:color="auto"/>
        <w:left w:val="none" w:sz="0" w:space="0" w:color="auto"/>
        <w:bottom w:val="none" w:sz="0" w:space="0" w:color="auto"/>
        <w:right w:val="none" w:sz="0" w:space="0" w:color="auto"/>
      </w:divBdr>
    </w:div>
    <w:div w:id="967786477">
      <w:bodyDiv w:val="1"/>
      <w:marLeft w:val="0"/>
      <w:marRight w:val="0"/>
      <w:marTop w:val="0"/>
      <w:marBottom w:val="0"/>
      <w:divBdr>
        <w:top w:val="none" w:sz="0" w:space="0" w:color="auto"/>
        <w:left w:val="none" w:sz="0" w:space="0" w:color="auto"/>
        <w:bottom w:val="none" w:sz="0" w:space="0" w:color="auto"/>
        <w:right w:val="none" w:sz="0" w:space="0" w:color="auto"/>
      </w:divBdr>
      <w:divsChild>
        <w:div w:id="1138499024">
          <w:marLeft w:val="0"/>
          <w:marRight w:val="0"/>
          <w:marTop w:val="0"/>
          <w:marBottom w:val="0"/>
          <w:divBdr>
            <w:top w:val="none" w:sz="0" w:space="0" w:color="auto"/>
            <w:left w:val="none" w:sz="0" w:space="0" w:color="auto"/>
            <w:bottom w:val="none" w:sz="0" w:space="0" w:color="auto"/>
            <w:right w:val="none" w:sz="0" w:space="0" w:color="auto"/>
          </w:divBdr>
        </w:div>
      </w:divsChild>
    </w:div>
    <w:div w:id="975067274">
      <w:bodyDiv w:val="1"/>
      <w:marLeft w:val="0"/>
      <w:marRight w:val="0"/>
      <w:marTop w:val="0"/>
      <w:marBottom w:val="0"/>
      <w:divBdr>
        <w:top w:val="none" w:sz="0" w:space="0" w:color="auto"/>
        <w:left w:val="none" w:sz="0" w:space="0" w:color="auto"/>
        <w:bottom w:val="none" w:sz="0" w:space="0" w:color="auto"/>
        <w:right w:val="none" w:sz="0" w:space="0" w:color="auto"/>
      </w:divBdr>
      <w:divsChild>
        <w:div w:id="289173016">
          <w:marLeft w:val="0"/>
          <w:marRight w:val="0"/>
          <w:marTop w:val="0"/>
          <w:marBottom w:val="0"/>
          <w:divBdr>
            <w:top w:val="none" w:sz="0" w:space="0" w:color="auto"/>
            <w:left w:val="none" w:sz="0" w:space="0" w:color="auto"/>
            <w:bottom w:val="none" w:sz="0" w:space="0" w:color="auto"/>
            <w:right w:val="none" w:sz="0" w:space="0" w:color="auto"/>
          </w:divBdr>
        </w:div>
      </w:divsChild>
    </w:div>
    <w:div w:id="976033590">
      <w:bodyDiv w:val="1"/>
      <w:marLeft w:val="0"/>
      <w:marRight w:val="0"/>
      <w:marTop w:val="0"/>
      <w:marBottom w:val="0"/>
      <w:divBdr>
        <w:top w:val="none" w:sz="0" w:space="0" w:color="auto"/>
        <w:left w:val="none" w:sz="0" w:space="0" w:color="auto"/>
        <w:bottom w:val="none" w:sz="0" w:space="0" w:color="auto"/>
        <w:right w:val="none" w:sz="0" w:space="0" w:color="auto"/>
      </w:divBdr>
    </w:div>
    <w:div w:id="982588385">
      <w:bodyDiv w:val="1"/>
      <w:marLeft w:val="0"/>
      <w:marRight w:val="0"/>
      <w:marTop w:val="0"/>
      <w:marBottom w:val="0"/>
      <w:divBdr>
        <w:top w:val="none" w:sz="0" w:space="0" w:color="auto"/>
        <w:left w:val="none" w:sz="0" w:space="0" w:color="auto"/>
        <w:bottom w:val="none" w:sz="0" w:space="0" w:color="auto"/>
        <w:right w:val="none" w:sz="0" w:space="0" w:color="auto"/>
      </w:divBdr>
    </w:div>
    <w:div w:id="989600630">
      <w:bodyDiv w:val="1"/>
      <w:marLeft w:val="0"/>
      <w:marRight w:val="0"/>
      <w:marTop w:val="0"/>
      <w:marBottom w:val="0"/>
      <w:divBdr>
        <w:top w:val="none" w:sz="0" w:space="0" w:color="auto"/>
        <w:left w:val="none" w:sz="0" w:space="0" w:color="auto"/>
        <w:bottom w:val="none" w:sz="0" w:space="0" w:color="auto"/>
        <w:right w:val="none" w:sz="0" w:space="0" w:color="auto"/>
      </w:divBdr>
      <w:divsChild>
        <w:div w:id="2024741101">
          <w:marLeft w:val="0"/>
          <w:marRight w:val="0"/>
          <w:marTop w:val="0"/>
          <w:marBottom w:val="0"/>
          <w:divBdr>
            <w:top w:val="none" w:sz="0" w:space="0" w:color="auto"/>
            <w:left w:val="none" w:sz="0" w:space="0" w:color="auto"/>
            <w:bottom w:val="none" w:sz="0" w:space="0" w:color="auto"/>
            <w:right w:val="none" w:sz="0" w:space="0" w:color="auto"/>
          </w:divBdr>
        </w:div>
      </w:divsChild>
    </w:div>
    <w:div w:id="990712525">
      <w:bodyDiv w:val="1"/>
      <w:marLeft w:val="0"/>
      <w:marRight w:val="0"/>
      <w:marTop w:val="0"/>
      <w:marBottom w:val="0"/>
      <w:divBdr>
        <w:top w:val="none" w:sz="0" w:space="0" w:color="auto"/>
        <w:left w:val="none" w:sz="0" w:space="0" w:color="auto"/>
        <w:bottom w:val="none" w:sz="0" w:space="0" w:color="auto"/>
        <w:right w:val="none" w:sz="0" w:space="0" w:color="auto"/>
      </w:divBdr>
      <w:divsChild>
        <w:div w:id="910457956">
          <w:marLeft w:val="0"/>
          <w:marRight w:val="0"/>
          <w:marTop w:val="0"/>
          <w:marBottom w:val="0"/>
          <w:divBdr>
            <w:top w:val="none" w:sz="0" w:space="0" w:color="auto"/>
            <w:left w:val="none" w:sz="0" w:space="0" w:color="auto"/>
            <w:bottom w:val="none" w:sz="0" w:space="0" w:color="auto"/>
            <w:right w:val="none" w:sz="0" w:space="0" w:color="auto"/>
          </w:divBdr>
        </w:div>
      </w:divsChild>
    </w:div>
    <w:div w:id="993339215">
      <w:bodyDiv w:val="1"/>
      <w:marLeft w:val="0"/>
      <w:marRight w:val="0"/>
      <w:marTop w:val="0"/>
      <w:marBottom w:val="0"/>
      <w:divBdr>
        <w:top w:val="none" w:sz="0" w:space="0" w:color="auto"/>
        <w:left w:val="none" w:sz="0" w:space="0" w:color="auto"/>
        <w:bottom w:val="none" w:sz="0" w:space="0" w:color="auto"/>
        <w:right w:val="none" w:sz="0" w:space="0" w:color="auto"/>
      </w:divBdr>
    </w:div>
    <w:div w:id="997926224">
      <w:bodyDiv w:val="1"/>
      <w:marLeft w:val="0"/>
      <w:marRight w:val="0"/>
      <w:marTop w:val="0"/>
      <w:marBottom w:val="0"/>
      <w:divBdr>
        <w:top w:val="none" w:sz="0" w:space="0" w:color="auto"/>
        <w:left w:val="none" w:sz="0" w:space="0" w:color="auto"/>
        <w:bottom w:val="none" w:sz="0" w:space="0" w:color="auto"/>
        <w:right w:val="none" w:sz="0" w:space="0" w:color="auto"/>
      </w:divBdr>
    </w:div>
    <w:div w:id="1001739538">
      <w:bodyDiv w:val="1"/>
      <w:marLeft w:val="0"/>
      <w:marRight w:val="0"/>
      <w:marTop w:val="0"/>
      <w:marBottom w:val="0"/>
      <w:divBdr>
        <w:top w:val="none" w:sz="0" w:space="0" w:color="auto"/>
        <w:left w:val="none" w:sz="0" w:space="0" w:color="auto"/>
        <w:bottom w:val="none" w:sz="0" w:space="0" w:color="auto"/>
        <w:right w:val="none" w:sz="0" w:space="0" w:color="auto"/>
      </w:divBdr>
    </w:div>
    <w:div w:id="1004479120">
      <w:bodyDiv w:val="1"/>
      <w:marLeft w:val="0"/>
      <w:marRight w:val="0"/>
      <w:marTop w:val="0"/>
      <w:marBottom w:val="0"/>
      <w:divBdr>
        <w:top w:val="none" w:sz="0" w:space="0" w:color="auto"/>
        <w:left w:val="none" w:sz="0" w:space="0" w:color="auto"/>
        <w:bottom w:val="none" w:sz="0" w:space="0" w:color="auto"/>
        <w:right w:val="none" w:sz="0" w:space="0" w:color="auto"/>
      </w:divBdr>
    </w:div>
    <w:div w:id="1021201162">
      <w:bodyDiv w:val="1"/>
      <w:marLeft w:val="0"/>
      <w:marRight w:val="0"/>
      <w:marTop w:val="0"/>
      <w:marBottom w:val="0"/>
      <w:divBdr>
        <w:top w:val="none" w:sz="0" w:space="0" w:color="auto"/>
        <w:left w:val="none" w:sz="0" w:space="0" w:color="auto"/>
        <w:bottom w:val="none" w:sz="0" w:space="0" w:color="auto"/>
        <w:right w:val="none" w:sz="0" w:space="0" w:color="auto"/>
      </w:divBdr>
      <w:divsChild>
        <w:div w:id="45229430">
          <w:marLeft w:val="0"/>
          <w:marRight w:val="0"/>
          <w:marTop w:val="0"/>
          <w:marBottom w:val="0"/>
          <w:divBdr>
            <w:top w:val="none" w:sz="0" w:space="0" w:color="auto"/>
            <w:left w:val="none" w:sz="0" w:space="0" w:color="auto"/>
            <w:bottom w:val="none" w:sz="0" w:space="0" w:color="auto"/>
            <w:right w:val="none" w:sz="0" w:space="0" w:color="auto"/>
          </w:divBdr>
        </w:div>
      </w:divsChild>
    </w:div>
    <w:div w:id="1023631461">
      <w:bodyDiv w:val="1"/>
      <w:marLeft w:val="0"/>
      <w:marRight w:val="0"/>
      <w:marTop w:val="0"/>
      <w:marBottom w:val="0"/>
      <w:divBdr>
        <w:top w:val="none" w:sz="0" w:space="0" w:color="auto"/>
        <w:left w:val="none" w:sz="0" w:space="0" w:color="auto"/>
        <w:bottom w:val="none" w:sz="0" w:space="0" w:color="auto"/>
        <w:right w:val="none" w:sz="0" w:space="0" w:color="auto"/>
      </w:divBdr>
      <w:divsChild>
        <w:div w:id="1314456254">
          <w:marLeft w:val="0"/>
          <w:marRight w:val="0"/>
          <w:marTop w:val="0"/>
          <w:marBottom w:val="0"/>
          <w:divBdr>
            <w:top w:val="none" w:sz="0" w:space="0" w:color="auto"/>
            <w:left w:val="none" w:sz="0" w:space="0" w:color="auto"/>
            <w:bottom w:val="none" w:sz="0" w:space="0" w:color="auto"/>
            <w:right w:val="none" w:sz="0" w:space="0" w:color="auto"/>
          </w:divBdr>
        </w:div>
      </w:divsChild>
    </w:div>
    <w:div w:id="1023673173">
      <w:bodyDiv w:val="1"/>
      <w:marLeft w:val="0"/>
      <w:marRight w:val="0"/>
      <w:marTop w:val="0"/>
      <w:marBottom w:val="0"/>
      <w:divBdr>
        <w:top w:val="none" w:sz="0" w:space="0" w:color="auto"/>
        <w:left w:val="none" w:sz="0" w:space="0" w:color="auto"/>
        <w:bottom w:val="none" w:sz="0" w:space="0" w:color="auto"/>
        <w:right w:val="none" w:sz="0" w:space="0" w:color="auto"/>
      </w:divBdr>
    </w:div>
    <w:div w:id="1029641981">
      <w:bodyDiv w:val="1"/>
      <w:marLeft w:val="0"/>
      <w:marRight w:val="0"/>
      <w:marTop w:val="0"/>
      <w:marBottom w:val="0"/>
      <w:divBdr>
        <w:top w:val="none" w:sz="0" w:space="0" w:color="auto"/>
        <w:left w:val="none" w:sz="0" w:space="0" w:color="auto"/>
        <w:bottom w:val="none" w:sz="0" w:space="0" w:color="auto"/>
        <w:right w:val="none" w:sz="0" w:space="0" w:color="auto"/>
      </w:divBdr>
    </w:div>
    <w:div w:id="1038899480">
      <w:bodyDiv w:val="1"/>
      <w:marLeft w:val="0"/>
      <w:marRight w:val="0"/>
      <w:marTop w:val="0"/>
      <w:marBottom w:val="0"/>
      <w:divBdr>
        <w:top w:val="none" w:sz="0" w:space="0" w:color="auto"/>
        <w:left w:val="none" w:sz="0" w:space="0" w:color="auto"/>
        <w:bottom w:val="none" w:sz="0" w:space="0" w:color="auto"/>
        <w:right w:val="none" w:sz="0" w:space="0" w:color="auto"/>
      </w:divBdr>
    </w:div>
    <w:div w:id="1040938118">
      <w:bodyDiv w:val="1"/>
      <w:marLeft w:val="0"/>
      <w:marRight w:val="0"/>
      <w:marTop w:val="0"/>
      <w:marBottom w:val="0"/>
      <w:divBdr>
        <w:top w:val="none" w:sz="0" w:space="0" w:color="auto"/>
        <w:left w:val="none" w:sz="0" w:space="0" w:color="auto"/>
        <w:bottom w:val="none" w:sz="0" w:space="0" w:color="auto"/>
        <w:right w:val="none" w:sz="0" w:space="0" w:color="auto"/>
      </w:divBdr>
      <w:divsChild>
        <w:div w:id="2102329539">
          <w:marLeft w:val="0"/>
          <w:marRight w:val="0"/>
          <w:marTop w:val="0"/>
          <w:marBottom w:val="0"/>
          <w:divBdr>
            <w:top w:val="none" w:sz="0" w:space="0" w:color="auto"/>
            <w:left w:val="none" w:sz="0" w:space="0" w:color="auto"/>
            <w:bottom w:val="none" w:sz="0" w:space="0" w:color="auto"/>
            <w:right w:val="none" w:sz="0" w:space="0" w:color="auto"/>
          </w:divBdr>
        </w:div>
      </w:divsChild>
    </w:div>
    <w:div w:id="1042367401">
      <w:bodyDiv w:val="1"/>
      <w:marLeft w:val="0"/>
      <w:marRight w:val="0"/>
      <w:marTop w:val="0"/>
      <w:marBottom w:val="0"/>
      <w:divBdr>
        <w:top w:val="none" w:sz="0" w:space="0" w:color="auto"/>
        <w:left w:val="none" w:sz="0" w:space="0" w:color="auto"/>
        <w:bottom w:val="none" w:sz="0" w:space="0" w:color="auto"/>
        <w:right w:val="none" w:sz="0" w:space="0" w:color="auto"/>
      </w:divBdr>
    </w:div>
    <w:div w:id="1042746482">
      <w:bodyDiv w:val="1"/>
      <w:marLeft w:val="0"/>
      <w:marRight w:val="0"/>
      <w:marTop w:val="0"/>
      <w:marBottom w:val="0"/>
      <w:divBdr>
        <w:top w:val="none" w:sz="0" w:space="0" w:color="auto"/>
        <w:left w:val="none" w:sz="0" w:space="0" w:color="auto"/>
        <w:bottom w:val="none" w:sz="0" w:space="0" w:color="auto"/>
        <w:right w:val="none" w:sz="0" w:space="0" w:color="auto"/>
      </w:divBdr>
    </w:div>
    <w:div w:id="1044331797">
      <w:bodyDiv w:val="1"/>
      <w:marLeft w:val="0"/>
      <w:marRight w:val="0"/>
      <w:marTop w:val="0"/>
      <w:marBottom w:val="0"/>
      <w:divBdr>
        <w:top w:val="none" w:sz="0" w:space="0" w:color="auto"/>
        <w:left w:val="none" w:sz="0" w:space="0" w:color="auto"/>
        <w:bottom w:val="none" w:sz="0" w:space="0" w:color="auto"/>
        <w:right w:val="none" w:sz="0" w:space="0" w:color="auto"/>
      </w:divBdr>
    </w:div>
    <w:div w:id="1069842070">
      <w:bodyDiv w:val="1"/>
      <w:marLeft w:val="0"/>
      <w:marRight w:val="0"/>
      <w:marTop w:val="0"/>
      <w:marBottom w:val="0"/>
      <w:divBdr>
        <w:top w:val="none" w:sz="0" w:space="0" w:color="auto"/>
        <w:left w:val="none" w:sz="0" w:space="0" w:color="auto"/>
        <w:bottom w:val="none" w:sz="0" w:space="0" w:color="auto"/>
        <w:right w:val="none" w:sz="0" w:space="0" w:color="auto"/>
      </w:divBdr>
    </w:div>
    <w:div w:id="1082338437">
      <w:bodyDiv w:val="1"/>
      <w:marLeft w:val="0"/>
      <w:marRight w:val="0"/>
      <w:marTop w:val="0"/>
      <w:marBottom w:val="0"/>
      <w:divBdr>
        <w:top w:val="none" w:sz="0" w:space="0" w:color="auto"/>
        <w:left w:val="none" w:sz="0" w:space="0" w:color="auto"/>
        <w:bottom w:val="none" w:sz="0" w:space="0" w:color="auto"/>
        <w:right w:val="none" w:sz="0" w:space="0" w:color="auto"/>
      </w:divBdr>
      <w:divsChild>
        <w:div w:id="1405949418">
          <w:marLeft w:val="0"/>
          <w:marRight w:val="0"/>
          <w:marTop w:val="0"/>
          <w:marBottom w:val="0"/>
          <w:divBdr>
            <w:top w:val="none" w:sz="0" w:space="0" w:color="auto"/>
            <w:left w:val="none" w:sz="0" w:space="0" w:color="auto"/>
            <w:bottom w:val="none" w:sz="0" w:space="0" w:color="auto"/>
            <w:right w:val="none" w:sz="0" w:space="0" w:color="auto"/>
          </w:divBdr>
        </w:div>
      </w:divsChild>
    </w:div>
    <w:div w:id="1082608699">
      <w:bodyDiv w:val="1"/>
      <w:marLeft w:val="0"/>
      <w:marRight w:val="0"/>
      <w:marTop w:val="0"/>
      <w:marBottom w:val="0"/>
      <w:divBdr>
        <w:top w:val="none" w:sz="0" w:space="0" w:color="auto"/>
        <w:left w:val="none" w:sz="0" w:space="0" w:color="auto"/>
        <w:bottom w:val="none" w:sz="0" w:space="0" w:color="auto"/>
        <w:right w:val="none" w:sz="0" w:space="0" w:color="auto"/>
      </w:divBdr>
      <w:divsChild>
        <w:div w:id="67924014">
          <w:marLeft w:val="0"/>
          <w:marRight w:val="0"/>
          <w:marTop w:val="0"/>
          <w:marBottom w:val="0"/>
          <w:divBdr>
            <w:top w:val="none" w:sz="0" w:space="0" w:color="auto"/>
            <w:left w:val="none" w:sz="0" w:space="0" w:color="auto"/>
            <w:bottom w:val="none" w:sz="0" w:space="0" w:color="auto"/>
            <w:right w:val="none" w:sz="0" w:space="0" w:color="auto"/>
          </w:divBdr>
        </w:div>
      </w:divsChild>
    </w:div>
    <w:div w:id="1086724710">
      <w:bodyDiv w:val="1"/>
      <w:marLeft w:val="0"/>
      <w:marRight w:val="0"/>
      <w:marTop w:val="0"/>
      <w:marBottom w:val="0"/>
      <w:divBdr>
        <w:top w:val="none" w:sz="0" w:space="0" w:color="auto"/>
        <w:left w:val="none" w:sz="0" w:space="0" w:color="auto"/>
        <w:bottom w:val="none" w:sz="0" w:space="0" w:color="auto"/>
        <w:right w:val="none" w:sz="0" w:space="0" w:color="auto"/>
      </w:divBdr>
    </w:div>
    <w:div w:id="1087195198">
      <w:bodyDiv w:val="1"/>
      <w:marLeft w:val="0"/>
      <w:marRight w:val="0"/>
      <w:marTop w:val="0"/>
      <w:marBottom w:val="0"/>
      <w:divBdr>
        <w:top w:val="none" w:sz="0" w:space="0" w:color="auto"/>
        <w:left w:val="none" w:sz="0" w:space="0" w:color="auto"/>
        <w:bottom w:val="none" w:sz="0" w:space="0" w:color="auto"/>
        <w:right w:val="none" w:sz="0" w:space="0" w:color="auto"/>
      </w:divBdr>
    </w:div>
    <w:div w:id="1087728045">
      <w:bodyDiv w:val="1"/>
      <w:marLeft w:val="0"/>
      <w:marRight w:val="0"/>
      <w:marTop w:val="0"/>
      <w:marBottom w:val="0"/>
      <w:divBdr>
        <w:top w:val="none" w:sz="0" w:space="0" w:color="auto"/>
        <w:left w:val="none" w:sz="0" w:space="0" w:color="auto"/>
        <w:bottom w:val="none" w:sz="0" w:space="0" w:color="auto"/>
        <w:right w:val="none" w:sz="0" w:space="0" w:color="auto"/>
      </w:divBdr>
      <w:divsChild>
        <w:div w:id="2020303894">
          <w:marLeft w:val="0"/>
          <w:marRight w:val="0"/>
          <w:marTop w:val="0"/>
          <w:marBottom w:val="0"/>
          <w:divBdr>
            <w:top w:val="none" w:sz="0" w:space="0" w:color="auto"/>
            <w:left w:val="none" w:sz="0" w:space="0" w:color="auto"/>
            <w:bottom w:val="none" w:sz="0" w:space="0" w:color="auto"/>
            <w:right w:val="none" w:sz="0" w:space="0" w:color="auto"/>
          </w:divBdr>
          <w:divsChild>
            <w:div w:id="1110203612">
              <w:marLeft w:val="0"/>
              <w:marRight w:val="0"/>
              <w:marTop w:val="0"/>
              <w:marBottom w:val="0"/>
              <w:divBdr>
                <w:top w:val="none" w:sz="0" w:space="0" w:color="auto"/>
                <w:left w:val="none" w:sz="0" w:space="0" w:color="auto"/>
                <w:bottom w:val="none" w:sz="0" w:space="0" w:color="auto"/>
                <w:right w:val="none" w:sz="0" w:space="0" w:color="auto"/>
              </w:divBdr>
              <w:divsChild>
                <w:div w:id="17812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99683">
      <w:bodyDiv w:val="1"/>
      <w:marLeft w:val="0"/>
      <w:marRight w:val="0"/>
      <w:marTop w:val="0"/>
      <w:marBottom w:val="0"/>
      <w:divBdr>
        <w:top w:val="none" w:sz="0" w:space="0" w:color="auto"/>
        <w:left w:val="none" w:sz="0" w:space="0" w:color="auto"/>
        <w:bottom w:val="none" w:sz="0" w:space="0" w:color="auto"/>
        <w:right w:val="none" w:sz="0" w:space="0" w:color="auto"/>
      </w:divBdr>
      <w:divsChild>
        <w:div w:id="249433007">
          <w:marLeft w:val="0"/>
          <w:marRight w:val="0"/>
          <w:marTop w:val="0"/>
          <w:marBottom w:val="0"/>
          <w:divBdr>
            <w:top w:val="none" w:sz="0" w:space="0" w:color="auto"/>
            <w:left w:val="none" w:sz="0" w:space="0" w:color="auto"/>
            <w:bottom w:val="none" w:sz="0" w:space="0" w:color="auto"/>
            <w:right w:val="none" w:sz="0" w:space="0" w:color="auto"/>
          </w:divBdr>
        </w:div>
      </w:divsChild>
    </w:div>
    <w:div w:id="1092967159">
      <w:bodyDiv w:val="1"/>
      <w:marLeft w:val="0"/>
      <w:marRight w:val="0"/>
      <w:marTop w:val="0"/>
      <w:marBottom w:val="0"/>
      <w:divBdr>
        <w:top w:val="none" w:sz="0" w:space="0" w:color="auto"/>
        <w:left w:val="none" w:sz="0" w:space="0" w:color="auto"/>
        <w:bottom w:val="none" w:sz="0" w:space="0" w:color="auto"/>
        <w:right w:val="none" w:sz="0" w:space="0" w:color="auto"/>
      </w:divBdr>
    </w:div>
    <w:div w:id="1094745189">
      <w:bodyDiv w:val="1"/>
      <w:marLeft w:val="0"/>
      <w:marRight w:val="0"/>
      <w:marTop w:val="0"/>
      <w:marBottom w:val="0"/>
      <w:divBdr>
        <w:top w:val="none" w:sz="0" w:space="0" w:color="auto"/>
        <w:left w:val="none" w:sz="0" w:space="0" w:color="auto"/>
        <w:bottom w:val="none" w:sz="0" w:space="0" w:color="auto"/>
        <w:right w:val="none" w:sz="0" w:space="0" w:color="auto"/>
      </w:divBdr>
    </w:div>
    <w:div w:id="1098675983">
      <w:bodyDiv w:val="1"/>
      <w:marLeft w:val="0"/>
      <w:marRight w:val="0"/>
      <w:marTop w:val="0"/>
      <w:marBottom w:val="0"/>
      <w:divBdr>
        <w:top w:val="none" w:sz="0" w:space="0" w:color="auto"/>
        <w:left w:val="none" w:sz="0" w:space="0" w:color="auto"/>
        <w:bottom w:val="none" w:sz="0" w:space="0" w:color="auto"/>
        <w:right w:val="none" w:sz="0" w:space="0" w:color="auto"/>
      </w:divBdr>
    </w:div>
    <w:div w:id="1111314222">
      <w:bodyDiv w:val="1"/>
      <w:marLeft w:val="0"/>
      <w:marRight w:val="0"/>
      <w:marTop w:val="0"/>
      <w:marBottom w:val="0"/>
      <w:divBdr>
        <w:top w:val="none" w:sz="0" w:space="0" w:color="auto"/>
        <w:left w:val="none" w:sz="0" w:space="0" w:color="auto"/>
        <w:bottom w:val="none" w:sz="0" w:space="0" w:color="auto"/>
        <w:right w:val="none" w:sz="0" w:space="0" w:color="auto"/>
      </w:divBdr>
    </w:div>
    <w:div w:id="1112819475">
      <w:bodyDiv w:val="1"/>
      <w:marLeft w:val="0"/>
      <w:marRight w:val="0"/>
      <w:marTop w:val="0"/>
      <w:marBottom w:val="0"/>
      <w:divBdr>
        <w:top w:val="none" w:sz="0" w:space="0" w:color="auto"/>
        <w:left w:val="none" w:sz="0" w:space="0" w:color="auto"/>
        <w:bottom w:val="none" w:sz="0" w:space="0" w:color="auto"/>
        <w:right w:val="none" w:sz="0" w:space="0" w:color="auto"/>
      </w:divBdr>
      <w:divsChild>
        <w:div w:id="1276213475">
          <w:marLeft w:val="0"/>
          <w:marRight w:val="0"/>
          <w:marTop w:val="280"/>
          <w:marBottom w:val="280"/>
          <w:divBdr>
            <w:top w:val="none" w:sz="0" w:space="0" w:color="auto"/>
            <w:left w:val="none" w:sz="0" w:space="0" w:color="auto"/>
            <w:bottom w:val="none" w:sz="0" w:space="0" w:color="auto"/>
            <w:right w:val="none" w:sz="0" w:space="0" w:color="auto"/>
          </w:divBdr>
        </w:div>
      </w:divsChild>
    </w:div>
    <w:div w:id="1113747514">
      <w:bodyDiv w:val="1"/>
      <w:marLeft w:val="0"/>
      <w:marRight w:val="0"/>
      <w:marTop w:val="0"/>
      <w:marBottom w:val="0"/>
      <w:divBdr>
        <w:top w:val="none" w:sz="0" w:space="0" w:color="auto"/>
        <w:left w:val="none" w:sz="0" w:space="0" w:color="auto"/>
        <w:bottom w:val="none" w:sz="0" w:space="0" w:color="auto"/>
        <w:right w:val="none" w:sz="0" w:space="0" w:color="auto"/>
      </w:divBdr>
    </w:div>
    <w:div w:id="1122921049">
      <w:bodyDiv w:val="1"/>
      <w:marLeft w:val="0"/>
      <w:marRight w:val="0"/>
      <w:marTop w:val="0"/>
      <w:marBottom w:val="0"/>
      <w:divBdr>
        <w:top w:val="none" w:sz="0" w:space="0" w:color="auto"/>
        <w:left w:val="none" w:sz="0" w:space="0" w:color="auto"/>
        <w:bottom w:val="none" w:sz="0" w:space="0" w:color="auto"/>
        <w:right w:val="none" w:sz="0" w:space="0" w:color="auto"/>
      </w:divBdr>
      <w:divsChild>
        <w:div w:id="344744858">
          <w:marLeft w:val="0"/>
          <w:marRight w:val="0"/>
          <w:marTop w:val="0"/>
          <w:marBottom w:val="0"/>
          <w:divBdr>
            <w:top w:val="none" w:sz="0" w:space="0" w:color="auto"/>
            <w:left w:val="none" w:sz="0" w:space="0" w:color="auto"/>
            <w:bottom w:val="none" w:sz="0" w:space="0" w:color="auto"/>
            <w:right w:val="none" w:sz="0" w:space="0" w:color="auto"/>
          </w:divBdr>
        </w:div>
      </w:divsChild>
    </w:div>
    <w:div w:id="1133253559">
      <w:bodyDiv w:val="1"/>
      <w:marLeft w:val="0"/>
      <w:marRight w:val="0"/>
      <w:marTop w:val="0"/>
      <w:marBottom w:val="0"/>
      <w:divBdr>
        <w:top w:val="none" w:sz="0" w:space="0" w:color="auto"/>
        <w:left w:val="none" w:sz="0" w:space="0" w:color="auto"/>
        <w:bottom w:val="none" w:sz="0" w:space="0" w:color="auto"/>
        <w:right w:val="none" w:sz="0" w:space="0" w:color="auto"/>
      </w:divBdr>
    </w:div>
    <w:div w:id="1140994253">
      <w:bodyDiv w:val="1"/>
      <w:marLeft w:val="0"/>
      <w:marRight w:val="0"/>
      <w:marTop w:val="0"/>
      <w:marBottom w:val="0"/>
      <w:divBdr>
        <w:top w:val="none" w:sz="0" w:space="0" w:color="auto"/>
        <w:left w:val="none" w:sz="0" w:space="0" w:color="auto"/>
        <w:bottom w:val="none" w:sz="0" w:space="0" w:color="auto"/>
        <w:right w:val="none" w:sz="0" w:space="0" w:color="auto"/>
      </w:divBdr>
    </w:div>
    <w:div w:id="1142774929">
      <w:bodyDiv w:val="1"/>
      <w:marLeft w:val="0"/>
      <w:marRight w:val="0"/>
      <w:marTop w:val="0"/>
      <w:marBottom w:val="0"/>
      <w:divBdr>
        <w:top w:val="none" w:sz="0" w:space="0" w:color="auto"/>
        <w:left w:val="none" w:sz="0" w:space="0" w:color="auto"/>
        <w:bottom w:val="none" w:sz="0" w:space="0" w:color="auto"/>
        <w:right w:val="none" w:sz="0" w:space="0" w:color="auto"/>
      </w:divBdr>
      <w:divsChild>
        <w:div w:id="8723169">
          <w:marLeft w:val="0"/>
          <w:marRight w:val="0"/>
          <w:marTop w:val="0"/>
          <w:marBottom w:val="0"/>
          <w:divBdr>
            <w:top w:val="none" w:sz="0" w:space="0" w:color="auto"/>
            <w:left w:val="none" w:sz="0" w:space="0" w:color="auto"/>
            <w:bottom w:val="none" w:sz="0" w:space="0" w:color="auto"/>
            <w:right w:val="none" w:sz="0" w:space="0" w:color="auto"/>
          </w:divBdr>
        </w:div>
      </w:divsChild>
    </w:div>
    <w:div w:id="1146892366">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4">
          <w:marLeft w:val="0"/>
          <w:marRight w:val="0"/>
          <w:marTop w:val="0"/>
          <w:marBottom w:val="0"/>
          <w:divBdr>
            <w:top w:val="none" w:sz="0" w:space="0" w:color="auto"/>
            <w:left w:val="none" w:sz="0" w:space="0" w:color="auto"/>
            <w:bottom w:val="none" w:sz="0" w:space="0" w:color="auto"/>
            <w:right w:val="none" w:sz="0" w:space="0" w:color="auto"/>
          </w:divBdr>
        </w:div>
      </w:divsChild>
    </w:div>
    <w:div w:id="1149857774">
      <w:bodyDiv w:val="1"/>
      <w:marLeft w:val="0"/>
      <w:marRight w:val="0"/>
      <w:marTop w:val="0"/>
      <w:marBottom w:val="0"/>
      <w:divBdr>
        <w:top w:val="none" w:sz="0" w:space="0" w:color="auto"/>
        <w:left w:val="none" w:sz="0" w:space="0" w:color="auto"/>
        <w:bottom w:val="none" w:sz="0" w:space="0" w:color="auto"/>
        <w:right w:val="none" w:sz="0" w:space="0" w:color="auto"/>
      </w:divBdr>
      <w:divsChild>
        <w:div w:id="925382495">
          <w:marLeft w:val="0"/>
          <w:marRight w:val="0"/>
          <w:marTop w:val="0"/>
          <w:marBottom w:val="0"/>
          <w:divBdr>
            <w:top w:val="none" w:sz="0" w:space="0" w:color="auto"/>
            <w:left w:val="none" w:sz="0" w:space="0" w:color="auto"/>
            <w:bottom w:val="none" w:sz="0" w:space="0" w:color="auto"/>
            <w:right w:val="none" w:sz="0" w:space="0" w:color="auto"/>
          </w:divBdr>
        </w:div>
      </w:divsChild>
    </w:div>
    <w:div w:id="1166750406">
      <w:bodyDiv w:val="1"/>
      <w:marLeft w:val="0"/>
      <w:marRight w:val="0"/>
      <w:marTop w:val="0"/>
      <w:marBottom w:val="0"/>
      <w:divBdr>
        <w:top w:val="none" w:sz="0" w:space="0" w:color="auto"/>
        <w:left w:val="none" w:sz="0" w:space="0" w:color="auto"/>
        <w:bottom w:val="none" w:sz="0" w:space="0" w:color="auto"/>
        <w:right w:val="none" w:sz="0" w:space="0" w:color="auto"/>
      </w:divBdr>
    </w:div>
    <w:div w:id="1175657233">
      <w:bodyDiv w:val="1"/>
      <w:marLeft w:val="0"/>
      <w:marRight w:val="0"/>
      <w:marTop w:val="0"/>
      <w:marBottom w:val="0"/>
      <w:divBdr>
        <w:top w:val="none" w:sz="0" w:space="0" w:color="auto"/>
        <w:left w:val="none" w:sz="0" w:space="0" w:color="auto"/>
        <w:bottom w:val="none" w:sz="0" w:space="0" w:color="auto"/>
        <w:right w:val="none" w:sz="0" w:space="0" w:color="auto"/>
      </w:divBdr>
    </w:div>
    <w:div w:id="1194535613">
      <w:bodyDiv w:val="1"/>
      <w:marLeft w:val="0"/>
      <w:marRight w:val="0"/>
      <w:marTop w:val="0"/>
      <w:marBottom w:val="0"/>
      <w:divBdr>
        <w:top w:val="none" w:sz="0" w:space="0" w:color="auto"/>
        <w:left w:val="none" w:sz="0" w:space="0" w:color="auto"/>
        <w:bottom w:val="none" w:sz="0" w:space="0" w:color="auto"/>
        <w:right w:val="none" w:sz="0" w:space="0" w:color="auto"/>
      </w:divBdr>
      <w:divsChild>
        <w:div w:id="667095003">
          <w:marLeft w:val="0"/>
          <w:marRight w:val="0"/>
          <w:marTop w:val="0"/>
          <w:marBottom w:val="0"/>
          <w:divBdr>
            <w:top w:val="none" w:sz="0" w:space="0" w:color="auto"/>
            <w:left w:val="none" w:sz="0" w:space="0" w:color="auto"/>
            <w:bottom w:val="none" w:sz="0" w:space="0" w:color="auto"/>
            <w:right w:val="none" w:sz="0" w:space="0" w:color="auto"/>
          </w:divBdr>
        </w:div>
      </w:divsChild>
    </w:div>
    <w:div w:id="1194727481">
      <w:bodyDiv w:val="1"/>
      <w:marLeft w:val="0"/>
      <w:marRight w:val="0"/>
      <w:marTop w:val="0"/>
      <w:marBottom w:val="0"/>
      <w:divBdr>
        <w:top w:val="none" w:sz="0" w:space="0" w:color="auto"/>
        <w:left w:val="none" w:sz="0" w:space="0" w:color="auto"/>
        <w:bottom w:val="none" w:sz="0" w:space="0" w:color="auto"/>
        <w:right w:val="none" w:sz="0" w:space="0" w:color="auto"/>
      </w:divBdr>
    </w:div>
    <w:div w:id="1197768618">
      <w:bodyDiv w:val="1"/>
      <w:marLeft w:val="0"/>
      <w:marRight w:val="0"/>
      <w:marTop w:val="0"/>
      <w:marBottom w:val="0"/>
      <w:divBdr>
        <w:top w:val="none" w:sz="0" w:space="0" w:color="auto"/>
        <w:left w:val="none" w:sz="0" w:space="0" w:color="auto"/>
        <w:bottom w:val="none" w:sz="0" w:space="0" w:color="auto"/>
        <w:right w:val="none" w:sz="0" w:space="0" w:color="auto"/>
      </w:divBdr>
    </w:div>
    <w:div w:id="1199859331">
      <w:bodyDiv w:val="1"/>
      <w:marLeft w:val="0"/>
      <w:marRight w:val="0"/>
      <w:marTop w:val="0"/>
      <w:marBottom w:val="0"/>
      <w:divBdr>
        <w:top w:val="none" w:sz="0" w:space="0" w:color="auto"/>
        <w:left w:val="none" w:sz="0" w:space="0" w:color="auto"/>
        <w:bottom w:val="none" w:sz="0" w:space="0" w:color="auto"/>
        <w:right w:val="none" w:sz="0" w:space="0" w:color="auto"/>
      </w:divBdr>
    </w:div>
    <w:div w:id="1222860398">
      <w:bodyDiv w:val="1"/>
      <w:marLeft w:val="0"/>
      <w:marRight w:val="0"/>
      <w:marTop w:val="0"/>
      <w:marBottom w:val="0"/>
      <w:divBdr>
        <w:top w:val="none" w:sz="0" w:space="0" w:color="auto"/>
        <w:left w:val="none" w:sz="0" w:space="0" w:color="auto"/>
        <w:bottom w:val="none" w:sz="0" w:space="0" w:color="auto"/>
        <w:right w:val="none" w:sz="0" w:space="0" w:color="auto"/>
      </w:divBdr>
    </w:div>
    <w:div w:id="1237547676">
      <w:bodyDiv w:val="1"/>
      <w:marLeft w:val="0"/>
      <w:marRight w:val="0"/>
      <w:marTop w:val="0"/>
      <w:marBottom w:val="0"/>
      <w:divBdr>
        <w:top w:val="none" w:sz="0" w:space="0" w:color="auto"/>
        <w:left w:val="none" w:sz="0" w:space="0" w:color="auto"/>
        <w:bottom w:val="none" w:sz="0" w:space="0" w:color="auto"/>
        <w:right w:val="none" w:sz="0" w:space="0" w:color="auto"/>
      </w:divBdr>
    </w:div>
    <w:div w:id="1238905105">
      <w:bodyDiv w:val="1"/>
      <w:marLeft w:val="0"/>
      <w:marRight w:val="0"/>
      <w:marTop w:val="0"/>
      <w:marBottom w:val="0"/>
      <w:divBdr>
        <w:top w:val="none" w:sz="0" w:space="0" w:color="auto"/>
        <w:left w:val="none" w:sz="0" w:space="0" w:color="auto"/>
        <w:bottom w:val="none" w:sz="0" w:space="0" w:color="auto"/>
        <w:right w:val="none" w:sz="0" w:space="0" w:color="auto"/>
      </w:divBdr>
    </w:div>
    <w:div w:id="1239285878">
      <w:bodyDiv w:val="1"/>
      <w:marLeft w:val="0"/>
      <w:marRight w:val="0"/>
      <w:marTop w:val="0"/>
      <w:marBottom w:val="0"/>
      <w:divBdr>
        <w:top w:val="none" w:sz="0" w:space="0" w:color="auto"/>
        <w:left w:val="none" w:sz="0" w:space="0" w:color="auto"/>
        <w:bottom w:val="none" w:sz="0" w:space="0" w:color="auto"/>
        <w:right w:val="none" w:sz="0" w:space="0" w:color="auto"/>
      </w:divBdr>
      <w:divsChild>
        <w:div w:id="1317340392">
          <w:marLeft w:val="0"/>
          <w:marRight w:val="0"/>
          <w:marTop w:val="0"/>
          <w:marBottom w:val="0"/>
          <w:divBdr>
            <w:top w:val="none" w:sz="0" w:space="0" w:color="auto"/>
            <w:left w:val="none" w:sz="0" w:space="0" w:color="auto"/>
            <w:bottom w:val="none" w:sz="0" w:space="0" w:color="auto"/>
            <w:right w:val="none" w:sz="0" w:space="0" w:color="auto"/>
          </w:divBdr>
        </w:div>
      </w:divsChild>
    </w:div>
    <w:div w:id="1240364423">
      <w:bodyDiv w:val="1"/>
      <w:marLeft w:val="0"/>
      <w:marRight w:val="0"/>
      <w:marTop w:val="0"/>
      <w:marBottom w:val="0"/>
      <w:divBdr>
        <w:top w:val="none" w:sz="0" w:space="0" w:color="auto"/>
        <w:left w:val="none" w:sz="0" w:space="0" w:color="auto"/>
        <w:bottom w:val="none" w:sz="0" w:space="0" w:color="auto"/>
        <w:right w:val="none" w:sz="0" w:space="0" w:color="auto"/>
      </w:divBdr>
    </w:div>
    <w:div w:id="1250650781">
      <w:bodyDiv w:val="1"/>
      <w:marLeft w:val="0"/>
      <w:marRight w:val="0"/>
      <w:marTop w:val="0"/>
      <w:marBottom w:val="0"/>
      <w:divBdr>
        <w:top w:val="none" w:sz="0" w:space="0" w:color="auto"/>
        <w:left w:val="none" w:sz="0" w:space="0" w:color="auto"/>
        <w:bottom w:val="none" w:sz="0" w:space="0" w:color="auto"/>
        <w:right w:val="none" w:sz="0" w:space="0" w:color="auto"/>
      </w:divBdr>
      <w:divsChild>
        <w:div w:id="1524707053">
          <w:marLeft w:val="0"/>
          <w:marRight w:val="0"/>
          <w:marTop w:val="0"/>
          <w:marBottom w:val="0"/>
          <w:divBdr>
            <w:top w:val="none" w:sz="0" w:space="0" w:color="auto"/>
            <w:left w:val="none" w:sz="0" w:space="0" w:color="auto"/>
            <w:bottom w:val="none" w:sz="0" w:space="0" w:color="auto"/>
            <w:right w:val="none" w:sz="0" w:space="0" w:color="auto"/>
          </w:divBdr>
        </w:div>
      </w:divsChild>
    </w:div>
    <w:div w:id="1250699678">
      <w:bodyDiv w:val="1"/>
      <w:marLeft w:val="0"/>
      <w:marRight w:val="0"/>
      <w:marTop w:val="0"/>
      <w:marBottom w:val="0"/>
      <w:divBdr>
        <w:top w:val="none" w:sz="0" w:space="0" w:color="auto"/>
        <w:left w:val="none" w:sz="0" w:space="0" w:color="auto"/>
        <w:bottom w:val="none" w:sz="0" w:space="0" w:color="auto"/>
        <w:right w:val="none" w:sz="0" w:space="0" w:color="auto"/>
      </w:divBdr>
    </w:div>
    <w:div w:id="1268538825">
      <w:bodyDiv w:val="1"/>
      <w:marLeft w:val="0"/>
      <w:marRight w:val="0"/>
      <w:marTop w:val="0"/>
      <w:marBottom w:val="0"/>
      <w:divBdr>
        <w:top w:val="none" w:sz="0" w:space="0" w:color="auto"/>
        <w:left w:val="none" w:sz="0" w:space="0" w:color="auto"/>
        <w:bottom w:val="none" w:sz="0" w:space="0" w:color="auto"/>
        <w:right w:val="none" w:sz="0" w:space="0" w:color="auto"/>
      </w:divBdr>
      <w:divsChild>
        <w:div w:id="1014767316">
          <w:marLeft w:val="0"/>
          <w:marRight w:val="0"/>
          <w:marTop w:val="0"/>
          <w:marBottom w:val="0"/>
          <w:divBdr>
            <w:top w:val="none" w:sz="0" w:space="0" w:color="auto"/>
            <w:left w:val="none" w:sz="0" w:space="0" w:color="auto"/>
            <w:bottom w:val="none" w:sz="0" w:space="0" w:color="auto"/>
            <w:right w:val="none" w:sz="0" w:space="0" w:color="auto"/>
          </w:divBdr>
        </w:div>
      </w:divsChild>
    </w:div>
    <w:div w:id="1271665474">
      <w:bodyDiv w:val="1"/>
      <w:marLeft w:val="0"/>
      <w:marRight w:val="0"/>
      <w:marTop w:val="0"/>
      <w:marBottom w:val="0"/>
      <w:divBdr>
        <w:top w:val="none" w:sz="0" w:space="0" w:color="auto"/>
        <w:left w:val="none" w:sz="0" w:space="0" w:color="auto"/>
        <w:bottom w:val="none" w:sz="0" w:space="0" w:color="auto"/>
        <w:right w:val="none" w:sz="0" w:space="0" w:color="auto"/>
      </w:divBdr>
    </w:div>
    <w:div w:id="1283270317">
      <w:bodyDiv w:val="1"/>
      <w:marLeft w:val="0"/>
      <w:marRight w:val="0"/>
      <w:marTop w:val="0"/>
      <w:marBottom w:val="0"/>
      <w:divBdr>
        <w:top w:val="none" w:sz="0" w:space="0" w:color="auto"/>
        <w:left w:val="none" w:sz="0" w:space="0" w:color="auto"/>
        <w:bottom w:val="none" w:sz="0" w:space="0" w:color="auto"/>
        <w:right w:val="none" w:sz="0" w:space="0" w:color="auto"/>
      </w:divBdr>
    </w:div>
    <w:div w:id="1304652815">
      <w:bodyDiv w:val="1"/>
      <w:marLeft w:val="0"/>
      <w:marRight w:val="0"/>
      <w:marTop w:val="0"/>
      <w:marBottom w:val="0"/>
      <w:divBdr>
        <w:top w:val="none" w:sz="0" w:space="0" w:color="auto"/>
        <w:left w:val="none" w:sz="0" w:space="0" w:color="auto"/>
        <w:bottom w:val="none" w:sz="0" w:space="0" w:color="auto"/>
        <w:right w:val="none" w:sz="0" w:space="0" w:color="auto"/>
      </w:divBdr>
    </w:div>
    <w:div w:id="1310328237">
      <w:bodyDiv w:val="1"/>
      <w:marLeft w:val="0"/>
      <w:marRight w:val="0"/>
      <w:marTop w:val="0"/>
      <w:marBottom w:val="0"/>
      <w:divBdr>
        <w:top w:val="none" w:sz="0" w:space="0" w:color="auto"/>
        <w:left w:val="none" w:sz="0" w:space="0" w:color="auto"/>
        <w:bottom w:val="none" w:sz="0" w:space="0" w:color="auto"/>
        <w:right w:val="none" w:sz="0" w:space="0" w:color="auto"/>
      </w:divBdr>
    </w:div>
    <w:div w:id="1314602084">
      <w:bodyDiv w:val="1"/>
      <w:marLeft w:val="0"/>
      <w:marRight w:val="0"/>
      <w:marTop w:val="0"/>
      <w:marBottom w:val="0"/>
      <w:divBdr>
        <w:top w:val="none" w:sz="0" w:space="0" w:color="auto"/>
        <w:left w:val="none" w:sz="0" w:space="0" w:color="auto"/>
        <w:bottom w:val="none" w:sz="0" w:space="0" w:color="auto"/>
        <w:right w:val="none" w:sz="0" w:space="0" w:color="auto"/>
      </w:divBdr>
    </w:div>
    <w:div w:id="1321428863">
      <w:bodyDiv w:val="1"/>
      <w:marLeft w:val="0"/>
      <w:marRight w:val="0"/>
      <w:marTop w:val="0"/>
      <w:marBottom w:val="0"/>
      <w:divBdr>
        <w:top w:val="none" w:sz="0" w:space="0" w:color="auto"/>
        <w:left w:val="none" w:sz="0" w:space="0" w:color="auto"/>
        <w:bottom w:val="none" w:sz="0" w:space="0" w:color="auto"/>
        <w:right w:val="none" w:sz="0" w:space="0" w:color="auto"/>
      </w:divBdr>
    </w:div>
    <w:div w:id="1321732219">
      <w:bodyDiv w:val="1"/>
      <w:marLeft w:val="0"/>
      <w:marRight w:val="0"/>
      <w:marTop w:val="0"/>
      <w:marBottom w:val="0"/>
      <w:divBdr>
        <w:top w:val="none" w:sz="0" w:space="0" w:color="auto"/>
        <w:left w:val="none" w:sz="0" w:space="0" w:color="auto"/>
        <w:bottom w:val="none" w:sz="0" w:space="0" w:color="auto"/>
        <w:right w:val="none" w:sz="0" w:space="0" w:color="auto"/>
      </w:divBdr>
    </w:div>
    <w:div w:id="1325816290">
      <w:bodyDiv w:val="1"/>
      <w:marLeft w:val="0"/>
      <w:marRight w:val="0"/>
      <w:marTop w:val="0"/>
      <w:marBottom w:val="0"/>
      <w:divBdr>
        <w:top w:val="none" w:sz="0" w:space="0" w:color="auto"/>
        <w:left w:val="none" w:sz="0" w:space="0" w:color="auto"/>
        <w:bottom w:val="none" w:sz="0" w:space="0" w:color="auto"/>
        <w:right w:val="none" w:sz="0" w:space="0" w:color="auto"/>
      </w:divBdr>
      <w:divsChild>
        <w:div w:id="995836474">
          <w:marLeft w:val="0"/>
          <w:marRight w:val="0"/>
          <w:marTop w:val="0"/>
          <w:marBottom w:val="0"/>
          <w:divBdr>
            <w:top w:val="none" w:sz="0" w:space="0" w:color="auto"/>
            <w:left w:val="none" w:sz="0" w:space="0" w:color="auto"/>
            <w:bottom w:val="none" w:sz="0" w:space="0" w:color="auto"/>
            <w:right w:val="none" w:sz="0" w:space="0" w:color="auto"/>
          </w:divBdr>
        </w:div>
      </w:divsChild>
    </w:div>
    <w:div w:id="1326933585">
      <w:bodyDiv w:val="1"/>
      <w:marLeft w:val="0"/>
      <w:marRight w:val="0"/>
      <w:marTop w:val="0"/>
      <w:marBottom w:val="0"/>
      <w:divBdr>
        <w:top w:val="none" w:sz="0" w:space="0" w:color="auto"/>
        <w:left w:val="none" w:sz="0" w:space="0" w:color="auto"/>
        <w:bottom w:val="none" w:sz="0" w:space="0" w:color="auto"/>
        <w:right w:val="none" w:sz="0" w:space="0" w:color="auto"/>
      </w:divBdr>
    </w:div>
    <w:div w:id="1327518045">
      <w:bodyDiv w:val="1"/>
      <w:marLeft w:val="0"/>
      <w:marRight w:val="0"/>
      <w:marTop w:val="0"/>
      <w:marBottom w:val="0"/>
      <w:divBdr>
        <w:top w:val="none" w:sz="0" w:space="0" w:color="auto"/>
        <w:left w:val="none" w:sz="0" w:space="0" w:color="auto"/>
        <w:bottom w:val="none" w:sz="0" w:space="0" w:color="auto"/>
        <w:right w:val="none" w:sz="0" w:space="0" w:color="auto"/>
      </w:divBdr>
    </w:div>
    <w:div w:id="1338115323">
      <w:bodyDiv w:val="1"/>
      <w:marLeft w:val="0"/>
      <w:marRight w:val="0"/>
      <w:marTop w:val="0"/>
      <w:marBottom w:val="0"/>
      <w:divBdr>
        <w:top w:val="none" w:sz="0" w:space="0" w:color="auto"/>
        <w:left w:val="none" w:sz="0" w:space="0" w:color="auto"/>
        <w:bottom w:val="none" w:sz="0" w:space="0" w:color="auto"/>
        <w:right w:val="none" w:sz="0" w:space="0" w:color="auto"/>
      </w:divBdr>
    </w:div>
    <w:div w:id="1349797859">
      <w:bodyDiv w:val="1"/>
      <w:marLeft w:val="0"/>
      <w:marRight w:val="0"/>
      <w:marTop w:val="0"/>
      <w:marBottom w:val="0"/>
      <w:divBdr>
        <w:top w:val="none" w:sz="0" w:space="0" w:color="auto"/>
        <w:left w:val="none" w:sz="0" w:space="0" w:color="auto"/>
        <w:bottom w:val="none" w:sz="0" w:space="0" w:color="auto"/>
        <w:right w:val="none" w:sz="0" w:space="0" w:color="auto"/>
      </w:divBdr>
    </w:div>
    <w:div w:id="1358896688">
      <w:bodyDiv w:val="1"/>
      <w:marLeft w:val="0"/>
      <w:marRight w:val="0"/>
      <w:marTop w:val="0"/>
      <w:marBottom w:val="0"/>
      <w:divBdr>
        <w:top w:val="none" w:sz="0" w:space="0" w:color="auto"/>
        <w:left w:val="none" w:sz="0" w:space="0" w:color="auto"/>
        <w:bottom w:val="none" w:sz="0" w:space="0" w:color="auto"/>
        <w:right w:val="none" w:sz="0" w:space="0" w:color="auto"/>
      </w:divBdr>
    </w:div>
    <w:div w:id="1361971079">
      <w:bodyDiv w:val="1"/>
      <w:marLeft w:val="0"/>
      <w:marRight w:val="0"/>
      <w:marTop w:val="0"/>
      <w:marBottom w:val="0"/>
      <w:divBdr>
        <w:top w:val="none" w:sz="0" w:space="0" w:color="auto"/>
        <w:left w:val="none" w:sz="0" w:space="0" w:color="auto"/>
        <w:bottom w:val="none" w:sz="0" w:space="0" w:color="auto"/>
        <w:right w:val="none" w:sz="0" w:space="0" w:color="auto"/>
      </w:divBdr>
    </w:div>
    <w:div w:id="1372875954">
      <w:bodyDiv w:val="1"/>
      <w:marLeft w:val="0"/>
      <w:marRight w:val="0"/>
      <w:marTop w:val="0"/>
      <w:marBottom w:val="0"/>
      <w:divBdr>
        <w:top w:val="none" w:sz="0" w:space="0" w:color="auto"/>
        <w:left w:val="none" w:sz="0" w:space="0" w:color="auto"/>
        <w:bottom w:val="none" w:sz="0" w:space="0" w:color="auto"/>
        <w:right w:val="none" w:sz="0" w:space="0" w:color="auto"/>
      </w:divBdr>
    </w:div>
    <w:div w:id="1374695375">
      <w:bodyDiv w:val="1"/>
      <w:marLeft w:val="0"/>
      <w:marRight w:val="0"/>
      <w:marTop w:val="0"/>
      <w:marBottom w:val="0"/>
      <w:divBdr>
        <w:top w:val="none" w:sz="0" w:space="0" w:color="auto"/>
        <w:left w:val="none" w:sz="0" w:space="0" w:color="auto"/>
        <w:bottom w:val="none" w:sz="0" w:space="0" w:color="auto"/>
        <w:right w:val="none" w:sz="0" w:space="0" w:color="auto"/>
      </w:divBdr>
    </w:div>
    <w:div w:id="1377002608">
      <w:bodyDiv w:val="1"/>
      <w:marLeft w:val="0"/>
      <w:marRight w:val="0"/>
      <w:marTop w:val="0"/>
      <w:marBottom w:val="0"/>
      <w:divBdr>
        <w:top w:val="none" w:sz="0" w:space="0" w:color="auto"/>
        <w:left w:val="none" w:sz="0" w:space="0" w:color="auto"/>
        <w:bottom w:val="none" w:sz="0" w:space="0" w:color="auto"/>
        <w:right w:val="none" w:sz="0" w:space="0" w:color="auto"/>
      </w:divBdr>
      <w:divsChild>
        <w:div w:id="58139986">
          <w:marLeft w:val="0"/>
          <w:marRight w:val="0"/>
          <w:marTop w:val="0"/>
          <w:marBottom w:val="0"/>
          <w:divBdr>
            <w:top w:val="none" w:sz="0" w:space="0" w:color="auto"/>
            <w:left w:val="none" w:sz="0" w:space="0" w:color="auto"/>
            <w:bottom w:val="none" w:sz="0" w:space="0" w:color="auto"/>
            <w:right w:val="none" w:sz="0" w:space="0" w:color="auto"/>
          </w:divBdr>
        </w:div>
      </w:divsChild>
    </w:div>
    <w:div w:id="1401513596">
      <w:bodyDiv w:val="1"/>
      <w:marLeft w:val="0"/>
      <w:marRight w:val="0"/>
      <w:marTop w:val="0"/>
      <w:marBottom w:val="0"/>
      <w:divBdr>
        <w:top w:val="none" w:sz="0" w:space="0" w:color="auto"/>
        <w:left w:val="none" w:sz="0" w:space="0" w:color="auto"/>
        <w:bottom w:val="none" w:sz="0" w:space="0" w:color="auto"/>
        <w:right w:val="none" w:sz="0" w:space="0" w:color="auto"/>
      </w:divBdr>
      <w:divsChild>
        <w:div w:id="1682075941">
          <w:marLeft w:val="0"/>
          <w:marRight w:val="0"/>
          <w:marTop w:val="0"/>
          <w:marBottom w:val="0"/>
          <w:divBdr>
            <w:top w:val="none" w:sz="0" w:space="0" w:color="auto"/>
            <w:left w:val="none" w:sz="0" w:space="0" w:color="auto"/>
            <w:bottom w:val="none" w:sz="0" w:space="0" w:color="auto"/>
            <w:right w:val="none" w:sz="0" w:space="0" w:color="auto"/>
          </w:divBdr>
        </w:div>
      </w:divsChild>
    </w:div>
    <w:div w:id="1412585749">
      <w:bodyDiv w:val="1"/>
      <w:marLeft w:val="0"/>
      <w:marRight w:val="0"/>
      <w:marTop w:val="0"/>
      <w:marBottom w:val="0"/>
      <w:divBdr>
        <w:top w:val="none" w:sz="0" w:space="0" w:color="auto"/>
        <w:left w:val="none" w:sz="0" w:space="0" w:color="auto"/>
        <w:bottom w:val="none" w:sz="0" w:space="0" w:color="auto"/>
        <w:right w:val="none" w:sz="0" w:space="0" w:color="auto"/>
      </w:divBdr>
    </w:div>
    <w:div w:id="1413970270">
      <w:bodyDiv w:val="1"/>
      <w:marLeft w:val="0"/>
      <w:marRight w:val="0"/>
      <w:marTop w:val="0"/>
      <w:marBottom w:val="0"/>
      <w:divBdr>
        <w:top w:val="none" w:sz="0" w:space="0" w:color="auto"/>
        <w:left w:val="none" w:sz="0" w:space="0" w:color="auto"/>
        <w:bottom w:val="none" w:sz="0" w:space="0" w:color="auto"/>
        <w:right w:val="none" w:sz="0" w:space="0" w:color="auto"/>
      </w:divBdr>
      <w:divsChild>
        <w:div w:id="1314212171">
          <w:marLeft w:val="0"/>
          <w:marRight w:val="0"/>
          <w:marTop w:val="0"/>
          <w:marBottom w:val="0"/>
          <w:divBdr>
            <w:top w:val="none" w:sz="0" w:space="0" w:color="auto"/>
            <w:left w:val="none" w:sz="0" w:space="0" w:color="auto"/>
            <w:bottom w:val="none" w:sz="0" w:space="0" w:color="auto"/>
            <w:right w:val="none" w:sz="0" w:space="0" w:color="auto"/>
          </w:divBdr>
        </w:div>
      </w:divsChild>
    </w:div>
    <w:div w:id="1427341087">
      <w:bodyDiv w:val="1"/>
      <w:marLeft w:val="0"/>
      <w:marRight w:val="0"/>
      <w:marTop w:val="0"/>
      <w:marBottom w:val="0"/>
      <w:divBdr>
        <w:top w:val="none" w:sz="0" w:space="0" w:color="auto"/>
        <w:left w:val="none" w:sz="0" w:space="0" w:color="auto"/>
        <w:bottom w:val="none" w:sz="0" w:space="0" w:color="auto"/>
        <w:right w:val="none" w:sz="0" w:space="0" w:color="auto"/>
      </w:divBdr>
    </w:div>
    <w:div w:id="1427649523">
      <w:bodyDiv w:val="1"/>
      <w:marLeft w:val="0"/>
      <w:marRight w:val="0"/>
      <w:marTop w:val="0"/>
      <w:marBottom w:val="0"/>
      <w:divBdr>
        <w:top w:val="none" w:sz="0" w:space="0" w:color="auto"/>
        <w:left w:val="none" w:sz="0" w:space="0" w:color="auto"/>
        <w:bottom w:val="none" w:sz="0" w:space="0" w:color="auto"/>
        <w:right w:val="none" w:sz="0" w:space="0" w:color="auto"/>
      </w:divBdr>
      <w:divsChild>
        <w:div w:id="1796024939">
          <w:marLeft w:val="0"/>
          <w:marRight w:val="0"/>
          <w:marTop w:val="0"/>
          <w:marBottom w:val="0"/>
          <w:divBdr>
            <w:top w:val="none" w:sz="0" w:space="0" w:color="auto"/>
            <w:left w:val="none" w:sz="0" w:space="0" w:color="auto"/>
            <w:bottom w:val="none" w:sz="0" w:space="0" w:color="auto"/>
            <w:right w:val="none" w:sz="0" w:space="0" w:color="auto"/>
          </w:divBdr>
        </w:div>
      </w:divsChild>
    </w:div>
    <w:div w:id="1433939791">
      <w:bodyDiv w:val="1"/>
      <w:marLeft w:val="0"/>
      <w:marRight w:val="0"/>
      <w:marTop w:val="0"/>
      <w:marBottom w:val="0"/>
      <w:divBdr>
        <w:top w:val="none" w:sz="0" w:space="0" w:color="auto"/>
        <w:left w:val="none" w:sz="0" w:space="0" w:color="auto"/>
        <w:bottom w:val="none" w:sz="0" w:space="0" w:color="auto"/>
        <w:right w:val="none" w:sz="0" w:space="0" w:color="auto"/>
      </w:divBdr>
    </w:div>
    <w:div w:id="1438520154">
      <w:bodyDiv w:val="1"/>
      <w:marLeft w:val="0"/>
      <w:marRight w:val="0"/>
      <w:marTop w:val="0"/>
      <w:marBottom w:val="0"/>
      <w:divBdr>
        <w:top w:val="none" w:sz="0" w:space="0" w:color="auto"/>
        <w:left w:val="none" w:sz="0" w:space="0" w:color="auto"/>
        <w:bottom w:val="none" w:sz="0" w:space="0" w:color="auto"/>
        <w:right w:val="none" w:sz="0" w:space="0" w:color="auto"/>
      </w:divBdr>
    </w:div>
    <w:div w:id="1449088060">
      <w:bodyDiv w:val="1"/>
      <w:marLeft w:val="0"/>
      <w:marRight w:val="0"/>
      <w:marTop w:val="0"/>
      <w:marBottom w:val="0"/>
      <w:divBdr>
        <w:top w:val="none" w:sz="0" w:space="0" w:color="auto"/>
        <w:left w:val="none" w:sz="0" w:space="0" w:color="auto"/>
        <w:bottom w:val="none" w:sz="0" w:space="0" w:color="auto"/>
        <w:right w:val="none" w:sz="0" w:space="0" w:color="auto"/>
      </w:divBdr>
      <w:divsChild>
        <w:div w:id="447623113">
          <w:marLeft w:val="0"/>
          <w:marRight w:val="0"/>
          <w:marTop w:val="0"/>
          <w:marBottom w:val="0"/>
          <w:divBdr>
            <w:top w:val="none" w:sz="0" w:space="0" w:color="auto"/>
            <w:left w:val="none" w:sz="0" w:space="0" w:color="auto"/>
            <w:bottom w:val="none" w:sz="0" w:space="0" w:color="auto"/>
            <w:right w:val="none" w:sz="0" w:space="0" w:color="auto"/>
          </w:divBdr>
        </w:div>
      </w:divsChild>
    </w:div>
    <w:div w:id="1456362463">
      <w:bodyDiv w:val="1"/>
      <w:marLeft w:val="0"/>
      <w:marRight w:val="0"/>
      <w:marTop w:val="0"/>
      <w:marBottom w:val="0"/>
      <w:divBdr>
        <w:top w:val="none" w:sz="0" w:space="0" w:color="auto"/>
        <w:left w:val="none" w:sz="0" w:space="0" w:color="auto"/>
        <w:bottom w:val="none" w:sz="0" w:space="0" w:color="auto"/>
        <w:right w:val="none" w:sz="0" w:space="0" w:color="auto"/>
      </w:divBdr>
    </w:div>
    <w:div w:id="1463621123">
      <w:bodyDiv w:val="1"/>
      <w:marLeft w:val="0"/>
      <w:marRight w:val="0"/>
      <w:marTop w:val="0"/>
      <w:marBottom w:val="0"/>
      <w:divBdr>
        <w:top w:val="none" w:sz="0" w:space="0" w:color="auto"/>
        <w:left w:val="none" w:sz="0" w:space="0" w:color="auto"/>
        <w:bottom w:val="none" w:sz="0" w:space="0" w:color="auto"/>
        <w:right w:val="none" w:sz="0" w:space="0" w:color="auto"/>
      </w:divBdr>
    </w:div>
    <w:div w:id="1482507029">
      <w:bodyDiv w:val="1"/>
      <w:marLeft w:val="0"/>
      <w:marRight w:val="0"/>
      <w:marTop w:val="0"/>
      <w:marBottom w:val="0"/>
      <w:divBdr>
        <w:top w:val="none" w:sz="0" w:space="0" w:color="auto"/>
        <w:left w:val="none" w:sz="0" w:space="0" w:color="auto"/>
        <w:bottom w:val="none" w:sz="0" w:space="0" w:color="auto"/>
        <w:right w:val="none" w:sz="0" w:space="0" w:color="auto"/>
      </w:divBdr>
    </w:div>
    <w:div w:id="1500340761">
      <w:bodyDiv w:val="1"/>
      <w:marLeft w:val="0"/>
      <w:marRight w:val="0"/>
      <w:marTop w:val="0"/>
      <w:marBottom w:val="0"/>
      <w:divBdr>
        <w:top w:val="none" w:sz="0" w:space="0" w:color="auto"/>
        <w:left w:val="none" w:sz="0" w:space="0" w:color="auto"/>
        <w:bottom w:val="none" w:sz="0" w:space="0" w:color="auto"/>
        <w:right w:val="none" w:sz="0" w:space="0" w:color="auto"/>
      </w:divBdr>
      <w:divsChild>
        <w:div w:id="441918452">
          <w:marLeft w:val="0"/>
          <w:marRight w:val="0"/>
          <w:marTop w:val="0"/>
          <w:marBottom w:val="0"/>
          <w:divBdr>
            <w:top w:val="none" w:sz="0" w:space="0" w:color="auto"/>
            <w:left w:val="none" w:sz="0" w:space="0" w:color="auto"/>
            <w:bottom w:val="none" w:sz="0" w:space="0" w:color="auto"/>
            <w:right w:val="none" w:sz="0" w:space="0" w:color="auto"/>
          </w:divBdr>
        </w:div>
      </w:divsChild>
    </w:div>
    <w:div w:id="1501775708">
      <w:bodyDiv w:val="1"/>
      <w:marLeft w:val="0"/>
      <w:marRight w:val="0"/>
      <w:marTop w:val="0"/>
      <w:marBottom w:val="0"/>
      <w:divBdr>
        <w:top w:val="none" w:sz="0" w:space="0" w:color="auto"/>
        <w:left w:val="none" w:sz="0" w:space="0" w:color="auto"/>
        <w:bottom w:val="none" w:sz="0" w:space="0" w:color="auto"/>
        <w:right w:val="none" w:sz="0" w:space="0" w:color="auto"/>
      </w:divBdr>
      <w:divsChild>
        <w:div w:id="1598751459">
          <w:marLeft w:val="0"/>
          <w:marRight w:val="0"/>
          <w:marTop w:val="0"/>
          <w:marBottom w:val="0"/>
          <w:divBdr>
            <w:top w:val="none" w:sz="0" w:space="0" w:color="auto"/>
            <w:left w:val="none" w:sz="0" w:space="0" w:color="auto"/>
            <w:bottom w:val="none" w:sz="0" w:space="0" w:color="auto"/>
            <w:right w:val="none" w:sz="0" w:space="0" w:color="auto"/>
          </w:divBdr>
        </w:div>
      </w:divsChild>
    </w:div>
    <w:div w:id="1520579907">
      <w:bodyDiv w:val="1"/>
      <w:marLeft w:val="0"/>
      <w:marRight w:val="0"/>
      <w:marTop w:val="0"/>
      <w:marBottom w:val="0"/>
      <w:divBdr>
        <w:top w:val="none" w:sz="0" w:space="0" w:color="auto"/>
        <w:left w:val="none" w:sz="0" w:space="0" w:color="auto"/>
        <w:bottom w:val="none" w:sz="0" w:space="0" w:color="auto"/>
        <w:right w:val="none" w:sz="0" w:space="0" w:color="auto"/>
      </w:divBdr>
      <w:divsChild>
        <w:div w:id="1627539790">
          <w:marLeft w:val="0"/>
          <w:marRight w:val="0"/>
          <w:marTop w:val="0"/>
          <w:marBottom w:val="0"/>
          <w:divBdr>
            <w:top w:val="none" w:sz="0" w:space="0" w:color="auto"/>
            <w:left w:val="none" w:sz="0" w:space="0" w:color="auto"/>
            <w:bottom w:val="none" w:sz="0" w:space="0" w:color="auto"/>
            <w:right w:val="none" w:sz="0" w:space="0" w:color="auto"/>
          </w:divBdr>
        </w:div>
      </w:divsChild>
    </w:div>
    <w:div w:id="1521040684">
      <w:bodyDiv w:val="1"/>
      <w:marLeft w:val="0"/>
      <w:marRight w:val="0"/>
      <w:marTop w:val="0"/>
      <w:marBottom w:val="0"/>
      <w:divBdr>
        <w:top w:val="none" w:sz="0" w:space="0" w:color="auto"/>
        <w:left w:val="none" w:sz="0" w:space="0" w:color="auto"/>
        <w:bottom w:val="none" w:sz="0" w:space="0" w:color="auto"/>
        <w:right w:val="none" w:sz="0" w:space="0" w:color="auto"/>
      </w:divBdr>
      <w:divsChild>
        <w:div w:id="1945116356">
          <w:marLeft w:val="0"/>
          <w:marRight w:val="0"/>
          <w:marTop w:val="0"/>
          <w:marBottom w:val="0"/>
          <w:divBdr>
            <w:top w:val="none" w:sz="0" w:space="0" w:color="auto"/>
            <w:left w:val="none" w:sz="0" w:space="0" w:color="auto"/>
            <w:bottom w:val="none" w:sz="0" w:space="0" w:color="auto"/>
            <w:right w:val="none" w:sz="0" w:space="0" w:color="auto"/>
          </w:divBdr>
        </w:div>
      </w:divsChild>
    </w:div>
    <w:div w:id="1526094011">
      <w:bodyDiv w:val="1"/>
      <w:marLeft w:val="0"/>
      <w:marRight w:val="0"/>
      <w:marTop w:val="0"/>
      <w:marBottom w:val="0"/>
      <w:divBdr>
        <w:top w:val="none" w:sz="0" w:space="0" w:color="auto"/>
        <w:left w:val="none" w:sz="0" w:space="0" w:color="auto"/>
        <w:bottom w:val="none" w:sz="0" w:space="0" w:color="auto"/>
        <w:right w:val="none" w:sz="0" w:space="0" w:color="auto"/>
      </w:divBdr>
    </w:div>
    <w:div w:id="1528835944">
      <w:bodyDiv w:val="1"/>
      <w:marLeft w:val="0"/>
      <w:marRight w:val="0"/>
      <w:marTop w:val="0"/>
      <w:marBottom w:val="0"/>
      <w:divBdr>
        <w:top w:val="none" w:sz="0" w:space="0" w:color="auto"/>
        <w:left w:val="none" w:sz="0" w:space="0" w:color="auto"/>
        <w:bottom w:val="none" w:sz="0" w:space="0" w:color="auto"/>
        <w:right w:val="none" w:sz="0" w:space="0" w:color="auto"/>
      </w:divBdr>
    </w:div>
    <w:div w:id="1541092398">
      <w:bodyDiv w:val="1"/>
      <w:marLeft w:val="0"/>
      <w:marRight w:val="0"/>
      <w:marTop w:val="0"/>
      <w:marBottom w:val="0"/>
      <w:divBdr>
        <w:top w:val="none" w:sz="0" w:space="0" w:color="auto"/>
        <w:left w:val="none" w:sz="0" w:space="0" w:color="auto"/>
        <w:bottom w:val="none" w:sz="0" w:space="0" w:color="auto"/>
        <w:right w:val="none" w:sz="0" w:space="0" w:color="auto"/>
      </w:divBdr>
      <w:divsChild>
        <w:div w:id="1722904322">
          <w:marLeft w:val="0"/>
          <w:marRight w:val="0"/>
          <w:marTop w:val="0"/>
          <w:marBottom w:val="0"/>
          <w:divBdr>
            <w:top w:val="none" w:sz="0" w:space="0" w:color="auto"/>
            <w:left w:val="none" w:sz="0" w:space="0" w:color="auto"/>
            <w:bottom w:val="none" w:sz="0" w:space="0" w:color="auto"/>
            <w:right w:val="none" w:sz="0" w:space="0" w:color="auto"/>
          </w:divBdr>
        </w:div>
      </w:divsChild>
    </w:div>
    <w:div w:id="1544093960">
      <w:bodyDiv w:val="1"/>
      <w:marLeft w:val="0"/>
      <w:marRight w:val="0"/>
      <w:marTop w:val="0"/>
      <w:marBottom w:val="0"/>
      <w:divBdr>
        <w:top w:val="none" w:sz="0" w:space="0" w:color="auto"/>
        <w:left w:val="none" w:sz="0" w:space="0" w:color="auto"/>
        <w:bottom w:val="none" w:sz="0" w:space="0" w:color="auto"/>
        <w:right w:val="none" w:sz="0" w:space="0" w:color="auto"/>
      </w:divBdr>
    </w:div>
    <w:div w:id="1549952074">
      <w:bodyDiv w:val="1"/>
      <w:marLeft w:val="0"/>
      <w:marRight w:val="0"/>
      <w:marTop w:val="0"/>
      <w:marBottom w:val="0"/>
      <w:divBdr>
        <w:top w:val="none" w:sz="0" w:space="0" w:color="auto"/>
        <w:left w:val="none" w:sz="0" w:space="0" w:color="auto"/>
        <w:bottom w:val="none" w:sz="0" w:space="0" w:color="auto"/>
        <w:right w:val="none" w:sz="0" w:space="0" w:color="auto"/>
      </w:divBdr>
      <w:divsChild>
        <w:div w:id="1812094411">
          <w:marLeft w:val="0"/>
          <w:marRight w:val="0"/>
          <w:marTop w:val="0"/>
          <w:marBottom w:val="0"/>
          <w:divBdr>
            <w:top w:val="none" w:sz="0" w:space="0" w:color="auto"/>
            <w:left w:val="none" w:sz="0" w:space="0" w:color="auto"/>
            <w:bottom w:val="none" w:sz="0" w:space="0" w:color="auto"/>
            <w:right w:val="none" w:sz="0" w:space="0" w:color="auto"/>
          </w:divBdr>
        </w:div>
      </w:divsChild>
    </w:div>
    <w:div w:id="1556114656">
      <w:bodyDiv w:val="1"/>
      <w:marLeft w:val="0"/>
      <w:marRight w:val="0"/>
      <w:marTop w:val="0"/>
      <w:marBottom w:val="0"/>
      <w:divBdr>
        <w:top w:val="none" w:sz="0" w:space="0" w:color="auto"/>
        <w:left w:val="none" w:sz="0" w:space="0" w:color="auto"/>
        <w:bottom w:val="none" w:sz="0" w:space="0" w:color="auto"/>
        <w:right w:val="none" w:sz="0" w:space="0" w:color="auto"/>
      </w:divBdr>
    </w:div>
    <w:div w:id="1574511971">
      <w:bodyDiv w:val="1"/>
      <w:marLeft w:val="0"/>
      <w:marRight w:val="0"/>
      <w:marTop w:val="0"/>
      <w:marBottom w:val="0"/>
      <w:divBdr>
        <w:top w:val="none" w:sz="0" w:space="0" w:color="auto"/>
        <w:left w:val="none" w:sz="0" w:space="0" w:color="auto"/>
        <w:bottom w:val="none" w:sz="0" w:space="0" w:color="auto"/>
        <w:right w:val="none" w:sz="0" w:space="0" w:color="auto"/>
      </w:divBdr>
    </w:div>
    <w:div w:id="1579249101">
      <w:bodyDiv w:val="1"/>
      <w:marLeft w:val="0"/>
      <w:marRight w:val="0"/>
      <w:marTop w:val="0"/>
      <w:marBottom w:val="0"/>
      <w:divBdr>
        <w:top w:val="none" w:sz="0" w:space="0" w:color="auto"/>
        <w:left w:val="none" w:sz="0" w:space="0" w:color="auto"/>
        <w:bottom w:val="none" w:sz="0" w:space="0" w:color="auto"/>
        <w:right w:val="none" w:sz="0" w:space="0" w:color="auto"/>
      </w:divBdr>
      <w:divsChild>
        <w:div w:id="445127601">
          <w:marLeft w:val="0"/>
          <w:marRight w:val="0"/>
          <w:marTop w:val="0"/>
          <w:marBottom w:val="0"/>
          <w:divBdr>
            <w:top w:val="none" w:sz="0" w:space="0" w:color="auto"/>
            <w:left w:val="none" w:sz="0" w:space="0" w:color="auto"/>
            <w:bottom w:val="none" w:sz="0" w:space="0" w:color="auto"/>
            <w:right w:val="none" w:sz="0" w:space="0" w:color="auto"/>
          </w:divBdr>
        </w:div>
      </w:divsChild>
    </w:div>
    <w:div w:id="1584224138">
      <w:bodyDiv w:val="1"/>
      <w:marLeft w:val="0"/>
      <w:marRight w:val="0"/>
      <w:marTop w:val="0"/>
      <w:marBottom w:val="0"/>
      <w:divBdr>
        <w:top w:val="none" w:sz="0" w:space="0" w:color="auto"/>
        <w:left w:val="none" w:sz="0" w:space="0" w:color="auto"/>
        <w:bottom w:val="none" w:sz="0" w:space="0" w:color="auto"/>
        <w:right w:val="none" w:sz="0" w:space="0" w:color="auto"/>
      </w:divBdr>
    </w:div>
    <w:div w:id="1584679898">
      <w:bodyDiv w:val="1"/>
      <w:marLeft w:val="0"/>
      <w:marRight w:val="0"/>
      <w:marTop w:val="0"/>
      <w:marBottom w:val="0"/>
      <w:divBdr>
        <w:top w:val="none" w:sz="0" w:space="0" w:color="auto"/>
        <w:left w:val="none" w:sz="0" w:space="0" w:color="auto"/>
        <w:bottom w:val="none" w:sz="0" w:space="0" w:color="auto"/>
        <w:right w:val="none" w:sz="0" w:space="0" w:color="auto"/>
      </w:divBdr>
    </w:div>
    <w:div w:id="1591699912">
      <w:bodyDiv w:val="1"/>
      <w:marLeft w:val="0"/>
      <w:marRight w:val="0"/>
      <w:marTop w:val="0"/>
      <w:marBottom w:val="0"/>
      <w:divBdr>
        <w:top w:val="none" w:sz="0" w:space="0" w:color="auto"/>
        <w:left w:val="none" w:sz="0" w:space="0" w:color="auto"/>
        <w:bottom w:val="none" w:sz="0" w:space="0" w:color="auto"/>
        <w:right w:val="none" w:sz="0" w:space="0" w:color="auto"/>
      </w:divBdr>
      <w:divsChild>
        <w:div w:id="112485642">
          <w:marLeft w:val="0"/>
          <w:marRight w:val="0"/>
          <w:marTop w:val="0"/>
          <w:marBottom w:val="0"/>
          <w:divBdr>
            <w:top w:val="none" w:sz="0" w:space="0" w:color="auto"/>
            <w:left w:val="none" w:sz="0" w:space="0" w:color="auto"/>
            <w:bottom w:val="none" w:sz="0" w:space="0" w:color="auto"/>
            <w:right w:val="none" w:sz="0" w:space="0" w:color="auto"/>
          </w:divBdr>
        </w:div>
      </w:divsChild>
    </w:div>
    <w:div w:id="1593122132">
      <w:bodyDiv w:val="1"/>
      <w:marLeft w:val="0"/>
      <w:marRight w:val="0"/>
      <w:marTop w:val="0"/>
      <w:marBottom w:val="0"/>
      <w:divBdr>
        <w:top w:val="none" w:sz="0" w:space="0" w:color="auto"/>
        <w:left w:val="none" w:sz="0" w:space="0" w:color="auto"/>
        <w:bottom w:val="none" w:sz="0" w:space="0" w:color="auto"/>
        <w:right w:val="none" w:sz="0" w:space="0" w:color="auto"/>
      </w:divBdr>
    </w:div>
    <w:div w:id="1593395299">
      <w:bodyDiv w:val="1"/>
      <w:marLeft w:val="0"/>
      <w:marRight w:val="0"/>
      <w:marTop w:val="0"/>
      <w:marBottom w:val="0"/>
      <w:divBdr>
        <w:top w:val="none" w:sz="0" w:space="0" w:color="auto"/>
        <w:left w:val="none" w:sz="0" w:space="0" w:color="auto"/>
        <w:bottom w:val="none" w:sz="0" w:space="0" w:color="auto"/>
        <w:right w:val="none" w:sz="0" w:space="0" w:color="auto"/>
      </w:divBdr>
      <w:divsChild>
        <w:div w:id="648023470">
          <w:marLeft w:val="0"/>
          <w:marRight w:val="0"/>
          <w:marTop w:val="0"/>
          <w:marBottom w:val="0"/>
          <w:divBdr>
            <w:top w:val="none" w:sz="0" w:space="0" w:color="auto"/>
            <w:left w:val="none" w:sz="0" w:space="0" w:color="auto"/>
            <w:bottom w:val="none" w:sz="0" w:space="0" w:color="auto"/>
            <w:right w:val="none" w:sz="0" w:space="0" w:color="auto"/>
          </w:divBdr>
        </w:div>
      </w:divsChild>
    </w:div>
    <w:div w:id="1594972952">
      <w:bodyDiv w:val="1"/>
      <w:marLeft w:val="0"/>
      <w:marRight w:val="0"/>
      <w:marTop w:val="0"/>
      <w:marBottom w:val="0"/>
      <w:divBdr>
        <w:top w:val="none" w:sz="0" w:space="0" w:color="auto"/>
        <w:left w:val="none" w:sz="0" w:space="0" w:color="auto"/>
        <w:bottom w:val="none" w:sz="0" w:space="0" w:color="auto"/>
        <w:right w:val="none" w:sz="0" w:space="0" w:color="auto"/>
      </w:divBdr>
    </w:div>
    <w:div w:id="1595430531">
      <w:bodyDiv w:val="1"/>
      <w:marLeft w:val="0"/>
      <w:marRight w:val="0"/>
      <w:marTop w:val="0"/>
      <w:marBottom w:val="0"/>
      <w:divBdr>
        <w:top w:val="none" w:sz="0" w:space="0" w:color="auto"/>
        <w:left w:val="none" w:sz="0" w:space="0" w:color="auto"/>
        <w:bottom w:val="none" w:sz="0" w:space="0" w:color="auto"/>
        <w:right w:val="none" w:sz="0" w:space="0" w:color="auto"/>
      </w:divBdr>
    </w:div>
    <w:div w:id="1615743844">
      <w:bodyDiv w:val="1"/>
      <w:marLeft w:val="0"/>
      <w:marRight w:val="0"/>
      <w:marTop w:val="0"/>
      <w:marBottom w:val="0"/>
      <w:divBdr>
        <w:top w:val="none" w:sz="0" w:space="0" w:color="auto"/>
        <w:left w:val="none" w:sz="0" w:space="0" w:color="auto"/>
        <w:bottom w:val="none" w:sz="0" w:space="0" w:color="auto"/>
        <w:right w:val="none" w:sz="0" w:space="0" w:color="auto"/>
      </w:divBdr>
    </w:div>
    <w:div w:id="1627156143">
      <w:bodyDiv w:val="1"/>
      <w:marLeft w:val="0"/>
      <w:marRight w:val="0"/>
      <w:marTop w:val="0"/>
      <w:marBottom w:val="0"/>
      <w:divBdr>
        <w:top w:val="none" w:sz="0" w:space="0" w:color="auto"/>
        <w:left w:val="none" w:sz="0" w:space="0" w:color="auto"/>
        <w:bottom w:val="none" w:sz="0" w:space="0" w:color="auto"/>
        <w:right w:val="none" w:sz="0" w:space="0" w:color="auto"/>
      </w:divBdr>
      <w:divsChild>
        <w:div w:id="1013529907">
          <w:marLeft w:val="0"/>
          <w:marRight w:val="0"/>
          <w:marTop w:val="0"/>
          <w:marBottom w:val="0"/>
          <w:divBdr>
            <w:top w:val="none" w:sz="0" w:space="0" w:color="auto"/>
            <w:left w:val="none" w:sz="0" w:space="0" w:color="auto"/>
            <w:bottom w:val="none" w:sz="0" w:space="0" w:color="auto"/>
            <w:right w:val="none" w:sz="0" w:space="0" w:color="auto"/>
          </w:divBdr>
        </w:div>
      </w:divsChild>
    </w:div>
    <w:div w:id="1627740788">
      <w:bodyDiv w:val="1"/>
      <w:marLeft w:val="0"/>
      <w:marRight w:val="0"/>
      <w:marTop w:val="0"/>
      <w:marBottom w:val="0"/>
      <w:divBdr>
        <w:top w:val="none" w:sz="0" w:space="0" w:color="auto"/>
        <w:left w:val="none" w:sz="0" w:space="0" w:color="auto"/>
        <w:bottom w:val="none" w:sz="0" w:space="0" w:color="auto"/>
        <w:right w:val="none" w:sz="0" w:space="0" w:color="auto"/>
      </w:divBdr>
      <w:divsChild>
        <w:div w:id="772672498">
          <w:marLeft w:val="0"/>
          <w:marRight w:val="0"/>
          <w:marTop w:val="0"/>
          <w:marBottom w:val="0"/>
          <w:divBdr>
            <w:top w:val="none" w:sz="0" w:space="0" w:color="auto"/>
            <w:left w:val="none" w:sz="0" w:space="0" w:color="auto"/>
            <w:bottom w:val="none" w:sz="0" w:space="0" w:color="auto"/>
            <w:right w:val="none" w:sz="0" w:space="0" w:color="auto"/>
          </w:divBdr>
        </w:div>
      </w:divsChild>
    </w:div>
    <w:div w:id="1628660285">
      <w:bodyDiv w:val="1"/>
      <w:marLeft w:val="0"/>
      <w:marRight w:val="0"/>
      <w:marTop w:val="0"/>
      <w:marBottom w:val="0"/>
      <w:divBdr>
        <w:top w:val="none" w:sz="0" w:space="0" w:color="auto"/>
        <w:left w:val="none" w:sz="0" w:space="0" w:color="auto"/>
        <w:bottom w:val="none" w:sz="0" w:space="0" w:color="auto"/>
        <w:right w:val="none" w:sz="0" w:space="0" w:color="auto"/>
      </w:divBdr>
      <w:divsChild>
        <w:div w:id="1644307508">
          <w:marLeft w:val="0"/>
          <w:marRight w:val="0"/>
          <w:marTop w:val="0"/>
          <w:marBottom w:val="0"/>
          <w:divBdr>
            <w:top w:val="none" w:sz="0" w:space="0" w:color="auto"/>
            <w:left w:val="none" w:sz="0" w:space="0" w:color="auto"/>
            <w:bottom w:val="none" w:sz="0" w:space="0" w:color="auto"/>
            <w:right w:val="none" w:sz="0" w:space="0" w:color="auto"/>
          </w:divBdr>
        </w:div>
      </w:divsChild>
    </w:div>
    <w:div w:id="1640499106">
      <w:bodyDiv w:val="1"/>
      <w:marLeft w:val="0"/>
      <w:marRight w:val="0"/>
      <w:marTop w:val="0"/>
      <w:marBottom w:val="0"/>
      <w:divBdr>
        <w:top w:val="none" w:sz="0" w:space="0" w:color="auto"/>
        <w:left w:val="none" w:sz="0" w:space="0" w:color="auto"/>
        <w:bottom w:val="none" w:sz="0" w:space="0" w:color="auto"/>
        <w:right w:val="none" w:sz="0" w:space="0" w:color="auto"/>
      </w:divBdr>
      <w:divsChild>
        <w:div w:id="1779835178">
          <w:marLeft w:val="0"/>
          <w:marRight w:val="0"/>
          <w:marTop w:val="0"/>
          <w:marBottom w:val="0"/>
          <w:divBdr>
            <w:top w:val="none" w:sz="0" w:space="0" w:color="auto"/>
            <w:left w:val="none" w:sz="0" w:space="0" w:color="auto"/>
            <w:bottom w:val="none" w:sz="0" w:space="0" w:color="auto"/>
            <w:right w:val="none" w:sz="0" w:space="0" w:color="auto"/>
          </w:divBdr>
        </w:div>
      </w:divsChild>
    </w:div>
    <w:div w:id="1642733089">
      <w:bodyDiv w:val="1"/>
      <w:marLeft w:val="0"/>
      <w:marRight w:val="0"/>
      <w:marTop w:val="0"/>
      <w:marBottom w:val="0"/>
      <w:divBdr>
        <w:top w:val="none" w:sz="0" w:space="0" w:color="auto"/>
        <w:left w:val="none" w:sz="0" w:space="0" w:color="auto"/>
        <w:bottom w:val="none" w:sz="0" w:space="0" w:color="auto"/>
        <w:right w:val="none" w:sz="0" w:space="0" w:color="auto"/>
      </w:divBdr>
      <w:divsChild>
        <w:div w:id="792670938">
          <w:marLeft w:val="0"/>
          <w:marRight w:val="0"/>
          <w:marTop w:val="0"/>
          <w:marBottom w:val="0"/>
          <w:divBdr>
            <w:top w:val="none" w:sz="0" w:space="0" w:color="auto"/>
            <w:left w:val="none" w:sz="0" w:space="0" w:color="auto"/>
            <w:bottom w:val="none" w:sz="0" w:space="0" w:color="auto"/>
            <w:right w:val="none" w:sz="0" w:space="0" w:color="auto"/>
          </w:divBdr>
        </w:div>
      </w:divsChild>
    </w:div>
    <w:div w:id="1648587528">
      <w:bodyDiv w:val="1"/>
      <w:marLeft w:val="0"/>
      <w:marRight w:val="0"/>
      <w:marTop w:val="0"/>
      <w:marBottom w:val="0"/>
      <w:divBdr>
        <w:top w:val="none" w:sz="0" w:space="0" w:color="auto"/>
        <w:left w:val="none" w:sz="0" w:space="0" w:color="auto"/>
        <w:bottom w:val="none" w:sz="0" w:space="0" w:color="auto"/>
        <w:right w:val="none" w:sz="0" w:space="0" w:color="auto"/>
      </w:divBdr>
    </w:div>
    <w:div w:id="1649631734">
      <w:bodyDiv w:val="1"/>
      <w:marLeft w:val="0"/>
      <w:marRight w:val="0"/>
      <w:marTop w:val="0"/>
      <w:marBottom w:val="0"/>
      <w:divBdr>
        <w:top w:val="none" w:sz="0" w:space="0" w:color="auto"/>
        <w:left w:val="none" w:sz="0" w:space="0" w:color="auto"/>
        <w:bottom w:val="none" w:sz="0" w:space="0" w:color="auto"/>
        <w:right w:val="none" w:sz="0" w:space="0" w:color="auto"/>
      </w:divBdr>
    </w:div>
    <w:div w:id="1656520502">
      <w:bodyDiv w:val="1"/>
      <w:marLeft w:val="0"/>
      <w:marRight w:val="0"/>
      <w:marTop w:val="0"/>
      <w:marBottom w:val="0"/>
      <w:divBdr>
        <w:top w:val="none" w:sz="0" w:space="0" w:color="auto"/>
        <w:left w:val="none" w:sz="0" w:space="0" w:color="auto"/>
        <w:bottom w:val="none" w:sz="0" w:space="0" w:color="auto"/>
        <w:right w:val="none" w:sz="0" w:space="0" w:color="auto"/>
      </w:divBdr>
    </w:div>
    <w:div w:id="1665740850">
      <w:bodyDiv w:val="1"/>
      <w:marLeft w:val="0"/>
      <w:marRight w:val="0"/>
      <w:marTop w:val="0"/>
      <w:marBottom w:val="0"/>
      <w:divBdr>
        <w:top w:val="none" w:sz="0" w:space="0" w:color="auto"/>
        <w:left w:val="none" w:sz="0" w:space="0" w:color="auto"/>
        <w:bottom w:val="none" w:sz="0" w:space="0" w:color="auto"/>
        <w:right w:val="none" w:sz="0" w:space="0" w:color="auto"/>
      </w:divBdr>
    </w:div>
    <w:div w:id="1669794227">
      <w:bodyDiv w:val="1"/>
      <w:marLeft w:val="0"/>
      <w:marRight w:val="0"/>
      <w:marTop w:val="0"/>
      <w:marBottom w:val="0"/>
      <w:divBdr>
        <w:top w:val="none" w:sz="0" w:space="0" w:color="auto"/>
        <w:left w:val="none" w:sz="0" w:space="0" w:color="auto"/>
        <w:bottom w:val="none" w:sz="0" w:space="0" w:color="auto"/>
        <w:right w:val="none" w:sz="0" w:space="0" w:color="auto"/>
      </w:divBdr>
      <w:divsChild>
        <w:div w:id="1431508022">
          <w:marLeft w:val="0"/>
          <w:marRight w:val="0"/>
          <w:marTop w:val="0"/>
          <w:marBottom w:val="0"/>
          <w:divBdr>
            <w:top w:val="none" w:sz="0" w:space="0" w:color="auto"/>
            <w:left w:val="none" w:sz="0" w:space="0" w:color="auto"/>
            <w:bottom w:val="none" w:sz="0" w:space="0" w:color="auto"/>
            <w:right w:val="none" w:sz="0" w:space="0" w:color="auto"/>
          </w:divBdr>
          <w:divsChild>
            <w:div w:id="446463487">
              <w:marLeft w:val="0"/>
              <w:marRight w:val="0"/>
              <w:marTop w:val="0"/>
              <w:marBottom w:val="0"/>
              <w:divBdr>
                <w:top w:val="none" w:sz="0" w:space="0" w:color="auto"/>
                <w:left w:val="none" w:sz="0" w:space="0" w:color="auto"/>
                <w:bottom w:val="none" w:sz="0" w:space="0" w:color="auto"/>
                <w:right w:val="none" w:sz="0" w:space="0" w:color="auto"/>
              </w:divBdr>
              <w:divsChild>
                <w:div w:id="11021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6366">
      <w:bodyDiv w:val="1"/>
      <w:marLeft w:val="0"/>
      <w:marRight w:val="0"/>
      <w:marTop w:val="0"/>
      <w:marBottom w:val="0"/>
      <w:divBdr>
        <w:top w:val="none" w:sz="0" w:space="0" w:color="auto"/>
        <w:left w:val="none" w:sz="0" w:space="0" w:color="auto"/>
        <w:bottom w:val="none" w:sz="0" w:space="0" w:color="auto"/>
        <w:right w:val="none" w:sz="0" w:space="0" w:color="auto"/>
      </w:divBdr>
    </w:div>
    <w:div w:id="1698314585">
      <w:bodyDiv w:val="1"/>
      <w:marLeft w:val="0"/>
      <w:marRight w:val="0"/>
      <w:marTop w:val="0"/>
      <w:marBottom w:val="0"/>
      <w:divBdr>
        <w:top w:val="none" w:sz="0" w:space="0" w:color="auto"/>
        <w:left w:val="none" w:sz="0" w:space="0" w:color="auto"/>
        <w:bottom w:val="none" w:sz="0" w:space="0" w:color="auto"/>
        <w:right w:val="none" w:sz="0" w:space="0" w:color="auto"/>
      </w:divBdr>
      <w:divsChild>
        <w:div w:id="1715420187">
          <w:marLeft w:val="0"/>
          <w:marRight w:val="0"/>
          <w:marTop w:val="0"/>
          <w:marBottom w:val="0"/>
          <w:divBdr>
            <w:top w:val="none" w:sz="0" w:space="0" w:color="auto"/>
            <w:left w:val="none" w:sz="0" w:space="0" w:color="auto"/>
            <w:bottom w:val="none" w:sz="0" w:space="0" w:color="auto"/>
            <w:right w:val="none" w:sz="0" w:space="0" w:color="auto"/>
          </w:divBdr>
        </w:div>
      </w:divsChild>
    </w:div>
    <w:div w:id="1706249569">
      <w:bodyDiv w:val="1"/>
      <w:marLeft w:val="0"/>
      <w:marRight w:val="0"/>
      <w:marTop w:val="0"/>
      <w:marBottom w:val="0"/>
      <w:divBdr>
        <w:top w:val="none" w:sz="0" w:space="0" w:color="auto"/>
        <w:left w:val="none" w:sz="0" w:space="0" w:color="auto"/>
        <w:bottom w:val="none" w:sz="0" w:space="0" w:color="auto"/>
        <w:right w:val="none" w:sz="0" w:space="0" w:color="auto"/>
      </w:divBdr>
    </w:div>
    <w:div w:id="1708526620">
      <w:bodyDiv w:val="1"/>
      <w:marLeft w:val="0"/>
      <w:marRight w:val="0"/>
      <w:marTop w:val="0"/>
      <w:marBottom w:val="0"/>
      <w:divBdr>
        <w:top w:val="none" w:sz="0" w:space="0" w:color="auto"/>
        <w:left w:val="none" w:sz="0" w:space="0" w:color="auto"/>
        <w:bottom w:val="none" w:sz="0" w:space="0" w:color="auto"/>
        <w:right w:val="none" w:sz="0" w:space="0" w:color="auto"/>
      </w:divBdr>
    </w:div>
    <w:div w:id="1709376431">
      <w:bodyDiv w:val="1"/>
      <w:marLeft w:val="0"/>
      <w:marRight w:val="0"/>
      <w:marTop w:val="0"/>
      <w:marBottom w:val="0"/>
      <w:divBdr>
        <w:top w:val="none" w:sz="0" w:space="0" w:color="auto"/>
        <w:left w:val="none" w:sz="0" w:space="0" w:color="auto"/>
        <w:bottom w:val="none" w:sz="0" w:space="0" w:color="auto"/>
        <w:right w:val="none" w:sz="0" w:space="0" w:color="auto"/>
      </w:divBdr>
    </w:div>
    <w:div w:id="1714041410">
      <w:bodyDiv w:val="1"/>
      <w:marLeft w:val="0"/>
      <w:marRight w:val="0"/>
      <w:marTop w:val="0"/>
      <w:marBottom w:val="0"/>
      <w:divBdr>
        <w:top w:val="none" w:sz="0" w:space="0" w:color="auto"/>
        <w:left w:val="none" w:sz="0" w:space="0" w:color="auto"/>
        <w:bottom w:val="none" w:sz="0" w:space="0" w:color="auto"/>
        <w:right w:val="none" w:sz="0" w:space="0" w:color="auto"/>
      </w:divBdr>
    </w:div>
    <w:div w:id="1716586771">
      <w:bodyDiv w:val="1"/>
      <w:marLeft w:val="0"/>
      <w:marRight w:val="0"/>
      <w:marTop w:val="0"/>
      <w:marBottom w:val="0"/>
      <w:divBdr>
        <w:top w:val="none" w:sz="0" w:space="0" w:color="auto"/>
        <w:left w:val="none" w:sz="0" w:space="0" w:color="auto"/>
        <w:bottom w:val="none" w:sz="0" w:space="0" w:color="auto"/>
        <w:right w:val="none" w:sz="0" w:space="0" w:color="auto"/>
      </w:divBdr>
    </w:div>
    <w:div w:id="1725832848">
      <w:bodyDiv w:val="1"/>
      <w:marLeft w:val="0"/>
      <w:marRight w:val="0"/>
      <w:marTop w:val="0"/>
      <w:marBottom w:val="0"/>
      <w:divBdr>
        <w:top w:val="none" w:sz="0" w:space="0" w:color="auto"/>
        <w:left w:val="none" w:sz="0" w:space="0" w:color="auto"/>
        <w:bottom w:val="none" w:sz="0" w:space="0" w:color="auto"/>
        <w:right w:val="none" w:sz="0" w:space="0" w:color="auto"/>
      </w:divBdr>
    </w:div>
    <w:div w:id="1731952144">
      <w:bodyDiv w:val="1"/>
      <w:marLeft w:val="0"/>
      <w:marRight w:val="0"/>
      <w:marTop w:val="0"/>
      <w:marBottom w:val="0"/>
      <w:divBdr>
        <w:top w:val="none" w:sz="0" w:space="0" w:color="auto"/>
        <w:left w:val="none" w:sz="0" w:space="0" w:color="auto"/>
        <w:bottom w:val="none" w:sz="0" w:space="0" w:color="auto"/>
        <w:right w:val="none" w:sz="0" w:space="0" w:color="auto"/>
      </w:divBdr>
      <w:divsChild>
        <w:div w:id="1989505865">
          <w:marLeft w:val="0"/>
          <w:marRight w:val="0"/>
          <w:marTop w:val="0"/>
          <w:marBottom w:val="0"/>
          <w:divBdr>
            <w:top w:val="none" w:sz="0" w:space="0" w:color="auto"/>
            <w:left w:val="none" w:sz="0" w:space="0" w:color="auto"/>
            <w:bottom w:val="none" w:sz="0" w:space="0" w:color="auto"/>
            <w:right w:val="none" w:sz="0" w:space="0" w:color="auto"/>
          </w:divBdr>
        </w:div>
      </w:divsChild>
    </w:div>
    <w:div w:id="1742605922">
      <w:bodyDiv w:val="1"/>
      <w:marLeft w:val="0"/>
      <w:marRight w:val="0"/>
      <w:marTop w:val="0"/>
      <w:marBottom w:val="0"/>
      <w:divBdr>
        <w:top w:val="none" w:sz="0" w:space="0" w:color="auto"/>
        <w:left w:val="none" w:sz="0" w:space="0" w:color="auto"/>
        <w:bottom w:val="none" w:sz="0" w:space="0" w:color="auto"/>
        <w:right w:val="none" w:sz="0" w:space="0" w:color="auto"/>
      </w:divBdr>
      <w:divsChild>
        <w:div w:id="1772168611">
          <w:marLeft w:val="0"/>
          <w:marRight w:val="0"/>
          <w:marTop w:val="0"/>
          <w:marBottom w:val="0"/>
          <w:divBdr>
            <w:top w:val="none" w:sz="0" w:space="0" w:color="auto"/>
            <w:left w:val="none" w:sz="0" w:space="0" w:color="auto"/>
            <w:bottom w:val="none" w:sz="0" w:space="0" w:color="auto"/>
            <w:right w:val="none" w:sz="0" w:space="0" w:color="auto"/>
          </w:divBdr>
        </w:div>
      </w:divsChild>
    </w:div>
    <w:div w:id="1756592820">
      <w:bodyDiv w:val="1"/>
      <w:marLeft w:val="0"/>
      <w:marRight w:val="0"/>
      <w:marTop w:val="0"/>
      <w:marBottom w:val="0"/>
      <w:divBdr>
        <w:top w:val="none" w:sz="0" w:space="0" w:color="auto"/>
        <w:left w:val="none" w:sz="0" w:space="0" w:color="auto"/>
        <w:bottom w:val="none" w:sz="0" w:space="0" w:color="auto"/>
        <w:right w:val="none" w:sz="0" w:space="0" w:color="auto"/>
      </w:divBdr>
    </w:div>
    <w:div w:id="1761639715">
      <w:bodyDiv w:val="1"/>
      <w:marLeft w:val="0"/>
      <w:marRight w:val="0"/>
      <w:marTop w:val="0"/>
      <w:marBottom w:val="0"/>
      <w:divBdr>
        <w:top w:val="none" w:sz="0" w:space="0" w:color="auto"/>
        <w:left w:val="none" w:sz="0" w:space="0" w:color="auto"/>
        <w:bottom w:val="none" w:sz="0" w:space="0" w:color="auto"/>
        <w:right w:val="none" w:sz="0" w:space="0" w:color="auto"/>
      </w:divBdr>
    </w:div>
    <w:div w:id="1761753784">
      <w:bodyDiv w:val="1"/>
      <w:marLeft w:val="0"/>
      <w:marRight w:val="0"/>
      <w:marTop w:val="0"/>
      <w:marBottom w:val="0"/>
      <w:divBdr>
        <w:top w:val="none" w:sz="0" w:space="0" w:color="auto"/>
        <w:left w:val="none" w:sz="0" w:space="0" w:color="auto"/>
        <w:bottom w:val="none" w:sz="0" w:space="0" w:color="auto"/>
        <w:right w:val="none" w:sz="0" w:space="0" w:color="auto"/>
      </w:divBdr>
    </w:div>
    <w:div w:id="1762674413">
      <w:bodyDiv w:val="1"/>
      <w:marLeft w:val="0"/>
      <w:marRight w:val="0"/>
      <w:marTop w:val="0"/>
      <w:marBottom w:val="0"/>
      <w:divBdr>
        <w:top w:val="none" w:sz="0" w:space="0" w:color="auto"/>
        <w:left w:val="none" w:sz="0" w:space="0" w:color="auto"/>
        <w:bottom w:val="none" w:sz="0" w:space="0" w:color="auto"/>
        <w:right w:val="none" w:sz="0" w:space="0" w:color="auto"/>
      </w:divBdr>
    </w:div>
    <w:div w:id="1767917155">
      <w:bodyDiv w:val="1"/>
      <w:marLeft w:val="0"/>
      <w:marRight w:val="0"/>
      <w:marTop w:val="0"/>
      <w:marBottom w:val="0"/>
      <w:divBdr>
        <w:top w:val="none" w:sz="0" w:space="0" w:color="auto"/>
        <w:left w:val="none" w:sz="0" w:space="0" w:color="auto"/>
        <w:bottom w:val="none" w:sz="0" w:space="0" w:color="auto"/>
        <w:right w:val="none" w:sz="0" w:space="0" w:color="auto"/>
      </w:divBdr>
    </w:div>
    <w:div w:id="1769932050">
      <w:bodyDiv w:val="1"/>
      <w:marLeft w:val="0"/>
      <w:marRight w:val="0"/>
      <w:marTop w:val="0"/>
      <w:marBottom w:val="0"/>
      <w:divBdr>
        <w:top w:val="none" w:sz="0" w:space="0" w:color="auto"/>
        <w:left w:val="none" w:sz="0" w:space="0" w:color="auto"/>
        <w:bottom w:val="none" w:sz="0" w:space="0" w:color="auto"/>
        <w:right w:val="none" w:sz="0" w:space="0" w:color="auto"/>
      </w:divBdr>
      <w:divsChild>
        <w:div w:id="1374231620">
          <w:marLeft w:val="0"/>
          <w:marRight w:val="0"/>
          <w:marTop w:val="0"/>
          <w:marBottom w:val="0"/>
          <w:divBdr>
            <w:top w:val="none" w:sz="0" w:space="0" w:color="auto"/>
            <w:left w:val="none" w:sz="0" w:space="0" w:color="auto"/>
            <w:bottom w:val="none" w:sz="0" w:space="0" w:color="auto"/>
            <w:right w:val="none" w:sz="0" w:space="0" w:color="auto"/>
          </w:divBdr>
        </w:div>
      </w:divsChild>
    </w:div>
    <w:div w:id="1771046917">
      <w:bodyDiv w:val="1"/>
      <w:marLeft w:val="0"/>
      <w:marRight w:val="0"/>
      <w:marTop w:val="0"/>
      <w:marBottom w:val="0"/>
      <w:divBdr>
        <w:top w:val="none" w:sz="0" w:space="0" w:color="auto"/>
        <w:left w:val="none" w:sz="0" w:space="0" w:color="auto"/>
        <w:bottom w:val="none" w:sz="0" w:space="0" w:color="auto"/>
        <w:right w:val="none" w:sz="0" w:space="0" w:color="auto"/>
      </w:divBdr>
      <w:divsChild>
        <w:div w:id="232354720">
          <w:marLeft w:val="0"/>
          <w:marRight w:val="0"/>
          <w:marTop w:val="0"/>
          <w:marBottom w:val="0"/>
          <w:divBdr>
            <w:top w:val="none" w:sz="0" w:space="0" w:color="auto"/>
            <w:left w:val="none" w:sz="0" w:space="0" w:color="auto"/>
            <w:bottom w:val="none" w:sz="0" w:space="0" w:color="auto"/>
            <w:right w:val="none" w:sz="0" w:space="0" w:color="auto"/>
          </w:divBdr>
        </w:div>
      </w:divsChild>
    </w:div>
    <w:div w:id="1772701063">
      <w:bodyDiv w:val="1"/>
      <w:marLeft w:val="0"/>
      <w:marRight w:val="0"/>
      <w:marTop w:val="0"/>
      <w:marBottom w:val="0"/>
      <w:divBdr>
        <w:top w:val="none" w:sz="0" w:space="0" w:color="auto"/>
        <w:left w:val="none" w:sz="0" w:space="0" w:color="auto"/>
        <w:bottom w:val="none" w:sz="0" w:space="0" w:color="auto"/>
        <w:right w:val="none" w:sz="0" w:space="0" w:color="auto"/>
      </w:divBdr>
      <w:divsChild>
        <w:div w:id="2116098689">
          <w:marLeft w:val="0"/>
          <w:marRight w:val="0"/>
          <w:marTop w:val="0"/>
          <w:marBottom w:val="0"/>
          <w:divBdr>
            <w:top w:val="none" w:sz="0" w:space="0" w:color="auto"/>
            <w:left w:val="none" w:sz="0" w:space="0" w:color="auto"/>
            <w:bottom w:val="none" w:sz="0" w:space="0" w:color="auto"/>
            <w:right w:val="none" w:sz="0" w:space="0" w:color="auto"/>
          </w:divBdr>
        </w:div>
      </w:divsChild>
    </w:div>
    <w:div w:id="1781871284">
      <w:bodyDiv w:val="1"/>
      <w:marLeft w:val="0"/>
      <w:marRight w:val="0"/>
      <w:marTop w:val="0"/>
      <w:marBottom w:val="0"/>
      <w:divBdr>
        <w:top w:val="none" w:sz="0" w:space="0" w:color="auto"/>
        <w:left w:val="none" w:sz="0" w:space="0" w:color="auto"/>
        <w:bottom w:val="none" w:sz="0" w:space="0" w:color="auto"/>
        <w:right w:val="none" w:sz="0" w:space="0" w:color="auto"/>
      </w:divBdr>
      <w:divsChild>
        <w:div w:id="999193024">
          <w:marLeft w:val="0"/>
          <w:marRight w:val="0"/>
          <w:marTop w:val="0"/>
          <w:marBottom w:val="0"/>
          <w:divBdr>
            <w:top w:val="none" w:sz="0" w:space="0" w:color="auto"/>
            <w:left w:val="none" w:sz="0" w:space="0" w:color="auto"/>
            <w:bottom w:val="none" w:sz="0" w:space="0" w:color="auto"/>
            <w:right w:val="none" w:sz="0" w:space="0" w:color="auto"/>
          </w:divBdr>
        </w:div>
      </w:divsChild>
    </w:div>
    <w:div w:id="1784377246">
      <w:bodyDiv w:val="1"/>
      <w:marLeft w:val="0"/>
      <w:marRight w:val="0"/>
      <w:marTop w:val="0"/>
      <w:marBottom w:val="0"/>
      <w:divBdr>
        <w:top w:val="none" w:sz="0" w:space="0" w:color="auto"/>
        <w:left w:val="none" w:sz="0" w:space="0" w:color="auto"/>
        <w:bottom w:val="none" w:sz="0" w:space="0" w:color="auto"/>
        <w:right w:val="none" w:sz="0" w:space="0" w:color="auto"/>
      </w:divBdr>
      <w:divsChild>
        <w:div w:id="549147023">
          <w:marLeft w:val="0"/>
          <w:marRight w:val="0"/>
          <w:marTop w:val="0"/>
          <w:marBottom w:val="0"/>
          <w:divBdr>
            <w:top w:val="none" w:sz="0" w:space="0" w:color="auto"/>
            <w:left w:val="none" w:sz="0" w:space="0" w:color="auto"/>
            <w:bottom w:val="none" w:sz="0" w:space="0" w:color="auto"/>
            <w:right w:val="none" w:sz="0" w:space="0" w:color="auto"/>
          </w:divBdr>
        </w:div>
      </w:divsChild>
    </w:div>
    <w:div w:id="1785809893">
      <w:bodyDiv w:val="1"/>
      <w:marLeft w:val="0"/>
      <w:marRight w:val="0"/>
      <w:marTop w:val="0"/>
      <w:marBottom w:val="0"/>
      <w:divBdr>
        <w:top w:val="none" w:sz="0" w:space="0" w:color="auto"/>
        <w:left w:val="none" w:sz="0" w:space="0" w:color="auto"/>
        <w:bottom w:val="none" w:sz="0" w:space="0" w:color="auto"/>
        <w:right w:val="none" w:sz="0" w:space="0" w:color="auto"/>
      </w:divBdr>
    </w:div>
    <w:div w:id="1792363475">
      <w:bodyDiv w:val="1"/>
      <w:marLeft w:val="0"/>
      <w:marRight w:val="0"/>
      <w:marTop w:val="0"/>
      <w:marBottom w:val="0"/>
      <w:divBdr>
        <w:top w:val="none" w:sz="0" w:space="0" w:color="auto"/>
        <w:left w:val="none" w:sz="0" w:space="0" w:color="auto"/>
        <w:bottom w:val="none" w:sz="0" w:space="0" w:color="auto"/>
        <w:right w:val="none" w:sz="0" w:space="0" w:color="auto"/>
      </w:divBdr>
      <w:divsChild>
        <w:div w:id="149249750">
          <w:marLeft w:val="0"/>
          <w:marRight w:val="0"/>
          <w:marTop w:val="0"/>
          <w:marBottom w:val="0"/>
          <w:divBdr>
            <w:top w:val="none" w:sz="0" w:space="0" w:color="auto"/>
            <w:left w:val="none" w:sz="0" w:space="0" w:color="auto"/>
            <w:bottom w:val="none" w:sz="0" w:space="0" w:color="auto"/>
            <w:right w:val="none" w:sz="0" w:space="0" w:color="auto"/>
          </w:divBdr>
        </w:div>
      </w:divsChild>
    </w:div>
    <w:div w:id="1795710498">
      <w:bodyDiv w:val="1"/>
      <w:marLeft w:val="0"/>
      <w:marRight w:val="0"/>
      <w:marTop w:val="0"/>
      <w:marBottom w:val="0"/>
      <w:divBdr>
        <w:top w:val="none" w:sz="0" w:space="0" w:color="auto"/>
        <w:left w:val="none" w:sz="0" w:space="0" w:color="auto"/>
        <w:bottom w:val="none" w:sz="0" w:space="0" w:color="auto"/>
        <w:right w:val="none" w:sz="0" w:space="0" w:color="auto"/>
      </w:divBdr>
    </w:div>
    <w:div w:id="1803570941">
      <w:bodyDiv w:val="1"/>
      <w:marLeft w:val="0"/>
      <w:marRight w:val="0"/>
      <w:marTop w:val="0"/>
      <w:marBottom w:val="0"/>
      <w:divBdr>
        <w:top w:val="none" w:sz="0" w:space="0" w:color="auto"/>
        <w:left w:val="none" w:sz="0" w:space="0" w:color="auto"/>
        <w:bottom w:val="none" w:sz="0" w:space="0" w:color="auto"/>
        <w:right w:val="none" w:sz="0" w:space="0" w:color="auto"/>
      </w:divBdr>
    </w:div>
    <w:div w:id="1804347823">
      <w:bodyDiv w:val="1"/>
      <w:marLeft w:val="0"/>
      <w:marRight w:val="0"/>
      <w:marTop w:val="0"/>
      <w:marBottom w:val="0"/>
      <w:divBdr>
        <w:top w:val="none" w:sz="0" w:space="0" w:color="auto"/>
        <w:left w:val="none" w:sz="0" w:space="0" w:color="auto"/>
        <w:bottom w:val="none" w:sz="0" w:space="0" w:color="auto"/>
        <w:right w:val="none" w:sz="0" w:space="0" w:color="auto"/>
      </w:divBdr>
      <w:divsChild>
        <w:div w:id="781804363">
          <w:marLeft w:val="0"/>
          <w:marRight w:val="0"/>
          <w:marTop w:val="0"/>
          <w:marBottom w:val="0"/>
          <w:divBdr>
            <w:top w:val="none" w:sz="0" w:space="0" w:color="auto"/>
            <w:left w:val="none" w:sz="0" w:space="0" w:color="auto"/>
            <w:bottom w:val="none" w:sz="0" w:space="0" w:color="auto"/>
            <w:right w:val="none" w:sz="0" w:space="0" w:color="auto"/>
          </w:divBdr>
        </w:div>
      </w:divsChild>
    </w:div>
    <w:div w:id="1804735944">
      <w:bodyDiv w:val="1"/>
      <w:marLeft w:val="0"/>
      <w:marRight w:val="0"/>
      <w:marTop w:val="0"/>
      <w:marBottom w:val="0"/>
      <w:divBdr>
        <w:top w:val="none" w:sz="0" w:space="0" w:color="auto"/>
        <w:left w:val="none" w:sz="0" w:space="0" w:color="auto"/>
        <w:bottom w:val="none" w:sz="0" w:space="0" w:color="auto"/>
        <w:right w:val="none" w:sz="0" w:space="0" w:color="auto"/>
      </w:divBdr>
      <w:divsChild>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816338311">
      <w:bodyDiv w:val="1"/>
      <w:marLeft w:val="0"/>
      <w:marRight w:val="0"/>
      <w:marTop w:val="0"/>
      <w:marBottom w:val="0"/>
      <w:divBdr>
        <w:top w:val="none" w:sz="0" w:space="0" w:color="auto"/>
        <w:left w:val="none" w:sz="0" w:space="0" w:color="auto"/>
        <w:bottom w:val="none" w:sz="0" w:space="0" w:color="auto"/>
        <w:right w:val="none" w:sz="0" w:space="0" w:color="auto"/>
      </w:divBdr>
    </w:div>
    <w:div w:id="1818305616">
      <w:bodyDiv w:val="1"/>
      <w:marLeft w:val="0"/>
      <w:marRight w:val="0"/>
      <w:marTop w:val="0"/>
      <w:marBottom w:val="0"/>
      <w:divBdr>
        <w:top w:val="none" w:sz="0" w:space="0" w:color="auto"/>
        <w:left w:val="none" w:sz="0" w:space="0" w:color="auto"/>
        <w:bottom w:val="none" w:sz="0" w:space="0" w:color="auto"/>
        <w:right w:val="none" w:sz="0" w:space="0" w:color="auto"/>
      </w:divBdr>
    </w:div>
    <w:div w:id="1818499583">
      <w:bodyDiv w:val="1"/>
      <w:marLeft w:val="0"/>
      <w:marRight w:val="0"/>
      <w:marTop w:val="0"/>
      <w:marBottom w:val="0"/>
      <w:divBdr>
        <w:top w:val="none" w:sz="0" w:space="0" w:color="auto"/>
        <w:left w:val="none" w:sz="0" w:space="0" w:color="auto"/>
        <w:bottom w:val="none" w:sz="0" w:space="0" w:color="auto"/>
        <w:right w:val="none" w:sz="0" w:space="0" w:color="auto"/>
      </w:divBdr>
    </w:div>
    <w:div w:id="1827698146">
      <w:bodyDiv w:val="1"/>
      <w:marLeft w:val="0"/>
      <w:marRight w:val="0"/>
      <w:marTop w:val="0"/>
      <w:marBottom w:val="0"/>
      <w:divBdr>
        <w:top w:val="none" w:sz="0" w:space="0" w:color="auto"/>
        <w:left w:val="none" w:sz="0" w:space="0" w:color="auto"/>
        <w:bottom w:val="none" w:sz="0" w:space="0" w:color="auto"/>
        <w:right w:val="none" w:sz="0" w:space="0" w:color="auto"/>
      </w:divBdr>
      <w:divsChild>
        <w:div w:id="1524248595">
          <w:marLeft w:val="0"/>
          <w:marRight w:val="0"/>
          <w:marTop w:val="0"/>
          <w:marBottom w:val="0"/>
          <w:divBdr>
            <w:top w:val="none" w:sz="0" w:space="0" w:color="auto"/>
            <w:left w:val="none" w:sz="0" w:space="0" w:color="auto"/>
            <w:bottom w:val="none" w:sz="0" w:space="0" w:color="auto"/>
            <w:right w:val="none" w:sz="0" w:space="0" w:color="auto"/>
          </w:divBdr>
        </w:div>
      </w:divsChild>
    </w:div>
    <w:div w:id="1845439960">
      <w:bodyDiv w:val="1"/>
      <w:marLeft w:val="0"/>
      <w:marRight w:val="0"/>
      <w:marTop w:val="0"/>
      <w:marBottom w:val="0"/>
      <w:divBdr>
        <w:top w:val="none" w:sz="0" w:space="0" w:color="auto"/>
        <w:left w:val="none" w:sz="0" w:space="0" w:color="auto"/>
        <w:bottom w:val="none" w:sz="0" w:space="0" w:color="auto"/>
        <w:right w:val="none" w:sz="0" w:space="0" w:color="auto"/>
      </w:divBdr>
    </w:div>
    <w:div w:id="1849055260">
      <w:bodyDiv w:val="1"/>
      <w:marLeft w:val="0"/>
      <w:marRight w:val="0"/>
      <w:marTop w:val="0"/>
      <w:marBottom w:val="0"/>
      <w:divBdr>
        <w:top w:val="none" w:sz="0" w:space="0" w:color="auto"/>
        <w:left w:val="none" w:sz="0" w:space="0" w:color="auto"/>
        <w:bottom w:val="none" w:sz="0" w:space="0" w:color="auto"/>
        <w:right w:val="none" w:sz="0" w:space="0" w:color="auto"/>
      </w:divBdr>
    </w:div>
    <w:div w:id="1860197716">
      <w:bodyDiv w:val="1"/>
      <w:marLeft w:val="0"/>
      <w:marRight w:val="0"/>
      <w:marTop w:val="0"/>
      <w:marBottom w:val="0"/>
      <w:divBdr>
        <w:top w:val="none" w:sz="0" w:space="0" w:color="auto"/>
        <w:left w:val="none" w:sz="0" w:space="0" w:color="auto"/>
        <w:bottom w:val="none" w:sz="0" w:space="0" w:color="auto"/>
        <w:right w:val="none" w:sz="0" w:space="0" w:color="auto"/>
      </w:divBdr>
    </w:div>
    <w:div w:id="1865633937">
      <w:bodyDiv w:val="1"/>
      <w:marLeft w:val="0"/>
      <w:marRight w:val="0"/>
      <w:marTop w:val="0"/>
      <w:marBottom w:val="0"/>
      <w:divBdr>
        <w:top w:val="none" w:sz="0" w:space="0" w:color="auto"/>
        <w:left w:val="none" w:sz="0" w:space="0" w:color="auto"/>
        <w:bottom w:val="none" w:sz="0" w:space="0" w:color="auto"/>
        <w:right w:val="none" w:sz="0" w:space="0" w:color="auto"/>
      </w:divBdr>
      <w:divsChild>
        <w:div w:id="675304570">
          <w:marLeft w:val="0"/>
          <w:marRight w:val="0"/>
          <w:marTop w:val="0"/>
          <w:marBottom w:val="0"/>
          <w:divBdr>
            <w:top w:val="none" w:sz="0" w:space="0" w:color="auto"/>
            <w:left w:val="none" w:sz="0" w:space="0" w:color="auto"/>
            <w:bottom w:val="none" w:sz="0" w:space="0" w:color="auto"/>
            <w:right w:val="none" w:sz="0" w:space="0" w:color="auto"/>
          </w:divBdr>
        </w:div>
      </w:divsChild>
    </w:div>
    <w:div w:id="1865902548">
      <w:bodyDiv w:val="1"/>
      <w:marLeft w:val="0"/>
      <w:marRight w:val="0"/>
      <w:marTop w:val="0"/>
      <w:marBottom w:val="0"/>
      <w:divBdr>
        <w:top w:val="none" w:sz="0" w:space="0" w:color="auto"/>
        <w:left w:val="none" w:sz="0" w:space="0" w:color="auto"/>
        <w:bottom w:val="none" w:sz="0" w:space="0" w:color="auto"/>
        <w:right w:val="none" w:sz="0" w:space="0" w:color="auto"/>
      </w:divBdr>
    </w:div>
    <w:div w:id="1867133595">
      <w:bodyDiv w:val="1"/>
      <w:marLeft w:val="0"/>
      <w:marRight w:val="0"/>
      <w:marTop w:val="0"/>
      <w:marBottom w:val="0"/>
      <w:divBdr>
        <w:top w:val="none" w:sz="0" w:space="0" w:color="auto"/>
        <w:left w:val="none" w:sz="0" w:space="0" w:color="auto"/>
        <w:bottom w:val="none" w:sz="0" w:space="0" w:color="auto"/>
        <w:right w:val="none" w:sz="0" w:space="0" w:color="auto"/>
      </w:divBdr>
    </w:div>
    <w:div w:id="1878621584">
      <w:bodyDiv w:val="1"/>
      <w:marLeft w:val="0"/>
      <w:marRight w:val="0"/>
      <w:marTop w:val="0"/>
      <w:marBottom w:val="0"/>
      <w:divBdr>
        <w:top w:val="none" w:sz="0" w:space="0" w:color="auto"/>
        <w:left w:val="none" w:sz="0" w:space="0" w:color="auto"/>
        <w:bottom w:val="none" w:sz="0" w:space="0" w:color="auto"/>
        <w:right w:val="none" w:sz="0" w:space="0" w:color="auto"/>
      </w:divBdr>
      <w:divsChild>
        <w:div w:id="1778282577">
          <w:marLeft w:val="0"/>
          <w:marRight w:val="0"/>
          <w:marTop w:val="0"/>
          <w:marBottom w:val="0"/>
          <w:divBdr>
            <w:top w:val="none" w:sz="0" w:space="0" w:color="auto"/>
            <w:left w:val="none" w:sz="0" w:space="0" w:color="auto"/>
            <w:bottom w:val="none" w:sz="0" w:space="0" w:color="auto"/>
            <w:right w:val="none" w:sz="0" w:space="0" w:color="auto"/>
          </w:divBdr>
        </w:div>
      </w:divsChild>
    </w:div>
    <w:div w:id="1885214239">
      <w:bodyDiv w:val="1"/>
      <w:marLeft w:val="0"/>
      <w:marRight w:val="0"/>
      <w:marTop w:val="0"/>
      <w:marBottom w:val="0"/>
      <w:divBdr>
        <w:top w:val="none" w:sz="0" w:space="0" w:color="auto"/>
        <w:left w:val="none" w:sz="0" w:space="0" w:color="auto"/>
        <w:bottom w:val="none" w:sz="0" w:space="0" w:color="auto"/>
        <w:right w:val="none" w:sz="0" w:space="0" w:color="auto"/>
      </w:divBdr>
    </w:div>
    <w:div w:id="1887335115">
      <w:bodyDiv w:val="1"/>
      <w:marLeft w:val="0"/>
      <w:marRight w:val="0"/>
      <w:marTop w:val="0"/>
      <w:marBottom w:val="0"/>
      <w:divBdr>
        <w:top w:val="none" w:sz="0" w:space="0" w:color="auto"/>
        <w:left w:val="none" w:sz="0" w:space="0" w:color="auto"/>
        <w:bottom w:val="none" w:sz="0" w:space="0" w:color="auto"/>
        <w:right w:val="none" w:sz="0" w:space="0" w:color="auto"/>
      </w:divBdr>
    </w:div>
    <w:div w:id="1895509200">
      <w:bodyDiv w:val="1"/>
      <w:marLeft w:val="0"/>
      <w:marRight w:val="0"/>
      <w:marTop w:val="0"/>
      <w:marBottom w:val="0"/>
      <w:divBdr>
        <w:top w:val="none" w:sz="0" w:space="0" w:color="auto"/>
        <w:left w:val="none" w:sz="0" w:space="0" w:color="auto"/>
        <w:bottom w:val="none" w:sz="0" w:space="0" w:color="auto"/>
        <w:right w:val="none" w:sz="0" w:space="0" w:color="auto"/>
      </w:divBdr>
      <w:divsChild>
        <w:div w:id="738290665">
          <w:marLeft w:val="0"/>
          <w:marRight w:val="0"/>
          <w:marTop w:val="0"/>
          <w:marBottom w:val="0"/>
          <w:divBdr>
            <w:top w:val="none" w:sz="0" w:space="0" w:color="auto"/>
            <w:left w:val="none" w:sz="0" w:space="0" w:color="auto"/>
            <w:bottom w:val="none" w:sz="0" w:space="0" w:color="auto"/>
            <w:right w:val="none" w:sz="0" w:space="0" w:color="auto"/>
          </w:divBdr>
        </w:div>
      </w:divsChild>
    </w:div>
    <w:div w:id="1904220394">
      <w:bodyDiv w:val="1"/>
      <w:marLeft w:val="0"/>
      <w:marRight w:val="0"/>
      <w:marTop w:val="0"/>
      <w:marBottom w:val="0"/>
      <w:divBdr>
        <w:top w:val="none" w:sz="0" w:space="0" w:color="auto"/>
        <w:left w:val="none" w:sz="0" w:space="0" w:color="auto"/>
        <w:bottom w:val="none" w:sz="0" w:space="0" w:color="auto"/>
        <w:right w:val="none" w:sz="0" w:space="0" w:color="auto"/>
      </w:divBdr>
    </w:div>
    <w:div w:id="1916818062">
      <w:bodyDiv w:val="1"/>
      <w:marLeft w:val="0"/>
      <w:marRight w:val="0"/>
      <w:marTop w:val="0"/>
      <w:marBottom w:val="0"/>
      <w:divBdr>
        <w:top w:val="none" w:sz="0" w:space="0" w:color="auto"/>
        <w:left w:val="none" w:sz="0" w:space="0" w:color="auto"/>
        <w:bottom w:val="none" w:sz="0" w:space="0" w:color="auto"/>
        <w:right w:val="none" w:sz="0" w:space="0" w:color="auto"/>
      </w:divBdr>
      <w:divsChild>
        <w:div w:id="1540122641">
          <w:marLeft w:val="0"/>
          <w:marRight w:val="0"/>
          <w:marTop w:val="0"/>
          <w:marBottom w:val="0"/>
          <w:divBdr>
            <w:top w:val="none" w:sz="0" w:space="0" w:color="auto"/>
            <w:left w:val="none" w:sz="0" w:space="0" w:color="auto"/>
            <w:bottom w:val="none" w:sz="0" w:space="0" w:color="auto"/>
            <w:right w:val="none" w:sz="0" w:space="0" w:color="auto"/>
          </w:divBdr>
        </w:div>
      </w:divsChild>
    </w:div>
    <w:div w:id="1927419294">
      <w:bodyDiv w:val="1"/>
      <w:marLeft w:val="0"/>
      <w:marRight w:val="0"/>
      <w:marTop w:val="0"/>
      <w:marBottom w:val="0"/>
      <w:divBdr>
        <w:top w:val="none" w:sz="0" w:space="0" w:color="auto"/>
        <w:left w:val="none" w:sz="0" w:space="0" w:color="auto"/>
        <w:bottom w:val="none" w:sz="0" w:space="0" w:color="auto"/>
        <w:right w:val="none" w:sz="0" w:space="0" w:color="auto"/>
      </w:divBdr>
      <w:divsChild>
        <w:div w:id="544373825">
          <w:marLeft w:val="0"/>
          <w:marRight w:val="0"/>
          <w:marTop w:val="0"/>
          <w:marBottom w:val="0"/>
          <w:divBdr>
            <w:top w:val="none" w:sz="0" w:space="0" w:color="auto"/>
            <w:left w:val="none" w:sz="0" w:space="0" w:color="auto"/>
            <w:bottom w:val="none" w:sz="0" w:space="0" w:color="auto"/>
            <w:right w:val="none" w:sz="0" w:space="0" w:color="auto"/>
          </w:divBdr>
          <w:divsChild>
            <w:div w:id="2050915047">
              <w:marLeft w:val="0"/>
              <w:marRight w:val="0"/>
              <w:marTop w:val="0"/>
              <w:marBottom w:val="0"/>
              <w:divBdr>
                <w:top w:val="none" w:sz="0" w:space="0" w:color="auto"/>
                <w:left w:val="none" w:sz="0" w:space="0" w:color="auto"/>
                <w:bottom w:val="none" w:sz="0" w:space="0" w:color="auto"/>
                <w:right w:val="none" w:sz="0" w:space="0" w:color="auto"/>
              </w:divBdr>
              <w:divsChild>
                <w:div w:id="1489591522">
                  <w:marLeft w:val="0"/>
                  <w:marRight w:val="0"/>
                  <w:marTop w:val="0"/>
                  <w:marBottom w:val="0"/>
                  <w:divBdr>
                    <w:top w:val="none" w:sz="0" w:space="0" w:color="auto"/>
                    <w:left w:val="none" w:sz="0" w:space="0" w:color="auto"/>
                    <w:bottom w:val="none" w:sz="0" w:space="0" w:color="auto"/>
                    <w:right w:val="none" w:sz="0" w:space="0" w:color="auto"/>
                  </w:divBdr>
                  <w:divsChild>
                    <w:div w:id="4127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19754">
      <w:bodyDiv w:val="1"/>
      <w:marLeft w:val="0"/>
      <w:marRight w:val="0"/>
      <w:marTop w:val="0"/>
      <w:marBottom w:val="0"/>
      <w:divBdr>
        <w:top w:val="none" w:sz="0" w:space="0" w:color="auto"/>
        <w:left w:val="none" w:sz="0" w:space="0" w:color="auto"/>
        <w:bottom w:val="none" w:sz="0" w:space="0" w:color="auto"/>
        <w:right w:val="none" w:sz="0" w:space="0" w:color="auto"/>
      </w:divBdr>
      <w:divsChild>
        <w:div w:id="1023479595">
          <w:marLeft w:val="0"/>
          <w:marRight w:val="0"/>
          <w:marTop w:val="0"/>
          <w:marBottom w:val="0"/>
          <w:divBdr>
            <w:top w:val="none" w:sz="0" w:space="0" w:color="auto"/>
            <w:left w:val="none" w:sz="0" w:space="0" w:color="auto"/>
            <w:bottom w:val="none" w:sz="0" w:space="0" w:color="auto"/>
            <w:right w:val="none" w:sz="0" w:space="0" w:color="auto"/>
          </w:divBdr>
          <w:divsChild>
            <w:div w:id="926040233">
              <w:marLeft w:val="0"/>
              <w:marRight w:val="0"/>
              <w:marTop w:val="0"/>
              <w:marBottom w:val="0"/>
              <w:divBdr>
                <w:top w:val="none" w:sz="0" w:space="0" w:color="auto"/>
                <w:left w:val="none" w:sz="0" w:space="0" w:color="auto"/>
                <w:bottom w:val="none" w:sz="0" w:space="0" w:color="auto"/>
                <w:right w:val="none" w:sz="0" w:space="0" w:color="auto"/>
              </w:divBdr>
              <w:divsChild>
                <w:div w:id="897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83220">
      <w:bodyDiv w:val="1"/>
      <w:marLeft w:val="0"/>
      <w:marRight w:val="0"/>
      <w:marTop w:val="0"/>
      <w:marBottom w:val="0"/>
      <w:divBdr>
        <w:top w:val="none" w:sz="0" w:space="0" w:color="auto"/>
        <w:left w:val="none" w:sz="0" w:space="0" w:color="auto"/>
        <w:bottom w:val="none" w:sz="0" w:space="0" w:color="auto"/>
        <w:right w:val="none" w:sz="0" w:space="0" w:color="auto"/>
      </w:divBdr>
    </w:div>
    <w:div w:id="1950811798">
      <w:bodyDiv w:val="1"/>
      <w:marLeft w:val="0"/>
      <w:marRight w:val="0"/>
      <w:marTop w:val="0"/>
      <w:marBottom w:val="0"/>
      <w:divBdr>
        <w:top w:val="none" w:sz="0" w:space="0" w:color="auto"/>
        <w:left w:val="none" w:sz="0" w:space="0" w:color="auto"/>
        <w:bottom w:val="none" w:sz="0" w:space="0" w:color="auto"/>
        <w:right w:val="none" w:sz="0" w:space="0" w:color="auto"/>
      </w:divBdr>
      <w:divsChild>
        <w:div w:id="1397246674">
          <w:marLeft w:val="0"/>
          <w:marRight w:val="0"/>
          <w:marTop w:val="0"/>
          <w:marBottom w:val="0"/>
          <w:divBdr>
            <w:top w:val="none" w:sz="0" w:space="0" w:color="auto"/>
            <w:left w:val="none" w:sz="0" w:space="0" w:color="auto"/>
            <w:bottom w:val="none" w:sz="0" w:space="0" w:color="auto"/>
            <w:right w:val="none" w:sz="0" w:space="0" w:color="auto"/>
          </w:divBdr>
        </w:div>
      </w:divsChild>
    </w:div>
    <w:div w:id="1951936935">
      <w:bodyDiv w:val="1"/>
      <w:marLeft w:val="0"/>
      <w:marRight w:val="0"/>
      <w:marTop w:val="0"/>
      <w:marBottom w:val="0"/>
      <w:divBdr>
        <w:top w:val="none" w:sz="0" w:space="0" w:color="auto"/>
        <w:left w:val="none" w:sz="0" w:space="0" w:color="auto"/>
        <w:bottom w:val="none" w:sz="0" w:space="0" w:color="auto"/>
        <w:right w:val="none" w:sz="0" w:space="0" w:color="auto"/>
      </w:divBdr>
    </w:div>
    <w:div w:id="1952280124">
      <w:bodyDiv w:val="1"/>
      <w:marLeft w:val="0"/>
      <w:marRight w:val="0"/>
      <w:marTop w:val="0"/>
      <w:marBottom w:val="0"/>
      <w:divBdr>
        <w:top w:val="none" w:sz="0" w:space="0" w:color="auto"/>
        <w:left w:val="none" w:sz="0" w:space="0" w:color="auto"/>
        <w:bottom w:val="none" w:sz="0" w:space="0" w:color="auto"/>
        <w:right w:val="none" w:sz="0" w:space="0" w:color="auto"/>
      </w:divBdr>
      <w:divsChild>
        <w:div w:id="1862236128">
          <w:marLeft w:val="0"/>
          <w:marRight w:val="0"/>
          <w:marTop w:val="0"/>
          <w:marBottom w:val="0"/>
          <w:divBdr>
            <w:top w:val="none" w:sz="0" w:space="0" w:color="auto"/>
            <w:left w:val="none" w:sz="0" w:space="0" w:color="auto"/>
            <w:bottom w:val="none" w:sz="0" w:space="0" w:color="auto"/>
            <w:right w:val="none" w:sz="0" w:space="0" w:color="auto"/>
          </w:divBdr>
        </w:div>
      </w:divsChild>
    </w:div>
    <w:div w:id="1976133269">
      <w:bodyDiv w:val="1"/>
      <w:marLeft w:val="0"/>
      <w:marRight w:val="0"/>
      <w:marTop w:val="0"/>
      <w:marBottom w:val="0"/>
      <w:divBdr>
        <w:top w:val="none" w:sz="0" w:space="0" w:color="auto"/>
        <w:left w:val="none" w:sz="0" w:space="0" w:color="auto"/>
        <w:bottom w:val="none" w:sz="0" w:space="0" w:color="auto"/>
        <w:right w:val="none" w:sz="0" w:space="0" w:color="auto"/>
      </w:divBdr>
      <w:divsChild>
        <w:div w:id="1606158503">
          <w:marLeft w:val="0"/>
          <w:marRight w:val="0"/>
          <w:marTop w:val="0"/>
          <w:marBottom w:val="0"/>
          <w:divBdr>
            <w:top w:val="none" w:sz="0" w:space="0" w:color="auto"/>
            <w:left w:val="none" w:sz="0" w:space="0" w:color="auto"/>
            <w:bottom w:val="none" w:sz="0" w:space="0" w:color="auto"/>
            <w:right w:val="none" w:sz="0" w:space="0" w:color="auto"/>
          </w:divBdr>
        </w:div>
      </w:divsChild>
    </w:div>
    <w:div w:id="1976183141">
      <w:bodyDiv w:val="1"/>
      <w:marLeft w:val="0"/>
      <w:marRight w:val="0"/>
      <w:marTop w:val="0"/>
      <w:marBottom w:val="0"/>
      <w:divBdr>
        <w:top w:val="none" w:sz="0" w:space="0" w:color="auto"/>
        <w:left w:val="none" w:sz="0" w:space="0" w:color="auto"/>
        <w:bottom w:val="none" w:sz="0" w:space="0" w:color="auto"/>
        <w:right w:val="none" w:sz="0" w:space="0" w:color="auto"/>
      </w:divBdr>
      <w:divsChild>
        <w:div w:id="598174093">
          <w:marLeft w:val="0"/>
          <w:marRight w:val="0"/>
          <w:marTop w:val="0"/>
          <w:marBottom w:val="0"/>
          <w:divBdr>
            <w:top w:val="none" w:sz="0" w:space="0" w:color="auto"/>
            <w:left w:val="none" w:sz="0" w:space="0" w:color="auto"/>
            <w:bottom w:val="none" w:sz="0" w:space="0" w:color="auto"/>
            <w:right w:val="none" w:sz="0" w:space="0" w:color="auto"/>
          </w:divBdr>
        </w:div>
      </w:divsChild>
    </w:div>
    <w:div w:id="1996378552">
      <w:bodyDiv w:val="1"/>
      <w:marLeft w:val="0"/>
      <w:marRight w:val="0"/>
      <w:marTop w:val="0"/>
      <w:marBottom w:val="0"/>
      <w:divBdr>
        <w:top w:val="none" w:sz="0" w:space="0" w:color="auto"/>
        <w:left w:val="none" w:sz="0" w:space="0" w:color="auto"/>
        <w:bottom w:val="none" w:sz="0" w:space="0" w:color="auto"/>
        <w:right w:val="none" w:sz="0" w:space="0" w:color="auto"/>
      </w:divBdr>
    </w:div>
    <w:div w:id="2000110595">
      <w:bodyDiv w:val="1"/>
      <w:marLeft w:val="0"/>
      <w:marRight w:val="0"/>
      <w:marTop w:val="0"/>
      <w:marBottom w:val="0"/>
      <w:divBdr>
        <w:top w:val="none" w:sz="0" w:space="0" w:color="auto"/>
        <w:left w:val="none" w:sz="0" w:space="0" w:color="auto"/>
        <w:bottom w:val="none" w:sz="0" w:space="0" w:color="auto"/>
        <w:right w:val="none" w:sz="0" w:space="0" w:color="auto"/>
      </w:divBdr>
      <w:divsChild>
        <w:div w:id="344484771">
          <w:marLeft w:val="0"/>
          <w:marRight w:val="0"/>
          <w:marTop w:val="0"/>
          <w:marBottom w:val="0"/>
          <w:divBdr>
            <w:top w:val="none" w:sz="0" w:space="0" w:color="auto"/>
            <w:left w:val="none" w:sz="0" w:space="0" w:color="auto"/>
            <w:bottom w:val="none" w:sz="0" w:space="0" w:color="auto"/>
            <w:right w:val="none" w:sz="0" w:space="0" w:color="auto"/>
          </w:divBdr>
        </w:div>
      </w:divsChild>
    </w:div>
    <w:div w:id="2001809451">
      <w:bodyDiv w:val="1"/>
      <w:marLeft w:val="0"/>
      <w:marRight w:val="0"/>
      <w:marTop w:val="0"/>
      <w:marBottom w:val="0"/>
      <w:divBdr>
        <w:top w:val="none" w:sz="0" w:space="0" w:color="auto"/>
        <w:left w:val="none" w:sz="0" w:space="0" w:color="auto"/>
        <w:bottom w:val="none" w:sz="0" w:space="0" w:color="auto"/>
        <w:right w:val="none" w:sz="0" w:space="0" w:color="auto"/>
      </w:divBdr>
      <w:divsChild>
        <w:div w:id="252512870">
          <w:marLeft w:val="0"/>
          <w:marRight w:val="0"/>
          <w:marTop w:val="0"/>
          <w:marBottom w:val="0"/>
          <w:divBdr>
            <w:top w:val="none" w:sz="0" w:space="0" w:color="auto"/>
            <w:left w:val="none" w:sz="0" w:space="0" w:color="auto"/>
            <w:bottom w:val="none" w:sz="0" w:space="0" w:color="auto"/>
            <w:right w:val="none" w:sz="0" w:space="0" w:color="auto"/>
          </w:divBdr>
        </w:div>
      </w:divsChild>
    </w:div>
    <w:div w:id="2006977318">
      <w:bodyDiv w:val="1"/>
      <w:marLeft w:val="0"/>
      <w:marRight w:val="0"/>
      <w:marTop w:val="0"/>
      <w:marBottom w:val="0"/>
      <w:divBdr>
        <w:top w:val="none" w:sz="0" w:space="0" w:color="auto"/>
        <w:left w:val="none" w:sz="0" w:space="0" w:color="auto"/>
        <w:bottom w:val="none" w:sz="0" w:space="0" w:color="auto"/>
        <w:right w:val="none" w:sz="0" w:space="0" w:color="auto"/>
      </w:divBdr>
    </w:div>
    <w:div w:id="2013217231">
      <w:bodyDiv w:val="1"/>
      <w:marLeft w:val="0"/>
      <w:marRight w:val="0"/>
      <w:marTop w:val="0"/>
      <w:marBottom w:val="0"/>
      <w:divBdr>
        <w:top w:val="none" w:sz="0" w:space="0" w:color="auto"/>
        <w:left w:val="none" w:sz="0" w:space="0" w:color="auto"/>
        <w:bottom w:val="none" w:sz="0" w:space="0" w:color="auto"/>
        <w:right w:val="none" w:sz="0" w:space="0" w:color="auto"/>
      </w:divBdr>
      <w:divsChild>
        <w:div w:id="1063871762">
          <w:marLeft w:val="0"/>
          <w:marRight w:val="0"/>
          <w:marTop w:val="0"/>
          <w:marBottom w:val="0"/>
          <w:divBdr>
            <w:top w:val="none" w:sz="0" w:space="0" w:color="auto"/>
            <w:left w:val="none" w:sz="0" w:space="0" w:color="auto"/>
            <w:bottom w:val="none" w:sz="0" w:space="0" w:color="auto"/>
            <w:right w:val="none" w:sz="0" w:space="0" w:color="auto"/>
          </w:divBdr>
        </w:div>
      </w:divsChild>
    </w:div>
    <w:div w:id="2014140652">
      <w:bodyDiv w:val="1"/>
      <w:marLeft w:val="0"/>
      <w:marRight w:val="0"/>
      <w:marTop w:val="0"/>
      <w:marBottom w:val="0"/>
      <w:divBdr>
        <w:top w:val="none" w:sz="0" w:space="0" w:color="auto"/>
        <w:left w:val="none" w:sz="0" w:space="0" w:color="auto"/>
        <w:bottom w:val="none" w:sz="0" w:space="0" w:color="auto"/>
        <w:right w:val="none" w:sz="0" w:space="0" w:color="auto"/>
      </w:divBdr>
      <w:divsChild>
        <w:div w:id="1589921233">
          <w:marLeft w:val="0"/>
          <w:marRight w:val="0"/>
          <w:marTop w:val="0"/>
          <w:marBottom w:val="0"/>
          <w:divBdr>
            <w:top w:val="none" w:sz="0" w:space="0" w:color="auto"/>
            <w:left w:val="none" w:sz="0" w:space="0" w:color="auto"/>
            <w:bottom w:val="none" w:sz="0" w:space="0" w:color="auto"/>
            <w:right w:val="none" w:sz="0" w:space="0" w:color="auto"/>
          </w:divBdr>
        </w:div>
      </w:divsChild>
    </w:div>
    <w:div w:id="2016029344">
      <w:bodyDiv w:val="1"/>
      <w:marLeft w:val="0"/>
      <w:marRight w:val="0"/>
      <w:marTop w:val="0"/>
      <w:marBottom w:val="0"/>
      <w:divBdr>
        <w:top w:val="none" w:sz="0" w:space="0" w:color="auto"/>
        <w:left w:val="none" w:sz="0" w:space="0" w:color="auto"/>
        <w:bottom w:val="none" w:sz="0" w:space="0" w:color="auto"/>
        <w:right w:val="none" w:sz="0" w:space="0" w:color="auto"/>
      </w:divBdr>
    </w:div>
    <w:div w:id="2028481352">
      <w:bodyDiv w:val="1"/>
      <w:marLeft w:val="0"/>
      <w:marRight w:val="0"/>
      <w:marTop w:val="0"/>
      <w:marBottom w:val="0"/>
      <w:divBdr>
        <w:top w:val="none" w:sz="0" w:space="0" w:color="auto"/>
        <w:left w:val="none" w:sz="0" w:space="0" w:color="auto"/>
        <w:bottom w:val="none" w:sz="0" w:space="0" w:color="auto"/>
        <w:right w:val="none" w:sz="0" w:space="0" w:color="auto"/>
      </w:divBdr>
      <w:divsChild>
        <w:div w:id="1540819945">
          <w:marLeft w:val="0"/>
          <w:marRight w:val="0"/>
          <w:marTop w:val="0"/>
          <w:marBottom w:val="0"/>
          <w:divBdr>
            <w:top w:val="none" w:sz="0" w:space="0" w:color="auto"/>
            <w:left w:val="none" w:sz="0" w:space="0" w:color="auto"/>
            <w:bottom w:val="none" w:sz="0" w:space="0" w:color="auto"/>
            <w:right w:val="none" w:sz="0" w:space="0" w:color="auto"/>
          </w:divBdr>
        </w:div>
      </w:divsChild>
    </w:div>
    <w:div w:id="2033721415">
      <w:bodyDiv w:val="1"/>
      <w:marLeft w:val="0"/>
      <w:marRight w:val="0"/>
      <w:marTop w:val="0"/>
      <w:marBottom w:val="0"/>
      <w:divBdr>
        <w:top w:val="none" w:sz="0" w:space="0" w:color="auto"/>
        <w:left w:val="none" w:sz="0" w:space="0" w:color="auto"/>
        <w:bottom w:val="none" w:sz="0" w:space="0" w:color="auto"/>
        <w:right w:val="none" w:sz="0" w:space="0" w:color="auto"/>
      </w:divBdr>
    </w:div>
    <w:div w:id="2035037157">
      <w:bodyDiv w:val="1"/>
      <w:marLeft w:val="0"/>
      <w:marRight w:val="0"/>
      <w:marTop w:val="0"/>
      <w:marBottom w:val="0"/>
      <w:divBdr>
        <w:top w:val="none" w:sz="0" w:space="0" w:color="auto"/>
        <w:left w:val="none" w:sz="0" w:space="0" w:color="auto"/>
        <w:bottom w:val="none" w:sz="0" w:space="0" w:color="auto"/>
        <w:right w:val="none" w:sz="0" w:space="0" w:color="auto"/>
      </w:divBdr>
      <w:divsChild>
        <w:div w:id="2026132209">
          <w:marLeft w:val="0"/>
          <w:marRight w:val="0"/>
          <w:marTop w:val="0"/>
          <w:marBottom w:val="0"/>
          <w:divBdr>
            <w:top w:val="none" w:sz="0" w:space="0" w:color="auto"/>
            <w:left w:val="none" w:sz="0" w:space="0" w:color="auto"/>
            <w:bottom w:val="none" w:sz="0" w:space="0" w:color="auto"/>
            <w:right w:val="none" w:sz="0" w:space="0" w:color="auto"/>
          </w:divBdr>
          <w:divsChild>
            <w:div w:id="212625325">
              <w:marLeft w:val="0"/>
              <w:marRight w:val="0"/>
              <w:marTop w:val="0"/>
              <w:marBottom w:val="0"/>
              <w:divBdr>
                <w:top w:val="none" w:sz="0" w:space="0" w:color="auto"/>
                <w:left w:val="none" w:sz="0" w:space="0" w:color="auto"/>
                <w:bottom w:val="none" w:sz="0" w:space="0" w:color="auto"/>
                <w:right w:val="none" w:sz="0" w:space="0" w:color="auto"/>
              </w:divBdr>
              <w:divsChild>
                <w:div w:id="18036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7923">
      <w:bodyDiv w:val="1"/>
      <w:marLeft w:val="0"/>
      <w:marRight w:val="0"/>
      <w:marTop w:val="0"/>
      <w:marBottom w:val="0"/>
      <w:divBdr>
        <w:top w:val="none" w:sz="0" w:space="0" w:color="auto"/>
        <w:left w:val="none" w:sz="0" w:space="0" w:color="auto"/>
        <w:bottom w:val="none" w:sz="0" w:space="0" w:color="auto"/>
        <w:right w:val="none" w:sz="0" w:space="0" w:color="auto"/>
      </w:divBdr>
    </w:div>
    <w:div w:id="2047367747">
      <w:bodyDiv w:val="1"/>
      <w:marLeft w:val="0"/>
      <w:marRight w:val="0"/>
      <w:marTop w:val="0"/>
      <w:marBottom w:val="0"/>
      <w:divBdr>
        <w:top w:val="none" w:sz="0" w:space="0" w:color="auto"/>
        <w:left w:val="none" w:sz="0" w:space="0" w:color="auto"/>
        <w:bottom w:val="none" w:sz="0" w:space="0" w:color="auto"/>
        <w:right w:val="none" w:sz="0" w:space="0" w:color="auto"/>
      </w:divBdr>
    </w:div>
    <w:div w:id="2049448715">
      <w:bodyDiv w:val="1"/>
      <w:marLeft w:val="0"/>
      <w:marRight w:val="0"/>
      <w:marTop w:val="0"/>
      <w:marBottom w:val="0"/>
      <w:divBdr>
        <w:top w:val="none" w:sz="0" w:space="0" w:color="auto"/>
        <w:left w:val="none" w:sz="0" w:space="0" w:color="auto"/>
        <w:bottom w:val="none" w:sz="0" w:space="0" w:color="auto"/>
        <w:right w:val="none" w:sz="0" w:space="0" w:color="auto"/>
      </w:divBdr>
    </w:div>
    <w:div w:id="2051418540">
      <w:bodyDiv w:val="1"/>
      <w:marLeft w:val="0"/>
      <w:marRight w:val="0"/>
      <w:marTop w:val="0"/>
      <w:marBottom w:val="0"/>
      <w:divBdr>
        <w:top w:val="none" w:sz="0" w:space="0" w:color="auto"/>
        <w:left w:val="none" w:sz="0" w:space="0" w:color="auto"/>
        <w:bottom w:val="none" w:sz="0" w:space="0" w:color="auto"/>
        <w:right w:val="none" w:sz="0" w:space="0" w:color="auto"/>
      </w:divBdr>
    </w:div>
    <w:div w:id="2054191863">
      <w:bodyDiv w:val="1"/>
      <w:marLeft w:val="0"/>
      <w:marRight w:val="0"/>
      <w:marTop w:val="0"/>
      <w:marBottom w:val="0"/>
      <w:divBdr>
        <w:top w:val="none" w:sz="0" w:space="0" w:color="auto"/>
        <w:left w:val="none" w:sz="0" w:space="0" w:color="auto"/>
        <w:bottom w:val="none" w:sz="0" w:space="0" w:color="auto"/>
        <w:right w:val="none" w:sz="0" w:space="0" w:color="auto"/>
      </w:divBdr>
    </w:div>
    <w:div w:id="2057243479">
      <w:bodyDiv w:val="1"/>
      <w:marLeft w:val="0"/>
      <w:marRight w:val="0"/>
      <w:marTop w:val="0"/>
      <w:marBottom w:val="0"/>
      <w:divBdr>
        <w:top w:val="none" w:sz="0" w:space="0" w:color="auto"/>
        <w:left w:val="none" w:sz="0" w:space="0" w:color="auto"/>
        <w:bottom w:val="none" w:sz="0" w:space="0" w:color="auto"/>
        <w:right w:val="none" w:sz="0" w:space="0" w:color="auto"/>
      </w:divBdr>
      <w:divsChild>
        <w:div w:id="333532035">
          <w:marLeft w:val="0"/>
          <w:marRight w:val="0"/>
          <w:marTop w:val="0"/>
          <w:marBottom w:val="0"/>
          <w:divBdr>
            <w:top w:val="none" w:sz="0" w:space="0" w:color="auto"/>
            <w:left w:val="none" w:sz="0" w:space="0" w:color="auto"/>
            <w:bottom w:val="none" w:sz="0" w:space="0" w:color="auto"/>
            <w:right w:val="none" w:sz="0" w:space="0" w:color="auto"/>
          </w:divBdr>
        </w:div>
      </w:divsChild>
    </w:div>
    <w:div w:id="2058430572">
      <w:bodyDiv w:val="1"/>
      <w:marLeft w:val="0"/>
      <w:marRight w:val="0"/>
      <w:marTop w:val="0"/>
      <w:marBottom w:val="0"/>
      <w:divBdr>
        <w:top w:val="none" w:sz="0" w:space="0" w:color="auto"/>
        <w:left w:val="none" w:sz="0" w:space="0" w:color="auto"/>
        <w:bottom w:val="none" w:sz="0" w:space="0" w:color="auto"/>
        <w:right w:val="none" w:sz="0" w:space="0" w:color="auto"/>
      </w:divBdr>
    </w:div>
    <w:div w:id="2065789757">
      <w:bodyDiv w:val="1"/>
      <w:marLeft w:val="0"/>
      <w:marRight w:val="0"/>
      <w:marTop w:val="0"/>
      <w:marBottom w:val="0"/>
      <w:divBdr>
        <w:top w:val="none" w:sz="0" w:space="0" w:color="auto"/>
        <w:left w:val="none" w:sz="0" w:space="0" w:color="auto"/>
        <w:bottom w:val="none" w:sz="0" w:space="0" w:color="auto"/>
        <w:right w:val="none" w:sz="0" w:space="0" w:color="auto"/>
      </w:divBdr>
      <w:divsChild>
        <w:div w:id="1334529016">
          <w:marLeft w:val="0"/>
          <w:marRight w:val="0"/>
          <w:marTop w:val="0"/>
          <w:marBottom w:val="0"/>
          <w:divBdr>
            <w:top w:val="none" w:sz="0" w:space="0" w:color="auto"/>
            <w:left w:val="none" w:sz="0" w:space="0" w:color="auto"/>
            <w:bottom w:val="none" w:sz="0" w:space="0" w:color="auto"/>
            <w:right w:val="none" w:sz="0" w:space="0" w:color="auto"/>
          </w:divBdr>
          <w:divsChild>
            <w:div w:id="623466284">
              <w:marLeft w:val="0"/>
              <w:marRight w:val="0"/>
              <w:marTop w:val="0"/>
              <w:marBottom w:val="0"/>
              <w:divBdr>
                <w:top w:val="none" w:sz="0" w:space="0" w:color="auto"/>
                <w:left w:val="none" w:sz="0" w:space="0" w:color="auto"/>
                <w:bottom w:val="none" w:sz="0" w:space="0" w:color="auto"/>
                <w:right w:val="none" w:sz="0" w:space="0" w:color="auto"/>
              </w:divBdr>
              <w:divsChild>
                <w:div w:id="3883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7925">
      <w:bodyDiv w:val="1"/>
      <w:marLeft w:val="0"/>
      <w:marRight w:val="0"/>
      <w:marTop w:val="0"/>
      <w:marBottom w:val="0"/>
      <w:divBdr>
        <w:top w:val="none" w:sz="0" w:space="0" w:color="auto"/>
        <w:left w:val="none" w:sz="0" w:space="0" w:color="auto"/>
        <w:bottom w:val="none" w:sz="0" w:space="0" w:color="auto"/>
        <w:right w:val="none" w:sz="0" w:space="0" w:color="auto"/>
      </w:divBdr>
    </w:div>
    <w:div w:id="2078549866">
      <w:bodyDiv w:val="1"/>
      <w:marLeft w:val="0"/>
      <w:marRight w:val="0"/>
      <w:marTop w:val="0"/>
      <w:marBottom w:val="0"/>
      <w:divBdr>
        <w:top w:val="none" w:sz="0" w:space="0" w:color="auto"/>
        <w:left w:val="none" w:sz="0" w:space="0" w:color="auto"/>
        <w:bottom w:val="none" w:sz="0" w:space="0" w:color="auto"/>
        <w:right w:val="none" w:sz="0" w:space="0" w:color="auto"/>
      </w:divBdr>
    </w:div>
    <w:div w:id="2086419361">
      <w:bodyDiv w:val="1"/>
      <w:marLeft w:val="0"/>
      <w:marRight w:val="0"/>
      <w:marTop w:val="0"/>
      <w:marBottom w:val="0"/>
      <w:divBdr>
        <w:top w:val="none" w:sz="0" w:space="0" w:color="auto"/>
        <w:left w:val="none" w:sz="0" w:space="0" w:color="auto"/>
        <w:bottom w:val="none" w:sz="0" w:space="0" w:color="auto"/>
        <w:right w:val="none" w:sz="0" w:space="0" w:color="auto"/>
      </w:divBdr>
    </w:div>
    <w:div w:id="2096896197">
      <w:bodyDiv w:val="1"/>
      <w:marLeft w:val="0"/>
      <w:marRight w:val="0"/>
      <w:marTop w:val="0"/>
      <w:marBottom w:val="0"/>
      <w:divBdr>
        <w:top w:val="none" w:sz="0" w:space="0" w:color="auto"/>
        <w:left w:val="none" w:sz="0" w:space="0" w:color="auto"/>
        <w:bottom w:val="none" w:sz="0" w:space="0" w:color="auto"/>
        <w:right w:val="none" w:sz="0" w:space="0" w:color="auto"/>
      </w:divBdr>
    </w:div>
    <w:div w:id="2101482595">
      <w:bodyDiv w:val="1"/>
      <w:marLeft w:val="0"/>
      <w:marRight w:val="0"/>
      <w:marTop w:val="0"/>
      <w:marBottom w:val="0"/>
      <w:divBdr>
        <w:top w:val="none" w:sz="0" w:space="0" w:color="auto"/>
        <w:left w:val="none" w:sz="0" w:space="0" w:color="auto"/>
        <w:bottom w:val="none" w:sz="0" w:space="0" w:color="auto"/>
        <w:right w:val="none" w:sz="0" w:space="0" w:color="auto"/>
      </w:divBdr>
      <w:divsChild>
        <w:div w:id="736514254">
          <w:marLeft w:val="0"/>
          <w:marRight w:val="0"/>
          <w:marTop w:val="0"/>
          <w:marBottom w:val="0"/>
          <w:divBdr>
            <w:top w:val="none" w:sz="0" w:space="0" w:color="auto"/>
            <w:left w:val="none" w:sz="0" w:space="0" w:color="auto"/>
            <w:bottom w:val="none" w:sz="0" w:space="0" w:color="auto"/>
            <w:right w:val="none" w:sz="0" w:space="0" w:color="auto"/>
          </w:divBdr>
        </w:div>
      </w:divsChild>
    </w:div>
    <w:div w:id="2109962760">
      <w:bodyDiv w:val="1"/>
      <w:marLeft w:val="0"/>
      <w:marRight w:val="0"/>
      <w:marTop w:val="0"/>
      <w:marBottom w:val="0"/>
      <w:divBdr>
        <w:top w:val="none" w:sz="0" w:space="0" w:color="auto"/>
        <w:left w:val="none" w:sz="0" w:space="0" w:color="auto"/>
        <w:bottom w:val="none" w:sz="0" w:space="0" w:color="auto"/>
        <w:right w:val="none" w:sz="0" w:space="0" w:color="auto"/>
      </w:divBdr>
    </w:div>
    <w:div w:id="2111049844">
      <w:bodyDiv w:val="1"/>
      <w:marLeft w:val="0"/>
      <w:marRight w:val="0"/>
      <w:marTop w:val="0"/>
      <w:marBottom w:val="0"/>
      <w:divBdr>
        <w:top w:val="none" w:sz="0" w:space="0" w:color="auto"/>
        <w:left w:val="none" w:sz="0" w:space="0" w:color="auto"/>
        <w:bottom w:val="none" w:sz="0" w:space="0" w:color="auto"/>
        <w:right w:val="none" w:sz="0" w:space="0" w:color="auto"/>
      </w:divBdr>
    </w:div>
    <w:div w:id="2111467367">
      <w:bodyDiv w:val="1"/>
      <w:marLeft w:val="0"/>
      <w:marRight w:val="0"/>
      <w:marTop w:val="0"/>
      <w:marBottom w:val="0"/>
      <w:divBdr>
        <w:top w:val="none" w:sz="0" w:space="0" w:color="auto"/>
        <w:left w:val="none" w:sz="0" w:space="0" w:color="auto"/>
        <w:bottom w:val="none" w:sz="0" w:space="0" w:color="auto"/>
        <w:right w:val="none" w:sz="0" w:space="0" w:color="auto"/>
      </w:divBdr>
      <w:divsChild>
        <w:div w:id="599026792">
          <w:marLeft w:val="0"/>
          <w:marRight w:val="0"/>
          <w:marTop w:val="0"/>
          <w:marBottom w:val="0"/>
          <w:divBdr>
            <w:top w:val="none" w:sz="0" w:space="0" w:color="auto"/>
            <w:left w:val="none" w:sz="0" w:space="0" w:color="auto"/>
            <w:bottom w:val="none" w:sz="0" w:space="0" w:color="auto"/>
            <w:right w:val="none" w:sz="0" w:space="0" w:color="auto"/>
          </w:divBdr>
        </w:div>
      </w:divsChild>
    </w:div>
    <w:div w:id="2127507161">
      <w:bodyDiv w:val="1"/>
      <w:marLeft w:val="0"/>
      <w:marRight w:val="0"/>
      <w:marTop w:val="0"/>
      <w:marBottom w:val="0"/>
      <w:divBdr>
        <w:top w:val="none" w:sz="0" w:space="0" w:color="auto"/>
        <w:left w:val="none" w:sz="0" w:space="0" w:color="auto"/>
        <w:bottom w:val="none" w:sz="0" w:space="0" w:color="auto"/>
        <w:right w:val="none" w:sz="0" w:space="0" w:color="auto"/>
      </w:divBdr>
      <w:divsChild>
        <w:div w:id="2116513853">
          <w:marLeft w:val="0"/>
          <w:marRight w:val="0"/>
          <w:marTop w:val="0"/>
          <w:marBottom w:val="0"/>
          <w:divBdr>
            <w:top w:val="none" w:sz="0" w:space="0" w:color="auto"/>
            <w:left w:val="none" w:sz="0" w:space="0" w:color="auto"/>
            <w:bottom w:val="none" w:sz="0" w:space="0" w:color="auto"/>
            <w:right w:val="none" w:sz="0" w:space="0" w:color="auto"/>
          </w:divBdr>
          <w:divsChild>
            <w:div w:id="1597441848">
              <w:marLeft w:val="0"/>
              <w:marRight w:val="0"/>
              <w:marTop w:val="0"/>
              <w:marBottom w:val="0"/>
              <w:divBdr>
                <w:top w:val="none" w:sz="0" w:space="0" w:color="auto"/>
                <w:left w:val="none" w:sz="0" w:space="0" w:color="auto"/>
                <w:bottom w:val="none" w:sz="0" w:space="0" w:color="auto"/>
                <w:right w:val="none" w:sz="0" w:space="0" w:color="auto"/>
              </w:divBdr>
              <w:divsChild>
                <w:div w:id="1795908337">
                  <w:marLeft w:val="0"/>
                  <w:marRight w:val="0"/>
                  <w:marTop w:val="0"/>
                  <w:marBottom w:val="0"/>
                  <w:divBdr>
                    <w:top w:val="none" w:sz="0" w:space="0" w:color="auto"/>
                    <w:left w:val="none" w:sz="0" w:space="0" w:color="auto"/>
                    <w:bottom w:val="none" w:sz="0" w:space="0" w:color="auto"/>
                    <w:right w:val="none" w:sz="0" w:space="0" w:color="auto"/>
                  </w:divBdr>
                  <w:divsChild>
                    <w:div w:id="1132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17322">
      <w:bodyDiv w:val="1"/>
      <w:marLeft w:val="0"/>
      <w:marRight w:val="0"/>
      <w:marTop w:val="0"/>
      <w:marBottom w:val="0"/>
      <w:divBdr>
        <w:top w:val="none" w:sz="0" w:space="0" w:color="auto"/>
        <w:left w:val="none" w:sz="0" w:space="0" w:color="auto"/>
        <w:bottom w:val="none" w:sz="0" w:space="0" w:color="auto"/>
        <w:right w:val="none" w:sz="0" w:space="0" w:color="auto"/>
      </w:divBdr>
    </w:div>
    <w:div w:id="2134783197">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 w:id="2144955865">
      <w:bodyDiv w:val="1"/>
      <w:marLeft w:val="0"/>
      <w:marRight w:val="0"/>
      <w:marTop w:val="0"/>
      <w:marBottom w:val="0"/>
      <w:divBdr>
        <w:top w:val="none" w:sz="0" w:space="0" w:color="auto"/>
        <w:left w:val="none" w:sz="0" w:space="0" w:color="auto"/>
        <w:bottom w:val="none" w:sz="0" w:space="0" w:color="auto"/>
        <w:right w:val="none" w:sz="0" w:space="0" w:color="auto"/>
      </w:divBdr>
      <w:divsChild>
        <w:div w:id="138185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esr.org/sites/default/files/matter.of_.justice.pdf" TargetMode="External"/><Relationship Id="rId2" Type="http://schemas.openxmlformats.org/officeDocument/2006/relationships/hyperlink" Target="https://www.who.int/hhr/news/hrba_to_health2.pdf" TargetMode="External"/><Relationship Id="rId1" Type="http://schemas.openxmlformats.org/officeDocument/2006/relationships/hyperlink" Target="http://repository.essex.ac.uk/9681/1/Hunt_proof%5B1%5D.pdf" TargetMode="External"/><Relationship Id="rId4" Type="http://schemas.openxmlformats.org/officeDocument/2006/relationships/hyperlink" Target="https://www.unrisd.org/rp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162C-5D54-E045-A362-B6B3F9D9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11895</Words>
  <Characters>69706</Characters>
  <Application>Microsoft Office Word</Application>
  <DocSecurity>0</DocSecurity>
  <Lines>995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dcterms:created xsi:type="dcterms:W3CDTF">2021-04-15T13:23:00Z</dcterms:created>
  <dcterms:modified xsi:type="dcterms:W3CDTF">2021-04-15T13:23:00Z</dcterms:modified>
</cp:coreProperties>
</file>