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BD71" w14:textId="3CAA6680" w:rsidR="006F4282" w:rsidRPr="006B3E77" w:rsidRDefault="006F4282" w:rsidP="006F4282">
      <w:pPr>
        <w:rPr>
          <w:b/>
          <w:bCs/>
        </w:rPr>
      </w:pPr>
      <w:r w:rsidRPr="006B3E77">
        <w:rPr>
          <w:b/>
          <w:bCs/>
        </w:rPr>
        <w:t xml:space="preserve">Sociodemographic differences in </w:t>
      </w:r>
      <w:r>
        <w:rPr>
          <w:b/>
          <w:bCs/>
        </w:rPr>
        <w:t xml:space="preserve">self-reported </w:t>
      </w:r>
      <w:r w:rsidRPr="006B3E77">
        <w:rPr>
          <w:b/>
          <w:bCs/>
        </w:rPr>
        <w:t xml:space="preserve">exposure to </w:t>
      </w:r>
      <w:r w:rsidR="00884D78" w:rsidRPr="007271D7">
        <w:rPr>
          <w:b/>
          <w:bCs/>
        </w:rPr>
        <w:t xml:space="preserve">high fat, salt and sugar food and </w:t>
      </w:r>
      <w:r w:rsidRPr="007271D7">
        <w:rPr>
          <w:b/>
          <w:bCs/>
        </w:rPr>
        <w:t xml:space="preserve">drink advertising: a cross-sectional analysis of </w:t>
      </w:r>
      <w:r w:rsidR="00F27A9E" w:rsidRPr="007271D7">
        <w:rPr>
          <w:b/>
          <w:bCs/>
        </w:rPr>
        <w:t xml:space="preserve">2019 </w:t>
      </w:r>
      <w:r w:rsidRPr="007271D7">
        <w:rPr>
          <w:b/>
          <w:bCs/>
        </w:rPr>
        <w:t>UK panel data</w:t>
      </w:r>
      <w:r>
        <w:rPr>
          <w:b/>
          <w:bCs/>
        </w:rPr>
        <w:t xml:space="preserve"> </w:t>
      </w:r>
    </w:p>
    <w:p w14:paraId="43A4489B" w14:textId="77777777" w:rsidR="006F4282" w:rsidRDefault="006F4282" w:rsidP="006F4282"/>
    <w:p w14:paraId="108230C3" w14:textId="356F2647" w:rsidR="006F4282" w:rsidRPr="00374619" w:rsidRDefault="006F4282" w:rsidP="006F4282">
      <w:pPr>
        <w:rPr>
          <w:rFonts w:ascii="Calibri" w:hAnsi="Calibri"/>
          <w:vertAlign w:val="superscript"/>
        </w:rPr>
      </w:pPr>
      <w:r w:rsidRPr="00374619">
        <w:rPr>
          <w:rFonts w:ascii="Calibri" w:hAnsi="Calibri"/>
        </w:rPr>
        <w:t>Amy Yau</w:t>
      </w:r>
      <w:r w:rsidRPr="00374619">
        <w:rPr>
          <w:rFonts w:ascii="Calibri" w:hAnsi="Calibri"/>
          <w:vertAlign w:val="superscript"/>
        </w:rPr>
        <w:t>1</w:t>
      </w:r>
      <w:r w:rsidRPr="00374619">
        <w:rPr>
          <w:rFonts w:ascii="Calibri" w:hAnsi="Calibri"/>
        </w:rPr>
        <w:t xml:space="preserve">, </w:t>
      </w:r>
      <w:r w:rsidRPr="00374619">
        <w:rPr>
          <w:rFonts w:ascii="Calibri" w:eastAsia="Times New Roman" w:hAnsi="Calibri" w:cs="Arial"/>
        </w:rPr>
        <w:t>Jean Adams</w:t>
      </w:r>
      <w:r w:rsidRPr="00374619">
        <w:rPr>
          <w:rFonts w:ascii="Calibri" w:eastAsia="Times New Roman" w:hAnsi="Calibri" w:cs="Arial"/>
          <w:vertAlign w:val="superscript"/>
        </w:rPr>
        <w:t>2</w:t>
      </w:r>
      <w:r w:rsidRPr="00374619">
        <w:rPr>
          <w:rFonts w:ascii="Calibri" w:eastAsia="Times New Roman" w:hAnsi="Calibri" w:cs="Arial"/>
        </w:rPr>
        <w:t>, Emma Boyland</w:t>
      </w:r>
      <w:r w:rsidRPr="00374619">
        <w:rPr>
          <w:rFonts w:ascii="Calibri" w:eastAsia="Times New Roman" w:hAnsi="Calibri" w:cs="Arial"/>
          <w:vertAlign w:val="superscript"/>
        </w:rPr>
        <w:t>3</w:t>
      </w:r>
      <w:r w:rsidRPr="00374619">
        <w:rPr>
          <w:rFonts w:ascii="Calibri" w:eastAsia="Times New Roman" w:hAnsi="Calibri" w:cs="Arial"/>
        </w:rPr>
        <w:t>, Thomas Burgoine</w:t>
      </w:r>
      <w:r w:rsidRPr="00374619">
        <w:rPr>
          <w:rFonts w:ascii="Calibri" w:eastAsia="Times New Roman" w:hAnsi="Calibri" w:cs="Arial"/>
          <w:vertAlign w:val="superscript"/>
        </w:rPr>
        <w:t>2</w:t>
      </w:r>
      <w:r w:rsidRPr="00374619">
        <w:rPr>
          <w:rFonts w:ascii="Calibri" w:eastAsia="Times New Roman" w:hAnsi="Calibri" w:cs="Arial"/>
        </w:rPr>
        <w:t xml:space="preserve">, </w:t>
      </w:r>
      <w:r w:rsidR="00A67065">
        <w:rPr>
          <w:rFonts w:ascii="Calibri" w:eastAsia="Times New Roman" w:hAnsi="Calibri" w:cs="Arial"/>
        </w:rPr>
        <w:t>Laura Cornelsen</w:t>
      </w:r>
      <w:r w:rsidR="00A67065" w:rsidRPr="00374619">
        <w:rPr>
          <w:rFonts w:ascii="Calibri" w:hAnsi="Calibri"/>
          <w:vertAlign w:val="superscript"/>
        </w:rPr>
        <w:t>1</w:t>
      </w:r>
      <w:r w:rsidR="00A67065">
        <w:rPr>
          <w:rFonts w:ascii="Calibri" w:eastAsia="Times New Roman" w:hAnsi="Calibri" w:cs="Arial"/>
        </w:rPr>
        <w:t xml:space="preserve">, </w:t>
      </w:r>
      <w:r w:rsidRPr="00374619">
        <w:rPr>
          <w:rFonts w:ascii="Calibri" w:eastAsia="Times New Roman" w:hAnsi="Calibri" w:cs="Arial"/>
        </w:rPr>
        <w:t>Frank de Vocht</w:t>
      </w:r>
      <w:r w:rsidRPr="00374619">
        <w:rPr>
          <w:rFonts w:ascii="Calibri" w:eastAsia="Times New Roman" w:hAnsi="Calibri" w:cs="Arial"/>
          <w:vertAlign w:val="superscript"/>
        </w:rPr>
        <w:t>4,5</w:t>
      </w:r>
      <w:r w:rsidRPr="00374619">
        <w:rPr>
          <w:rFonts w:ascii="Calibri" w:eastAsia="Times New Roman" w:hAnsi="Calibri" w:cs="Arial"/>
        </w:rPr>
        <w:t>, Matt Egan</w:t>
      </w:r>
      <w:r w:rsidRPr="00374619">
        <w:rPr>
          <w:rFonts w:ascii="Calibri" w:eastAsia="Times New Roman" w:hAnsi="Calibri" w:cs="Arial"/>
          <w:vertAlign w:val="superscript"/>
        </w:rPr>
        <w:t>6</w:t>
      </w:r>
      <w:r w:rsidRPr="00374619">
        <w:rPr>
          <w:rFonts w:ascii="Calibri" w:eastAsia="Times New Roman" w:hAnsi="Calibri" w:cs="Arial"/>
        </w:rPr>
        <w:t xml:space="preserve">, </w:t>
      </w:r>
      <w:r w:rsidR="00A67065">
        <w:rPr>
          <w:rFonts w:ascii="Calibri" w:eastAsia="Times New Roman" w:hAnsi="Calibri" w:cs="Arial"/>
        </w:rPr>
        <w:t>Vanessa Er</w:t>
      </w:r>
      <w:r w:rsidR="00A67065" w:rsidRPr="00374619">
        <w:rPr>
          <w:rFonts w:ascii="Calibri" w:hAnsi="Calibri"/>
          <w:vertAlign w:val="superscript"/>
        </w:rPr>
        <w:t>1</w:t>
      </w:r>
      <w:r w:rsidR="00A67065">
        <w:rPr>
          <w:rFonts w:ascii="Calibri" w:eastAsia="Times New Roman" w:hAnsi="Calibri" w:cs="Arial"/>
        </w:rPr>
        <w:t xml:space="preserve">, </w:t>
      </w:r>
      <w:r w:rsidRPr="00374619">
        <w:rPr>
          <w:rFonts w:ascii="Calibri" w:eastAsia="Times New Roman" w:hAnsi="Calibri" w:cs="Arial"/>
        </w:rPr>
        <w:t>Amelia A Lake</w:t>
      </w:r>
      <w:r w:rsidRPr="00374619">
        <w:rPr>
          <w:rFonts w:ascii="Calibri" w:eastAsia="Times New Roman" w:hAnsi="Calibri" w:cs="Arial"/>
          <w:vertAlign w:val="superscript"/>
        </w:rPr>
        <w:t>7</w:t>
      </w:r>
      <w:r>
        <w:rPr>
          <w:rFonts w:ascii="Calibri" w:eastAsia="Times New Roman" w:hAnsi="Calibri" w:cs="Arial"/>
          <w:vertAlign w:val="superscript"/>
        </w:rPr>
        <w:t>,8</w:t>
      </w:r>
      <w:r w:rsidRPr="00374619">
        <w:rPr>
          <w:rFonts w:ascii="Calibri" w:eastAsia="Times New Roman" w:hAnsi="Calibri" w:cs="Arial"/>
        </w:rPr>
        <w:t>, Karen Lock</w:t>
      </w:r>
      <w:r>
        <w:rPr>
          <w:rFonts w:ascii="Calibri" w:eastAsia="Times New Roman" w:hAnsi="Calibri" w:cs="Arial"/>
          <w:vertAlign w:val="superscript"/>
        </w:rPr>
        <w:t>9</w:t>
      </w:r>
      <w:r w:rsidRPr="00374619">
        <w:rPr>
          <w:rFonts w:ascii="Calibri" w:eastAsia="Times New Roman" w:hAnsi="Calibri" w:cs="Arial"/>
        </w:rPr>
        <w:t>, Oliver Mytton</w:t>
      </w:r>
      <w:r w:rsidRPr="00374619">
        <w:rPr>
          <w:rFonts w:ascii="Calibri" w:eastAsia="Times New Roman" w:hAnsi="Calibri" w:cs="Arial"/>
          <w:vertAlign w:val="superscript"/>
        </w:rPr>
        <w:t>2</w:t>
      </w:r>
      <w:r w:rsidRPr="00374619">
        <w:rPr>
          <w:rFonts w:ascii="Calibri" w:eastAsia="Times New Roman" w:hAnsi="Calibri" w:cs="Arial"/>
        </w:rPr>
        <w:t>, Mark Petticrew</w:t>
      </w:r>
      <w:r w:rsidRPr="00374619">
        <w:rPr>
          <w:rFonts w:ascii="Calibri" w:eastAsia="Times New Roman" w:hAnsi="Calibri" w:cs="Arial"/>
          <w:vertAlign w:val="superscript"/>
        </w:rPr>
        <w:t>6</w:t>
      </w:r>
      <w:r w:rsidRPr="00374619">
        <w:rPr>
          <w:rFonts w:ascii="Calibri" w:eastAsia="Times New Roman" w:hAnsi="Calibri" w:cs="Arial"/>
        </w:rPr>
        <w:t>, Claire Thompson</w:t>
      </w:r>
      <w:r>
        <w:rPr>
          <w:rFonts w:ascii="Calibri" w:eastAsia="Times New Roman" w:hAnsi="Calibri" w:cs="Arial"/>
          <w:vertAlign w:val="superscript"/>
        </w:rPr>
        <w:t>10</w:t>
      </w:r>
      <w:r w:rsidRPr="00374619">
        <w:rPr>
          <w:rFonts w:ascii="Calibri" w:eastAsia="Times New Roman" w:hAnsi="Calibri" w:cs="Arial"/>
        </w:rPr>
        <w:t>, Martin White</w:t>
      </w:r>
      <w:r w:rsidRPr="00374619">
        <w:rPr>
          <w:rFonts w:ascii="Calibri" w:eastAsia="Times New Roman" w:hAnsi="Calibri" w:cs="Arial"/>
          <w:vertAlign w:val="superscript"/>
        </w:rPr>
        <w:t>2</w:t>
      </w:r>
      <w:r w:rsidRPr="00374619">
        <w:rPr>
          <w:rFonts w:ascii="Calibri" w:eastAsia="Times New Roman" w:hAnsi="Calibri" w:cs="Arial"/>
        </w:rPr>
        <w:t>,</w:t>
      </w:r>
      <w:r w:rsidRPr="00374619">
        <w:rPr>
          <w:rFonts w:ascii="Calibri" w:hAnsi="Calibri"/>
        </w:rPr>
        <w:t xml:space="preserve"> Steven Cummins</w:t>
      </w:r>
      <w:r w:rsidRPr="00374619">
        <w:rPr>
          <w:rFonts w:ascii="Calibri" w:hAnsi="Calibri"/>
          <w:vertAlign w:val="superscript"/>
        </w:rPr>
        <w:t>1</w:t>
      </w:r>
    </w:p>
    <w:p w14:paraId="6D956322" w14:textId="77777777" w:rsidR="006F4282" w:rsidRPr="00374619" w:rsidRDefault="006F4282" w:rsidP="006F4282">
      <w:pPr>
        <w:rPr>
          <w:rFonts w:ascii="Calibri" w:eastAsia="Times New Roman" w:hAnsi="Calibri" w:cs="Arial"/>
        </w:rPr>
      </w:pPr>
    </w:p>
    <w:p w14:paraId="1708F555" w14:textId="07BE09A8" w:rsidR="006F4282" w:rsidRPr="00374619" w:rsidRDefault="006F4282" w:rsidP="006F4282">
      <w:pPr>
        <w:rPr>
          <w:rFonts w:ascii="Calibri" w:eastAsia="Times New Roman" w:hAnsi="Calibri" w:cs="Arial"/>
        </w:rPr>
      </w:pPr>
      <w:r w:rsidRPr="00F24A2A">
        <w:rPr>
          <w:rFonts w:ascii="Calibri" w:eastAsia="Times New Roman" w:hAnsi="Calibri" w:cs="Arial"/>
          <w:b/>
          <w:bCs/>
        </w:rPr>
        <w:t>1</w:t>
      </w:r>
      <w:r w:rsidRPr="00374619">
        <w:rPr>
          <w:rFonts w:ascii="Calibri" w:eastAsia="Times New Roman" w:hAnsi="Calibri" w:cs="Arial"/>
        </w:rPr>
        <w:t xml:space="preserve"> Population Health Innovation Lab, Department of Public Health, Environments &amp; Society, Faculty of Public Health &amp; Policy, London School of Hygiene &amp; Tropical Medicine, </w:t>
      </w:r>
      <w:r w:rsidR="00DA2B9D">
        <w:rPr>
          <w:rFonts w:ascii="Calibri" w:eastAsia="Times New Roman" w:hAnsi="Calibri" w:cs="Arial"/>
        </w:rPr>
        <w:t xml:space="preserve">London, </w:t>
      </w:r>
      <w:r w:rsidRPr="00374619">
        <w:rPr>
          <w:rFonts w:ascii="Calibri" w:eastAsia="Times New Roman" w:hAnsi="Calibri" w:cs="Arial"/>
        </w:rPr>
        <w:t>United Kingdom</w:t>
      </w:r>
    </w:p>
    <w:p w14:paraId="4DB87999" w14:textId="77777777" w:rsidR="006F4282" w:rsidRPr="00374619" w:rsidRDefault="006F4282" w:rsidP="006F4282">
      <w:pPr>
        <w:rPr>
          <w:rFonts w:ascii="Calibri" w:eastAsia="Times New Roman" w:hAnsi="Calibri" w:cs="Arial"/>
        </w:rPr>
      </w:pPr>
      <w:r w:rsidRPr="00F24A2A">
        <w:rPr>
          <w:rFonts w:ascii="Calibri" w:eastAsia="Times New Roman" w:hAnsi="Calibri" w:cs="Arial"/>
          <w:b/>
          <w:bCs/>
        </w:rPr>
        <w:t xml:space="preserve">2 </w:t>
      </w:r>
      <w:r w:rsidRPr="00374619">
        <w:rPr>
          <w:rFonts w:ascii="Calibri" w:eastAsia="Times New Roman" w:hAnsi="Calibri" w:cs="Arial"/>
        </w:rPr>
        <w:t>Centre for Diet &amp; Activity Research, MRC Epidemiology Unit, University of Cambridge, Cambridge, United Kingdom</w:t>
      </w:r>
    </w:p>
    <w:p w14:paraId="391DB381" w14:textId="77777777" w:rsidR="006F4282" w:rsidRPr="00374619" w:rsidRDefault="006F4282" w:rsidP="006F4282">
      <w:pPr>
        <w:rPr>
          <w:rFonts w:ascii="Calibri" w:eastAsia="Times New Roman" w:hAnsi="Calibri" w:cs="Arial"/>
        </w:rPr>
      </w:pPr>
      <w:r w:rsidRPr="00F24A2A">
        <w:rPr>
          <w:rFonts w:ascii="Calibri" w:eastAsia="Times New Roman" w:hAnsi="Calibri" w:cs="Arial"/>
          <w:b/>
          <w:bCs/>
        </w:rPr>
        <w:t>3</w:t>
      </w:r>
      <w:r w:rsidRPr="00374619">
        <w:rPr>
          <w:rFonts w:ascii="Calibri" w:eastAsia="Times New Roman" w:hAnsi="Calibri" w:cs="Arial"/>
        </w:rPr>
        <w:t xml:space="preserve"> Department of Psychology, Institute of Population Health, University of Liverpool, Liverpool, United Kingdom  </w:t>
      </w:r>
    </w:p>
    <w:p w14:paraId="437C3C4C" w14:textId="77777777" w:rsidR="006F4282" w:rsidRPr="00374619" w:rsidRDefault="006F4282" w:rsidP="006F4282">
      <w:pPr>
        <w:rPr>
          <w:rFonts w:ascii="Calibri" w:eastAsia="Times New Roman" w:hAnsi="Calibri" w:cs="Arial"/>
        </w:rPr>
      </w:pPr>
      <w:r w:rsidRPr="00F24A2A">
        <w:rPr>
          <w:rFonts w:ascii="Calibri" w:eastAsia="Times New Roman" w:hAnsi="Calibri" w:cs="Arial"/>
          <w:b/>
          <w:bCs/>
        </w:rPr>
        <w:t>4</w:t>
      </w:r>
      <w:r w:rsidRPr="00374619">
        <w:rPr>
          <w:rFonts w:ascii="Calibri" w:eastAsia="Times New Roman" w:hAnsi="Calibri" w:cs="Arial"/>
        </w:rPr>
        <w:t xml:space="preserve"> Population Health Sciences, Bristol Medical School, University of Bristol, United Kingdom </w:t>
      </w:r>
    </w:p>
    <w:p w14:paraId="102200AF" w14:textId="77777777" w:rsidR="006F4282" w:rsidRPr="00374619" w:rsidRDefault="006F4282" w:rsidP="006F4282">
      <w:pPr>
        <w:rPr>
          <w:rFonts w:ascii="Calibri" w:eastAsia="Times New Roman" w:hAnsi="Calibri" w:cs="Arial"/>
        </w:rPr>
      </w:pPr>
      <w:r w:rsidRPr="00F24A2A">
        <w:rPr>
          <w:rFonts w:ascii="Calibri" w:eastAsia="Times New Roman" w:hAnsi="Calibri" w:cs="Arial"/>
          <w:b/>
          <w:bCs/>
        </w:rPr>
        <w:t>5</w:t>
      </w:r>
      <w:r w:rsidRPr="00374619">
        <w:rPr>
          <w:rFonts w:ascii="Calibri" w:eastAsia="Times New Roman" w:hAnsi="Calibri" w:cs="Arial"/>
        </w:rPr>
        <w:t xml:space="preserve"> </w:t>
      </w:r>
      <w:r w:rsidRPr="00374619">
        <w:rPr>
          <w:rFonts w:ascii="Calibri" w:hAnsi="Calibri" w:cs="Times New Roman"/>
        </w:rPr>
        <w:t>National Institute for Health Research Applied Research Collaboration West (NIHR ARC West)</w:t>
      </w:r>
      <w:r>
        <w:rPr>
          <w:rFonts w:ascii="Calibri" w:hAnsi="Calibri" w:cs="Times New Roman"/>
        </w:rPr>
        <w:t xml:space="preserve">, Bristol, United Kingdom </w:t>
      </w:r>
    </w:p>
    <w:p w14:paraId="03810196" w14:textId="4423CF1E" w:rsidR="006F4282" w:rsidRPr="00374619" w:rsidRDefault="006F4282" w:rsidP="006F4282">
      <w:pPr>
        <w:rPr>
          <w:rFonts w:ascii="Calibri" w:eastAsia="Times New Roman" w:hAnsi="Calibri" w:cs="Arial"/>
        </w:rPr>
      </w:pPr>
      <w:r w:rsidRPr="00F24A2A">
        <w:rPr>
          <w:rFonts w:ascii="Calibri" w:eastAsia="Times New Roman" w:hAnsi="Calibri" w:cs="Arial"/>
          <w:b/>
          <w:bCs/>
        </w:rPr>
        <w:t>6</w:t>
      </w:r>
      <w:r w:rsidRPr="00374619">
        <w:rPr>
          <w:rFonts w:ascii="Calibri" w:eastAsia="Times New Roman" w:hAnsi="Calibri" w:cs="Arial"/>
        </w:rPr>
        <w:t xml:space="preserve"> Department of Public Health, Environments &amp; Society, Faculty of Public Health &amp; Policy, London School of Hygiene &amp; Tropical Medicine,</w:t>
      </w:r>
      <w:r w:rsidR="00DA2B9D">
        <w:rPr>
          <w:rFonts w:ascii="Calibri" w:eastAsia="Times New Roman" w:hAnsi="Calibri" w:cs="Arial"/>
        </w:rPr>
        <w:t xml:space="preserve"> London,</w:t>
      </w:r>
      <w:r w:rsidRPr="00374619">
        <w:rPr>
          <w:rFonts w:ascii="Calibri" w:eastAsia="Times New Roman" w:hAnsi="Calibri" w:cs="Arial"/>
        </w:rPr>
        <w:t xml:space="preserve"> United Kingdom</w:t>
      </w:r>
    </w:p>
    <w:p w14:paraId="072679F7" w14:textId="26BF76BC" w:rsidR="006F4282" w:rsidRPr="00374619" w:rsidRDefault="006F4282" w:rsidP="006F4282">
      <w:pPr>
        <w:rPr>
          <w:rFonts w:ascii="Calibri" w:eastAsia="Times New Roman" w:hAnsi="Calibri" w:cs="Arial"/>
        </w:rPr>
      </w:pPr>
      <w:r w:rsidRPr="00F24A2A">
        <w:rPr>
          <w:rFonts w:ascii="Calibri" w:eastAsia="Times New Roman" w:hAnsi="Calibri" w:cs="Arial"/>
          <w:b/>
          <w:bCs/>
        </w:rPr>
        <w:t>7</w:t>
      </w:r>
      <w:r w:rsidRPr="00374619">
        <w:rPr>
          <w:rFonts w:ascii="Calibri" w:eastAsia="Times New Roman" w:hAnsi="Calibri" w:cs="Arial"/>
        </w:rPr>
        <w:t xml:space="preserve"> Centre for Public Health Research, School of Health and Life Sciences</w:t>
      </w:r>
      <w:r w:rsidR="0045642A">
        <w:rPr>
          <w:rFonts w:ascii="Calibri" w:eastAsia="Times New Roman" w:hAnsi="Calibri" w:cs="Arial"/>
        </w:rPr>
        <w:t>,</w:t>
      </w:r>
      <w:r w:rsidRPr="00374619">
        <w:rPr>
          <w:rFonts w:ascii="Calibri" w:eastAsia="Times New Roman" w:hAnsi="Calibri" w:cs="Arial"/>
        </w:rPr>
        <w:t xml:space="preserve"> Teesside University, Middlesbrough, United Kingdom</w:t>
      </w:r>
    </w:p>
    <w:p w14:paraId="6A219B1F" w14:textId="77777777" w:rsidR="006F4282" w:rsidRPr="00374619" w:rsidRDefault="006F4282" w:rsidP="006F4282">
      <w:pPr>
        <w:rPr>
          <w:rFonts w:ascii="Calibri" w:eastAsia="Times New Roman" w:hAnsi="Calibri" w:cs="Arial"/>
          <w:color w:val="000000" w:themeColor="text1"/>
        </w:rPr>
      </w:pPr>
      <w:r w:rsidRPr="00F24A2A">
        <w:rPr>
          <w:rFonts w:ascii="Calibri" w:hAnsi="Calibri" w:cs="Arial"/>
          <w:b/>
          <w:bCs/>
          <w:color w:val="000000" w:themeColor="text1"/>
          <w:shd w:val="clear" w:color="auto" w:fill="FFFFFF"/>
        </w:rPr>
        <w:t>8</w:t>
      </w:r>
      <w:r w:rsidRPr="00374619">
        <w:rPr>
          <w:rFonts w:ascii="Calibri" w:hAnsi="Calibri" w:cs="Arial"/>
          <w:color w:val="000000" w:themeColor="text1"/>
          <w:shd w:val="clear" w:color="auto" w:fill="FFFFFF"/>
        </w:rPr>
        <w:t xml:space="preserve"> Fuse, The Centre for Translational Research in Public Health, Newcastle upon Tyne, United Kingdom</w:t>
      </w:r>
    </w:p>
    <w:p w14:paraId="2648DC6A" w14:textId="4B83AE06" w:rsidR="006F4282" w:rsidRPr="00374619" w:rsidRDefault="006F4282" w:rsidP="006F4282">
      <w:pPr>
        <w:rPr>
          <w:rFonts w:ascii="Calibri" w:eastAsia="Times New Roman" w:hAnsi="Calibri" w:cs="Arial"/>
        </w:rPr>
      </w:pPr>
      <w:r w:rsidRPr="00F24A2A">
        <w:rPr>
          <w:rFonts w:ascii="Calibri" w:eastAsia="Times New Roman" w:hAnsi="Calibri" w:cs="Arial"/>
          <w:b/>
          <w:bCs/>
        </w:rPr>
        <w:t>9</w:t>
      </w:r>
      <w:r w:rsidRPr="00374619">
        <w:rPr>
          <w:rFonts w:ascii="Calibri" w:eastAsia="Times New Roman" w:hAnsi="Calibri" w:cs="Arial"/>
        </w:rPr>
        <w:t xml:space="preserve"> Department of Health Services Research &amp; Policy, Faculty of Public Health &amp; Policy, London School of Hygiene &amp; Tropical Medicine, </w:t>
      </w:r>
      <w:r w:rsidR="00DA2B9D">
        <w:rPr>
          <w:rFonts w:ascii="Calibri" w:eastAsia="Times New Roman" w:hAnsi="Calibri" w:cs="Arial"/>
        </w:rPr>
        <w:t xml:space="preserve">London, </w:t>
      </w:r>
      <w:r w:rsidRPr="00374619">
        <w:rPr>
          <w:rFonts w:ascii="Calibri" w:eastAsia="Times New Roman" w:hAnsi="Calibri" w:cs="Arial"/>
        </w:rPr>
        <w:t>United Kingdom</w:t>
      </w:r>
    </w:p>
    <w:p w14:paraId="543C946A" w14:textId="77777777" w:rsidR="006F4282" w:rsidRPr="00374619" w:rsidRDefault="006F4282" w:rsidP="006F4282">
      <w:pPr>
        <w:rPr>
          <w:rFonts w:ascii="Calibri" w:eastAsia="Times New Roman" w:hAnsi="Calibri" w:cs="Arial"/>
        </w:rPr>
      </w:pPr>
      <w:r w:rsidRPr="00F24A2A">
        <w:rPr>
          <w:rFonts w:ascii="Calibri" w:eastAsia="Times New Roman" w:hAnsi="Calibri" w:cs="Arial"/>
          <w:b/>
          <w:bCs/>
        </w:rPr>
        <w:t>10</w:t>
      </w:r>
      <w:r w:rsidRPr="00374619">
        <w:rPr>
          <w:rFonts w:ascii="Calibri" w:eastAsia="Times New Roman" w:hAnsi="Calibri" w:cs="Arial"/>
        </w:rPr>
        <w:t xml:space="preserve"> Centre for Research in Public Health and Community Care, School of Health and Social Work, University of Hertfordshire, Hatfield, United Kingdom </w:t>
      </w:r>
    </w:p>
    <w:p w14:paraId="33169268" w14:textId="77777777" w:rsidR="006F4282" w:rsidRDefault="006F4282" w:rsidP="006F4282"/>
    <w:p w14:paraId="3149CEAA" w14:textId="6FA1DCEB" w:rsidR="00722862" w:rsidRPr="004D3636" w:rsidRDefault="006F4282" w:rsidP="00722862">
      <w:pPr>
        <w:rPr>
          <w:rFonts w:ascii="Times New Roman" w:eastAsia="Times New Roman" w:hAnsi="Times New Roman" w:cs="Times New Roman"/>
        </w:rPr>
      </w:pPr>
      <w:r>
        <w:t>Corresponding author: Amy Yau (</w:t>
      </w:r>
      <w:hyperlink r:id="rId11" w:history="1">
        <w:r w:rsidRPr="007A7D39">
          <w:rPr>
            <w:rStyle w:val="Hyperlink"/>
          </w:rPr>
          <w:t>amy.yau@lshtm.ac.uk</w:t>
        </w:r>
      </w:hyperlink>
      <w:r>
        <w:t>)</w:t>
      </w:r>
      <w:r w:rsidR="00722862">
        <w:t>, London School of Hygiene &amp; Tropical Medicine</w:t>
      </w:r>
      <w:r w:rsidR="00722862" w:rsidRPr="004D3636">
        <w:rPr>
          <w:rFonts w:ascii="Calibri" w:hAnsi="Calibri" w:cs="Calibri"/>
        </w:rPr>
        <w:t xml:space="preserve">, </w:t>
      </w:r>
      <w:r w:rsidR="00722862" w:rsidRPr="004D3636">
        <w:rPr>
          <w:rFonts w:ascii="Calibri" w:eastAsia="Times New Roman" w:hAnsi="Calibri" w:cs="Calibri"/>
        </w:rPr>
        <w:t>15-17 Tavistock Place</w:t>
      </w:r>
      <w:r w:rsidR="00722862">
        <w:rPr>
          <w:rFonts w:ascii="Calibri" w:eastAsia="Times New Roman" w:hAnsi="Calibri" w:cs="Calibri"/>
        </w:rPr>
        <w:t xml:space="preserve">, </w:t>
      </w:r>
      <w:r w:rsidR="00722862" w:rsidRPr="004D3636">
        <w:rPr>
          <w:rFonts w:ascii="Calibri" w:eastAsia="Times New Roman" w:hAnsi="Calibri" w:cs="Calibri"/>
        </w:rPr>
        <w:t>London WC1H 9SH</w:t>
      </w:r>
    </w:p>
    <w:p w14:paraId="03FB68D7" w14:textId="778A25B3" w:rsidR="006F4282" w:rsidRDefault="006F4282" w:rsidP="006F4282">
      <w:r>
        <w:t xml:space="preserve"> </w:t>
      </w:r>
    </w:p>
    <w:p w14:paraId="7B40C793" w14:textId="6A13C629" w:rsidR="00D821F5" w:rsidRDefault="00D821F5"/>
    <w:p w14:paraId="52430A81" w14:textId="53A9D56E" w:rsidR="00A60216" w:rsidRDefault="00D821F5">
      <w:r>
        <w:t xml:space="preserve">Word count: </w:t>
      </w:r>
      <w:r w:rsidR="009137F7">
        <w:t>42</w:t>
      </w:r>
      <w:r w:rsidR="007271D7">
        <w:t>14</w:t>
      </w:r>
      <w:r w:rsidR="00A60216">
        <w:br w:type="page"/>
      </w:r>
    </w:p>
    <w:p w14:paraId="0447214F" w14:textId="31004C91" w:rsidR="00A94967" w:rsidRDefault="00A60216" w:rsidP="002A0FEE">
      <w:pPr>
        <w:spacing w:line="480" w:lineRule="auto"/>
        <w:rPr>
          <w:b/>
          <w:bCs/>
        </w:rPr>
      </w:pPr>
      <w:r w:rsidRPr="00A60216">
        <w:rPr>
          <w:b/>
          <w:bCs/>
        </w:rPr>
        <w:lastRenderedPageBreak/>
        <w:t>ABSTRACT</w:t>
      </w:r>
    </w:p>
    <w:p w14:paraId="5BD4E798" w14:textId="35A2B6CF" w:rsidR="009648FC" w:rsidRDefault="009648FC" w:rsidP="00615C44">
      <w:pPr>
        <w:spacing w:line="480" w:lineRule="auto"/>
        <w:contextualSpacing/>
      </w:pPr>
      <w:r>
        <w:rPr>
          <w:b/>
          <w:bCs/>
        </w:rPr>
        <w:t>Objectives</w:t>
      </w:r>
      <w:r w:rsidR="00810C9F">
        <w:t xml:space="preserve"> </w:t>
      </w:r>
      <w:r>
        <w:t>To</w:t>
      </w:r>
      <w:r w:rsidR="00810C9F">
        <w:t xml:space="preserve"> </w:t>
      </w:r>
      <w:r w:rsidR="007D0ECA">
        <w:t>explore</w:t>
      </w:r>
      <w:r w:rsidR="005969DC">
        <w:t xml:space="preserve"> </w:t>
      </w:r>
      <w:r w:rsidR="00F770C7">
        <w:t>sociodemographic</w:t>
      </w:r>
      <w:r w:rsidR="00A62AB1">
        <w:t xml:space="preserve"> </w:t>
      </w:r>
      <w:r w:rsidR="00F770C7">
        <w:t>differences in exposure to</w:t>
      </w:r>
      <w:r w:rsidR="00E5451C">
        <w:t xml:space="preserve"> advertising</w:t>
      </w:r>
      <w:r>
        <w:t xml:space="preserve"> for food</w:t>
      </w:r>
      <w:r w:rsidR="007D0ECA">
        <w:t>s</w:t>
      </w:r>
      <w:r>
        <w:t xml:space="preserve"> and drink</w:t>
      </w:r>
      <w:r w:rsidR="007D0ECA">
        <w:t>s</w:t>
      </w:r>
      <w:r>
        <w:t xml:space="preserve"> high in fat, salt and sugar (HFSS) </w:t>
      </w:r>
      <w:r w:rsidR="00BC3D3F">
        <w:t>and</w:t>
      </w:r>
      <w:r w:rsidR="005969DC">
        <w:t xml:space="preserve"> </w:t>
      </w:r>
      <w:r w:rsidR="00DA42BB">
        <w:t xml:space="preserve">whether exposure </w:t>
      </w:r>
      <w:r w:rsidR="005969DC">
        <w:t>is</w:t>
      </w:r>
      <w:r w:rsidR="00BC3D3F">
        <w:t xml:space="preserve"> associat</w:t>
      </w:r>
      <w:r w:rsidR="005969DC">
        <w:t>ed</w:t>
      </w:r>
      <w:r w:rsidR="00BC3D3F">
        <w:t xml:space="preserve"> with </w:t>
      </w:r>
      <w:r w:rsidR="007D0ECA">
        <w:t>body mass index (BMI)</w:t>
      </w:r>
      <w:r w:rsidR="00642B38">
        <w:t>.</w:t>
      </w:r>
    </w:p>
    <w:p w14:paraId="7FDA7CA2" w14:textId="77777777" w:rsidR="007D0ECA" w:rsidRDefault="007D0ECA" w:rsidP="00615C44">
      <w:pPr>
        <w:spacing w:line="480" w:lineRule="auto"/>
        <w:contextualSpacing/>
      </w:pPr>
    </w:p>
    <w:p w14:paraId="4E49BFCD" w14:textId="11384ABE" w:rsidR="009648FC" w:rsidRDefault="009648FC" w:rsidP="00615C44">
      <w:pPr>
        <w:spacing w:line="480" w:lineRule="auto"/>
        <w:contextualSpacing/>
        <w:rPr>
          <w:b/>
          <w:bCs/>
        </w:rPr>
      </w:pPr>
      <w:r w:rsidRPr="00615C44">
        <w:rPr>
          <w:b/>
          <w:bCs/>
        </w:rPr>
        <w:t>Design</w:t>
      </w:r>
      <w:r>
        <w:rPr>
          <w:b/>
          <w:bCs/>
        </w:rPr>
        <w:t xml:space="preserve"> </w:t>
      </w:r>
      <w:r w:rsidR="00881556">
        <w:t>C</w:t>
      </w:r>
      <w:r w:rsidRPr="00615C44">
        <w:t xml:space="preserve">ross-sectional </w:t>
      </w:r>
      <w:r w:rsidR="007D0ECA">
        <w:t>s</w:t>
      </w:r>
      <w:r w:rsidR="00703011">
        <w:t>urvey</w:t>
      </w:r>
    </w:p>
    <w:p w14:paraId="1573C6FB" w14:textId="77777777" w:rsidR="007D0ECA" w:rsidRDefault="007D0ECA" w:rsidP="00615C44">
      <w:pPr>
        <w:spacing w:line="480" w:lineRule="auto"/>
        <w:contextualSpacing/>
        <w:rPr>
          <w:b/>
          <w:bCs/>
        </w:rPr>
      </w:pPr>
    </w:p>
    <w:p w14:paraId="0C834EE0" w14:textId="6B1FC696" w:rsidR="009648FC" w:rsidRDefault="009648FC" w:rsidP="00615C44">
      <w:pPr>
        <w:spacing w:line="480" w:lineRule="auto"/>
        <w:contextualSpacing/>
      </w:pPr>
      <w:r>
        <w:rPr>
          <w:b/>
          <w:bCs/>
        </w:rPr>
        <w:t xml:space="preserve">Setting </w:t>
      </w:r>
      <w:r>
        <w:t>United Kingdom</w:t>
      </w:r>
    </w:p>
    <w:p w14:paraId="3D124A46" w14:textId="77777777" w:rsidR="007D0ECA" w:rsidRDefault="007D0ECA" w:rsidP="00615C44">
      <w:pPr>
        <w:spacing w:line="480" w:lineRule="auto"/>
        <w:contextualSpacing/>
      </w:pPr>
    </w:p>
    <w:p w14:paraId="244836B8" w14:textId="30FB696B" w:rsidR="009648FC" w:rsidRDefault="009648FC" w:rsidP="00615C44">
      <w:pPr>
        <w:spacing w:line="480" w:lineRule="auto"/>
        <w:contextualSpacing/>
      </w:pPr>
      <w:r w:rsidRPr="00615C44">
        <w:rPr>
          <w:b/>
          <w:bCs/>
        </w:rPr>
        <w:t xml:space="preserve">Participants </w:t>
      </w:r>
      <w:r>
        <w:t xml:space="preserve">1552 </w:t>
      </w:r>
      <w:r w:rsidR="00F53EBB">
        <w:t>adults</w:t>
      </w:r>
      <w:r>
        <w:t xml:space="preserve"> </w:t>
      </w:r>
      <w:r w:rsidR="007D0ECA">
        <w:t xml:space="preserve">recruited to the </w:t>
      </w:r>
      <w:r w:rsidR="007D0ECA" w:rsidRPr="00200DF5">
        <w:rPr>
          <w:rFonts w:ascii="Calibri" w:hAnsi="Calibri" w:cs="Calibri"/>
        </w:rPr>
        <w:t>Kantar Fast Moving Consumer Goods</w:t>
      </w:r>
      <w:r w:rsidR="007D0ECA">
        <w:rPr>
          <w:rFonts w:ascii="Calibri" w:hAnsi="Calibri" w:cs="Calibri"/>
        </w:rPr>
        <w:t xml:space="preserve"> </w:t>
      </w:r>
      <w:r w:rsidR="007D0ECA" w:rsidRPr="00200DF5">
        <w:rPr>
          <w:rFonts w:ascii="Calibri" w:hAnsi="Calibri" w:cs="Calibri"/>
        </w:rPr>
        <w:t>panel</w:t>
      </w:r>
      <w:r w:rsidR="007D0ECA">
        <w:rPr>
          <w:rFonts w:ascii="Calibri" w:hAnsi="Calibri" w:cs="Calibri"/>
        </w:rPr>
        <w:t xml:space="preserve"> for</w:t>
      </w:r>
      <w:r w:rsidR="007D0ECA" w:rsidRPr="00200DF5">
        <w:rPr>
          <w:rFonts w:ascii="Calibri" w:hAnsi="Calibri" w:cs="Calibri"/>
        </w:rPr>
        <w:t xml:space="preserve"> </w:t>
      </w:r>
      <w:r>
        <w:t xml:space="preserve">London </w:t>
      </w:r>
      <w:r w:rsidR="00D14D0C">
        <w:t>and</w:t>
      </w:r>
      <w:r>
        <w:t xml:space="preserve"> the North of England </w:t>
      </w:r>
    </w:p>
    <w:p w14:paraId="0195CE80" w14:textId="77777777" w:rsidR="007D0ECA" w:rsidRDefault="007D0ECA" w:rsidP="00615C44">
      <w:pPr>
        <w:spacing w:line="480" w:lineRule="auto"/>
        <w:contextualSpacing/>
      </w:pPr>
    </w:p>
    <w:p w14:paraId="7217FFCD" w14:textId="5251CF7B" w:rsidR="007D0ECA" w:rsidRDefault="00703011" w:rsidP="00615C44">
      <w:pPr>
        <w:spacing w:line="480" w:lineRule="auto"/>
        <w:contextualSpacing/>
        <w:rPr>
          <w:b/>
          <w:bCs/>
        </w:rPr>
      </w:pPr>
      <w:r>
        <w:rPr>
          <w:b/>
          <w:bCs/>
        </w:rPr>
        <w:t>O</w:t>
      </w:r>
      <w:r w:rsidR="009648FC" w:rsidRPr="00615C44">
        <w:rPr>
          <w:b/>
          <w:bCs/>
        </w:rPr>
        <w:t>utcome measures</w:t>
      </w:r>
      <w:r w:rsidR="009648FC">
        <w:t xml:space="preserve"> </w:t>
      </w:r>
      <w:r w:rsidR="00D14D0C">
        <w:t xml:space="preserve">Self-reported </w:t>
      </w:r>
      <w:r w:rsidR="00881556">
        <w:t>advertising exposure</w:t>
      </w:r>
      <w:r w:rsidR="009648FC">
        <w:t xml:space="preserve"> stratified by product/service advertised (processed HFSS foods; sugary drinks; sugary cereals; sweet snacks; fast food or digital food delivery services) and advertising setting (traditional; digital; recreational; functional or transport); BMI</w:t>
      </w:r>
      <w:r w:rsidR="00D14D0C">
        <w:t xml:space="preserve"> and sociodemographic characteristics. </w:t>
      </w:r>
    </w:p>
    <w:p w14:paraId="1A8A3DF3" w14:textId="77777777" w:rsidR="00F770C7" w:rsidRDefault="00F770C7" w:rsidP="00615C44">
      <w:pPr>
        <w:spacing w:line="480" w:lineRule="auto"/>
        <w:contextualSpacing/>
      </w:pPr>
    </w:p>
    <w:p w14:paraId="037F5C17" w14:textId="7758BE2F" w:rsidR="00F770C7" w:rsidRPr="002A3D16" w:rsidRDefault="00F770C7" w:rsidP="00615C44">
      <w:pPr>
        <w:spacing w:line="480" w:lineRule="auto"/>
        <w:contextualSpacing/>
        <w:rPr>
          <w:rFonts w:ascii="Calibri" w:hAnsi="Calibri" w:cs="Calibri"/>
        </w:rPr>
      </w:pPr>
      <w:r w:rsidRPr="00F770C7">
        <w:rPr>
          <w:b/>
          <w:bCs/>
        </w:rPr>
        <w:t>Results</w:t>
      </w:r>
      <w:r w:rsidR="00221B7B">
        <w:rPr>
          <w:b/>
          <w:bCs/>
        </w:rPr>
        <w:t xml:space="preserve"> </w:t>
      </w:r>
      <w:r w:rsidR="00221B7B">
        <w:t xml:space="preserve">Overall, </w:t>
      </w:r>
      <w:r w:rsidR="00221B7B" w:rsidRPr="00F16799">
        <w:t>8</w:t>
      </w:r>
      <w:r w:rsidR="009C1FDA">
        <w:t>4.7</w:t>
      </w:r>
      <w:r w:rsidR="00221B7B" w:rsidRPr="00F16799">
        <w:t xml:space="preserve">% of participants reported </w:t>
      </w:r>
      <w:r w:rsidR="00E83A1F">
        <w:t xml:space="preserve">exposure to </w:t>
      </w:r>
      <w:r w:rsidR="007D0ECA">
        <w:t xml:space="preserve">HFSS </w:t>
      </w:r>
      <w:r w:rsidR="00221B7B" w:rsidRPr="00F16799">
        <w:t>advertising</w:t>
      </w:r>
      <w:r w:rsidR="00F93BFE" w:rsidRPr="00F16799">
        <w:t xml:space="preserve"> </w:t>
      </w:r>
      <w:r w:rsidR="00F93BFE">
        <w:t>in the past 7 days</w:t>
      </w:r>
      <w:r w:rsidR="00221B7B">
        <w:t xml:space="preserve">. </w:t>
      </w:r>
      <w:r w:rsidR="00A95B4E">
        <w:t>P</w:t>
      </w:r>
      <w:r w:rsidR="00221B7B">
        <w:t xml:space="preserve">articipants </w:t>
      </w:r>
      <w:r w:rsidR="00F36166">
        <w:t>in the</w:t>
      </w:r>
      <w:r w:rsidR="00221B7B">
        <w:t xml:space="preserve"> </w:t>
      </w:r>
      <w:r w:rsidR="004A04CA">
        <w:t>middle</w:t>
      </w:r>
      <w:r w:rsidR="00221B7B">
        <w:t xml:space="preserve"> </w:t>
      </w:r>
      <w:r w:rsidR="00892435">
        <w:t>(vs</w:t>
      </w:r>
      <w:r w:rsidR="00273A7B">
        <w:t xml:space="preserve"> high</w:t>
      </w:r>
      <w:r w:rsidR="00892435">
        <w:t xml:space="preserve">) </w:t>
      </w:r>
      <w:r w:rsidR="00221B7B">
        <w:t>soci</w:t>
      </w:r>
      <w:r w:rsidR="003F721E">
        <w:t>oeconomic</w:t>
      </w:r>
      <w:r w:rsidR="00A94967">
        <w:t xml:space="preserve"> </w:t>
      </w:r>
      <w:r w:rsidR="00F36166">
        <w:t>group</w:t>
      </w:r>
      <w:r w:rsidR="00892435">
        <w:t xml:space="preserve"> </w:t>
      </w:r>
      <w:r w:rsidR="00A94967">
        <w:t xml:space="preserve">had higher odds of </w:t>
      </w:r>
      <w:r w:rsidR="004A6AC7">
        <w:t xml:space="preserve">overall </w:t>
      </w:r>
      <w:r w:rsidR="00A9614C">
        <w:t xml:space="preserve">self-reported </w:t>
      </w:r>
      <w:r w:rsidR="00A94967">
        <w:t>exposure</w:t>
      </w:r>
      <w:r w:rsidR="00BE1C9A">
        <w:t xml:space="preserve"> (</w:t>
      </w:r>
      <w:r w:rsidR="00A94967">
        <w:t xml:space="preserve">OR </w:t>
      </w:r>
      <w:r w:rsidR="00A94967" w:rsidRPr="00A94967">
        <w:rPr>
          <w:rFonts w:ascii="Calibri" w:hAnsi="Calibri" w:cs="Calibri"/>
        </w:rPr>
        <w:t>1.4</w:t>
      </w:r>
      <w:r w:rsidR="00CA73FC">
        <w:rPr>
          <w:rFonts w:ascii="Calibri" w:hAnsi="Calibri" w:cs="Calibri"/>
        </w:rPr>
        <w:t>8</w:t>
      </w:r>
      <w:r w:rsidR="00BE1C9A">
        <w:rPr>
          <w:rFonts w:ascii="Calibri" w:hAnsi="Calibri" w:cs="Calibri"/>
        </w:rPr>
        <w:t xml:space="preserve">; </w:t>
      </w:r>
      <w:r w:rsidR="00A94967" w:rsidRPr="00A94967">
        <w:rPr>
          <w:rFonts w:ascii="Calibri" w:hAnsi="Calibri" w:cs="Calibri"/>
        </w:rPr>
        <w:t>95% CI 1.0</w:t>
      </w:r>
      <w:r w:rsidR="00CA73FC">
        <w:rPr>
          <w:rFonts w:ascii="Calibri" w:hAnsi="Calibri" w:cs="Calibri"/>
        </w:rPr>
        <w:t>6</w:t>
      </w:r>
      <w:r w:rsidR="00A94967" w:rsidRPr="00A94967">
        <w:rPr>
          <w:rFonts w:ascii="Calibri" w:hAnsi="Calibri" w:cs="Calibri"/>
        </w:rPr>
        <w:t>-2.0</w:t>
      </w:r>
      <w:r w:rsidR="00CA73FC">
        <w:rPr>
          <w:rFonts w:ascii="Calibri" w:hAnsi="Calibri" w:cs="Calibri"/>
        </w:rPr>
        <w:t>7</w:t>
      </w:r>
      <w:r w:rsidR="00A94967" w:rsidRPr="00A94967">
        <w:rPr>
          <w:rFonts w:ascii="Calibri" w:hAnsi="Calibri" w:cs="Calibri"/>
        </w:rPr>
        <w:t>)</w:t>
      </w:r>
      <w:r w:rsidR="004A04CA">
        <w:t>.</w:t>
      </w:r>
      <w:r w:rsidR="00A94967">
        <w:t xml:space="preserve"> </w:t>
      </w:r>
      <w:r w:rsidR="00AD44B1">
        <w:t>Participants in the low (vs high) socioeconomic group had higher</w:t>
      </w:r>
      <w:r w:rsidR="00864BD9">
        <w:t xml:space="preserve"> </w:t>
      </w:r>
      <w:r w:rsidR="00AD44B1">
        <w:t>odds of reporting exposure to</w:t>
      </w:r>
      <w:r w:rsidR="00F6178F">
        <w:t xml:space="preserve"> advertising for</w:t>
      </w:r>
      <w:r w:rsidR="004A04CA">
        <w:t xml:space="preserve"> </w:t>
      </w:r>
      <w:r w:rsidR="006A4A2F">
        <w:t xml:space="preserve">three </w:t>
      </w:r>
      <w:r w:rsidR="00A94967">
        <w:t xml:space="preserve">of </w:t>
      </w:r>
      <w:r w:rsidR="006A4A2F">
        <w:t xml:space="preserve">five </w:t>
      </w:r>
      <w:r w:rsidR="00A94967">
        <w:t>product categories (ORs ranging from 1.</w:t>
      </w:r>
      <w:r w:rsidR="00373603">
        <w:t xml:space="preserve">36 </w:t>
      </w:r>
      <w:r w:rsidR="00A94967">
        <w:t>to 1.6</w:t>
      </w:r>
      <w:r w:rsidR="00CA73FC">
        <w:t>7</w:t>
      </w:r>
      <w:r w:rsidR="00A94967">
        <w:t>)</w:t>
      </w:r>
      <w:r w:rsidR="00ED3BAD">
        <w:t xml:space="preserve">, </w:t>
      </w:r>
      <w:r w:rsidR="00417538">
        <w:t xml:space="preserve">advertising for digital food delivery services (OR 1.47; 95% CI 1.05-2.05), </w:t>
      </w:r>
      <w:r w:rsidR="00AD44B1">
        <w:t xml:space="preserve">traditional </w:t>
      </w:r>
      <w:r w:rsidR="00ED3BAD">
        <w:t xml:space="preserve">advertising </w:t>
      </w:r>
      <w:r w:rsidR="00AD44B1">
        <w:t>(OR 1.44; 95% CI 1.00-2.08)</w:t>
      </w:r>
      <w:r w:rsidR="00417538">
        <w:t xml:space="preserve"> and </w:t>
      </w:r>
      <w:r w:rsidR="00AD44B1">
        <w:t>digital advertising (OR 1.50; 95% CI 1.06-2.14)</w:t>
      </w:r>
      <w:r w:rsidR="004A04CA">
        <w:t xml:space="preserve">. </w:t>
      </w:r>
      <w:r w:rsidR="00892435">
        <w:t xml:space="preserve">Younger adults </w:t>
      </w:r>
      <w:r w:rsidR="004A6AC7">
        <w:t xml:space="preserve">(18-34 years vs </w:t>
      </w:r>
      <w:r w:rsidR="004A6AC7" w:rsidRPr="00362730">
        <w:rPr>
          <w:rFonts w:ascii="Calibri" w:hAnsi="Calibri" w:cs="Calibri"/>
        </w:rPr>
        <w:t>≥65 years</w:t>
      </w:r>
      <w:r w:rsidR="004A6AC7">
        <w:t xml:space="preserve">) </w:t>
      </w:r>
      <w:r w:rsidR="00892435">
        <w:lastRenderedPageBreak/>
        <w:t>had h</w:t>
      </w:r>
      <w:r w:rsidR="00362730">
        <w:t xml:space="preserve">igher </w:t>
      </w:r>
      <w:r w:rsidR="00A94967">
        <w:t xml:space="preserve">odds of </w:t>
      </w:r>
      <w:r w:rsidR="00892435">
        <w:t>reporting</w:t>
      </w:r>
      <w:r w:rsidR="00A9614C">
        <w:t xml:space="preserve"> </w:t>
      </w:r>
      <w:r w:rsidR="00A94967">
        <w:t xml:space="preserve">exposure </w:t>
      </w:r>
      <w:r w:rsidR="00417538">
        <w:t>to advertising for digital food delivery services (OR 2.08; 95% CI 1.20-3.59),</w:t>
      </w:r>
      <w:r w:rsidR="00A94967">
        <w:t xml:space="preserve"> digital</w:t>
      </w:r>
      <w:r w:rsidR="00417538">
        <w:t xml:space="preserve"> advertising</w:t>
      </w:r>
      <w:r w:rsidR="00362730">
        <w:t xml:space="preserve"> (OR 3.93</w:t>
      </w:r>
      <w:r w:rsidR="00BE1C9A">
        <w:t>;</w:t>
      </w:r>
      <w:r w:rsidR="00362730">
        <w:t xml:space="preserve"> 95% CI 2.18-7.08</w:t>
      </w:r>
      <w:r w:rsidR="00373603">
        <w:t>)</w:t>
      </w:r>
      <w:r w:rsidR="00417538">
        <w:t xml:space="preserve"> and</w:t>
      </w:r>
      <w:r w:rsidR="00373603">
        <w:t xml:space="preserve"> </w:t>
      </w:r>
      <w:r w:rsidR="00417538">
        <w:t xml:space="preserve">advertising </w:t>
      </w:r>
      <w:r w:rsidR="00BE1C9A">
        <w:t xml:space="preserve">across transport networks </w:t>
      </w:r>
      <w:r w:rsidR="00362730">
        <w:t>(OR 1.96, 95% CI 1.11-3.48)</w:t>
      </w:r>
      <w:r w:rsidR="00A94967">
        <w:t>.</w:t>
      </w:r>
      <w:r w:rsidR="005525B1">
        <w:t xml:space="preserve"> </w:t>
      </w:r>
      <w:r w:rsidR="00536A43">
        <w:rPr>
          <w:rFonts w:ascii="Calibri" w:hAnsi="Calibri" w:cs="Calibri"/>
        </w:rPr>
        <w:t>E</w:t>
      </w:r>
      <w:r w:rsidR="000623BB">
        <w:rPr>
          <w:rFonts w:ascii="Calibri" w:hAnsi="Calibri" w:cs="Calibri"/>
        </w:rPr>
        <w:t xml:space="preserve">xposure to </w:t>
      </w:r>
      <w:r w:rsidR="00417538">
        <w:rPr>
          <w:rFonts w:ascii="Calibri" w:hAnsi="Calibri" w:cs="Calibri"/>
        </w:rPr>
        <w:t>advertising</w:t>
      </w:r>
      <w:r w:rsidR="00417538" w:rsidRPr="00864AC9">
        <w:rPr>
          <w:rFonts w:ascii="Calibri" w:hAnsi="Calibri" w:cs="Calibri"/>
        </w:rPr>
        <w:t xml:space="preserve"> for d</w:t>
      </w:r>
      <w:r w:rsidR="00417538">
        <w:rPr>
          <w:rFonts w:ascii="Calibri" w:hAnsi="Calibri" w:cs="Calibri"/>
        </w:rPr>
        <w:t xml:space="preserve">igital food delivery services </w:t>
      </w:r>
      <w:r w:rsidR="00417538" w:rsidRPr="00864AC9">
        <w:rPr>
          <w:rFonts w:ascii="Calibri" w:hAnsi="Calibri" w:cs="Calibri"/>
        </w:rPr>
        <w:t>(OR 1.40; 95% CI 1.05-1.88)</w:t>
      </w:r>
      <w:r w:rsidR="00417538">
        <w:rPr>
          <w:rFonts w:ascii="Calibri" w:hAnsi="Calibri" w:cs="Calibri"/>
        </w:rPr>
        <w:t>,</w:t>
      </w:r>
      <w:r w:rsidR="00417538" w:rsidRPr="000623BB">
        <w:rPr>
          <w:rFonts w:ascii="Calibri" w:hAnsi="Calibri" w:cs="Calibri"/>
        </w:rPr>
        <w:t xml:space="preserve"> </w:t>
      </w:r>
      <w:r w:rsidR="000623BB">
        <w:rPr>
          <w:rFonts w:ascii="Calibri" w:hAnsi="Calibri" w:cs="Calibri"/>
        </w:rPr>
        <w:t xml:space="preserve">digital advertising </w:t>
      </w:r>
      <w:r w:rsidR="002A3D16" w:rsidRPr="00004F0E">
        <w:rPr>
          <w:rFonts w:ascii="Calibri" w:hAnsi="Calibri" w:cs="Calibri"/>
        </w:rPr>
        <w:t>(OR 1.80; 95% CI 1.33-2.44)</w:t>
      </w:r>
      <w:r w:rsidR="00417538">
        <w:rPr>
          <w:rFonts w:ascii="Calibri" w:hAnsi="Calibri" w:cs="Calibri"/>
        </w:rPr>
        <w:t xml:space="preserve"> and </w:t>
      </w:r>
      <w:r w:rsidR="002A3D16" w:rsidRPr="00004F0E">
        <w:rPr>
          <w:rFonts w:ascii="Calibri" w:hAnsi="Calibri" w:cs="Calibri"/>
        </w:rPr>
        <w:t xml:space="preserve">advertising </w:t>
      </w:r>
      <w:r w:rsidR="000623BB" w:rsidRPr="00004F0E">
        <w:rPr>
          <w:rFonts w:ascii="Calibri" w:hAnsi="Calibri" w:cs="Calibri"/>
        </w:rPr>
        <w:t>in recreational environments (OR 1.46; 95% CI 1.02-2.09)</w:t>
      </w:r>
      <w:r w:rsidR="000623BB">
        <w:rPr>
          <w:rFonts w:ascii="Calibri" w:hAnsi="Calibri" w:cs="Calibri"/>
        </w:rPr>
        <w:t xml:space="preserve"> were associated with increased odds of</w:t>
      </w:r>
      <w:r w:rsidR="00273A7B">
        <w:rPr>
          <w:rFonts w:ascii="Calibri" w:hAnsi="Calibri" w:cs="Calibri"/>
        </w:rPr>
        <w:t xml:space="preserve"> </w:t>
      </w:r>
      <w:r w:rsidR="000623BB">
        <w:rPr>
          <w:rFonts w:ascii="Calibri" w:hAnsi="Calibri" w:cs="Calibri"/>
        </w:rPr>
        <w:t>obesity</w:t>
      </w:r>
      <w:r w:rsidR="000623BB" w:rsidRPr="00004F0E">
        <w:rPr>
          <w:rFonts w:ascii="Calibri" w:hAnsi="Calibri" w:cs="Calibri"/>
        </w:rPr>
        <w:t xml:space="preserve">. </w:t>
      </w:r>
    </w:p>
    <w:p w14:paraId="3D24083B" w14:textId="77777777" w:rsidR="002A0FEE" w:rsidRDefault="002A0FEE" w:rsidP="00615C44">
      <w:pPr>
        <w:spacing w:line="480" w:lineRule="auto"/>
        <w:contextualSpacing/>
      </w:pPr>
    </w:p>
    <w:p w14:paraId="7D153B88" w14:textId="4B495B7F" w:rsidR="00516847" w:rsidRDefault="00F770C7" w:rsidP="00615C44">
      <w:pPr>
        <w:spacing w:line="480" w:lineRule="auto"/>
        <w:contextualSpacing/>
      </w:pPr>
      <w:r w:rsidRPr="00F770C7">
        <w:rPr>
          <w:b/>
          <w:bCs/>
        </w:rPr>
        <w:t>Conclusion</w:t>
      </w:r>
      <w:r w:rsidR="009648FC">
        <w:rPr>
          <w:b/>
          <w:bCs/>
        </w:rPr>
        <w:t>s</w:t>
      </w:r>
      <w:r>
        <w:rPr>
          <w:b/>
          <w:bCs/>
        </w:rPr>
        <w:t xml:space="preserve"> </w:t>
      </w:r>
      <w:r w:rsidR="007C794F">
        <w:t>E</w:t>
      </w:r>
      <w:r w:rsidR="00221B7B" w:rsidRPr="00221B7B">
        <w:t>xposure</w:t>
      </w:r>
      <w:r w:rsidR="00EF13CD">
        <w:t xml:space="preserve"> to</w:t>
      </w:r>
      <w:r w:rsidR="00642B38">
        <w:t xml:space="preserve"> less healthy product</w:t>
      </w:r>
      <w:r w:rsidR="004C6981">
        <w:t xml:space="preserve"> advertising</w:t>
      </w:r>
      <w:r w:rsidR="00273A7B">
        <w:t xml:space="preserve"> was prevalent</w:t>
      </w:r>
      <w:r w:rsidR="00417538">
        <w:t>,</w:t>
      </w:r>
      <w:r w:rsidR="00F35940">
        <w:t xml:space="preserve"> </w:t>
      </w:r>
      <w:r w:rsidR="00FD16AA">
        <w:t xml:space="preserve">with </w:t>
      </w:r>
      <w:r w:rsidR="004E2D49">
        <w:t>a</w:t>
      </w:r>
      <w:r w:rsidR="002C7897">
        <w:t>dults</w:t>
      </w:r>
      <w:r w:rsidR="00A94967">
        <w:t xml:space="preserve"> in</w:t>
      </w:r>
      <w:r w:rsidR="002C7897">
        <w:t xml:space="preserve"> lower soc</w:t>
      </w:r>
      <w:r w:rsidR="003F721E">
        <w:t xml:space="preserve">ioeconomic </w:t>
      </w:r>
      <w:r w:rsidR="00A94967">
        <w:t>groups</w:t>
      </w:r>
      <w:r w:rsidR="00EE428A">
        <w:t xml:space="preserve"> and </w:t>
      </w:r>
      <w:r w:rsidR="002C7897">
        <w:t>younger adults</w:t>
      </w:r>
      <w:r w:rsidR="000623BB">
        <w:t xml:space="preserve"> </w:t>
      </w:r>
      <w:r w:rsidR="00F35940">
        <w:t>more likely to</w:t>
      </w:r>
      <w:r w:rsidR="00FD16AA">
        <w:t xml:space="preserve"> </w:t>
      </w:r>
      <w:r w:rsidR="00F35940">
        <w:t>report</w:t>
      </w:r>
      <w:r w:rsidR="00642B38">
        <w:t xml:space="preserve"> </w:t>
      </w:r>
      <w:r w:rsidR="00F35940">
        <w:t>exposure</w:t>
      </w:r>
      <w:r w:rsidR="00EF13CD">
        <w:t xml:space="preserve">. </w:t>
      </w:r>
      <w:r w:rsidR="002944C6">
        <w:t>Broader restrictions may be needed to reduce sociodemographic differences in exposure to less healthy product advertising</w:t>
      </w:r>
      <w:r w:rsidR="002F4B25">
        <w:t>.</w:t>
      </w:r>
    </w:p>
    <w:p w14:paraId="3FD00275" w14:textId="77777777" w:rsidR="009648FC" w:rsidRDefault="009648FC">
      <w:r>
        <w:br w:type="page"/>
      </w:r>
    </w:p>
    <w:p w14:paraId="6262418B" w14:textId="773F8FEA" w:rsidR="00F576BF" w:rsidRPr="00615C44" w:rsidRDefault="00806C35" w:rsidP="002A0FEE">
      <w:pPr>
        <w:spacing w:line="480" w:lineRule="auto"/>
        <w:rPr>
          <w:b/>
          <w:bCs/>
        </w:rPr>
      </w:pPr>
      <w:r w:rsidRPr="00615C44">
        <w:rPr>
          <w:b/>
          <w:bCs/>
        </w:rPr>
        <w:lastRenderedPageBreak/>
        <w:t>ARTICLE SUMMARY</w:t>
      </w:r>
    </w:p>
    <w:p w14:paraId="0CC2E583" w14:textId="0C1D5901" w:rsidR="009648FC" w:rsidRDefault="009648FC" w:rsidP="002A0FEE">
      <w:pPr>
        <w:spacing w:line="480" w:lineRule="auto"/>
      </w:pPr>
      <w:r>
        <w:t>Strengths and limitations of this study</w:t>
      </w:r>
    </w:p>
    <w:p w14:paraId="10F41DCA" w14:textId="1DE1B1C1" w:rsidR="00401E7B" w:rsidRDefault="00A84B2C" w:rsidP="00E07F65">
      <w:pPr>
        <w:pStyle w:val="ListParagraph"/>
        <w:numPr>
          <w:ilvl w:val="0"/>
          <w:numId w:val="18"/>
        </w:numPr>
        <w:spacing w:line="480" w:lineRule="auto"/>
      </w:pPr>
      <w:r>
        <w:t>This study i</w:t>
      </w:r>
      <w:r w:rsidR="009648FC">
        <w:t>nvestigate</w:t>
      </w:r>
      <w:r w:rsidR="00613DCA">
        <w:t>s</w:t>
      </w:r>
      <w:r w:rsidR="009648FC">
        <w:t xml:space="preserve"> exposure to </w:t>
      </w:r>
      <w:r w:rsidR="00BD5F52">
        <w:t>advertising for</w:t>
      </w:r>
      <w:r w:rsidR="00D73F51">
        <w:t xml:space="preserve"> a</w:t>
      </w:r>
      <w:r w:rsidR="00BD5F52">
        <w:t xml:space="preserve"> </w:t>
      </w:r>
      <w:r w:rsidR="009648FC">
        <w:t>range of</w:t>
      </w:r>
      <w:r w:rsidR="00401E7B">
        <w:t xml:space="preserve"> less healthy products in various settings, including </w:t>
      </w:r>
      <w:r w:rsidR="00BD5F52">
        <w:t xml:space="preserve">some that have been </w:t>
      </w:r>
      <w:r w:rsidR="00401E7B">
        <w:t>less studied (</w:t>
      </w:r>
      <w:proofErr w:type="gramStart"/>
      <w:r w:rsidR="00300094">
        <w:t>e.g.</w:t>
      </w:r>
      <w:proofErr w:type="gramEnd"/>
      <w:r w:rsidR="00300094">
        <w:t xml:space="preserve"> </w:t>
      </w:r>
      <w:r w:rsidR="00401E7B">
        <w:t xml:space="preserve">advertising for digital food delivery services and advertising across transport networks)  </w:t>
      </w:r>
    </w:p>
    <w:p w14:paraId="62A34AEE" w14:textId="08DBF6E3" w:rsidR="00544775" w:rsidRDefault="00E07F65" w:rsidP="009648FC">
      <w:pPr>
        <w:pStyle w:val="ListParagraph"/>
        <w:numPr>
          <w:ilvl w:val="0"/>
          <w:numId w:val="18"/>
        </w:numPr>
        <w:spacing w:line="480" w:lineRule="auto"/>
      </w:pPr>
      <w:r>
        <w:t>S</w:t>
      </w:r>
      <w:r w:rsidR="00544775">
        <w:t>elf-reported exposure may not be an accurate reflection of actual exposure</w:t>
      </w:r>
      <w:r>
        <w:t xml:space="preserve"> to advertising </w:t>
      </w:r>
      <w:r w:rsidR="00613DCA">
        <w:t xml:space="preserve">due to poor recall or social desirability bias </w:t>
      </w:r>
    </w:p>
    <w:p w14:paraId="65B2C352" w14:textId="32B3DF61" w:rsidR="00544775" w:rsidRDefault="00E07F65" w:rsidP="00615C44">
      <w:pPr>
        <w:pStyle w:val="ListParagraph"/>
        <w:numPr>
          <w:ilvl w:val="0"/>
          <w:numId w:val="18"/>
        </w:numPr>
        <w:spacing w:line="480" w:lineRule="auto"/>
      </w:pPr>
      <w:r>
        <w:t>The c</w:t>
      </w:r>
      <w:r w:rsidR="00544775">
        <w:t>ross-sectional design</w:t>
      </w:r>
      <w:r>
        <w:t xml:space="preserve"> of this study</w:t>
      </w:r>
      <w:r w:rsidR="00544775">
        <w:t xml:space="preserve"> limits</w:t>
      </w:r>
      <w:r>
        <w:t xml:space="preserve"> our interpretation of the findings as reverse causality </w:t>
      </w:r>
      <w:r w:rsidR="00613DCA">
        <w:t xml:space="preserve">may </w:t>
      </w:r>
      <w:r>
        <w:t xml:space="preserve">explain the </w:t>
      </w:r>
      <w:proofErr w:type="gramStart"/>
      <w:r>
        <w:t>associations</w:t>
      </w:r>
      <w:proofErr w:type="gramEnd"/>
      <w:r>
        <w:t xml:space="preserve"> we observed </w:t>
      </w:r>
      <w:r w:rsidR="00544775">
        <w:t xml:space="preserve"> </w:t>
      </w:r>
    </w:p>
    <w:p w14:paraId="398D591E" w14:textId="70AAD78F" w:rsidR="00B6246D" w:rsidRDefault="00B6246D" w:rsidP="00615C44">
      <w:pPr>
        <w:pStyle w:val="ListParagraph"/>
        <w:numPr>
          <w:ilvl w:val="0"/>
          <w:numId w:val="18"/>
        </w:numPr>
        <w:spacing w:line="480" w:lineRule="auto"/>
      </w:pPr>
      <w:r>
        <w:t xml:space="preserve">Participants were from two regions (London and the North of England), so may not be representative of the United Kingdom as a whole </w:t>
      </w:r>
    </w:p>
    <w:p w14:paraId="047BCFD6" w14:textId="77777777" w:rsidR="00F576BF" w:rsidRDefault="00F576BF">
      <w:r>
        <w:br w:type="page"/>
      </w:r>
    </w:p>
    <w:p w14:paraId="631D3B99" w14:textId="77777777" w:rsidR="002A0FEE" w:rsidRDefault="002A0FEE" w:rsidP="002A0FEE">
      <w:pPr>
        <w:spacing w:line="480" w:lineRule="auto"/>
        <w:rPr>
          <w:b/>
          <w:bCs/>
        </w:rPr>
        <w:sectPr w:rsidR="002A0FEE" w:rsidSect="002A0FEE">
          <w:footerReference w:type="even" r:id="rId12"/>
          <w:footerReference w:type="default" r:id="rId13"/>
          <w:pgSz w:w="11900" w:h="16840"/>
          <w:pgMar w:top="1440" w:right="1440" w:bottom="1440" w:left="1440" w:header="708" w:footer="708" w:gutter="0"/>
          <w:cols w:space="708"/>
          <w:docGrid w:linePitch="360"/>
        </w:sectPr>
      </w:pPr>
    </w:p>
    <w:p w14:paraId="482A15A1" w14:textId="57E0B8C5" w:rsidR="006B3E77" w:rsidRPr="007271D7" w:rsidRDefault="006B3E77" w:rsidP="002A0FEE">
      <w:pPr>
        <w:spacing w:line="480" w:lineRule="auto"/>
        <w:rPr>
          <w:b/>
          <w:bCs/>
        </w:rPr>
      </w:pPr>
      <w:r w:rsidRPr="007271D7">
        <w:rPr>
          <w:b/>
          <w:bCs/>
        </w:rPr>
        <w:lastRenderedPageBreak/>
        <w:t>INTRODUCTION</w:t>
      </w:r>
    </w:p>
    <w:p w14:paraId="1C41D90A" w14:textId="697249A6" w:rsidR="00975DFE" w:rsidRPr="007271D7" w:rsidRDefault="009B420C" w:rsidP="002A0FEE">
      <w:pPr>
        <w:spacing w:line="480" w:lineRule="auto"/>
      </w:pPr>
      <w:r w:rsidRPr="007271D7">
        <w:t xml:space="preserve">In recent years there has been an increased focus on the potential contribution of marketing and advertising of </w:t>
      </w:r>
      <w:r w:rsidR="00C14562" w:rsidRPr="007271D7">
        <w:t xml:space="preserve">less healthy </w:t>
      </w:r>
      <w:r w:rsidRPr="007271D7">
        <w:t>foods and drinks</w:t>
      </w:r>
      <w:r w:rsidR="007641F2" w:rsidRPr="007271D7">
        <w:t xml:space="preserve">, </w:t>
      </w:r>
      <w:r w:rsidR="004F31FF" w:rsidRPr="007271D7">
        <w:t>such as those higher in fat, salt and sugar</w:t>
      </w:r>
      <w:r w:rsidR="007641F2" w:rsidRPr="007271D7">
        <w:t xml:space="preserve"> (HFSS</w:t>
      </w:r>
      <w:r w:rsidR="004F31FF" w:rsidRPr="007271D7">
        <w:t>)</w:t>
      </w:r>
      <w:r w:rsidR="007641F2" w:rsidRPr="007271D7">
        <w:t>,</w:t>
      </w:r>
      <w:r w:rsidRPr="007271D7">
        <w:t xml:space="preserve"> to population diet and diet-related disease.</w:t>
      </w:r>
      <w:r w:rsidR="00D45211" w:rsidRPr="007271D7">
        <w:fldChar w:fldCharType="begin" w:fldLock="1"/>
      </w:r>
      <w:r w:rsidR="003E3C11" w:rsidRPr="007271D7">
        <w:instrText>ADDIN CSL_CITATION {"citationItems":[{"id":"ITEM-1","itemData":{"DOI":"10.13140/2.1.1507.5207","abstract":"última consulta","author":[{"dropping-particle":"","family":"World Health Organization","given":"","non-dropping-particle":"","parse-names":false,"suffix":""}],"id":"ITEM-1","issued":{"date-parts":[["2013"]]},"title":"Marketing of foods high in fat, salt and sugar to children: update 2012–2013","type":"report"},"uris":["http://www.mendeley.com/documents/?uuid=5997e253-fab6-432f-9993-a0169382b3ce"]},{"id":"ITEM-2","itemData":{"abstract":"This document seeks views on options across broadcast and online media in order to reduce children's exposure to HFSS advertising.","author":[{"dropping-particle":"","family":"HM Government","given":"","non-dropping-particle":"","parse-names":false,"suffix":""}],"id":"ITEM-2","issued":{"date-parts":[["2019"]]},"publisher-place":"London","title":"Introducing further advertising restrictions on TV and online for products high in fat, sugar and salt (HFSS)","type":"report"},"uris":["http://www.mendeley.com/documents/?uuid=9572aa20-2770-46f1-8185-69386ab9036c"]}],"mendeley":{"formattedCitation":"[1,2]","plainTextFormattedCitation":"[1,2]","previouslyFormattedCitation":"[1,2]"},"properties":{"noteIndex":0},"schema":"https://github.com/citation-style-language/schema/raw/master/csl-citation.json"}</w:instrText>
      </w:r>
      <w:r w:rsidR="00D45211" w:rsidRPr="007271D7">
        <w:fldChar w:fldCharType="separate"/>
      </w:r>
      <w:r w:rsidR="003E3C11" w:rsidRPr="007271D7">
        <w:rPr>
          <w:noProof/>
        </w:rPr>
        <w:t>[1,2]</w:t>
      </w:r>
      <w:r w:rsidR="00D45211" w:rsidRPr="007271D7">
        <w:fldChar w:fldCharType="end"/>
      </w:r>
      <w:r w:rsidRPr="007271D7">
        <w:t xml:space="preserve"> </w:t>
      </w:r>
      <w:r w:rsidR="004F05F6" w:rsidRPr="007271D7">
        <w:t>Over £300 million was spent on advertising of less healthy foods and drinks</w:t>
      </w:r>
      <w:r w:rsidR="00C203DC" w:rsidRPr="007271D7">
        <w:t xml:space="preserve"> in the</w:t>
      </w:r>
      <w:r w:rsidR="004F05F6" w:rsidRPr="007271D7">
        <w:t xml:space="preserve"> UK in 2017</w:t>
      </w:r>
      <w:r w:rsidR="007613A9" w:rsidRPr="007271D7">
        <w:t>.</w:t>
      </w:r>
      <w:r w:rsidR="007613A9" w:rsidRPr="007271D7">
        <w:fldChar w:fldCharType="begin" w:fldLock="1"/>
      </w:r>
      <w:r w:rsidR="00864C7B" w:rsidRPr="007271D7">
        <w:instrText>ADDIN CSL_CITATION {"citationItems":[{"id":"ITEM-1","itemData":{"author":[{"dropping-particle":"","family":"The Food Foundation","given":"","non-dropping-particle":"","parse-names":false,"suffix":""}],"id":"ITEM-1","issued":{"date-parts":[["2019"]]},"publisher-place":"London","title":"The Broken Plate","type":"report"},"uris":["http://www.mendeley.com/documents/?uuid=d5d6ceb6-865a-48e5-8ee2-154cd175da80"]},{"id":"ITEM-2","itemData":{"abstract":"The Food Foundation 313-4 Flower Market, London SW8 5N T: +44 (0) 203 805 4672 www.foodfoundation.org.uk/peasplease @Food_Foundation \" The Esmée Fairbairn Foundation aims to improve the quality of life for people and communities throughout the UK both now and in the future. We do this by funding the charitable work of organisations with the ideas and ability to achieve positive change. \" \" The Nuffield Foundation is an endowed charitable trust that aims to improve social wellbeing in the widest sense. The Nuffield Foundation has funded this project, but the views expressed are those of the authors and not necessarily those of the Foundation. \" but we don't eat enough of it. There are lots of reasons for this. The Food Foundation, Nourish Scotland and WWF-UK are working together to identify the biggest food system barriers to veg consumption and to bring people together to overcome these barriers. This factfile marks the start of this process and presents the nature of the challenge ahead. It doesn't yet point to the solutions to tackle this challenge. These solutions will be identified with a wide range of actors through the course of our work together. We hope you will join us in this endeavour. Contributors Funders Everyone needs to be eating at least one extra portion of veg a day. Many of us, including children, are eating hardly any veg at all. More than a third of the veg children eat is highly processed, resulting in a situation where 17 per cent of children's veg comes from pizza and baked beans. Our veg consumption is in decline and is no better than it was in the 1970s, in spite of the 5 A Day campaign. Diets that are low in veg are associated with more than 20,000 premature deaths across the UK. Eating one more portion of veg while reducing meat consumption could reduce our diet-related greenhouse gas emissions by almost a fifth. We throw away about half a portion of veg a day and more is wasted on the farm and in the supply chain. A meagre 1.2 per cent of food advertising spend goes on veg. Horticulture is the most labour-intensive agricultural sector, employing one person for every 10 acres but many of them are migrants whose future is now uncertain. Our horticulture sector benefits least from agricultural subsidies even though it produces food that is healthy and is often low in carbon emissions. Thirty years ago, 83 per cent of the veg we ate came from the UK. Now it is 58 per cent, partly because we eat more exotic veg. If we increased v…","author":[{"dropping-particle":"","family":"The Food Foundation","given":"","non-dropping-particle":"","parse-names":false,"suffix":""}],"id":"ITEM-2","issued":{"date-parts":[["2016"]]},"publisher-place":"London","title":"Veg Facts A briefing by the Food Foundation","type":"report"},"uris":["http://www.mendeley.com/documents/?uuid=6bbb9761-2a4c-4963-bb92-34d09262ed01"]}],"mendeley":{"formattedCitation":"[3,4]","plainTextFormattedCitation":"[3,4]","previouslyFormattedCitation":"[3,4]"},"properties":{"noteIndex":0},"schema":"https://github.com/citation-style-language/schema/raw/master/csl-citation.json"}</w:instrText>
      </w:r>
      <w:r w:rsidR="007613A9" w:rsidRPr="007271D7">
        <w:fldChar w:fldCharType="separate"/>
      </w:r>
      <w:r w:rsidR="007613A9" w:rsidRPr="007271D7">
        <w:rPr>
          <w:noProof/>
        </w:rPr>
        <w:t>[3,4]</w:t>
      </w:r>
      <w:r w:rsidR="007613A9" w:rsidRPr="007271D7">
        <w:fldChar w:fldCharType="end"/>
      </w:r>
      <w:r w:rsidR="007613A9" w:rsidRPr="007271D7">
        <w:t xml:space="preserve"> Th</w:t>
      </w:r>
      <w:r w:rsidR="00057A80" w:rsidRPr="007271D7">
        <w:t>is spend</w:t>
      </w:r>
      <w:r w:rsidR="007613A9" w:rsidRPr="007271D7">
        <w:t xml:space="preserve"> substantially outweighs that for healthier products. For example, </w:t>
      </w:r>
      <w:r w:rsidR="005436E2" w:rsidRPr="007271D7">
        <w:t>£12</w:t>
      </w:r>
      <w:r w:rsidR="002B4739" w:rsidRPr="007271D7">
        <w:t xml:space="preserve"> million</w:t>
      </w:r>
      <w:r w:rsidR="001319CE" w:rsidRPr="007271D7">
        <w:t xml:space="preserve"> </w:t>
      </w:r>
      <w:r w:rsidR="00CD303B" w:rsidRPr="007271D7">
        <w:t xml:space="preserve">was </w:t>
      </w:r>
      <w:r w:rsidR="001319CE" w:rsidRPr="007271D7">
        <w:t>spent on</w:t>
      </w:r>
      <w:r w:rsidR="005436E2" w:rsidRPr="007271D7">
        <w:t xml:space="preserve"> </w:t>
      </w:r>
      <w:r w:rsidR="001319CE" w:rsidRPr="007271D7">
        <w:t xml:space="preserve">advertising </w:t>
      </w:r>
      <w:r w:rsidR="005436E2" w:rsidRPr="007271D7">
        <w:t xml:space="preserve">vegetables </w:t>
      </w:r>
      <w:r w:rsidR="00CD303B" w:rsidRPr="007271D7">
        <w:t>compared to</w:t>
      </w:r>
      <w:r w:rsidR="004F05F6" w:rsidRPr="007271D7">
        <w:t xml:space="preserve"> </w:t>
      </w:r>
      <w:r w:rsidR="005436E2" w:rsidRPr="007271D7">
        <w:t>almost £87 million on soft drinks</w:t>
      </w:r>
      <w:r w:rsidR="00754328" w:rsidRPr="007271D7">
        <w:t xml:space="preserve"> in</w:t>
      </w:r>
      <w:r w:rsidR="00300094" w:rsidRPr="007271D7">
        <w:t xml:space="preserve"> the UK</w:t>
      </w:r>
      <w:r w:rsidR="00754328" w:rsidRPr="007271D7">
        <w:t xml:space="preserve"> </w:t>
      </w:r>
      <w:r w:rsidR="00300094" w:rsidRPr="007271D7">
        <w:t xml:space="preserve">in </w:t>
      </w:r>
      <w:r w:rsidR="007613A9" w:rsidRPr="007271D7">
        <w:t>2015</w:t>
      </w:r>
      <w:r w:rsidR="001319CE" w:rsidRPr="007271D7">
        <w:t>.</w:t>
      </w:r>
      <w:r w:rsidR="005436E2" w:rsidRPr="007271D7">
        <w:fldChar w:fldCharType="begin" w:fldLock="1"/>
      </w:r>
      <w:r w:rsidR="003E3C11" w:rsidRPr="007271D7">
        <w:instrText>ADDIN CSL_CITATION {"citationItems":[{"id":"ITEM-1","itemData":{"abstract":"The Food Foundation 313-4 Flower Market, London SW8 5N T: +44 (0) 203 805 4672 www.foodfoundation.org.uk/peasplease @Food_Foundation \" The Esmée Fairbairn Foundation aims to improve the quality of life for people and communities throughout the UK both now and in the future. We do this by funding the charitable work of organisations with the ideas and ability to achieve positive change. \" \" The Nuffield Foundation is an endowed charitable trust that aims to improve social wellbeing in the widest sense. The Nuffield Foundation has funded this project, but the views expressed are those of the authors and not necessarily those of the Foundation. \" but we don't eat enough of it. There are lots of reasons for this. The Food Foundation, Nourish Scotland and WWF-UK are working together to identify the biggest food system barriers to veg consumption and to bring people together to overcome these barriers. This factfile marks the start of this process and presents the nature of the challenge ahead. It doesn't yet point to the solutions to tackle this challenge. These solutions will be identified with a wide range of actors through the course of our work together. We hope you will join us in this endeavour. Contributors Funders Everyone needs to be eating at least one extra portion of veg a day. Many of us, including children, are eating hardly any veg at all. More than a third of the veg children eat is highly processed, resulting in a situation where 17 per cent of children's veg comes from pizza and baked beans. Our veg consumption is in decline and is no better than it was in the 1970s, in spite of the 5 A Day campaign. Diets that are low in veg are associated with more than 20,000 premature deaths across the UK. Eating one more portion of veg while reducing meat consumption could reduce our diet-related greenhouse gas emissions by almost a fifth. We throw away about half a portion of veg a day and more is wasted on the farm and in the supply chain. A meagre 1.2 per cent of food advertising spend goes on veg. Horticulture is the most labour-intensive agricultural sector, employing one person for every 10 acres but many of them are migrants whose future is now uncertain. Our horticulture sector benefits least from agricultural subsidies even though it produces food that is healthy and is often low in carbon emissions. Thirty years ago, 83 per cent of the veg we ate came from the UK. Now it is 58 per cent, partly because we eat more exotic veg. If we increased v…","author":[{"dropping-particle":"","family":"The Food Foundation","given":"","non-dropping-particle":"","parse-names":false,"suffix":""}],"id":"ITEM-1","issued":{"date-parts":[["2016"]]},"publisher-place":"London","title":"Veg Facts A briefing by the Food Foundation","type":"report"},"uris":["http://www.mendeley.com/documents/?uuid=6bbb9761-2a4c-4963-bb92-34d09262ed01"]}],"mendeley":{"formattedCitation":"[4]","plainTextFormattedCitation":"[4]","previouslyFormattedCitation":"[4]"},"properties":{"noteIndex":0},"schema":"https://github.com/citation-style-language/schema/raw/master/csl-citation.json"}</w:instrText>
      </w:r>
      <w:r w:rsidR="005436E2" w:rsidRPr="007271D7">
        <w:fldChar w:fldCharType="separate"/>
      </w:r>
      <w:r w:rsidR="003E3C11" w:rsidRPr="007271D7">
        <w:rPr>
          <w:noProof/>
        </w:rPr>
        <w:t>[4]</w:t>
      </w:r>
      <w:r w:rsidR="005436E2" w:rsidRPr="007271D7">
        <w:fldChar w:fldCharType="end"/>
      </w:r>
      <w:r w:rsidR="001319CE" w:rsidRPr="007271D7">
        <w:t xml:space="preserve"> </w:t>
      </w:r>
      <w:r w:rsidR="00C14562" w:rsidRPr="007271D7">
        <w:t xml:space="preserve">Advertising and marketing of </w:t>
      </w:r>
      <w:r w:rsidR="00371C07" w:rsidRPr="007271D7">
        <w:t>less healthy</w:t>
      </w:r>
      <w:r w:rsidR="00C14562" w:rsidRPr="007271D7">
        <w:t xml:space="preserve"> foods and </w:t>
      </w:r>
      <w:r w:rsidR="00754328" w:rsidRPr="007271D7">
        <w:t>drink</w:t>
      </w:r>
      <w:r w:rsidR="00C14562" w:rsidRPr="007271D7">
        <w:t xml:space="preserve">s to children is widespread and is </w:t>
      </w:r>
      <w:r w:rsidR="000246FD" w:rsidRPr="007271D7">
        <w:t>associated</w:t>
      </w:r>
      <w:r w:rsidR="00C14562" w:rsidRPr="007271D7">
        <w:t xml:space="preserve"> </w:t>
      </w:r>
      <w:r w:rsidR="000246FD" w:rsidRPr="007271D7">
        <w:t>with</w:t>
      </w:r>
      <w:r w:rsidR="00C14562" w:rsidRPr="007271D7">
        <w:t xml:space="preserve"> children’s preferences, requests for purchases, and consumption.</w:t>
      </w:r>
      <w:r w:rsidR="00C14562" w:rsidRPr="007271D7">
        <w:fldChar w:fldCharType="begin" w:fldLock="1"/>
      </w:r>
      <w:r w:rsidR="002542A3">
        <w:instrText>ADDIN CSL_CITATION {"citationItems":[{"id":"ITEM-1","itemData":{"DOI":"10.3945/ajcn.115.120022","ISSN":"19383207","abstract":"Background: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C.G.","non-dropping-particle":"","parse-names":false,"suffix":""},{"dropping-particle":"","family":"Robinson","given":"Eric","non-dropping-particle":"","parse-names":false,"suffix":""}],"container-title":"American Journal of Clinical Nutrition","id":"ITEM-1","issue":"2","issued":{"date-parts":[["2016","2"]]},"page":"519-533","publisher":"American Society for Nutrition","title":"Advertising as a cue to consume: A systematic review and meta-analysis of the effects of acute exposure to unhealthy food and nonalcoholic beverage advertising on intake in children and adults","type":"article-journal","volume":"103"},"uris":["http://www.mendeley.com/documents/?uuid=64363659-dfd2-4846-be26-c907eb12295e"]},{"id":"ITEM-2","itemData":{"DOI":"10.1111/obr.12445","ISSN":"1467789X","PMID":"27427474","abstract":"Marketing of foods and beverages high in fat, sugar and salt are suggested to contribute to poor dietary behaviours in children and diet-related diseases later in life. This systematic review and meta-analysis of randomized trials aimed to assess the effects of unhealthy food and beverage marketing on dietary intake (grams or kilocalories) and dietary preference (preference score or percentage of participants who selected specific foods/beverages) among children 2 to 18 years of age. We searched MEDLINE, EMBASE and PsycINFO up to January 2015 for terms related to advertising, unhealthy foods or beverages among children. Randomized trials that assessed the effects of unhealthy food and beverage marketing compared with non-dietary advertisement or no advertisement in children were considered eligible. Two authors independently extracted information on study characteristics and outcomes of interest and assessed risk of bias and the overall quality of evidence using grade methodology. Meta-analysis was conducted separately for dietary intake and preference using a random-effects model. We identified 29 eligible studies, of which 17 studies were included for meta-analysis of dietary preference and nine for meta-analysis of dietary intake. Almost half of the studies were at high risk of bias. Our meta-analysis showed that in children exposed to unhealthy dietary marketing, dietary intake significantly increased (mean difference [MD] = 30.4 kcal, 95% confidence interval [CI] 2.9 to 57.9, and MD = 4.8 g, 95%CI 0.8 to 8.8) during or shortly after exposure to advertisements. Similarly, children exposed to the unhealthy dietary marketing had a higher risk of selecting the advertised foods or beverages (relative risk = 1.1, 95%CI 1.0 to 1.2; P = 0.052). The evidence indicates that unhealthy food and beverage marketing increases dietary intake (moderate quality evidence) and preference (moderate to low quality evidence) for energy-dense, low-nutrition food and beverage. Unhealthy food and beverage marketing increased dietary intake and influenced dietary preference in children during or shortly after exposure to advertisements. © 2016 World Obesity.","author":[{"dropping-particle":"","family":"Sadeghirad","given":"B.","non-dropping-particle":"","parse-names":false,"suffix":""},{"dropping-particle":"","family":"Duhaney","given":"T.","non-dropping-particle":"","parse-names":false,"suffix":""},{"dropping-particle":"","family":"Motaghipisheh","given":"S.","non-dropping-particle":"","parse-names":false,"suffix":""},{"dropping-particle":"","family":"Campbell","given":"N. R.C.","non-dropping-particle":"","parse-names":false,"suffix":""},{"dropping-particle":"","family":"Johnston","given":"B. C.","non-dropping-particle":"","parse-names":false,"suffix":""}],"container-title":"Obesity Reviews","id":"ITEM-2","issue":"10","issued":{"date-parts":[["2016"]]},"page":"945-959","title":"Influence of unhealthy food and beverage marketing on children's dietary intake and preference: a systematic review and meta-analysis of randomized trials","type":"article-journal","volume":"17"},"uris":["http://www.mendeley.com/documents/?uuid=c1ce8e5d-f488-47f2-ac47-409f2f773724"]},{"id":"ITEM-3","itemData":{"DOI":"10.1186/1471-2458-12-139","abstract":"Background: Commercial food marketing has considerably shaped consumer food choice behaviour. Meanwhile, public health campaigns for healthier eating have had limited impact to date. Social marketing suggests that successful commercial food marketing campaigns can provide useful lessons for public sector activities. The aim of the present study was to empirically identify food marketing success factors that, using the social marketing approach, could help improve public health campaigns to promote healthy eating. Methods. In this case-study analysis, 27 recent and successful commercial food and beverage marketing cases were purposively sampled from different European countries. The cases involved different consumer target groups, product categories, company sizes and marketing techniques. The analysis focused on cases of relatively healthy food types, and nutrition and health-related aspects in the communication related to the food. Visual as well as written material was gathered, complemented by semi-structured interviews with 12 food market trend experts and 19 representatives of food companies and advertising agencies. Success factors were identified by a group of experts who reached consensus through discussion structured by a card sorting method. Results: Six clusters of success factors emerged from the analysis and were labelled as \"data and knowledge\", \"emotions\", \"endorsement\", \"media\", \"community\" and \"why and how\". Each cluster subsumes two or three success factors and is illustrated by examples. In total, 16 factors were identified. It is argued that the factors \"nutritional evidence\", \"trend awareness\", \"vertical endorsement\", \"simple naturalness\" and \"common values\" are of particular importance in the communication of health with regard to food. Conclusions: The present study identified critical factors for the success of commercial food marketing campaigns related to the issue of nutrition and health, which are possibly transferable to the public health sector. Whether or not a particular factor contributes to future success depends on the specific context of use, the combination of factors and the environment. Consideration of the specific applicability of the success factors identified in this study during the design of marketing activities could benefit public sector food and health-related campaigns. © 2012 Aschemann-Witzel et al; licensee BioMed Central Ltd.","author":[{"dropping-particle":"","family":"Aschemann-Witzel","given":"J","non-dropping-particle":"","parse-names":false,"suffix":""},{"dropping-particle":"","family":"Perez-Cueto","given":"F J","non-dropping-particle":"","parse-names":false,"suffix":""},{"dropping-particle":"","family":"Niedzwiedzka","given":"B","non-dropping-particle":"","parse-names":false,"suffix":""},{"dropping-particle":"","family":"Verbeke","given":"W","non-dropping-particle":"","parse-names":false,"suffix":""},{"dropping-particle":"","family":"Bech-Larsen","given":"T","non-dropping-particle":"","parse-names":false,"suffix":""}],"container-title":"BMC Public Health","id":"ITEM-3","issued":{"date-parts":[["2012"]]},"note":"Parth Patel (2018-09-26 01:46:39)(Select): analysis of marketing techniques for various food-products (some of which are healthy) \nunsure on this one so including for now;","page":"139","title":"Lessons for public health campaigns from analysing commercial food marketing success factors: A case study","type":"article-journal","volume":"12"},"uris":["http://www.mendeley.com/documents/?uuid=f564cd92-8747-4d30-8041-6025136b78eb"]},{"id":"ITEM-4","itemData":{"URL":"https://www.who.int/elena/titles/food_marketing_children/en/","accessed":{"date-parts":[["2020","7","28"]]},"author":[{"dropping-particle":"","family":"World Health Organisation","given":"","non-dropping-particle":"","parse-names":false,"suffix":""}],"id":"ITEM-4","issued":{"date-parts":[["2019"]]},"title":"Reducing the impact of marketing of foods and non-alcoholic beverages on children","type":"webpage"},"uris":["http://www.mendeley.com/documents/?uuid=f723ef76-a67b-4ed0-82e9-2d24416a5bf3"]}],"mendeley":{"formattedCitation":"[5–8]","plainTextFormattedCitation":"[5–8]","previouslyFormattedCitation":"[5–8]"},"properties":{"noteIndex":0},"schema":"https://github.com/citation-style-language/schema/raw/master/csl-citation.json"}</w:instrText>
      </w:r>
      <w:r w:rsidR="00C14562" w:rsidRPr="007271D7">
        <w:fldChar w:fldCharType="separate"/>
      </w:r>
      <w:r w:rsidR="003E3C11" w:rsidRPr="007271D7">
        <w:rPr>
          <w:noProof/>
        </w:rPr>
        <w:t>[5–8]</w:t>
      </w:r>
      <w:r w:rsidR="00C14562" w:rsidRPr="007271D7">
        <w:fldChar w:fldCharType="end"/>
      </w:r>
      <w:r w:rsidR="00C14562" w:rsidRPr="007271D7">
        <w:t xml:space="preserve"> In adults, </w:t>
      </w:r>
      <w:r w:rsidR="009C706F" w:rsidRPr="007271D7">
        <w:t xml:space="preserve">evidence is </w:t>
      </w:r>
      <w:r w:rsidR="005E2CC3" w:rsidRPr="007271D7">
        <w:t>mixed,</w:t>
      </w:r>
      <w:r w:rsidR="00C14562" w:rsidRPr="007271D7">
        <w:t xml:space="preserve"> but</w:t>
      </w:r>
      <w:r w:rsidR="009C706F" w:rsidRPr="007271D7">
        <w:t xml:space="preserve"> some studies have found</w:t>
      </w:r>
      <w:r w:rsidR="009B409C" w:rsidRPr="007271D7">
        <w:t xml:space="preserve"> </w:t>
      </w:r>
      <w:r w:rsidR="00405ADC" w:rsidRPr="007271D7">
        <w:t xml:space="preserve">that </w:t>
      </w:r>
      <w:r w:rsidR="009B409C" w:rsidRPr="007271D7">
        <w:t>e</w:t>
      </w:r>
      <w:r w:rsidR="00A94967" w:rsidRPr="007271D7">
        <w:t>xposure to</w:t>
      </w:r>
      <w:r w:rsidR="00BD2F49" w:rsidRPr="007271D7">
        <w:t xml:space="preserve"> </w:t>
      </w:r>
      <w:r w:rsidR="00405ADC" w:rsidRPr="007271D7">
        <w:t xml:space="preserve">less healthy </w:t>
      </w:r>
      <w:r w:rsidR="0095491E" w:rsidRPr="007271D7">
        <w:t xml:space="preserve">food and drink </w:t>
      </w:r>
      <w:r w:rsidR="00A94967" w:rsidRPr="007271D7">
        <w:t xml:space="preserve">advertising </w:t>
      </w:r>
      <w:r w:rsidR="00371C07" w:rsidRPr="007271D7">
        <w:t>influence</w:t>
      </w:r>
      <w:r w:rsidR="009C706F" w:rsidRPr="007271D7">
        <w:t>s</w:t>
      </w:r>
      <w:r w:rsidR="00A94967" w:rsidRPr="007271D7">
        <w:t xml:space="preserve"> </w:t>
      </w:r>
      <w:r w:rsidR="00CF795A" w:rsidRPr="007271D7">
        <w:t xml:space="preserve">purchasing and </w:t>
      </w:r>
      <w:r w:rsidR="00A94967" w:rsidRPr="007271D7">
        <w:t>consumption</w:t>
      </w:r>
      <w:r w:rsidR="00CA6E35" w:rsidRPr="007271D7">
        <w:t xml:space="preserve">, </w:t>
      </w:r>
      <w:r w:rsidR="006432AD" w:rsidRPr="007271D7">
        <w:t>a</w:t>
      </w:r>
      <w:r w:rsidR="00656437" w:rsidRPr="007271D7">
        <w:t>nd</w:t>
      </w:r>
      <w:r w:rsidR="00CD303B" w:rsidRPr="007271D7">
        <w:t xml:space="preserve"> normalise</w:t>
      </w:r>
      <w:r w:rsidR="009C706F" w:rsidRPr="007271D7">
        <w:t>s</w:t>
      </w:r>
      <w:r w:rsidR="00CD303B" w:rsidRPr="007271D7">
        <w:t xml:space="preserve"> the </w:t>
      </w:r>
      <w:r w:rsidR="00656437" w:rsidRPr="007271D7">
        <w:t>consum</w:t>
      </w:r>
      <w:r w:rsidR="00CD303B" w:rsidRPr="007271D7">
        <w:t>ption of</w:t>
      </w:r>
      <w:r w:rsidR="0086218A" w:rsidRPr="007271D7">
        <w:t xml:space="preserve"> </w:t>
      </w:r>
      <w:r w:rsidR="00371C07" w:rsidRPr="007271D7">
        <w:t>less healthy foods and drinks</w:t>
      </w:r>
      <w:r w:rsidR="006432AD" w:rsidRPr="007271D7">
        <w:t>.</w:t>
      </w:r>
      <w:r w:rsidR="00405ADC" w:rsidRPr="007271D7">
        <w:t xml:space="preserve"> </w:t>
      </w:r>
      <w:r w:rsidR="00405ADC" w:rsidRPr="007271D7">
        <w:fldChar w:fldCharType="begin" w:fldLock="1"/>
      </w:r>
      <w:r w:rsidR="002542A3">
        <w:instrText>ADDIN CSL_CITATION {"citationItems":[{"id":"ITEM-1","itemData":{"DOI":"10.1037/a0014399","ISSN":"02786133","abstract":"Objective: Health advocates have focused on the prevalence of advertising for calorie-dense low-nutrient foods as a significant contributor to the obesity epidemic. This research tests the hypothesis that exposure to food advertising during TV viewing may also contribute to obesity by triggering automatic snacking of available food. Design: In Experiments 1a and 1b, elementary-school-age children watched a cartoon that contained either food advertising or advertising for other products and received a snack while watching. In Experiment 2, adults watched a TV program that included food advertising that promoted snacking and/or fun product benefits, food advertising that promoted nutrition benefits, or no food advertising. The adults then tasted and evaluated a range of healthy to unhealthy snack foods in an apparently separate experiment. Main Outcome Measures: Amount of snack foods consumed during and after advertising exposure. Results: Children consumed 45% more when exposed to food advertising. Adults consumed more of both healthy and unhealthy snack foods following exposure to snack food advertising compared to the other conditions. In both experiments, food advertising increased consumption of products not in the presented advertisements, and these effects were not related to reported hunger or other conscious influences. Conclusion: These experiments demonstrate the power of food advertising to prime automatic eating behaviors and thus influence far more than brand preference alone. © 2009 American Psychological Association.","author":[{"dropping-particle":"","family":"Harris","given":"Jennifer L.","non-dropping-particle":"","parse-names":false,"suffix":""},{"dropping-particle":"","family":"Bargh","given":"John A.","non-dropping-particle":"","parse-names":false,"suffix":""},{"dropping-particle":"","family":"Brownell","given":"Kelly D.","non-dropping-particle":"","parse-names":false,"suffix":""}],"container-title":"Health Psychology","id":"ITEM-1","issue":"4","issued":{"date-parts":[["2009"]]},"page":"404-413","title":"Priming Effects of Television Food Advertising on Eating Behavior","type":"article-journal","volume":"28"},"uris":["http://www.mendeley.com/documents/?uuid=8032d7c1-b9ea-436e-afea-bcd0d2cb5bce"]},{"id":"ITEM-2","itemData":{"DOI":"10.1016/j.appet.2010.03.008","ISSN":"10958304","abstract":"The present study examines the direct effects of television commercials advertising soda on actual sugar-sweetened soda consumption among young women. An experimental-observational study design was used, in which 51 female students (ages 18-29) were exposed to a 35-min movie clip, interrupted by two commercial breaks consisting of soda or water commercials. Their actual soda consumption while watching the movie clip was examined. An analysis of variance was used to examine the effects of commercial condition on soda consumption. Thirst and first glass consumed before the first commercial break were added as covariates in the analyses. Results indicated that participants assigned to the condition with soda commercials consumed 1.3. ounces more soda than participants in the water commercial condition. Exposure to soda commercials while watching a movie can have a strong influence on increasing sugar-sweetened soda consumption in young women. © 2010 Elsevier Ltd.","author":[{"dropping-particle":"","family":"Koordeman","given":"Renske","non-dropping-particle":"","parse-names":false,"suffix":""},{"dropping-particle":"","family":"Anschutz","given":"Doeschka J.","non-dropping-particle":"","parse-names":false,"suffix":""},{"dropping-particle":"","family":"Baaren","given":"Rick B.","non-dropping-particle":"van","parse-names":false,"suffix":""},{"dropping-particle":"","family":"Engels","given":"Rutger C M E","non-dropping-particle":"","parse-names":false,"suffix":""}],"container-title":"Appetite","id":"ITEM-2","issue":"3","issued":{"date-parts":[["2010"]]},"page":"619-622","publisher":"Elsevier Ltd","title":"Exposure to soda commercials affects sugar-sweetened soda consumption in young women. An observational experimental study","type":"article-journal","volume":"54"},"uris":["http://www.mendeley.com/documents/?uuid=9e1978fb-0500-414b-97b9-9fa67c1afecf"]},{"id":"ITEM-3","itemData":{"DOI":"10.1186/1471-2458-14-342","ISSN":"14712458","PMID":"24721289","abstract":"Background: Advertising has been implicated in the declining quality of the American diet, but much of the research has been conducted with children rather than adults. This study tested the effects of televised food advertising on adult food choice. Methods. Participants (N = 351) were randomized into one of 4 experimental conditions: exposure to food advertising vs. exposure to non-food advertising, and within each of these groups, exposure to a task that was either cognitively demanding or not cognitively demanding. The number of unhealthy snacks chosen was subsequently measured, along with total calories of the snacks chosen. Results: Those exposed to food advertising chose 28% more unhealthy snacks than those exposed to non-food-advertising (95% CI: 7% - 53%), with a total caloric value that was 65 kcal higher (95% CI: 10-121). The effect of advertising was not significant among those assigned to the low-cognitive-load group, but was large and significant among those assigned to the high-cognitive-load group: 43% more unhealthy snacks (95% CI: 11% - 85%) and 94 more total calories (95% CI: 19-169). Conclusions: Televised food advertising has strong effects on individual food choice, and these effects are magnified when individuals are cognitively occupied by other tasks. © 2014 Zimmerman and Shimoga; licensee BioMed Central Ltd.","author":[{"dropping-particle":"","family":"Zimmerman","given":"Frederick J.","non-dropping-particle":"","parse-names":false,"suffix":""},{"dropping-particle":"V.","family":"Shimoga","given":"Sandhya","non-dropping-particle":"","parse-names":false,"suffix":""}],"container-title":"BMC Public Health","id":"ITEM-3","issued":{"date-parts":[["2014"]]},"page":"342","title":"The effects of food advertising and cognitive load on food choices","type":"article-journal","volume":"14"},"uris":["http://www.mendeley.com/documents/?uuid=926c933d-d8dc-498e-b413-31d06ae7b39a"]},{"id":"ITEM-4","itemData":{"DOI":"10.3390/nu11123047","ISSN":"20726643","PMID":"31847203","abstract":"Sugar-sweetened beverage (SSB) consumption is independently associated with several non-communicable diseases, so policymakers are increasingly implementing measures, such as marketing regulation, to reduce intake. To help understand how such measures work, this study examined the association between SSB consumption and self-reported exposure to SSB promotions, both overall and by type of promotion, and whether these relationships vary between the UK, USA, Canada, Mexico, and Australia. Cross-sectional analysis of the online 2017 International Food Policy Study was performed (n = 15,515). Participants were grouped into 5265 (34%) non-, 5117 (33%) low-, and 5133 (33%) high-SSB consumers. Multinomial logistic regression models examined whether SSB consumption varied by exposure to total SSB promotion and by type: traditional, digital, recreational environment, and functional environment. Multiplicative interactions were included to investigate international variations. An additional unit of total self-reported SSB promotion exposure increased the likelihood of participants being low SSB consumers (relative risk ratio (RRR) = 1.08, 95% confidence interval (CI) = 1.06–1.10) and high SSB consumers (RRR = 1.13, 95% CI = 1.11–1.16). Only exposure to traditional and digital promotion increased the likelihood of participants being SSB consumers, though this may be explained by degree of exposure, which was not measured in this study. Some evidence illustrated international variation in these relationships.","author":[{"dropping-particle":"","family":"Forde","given":"Hannah","non-dropping-particle":"","parse-names":false,"suffix":""},{"dropping-particle":"","family":"White","given":"Martin","non-dropping-particle":"","parse-names":false,"suffix":""},{"dropping-particle":"","family":"Levy","given":"Louis","non-dropping-particle":"","parse-names":false,"suffix":""},{"dropping-particle":"","family":"Greaves","given":"Felix","non-dropping-particle":"","parse-names":false,"suffix":""},{"dropping-particle":"","family":"Hammond","given":"David","non-dropping-particle":"","parse-names":false,"suffix":""},{"dropping-particle":"","family":"Vanderlee","given":"Lana","non-dropping-particle":"","parse-names":false,"suffix":""},{"dropping-particle":"","family":"Sharp","given":"Stephen","non-dropping-particle":"","parse-names":false,"suffix":""},{"dropping-particle":"","family":"Adams","given":"Jean","non-dropping-particle":"","parse-names":false,"suffix":""}],"container-title":"Nutrients","id":"ITEM-4","issued":{"date-parts":[["2019"]]},"page":"3047","title":"The relationship between self-reported exposure to sugar-sweetened beverage promotions and intake: Cross-sectional analysis of the 2017 international food policy study","type":"article-journal","volume":"11"},"uris":["http://www.mendeley.com/documents/?uuid=f5d8bf8d-cfc8-441f-96d2-7424c6978d1e"]},{"id":"ITEM-5","itemData":{"DOI":"10.1017/S1368980020000075","ISSN":"1475-2727","author":[{"dropping-particle":"","family":"Critchlow","given":"Nathan","non-dropping-particle":"","parse-names":false,"suffix":""},{"dropping-particle":"","family":"Bauld","given":"Linda","non-dropping-particle":"","parse-names":false,"suffix":""},{"dropping-particle":"","family":"Thomas","given":"Christopher","non-dropping-particle":"","parse-names":false,"suffix":""},{"dropping-particle":"","family":"Hooper","given":"Lucie","non-dropping-particle":"","parse-names":false,"suffix":""},{"dropping-particle":"","family":"Vohra","given":"Jyotsna","non-dropping-particle":"","parse-names":false,"suffix":""}],"container-title":"Public Health Nutrition","id":"ITEM-5","issue":"14","issued":{"date-parts":[["2020"]]},"page":"2637-2646","title":"Awareness of marketing for high fat, salt, or sugar (HFSS) foods, and the association with higher weekly consumption among adolescents: A rejoinder to the UK Government’s consultations on marketing regulation","type":"article-journal","volume":"23"},"uris":["http://www.mendeley.com/documents/?uuid=1768ae71-7e41-4233-b9c0-3f6076aaaf10"]},{"id":"ITEM-6","itemData":{"DOI":"10.1016/j.appet.2019.02.002","ISSN":"10958304","abstract":"Historically, responsible marketing policy development has drawn on a substantive research agenda regarding the micro level effects of marketing on food choice. In contrast there has been almost no research on macro level effects. To date public health has been the main disciplinary source of evidence. As a first step towards exploring the significance of this evidence gap, a critically interpretive review of evidence on the effects of food marketing on the sociocultural food environment was conducted. A review of reviews approach was used to search for evidence across a broad multi-disciplinary range of evidence sources. This was supplemented with snowball searches of the reference lists of the identified reviews and included studies. Ten reviews and 31 individual studies met review inclusion criteria. Evidence of impacts on dietary norms, population level shifts in food and drink category preferences and in the cultural values underpinning food behaviours were identified. The review also identified evidence for two mechanisms of effect. The findings represent preliminary evidence in support of the case for the responsible marketing policy research agenda to be expanded from its historical focus on micro level impacts to include research directly focused on its macro level impacts. Expanding research scope to include a much stronger focus on evidence regarding the impacts of for-profit food marketing on the sociocultural food environment would provide direct research support to the strategic policy aim of creating a food environment that encourages healthy food behaviours.","author":[{"dropping-particle":"","family":"Cairns","given":"Georgina","non-dropping-particle":"","parse-names":false,"suffix":""}],"container-title":"Appetite","id":"ITEM-6","issued":{"date-parts":[["2019"]]},"page":"193-207","publisher":"Elsevier","title":"A critical review of evidence on the sociocultural impacts of food marketing and policy implications","type":"article-journal","volume":"136"},"uris":["http://www.mendeley.com/documents/?uuid=ac7c5109-7278-4b34-a4de-2790439632d7"]}],"mendeley":{"formattedCitation":"[9–14]","plainTextFormattedCitation":"[9–14]","previouslyFormattedCitation":"[9–14]"},"properties":{"noteIndex":0},"schema":"https://github.com/citation-style-language/schema/raw/master/csl-citation.json"}</w:instrText>
      </w:r>
      <w:r w:rsidR="00405ADC" w:rsidRPr="007271D7">
        <w:fldChar w:fldCharType="separate"/>
      </w:r>
      <w:r w:rsidR="00405ADC" w:rsidRPr="007271D7">
        <w:rPr>
          <w:noProof/>
        </w:rPr>
        <w:t>[9–14]</w:t>
      </w:r>
      <w:r w:rsidR="00405ADC" w:rsidRPr="007271D7">
        <w:fldChar w:fldCharType="end"/>
      </w:r>
      <w:r w:rsidR="00405ADC" w:rsidRPr="007271D7">
        <w:t xml:space="preserve"> A</w:t>
      </w:r>
      <w:r w:rsidR="00A95B4E" w:rsidRPr="007271D7">
        <w:t xml:space="preserve">dvertising </w:t>
      </w:r>
      <w:r w:rsidR="009C706F" w:rsidRPr="007271D7">
        <w:t xml:space="preserve">exposure may therefore be a plausible influence on </w:t>
      </w:r>
      <w:r w:rsidR="00A94967" w:rsidRPr="007271D7">
        <w:t>obesity</w:t>
      </w:r>
      <w:r w:rsidRPr="007271D7">
        <w:t xml:space="preserve"> and diet-related non-communicable disease</w:t>
      </w:r>
      <w:r w:rsidR="00405ADC" w:rsidRPr="007271D7">
        <w:t>s</w:t>
      </w:r>
      <w:r w:rsidR="00A94967" w:rsidRPr="007271D7">
        <w:t>.</w:t>
      </w:r>
      <w:r w:rsidR="00653006" w:rsidRPr="007271D7">
        <w:fldChar w:fldCharType="begin" w:fldLock="1"/>
      </w:r>
      <w:r w:rsidR="003E3C11" w:rsidRPr="007271D7">
        <w:instrText>ADDIN CSL_CITATION {"citationItems":[{"id":"ITEM-1","itemData":{"DOI":"10.1007/s11428-017-0241-7","ISBN":"0512-3054 (Print) 0512-3054 (Linking)","ISSN":"18609724","PMID":"11234459","abstract":"The majority of the population, and one in five children, are overweight or obese in the OECD area. A nearly tenfold variation in rates of obesity and overweight is observed across OECD countries. The obesity epidemic has spread further in the past five years, but rates have been increasing at a slower pace than before. Obesity and overweight have been virtually stable, or have grown modestly, in Canada, England, Italy, Korea, Spain and the United States, but have increased by a further 2-3% in Australia, France, Mexico and Switzerland. The economic crisis is likely to have contributed to further growth in obesity. Social disparities in obesity persist, and have increased in some countries. A growing number of countries have adopted policies to prevent obesity from spreading further. Mexico, for instance, has launched one of the most comprehensive government strategies to address the problem in 2013, including awareness-raising, health care, regulatory and fiscal measures. Several countries have developed multi-stakeholder frameworks, involving business and civil society actors in the development of public health policies. Evaluations of the effectiveness of these initiatives are only beginning to emerge.","author":[{"dropping-particle":"","family":"OECD","given":"","non-dropping-particle":"","parse-names":false,"suffix":""}],"id":"ITEM-1","issued":{"date-parts":[["2017"]]},"publisher-place":"Paris","title":"Obesity Update 2017","type":"report"},"uris":["http://www.mendeley.com/documents/?uuid=3c77bc36-f529-44c1-b484-cefd271d5b08"]},{"id":"ITEM-2","itemData":{"abstract":"Inside: 1. Obesity among adults, England 2. Obesity in children, England 3. Obesity in Wales, Scotland and Northern Ireland 4. Bariatric surgery 5. International comparisons","author":[{"dropping-particle":"","family":"Baker","given":"Carl","non-dropping-particle":"","parse-names":false,"suffix":""}],"container-title":"Obesity Statistics (Briefing paper, Number 3336)","id":"ITEM-2","issue":"3336","issued":{"date-parts":[["2019"]]},"publisher":"House of Commons","publisher-place":"London","title":"House of Commons Library | Obesity Statistics","type":"book"},"uris":["http://www.mendeley.com/documents/?uuid=e3bb2c2b-b0a7-47dd-9417-6aa3f0caf6a5"]}],"mendeley":{"formattedCitation":"[15,16]","plainTextFormattedCitation":"[15,16]","previouslyFormattedCitation":"[15,16]"},"properties":{"noteIndex":0},"schema":"https://github.com/citation-style-language/schema/raw/master/csl-citation.json"}</w:instrText>
      </w:r>
      <w:r w:rsidR="00653006" w:rsidRPr="007271D7">
        <w:fldChar w:fldCharType="separate"/>
      </w:r>
      <w:r w:rsidR="003E3C11" w:rsidRPr="007271D7">
        <w:rPr>
          <w:noProof/>
        </w:rPr>
        <w:t>[15,16]</w:t>
      </w:r>
      <w:r w:rsidR="00653006" w:rsidRPr="007271D7">
        <w:fldChar w:fldCharType="end"/>
      </w:r>
      <w:r w:rsidR="00A94967" w:rsidRPr="007271D7">
        <w:t xml:space="preserve"> </w:t>
      </w:r>
      <w:r w:rsidR="00412B46" w:rsidRPr="007271D7">
        <w:t>A systematic review found that children from ethnic minority and socioeconomically disadvantaged backgrounds were disproportionately expos</w:t>
      </w:r>
      <w:r w:rsidR="00405ADC" w:rsidRPr="007271D7">
        <w:t>ed</w:t>
      </w:r>
      <w:r w:rsidR="00412B46" w:rsidRPr="007271D7">
        <w:t xml:space="preserve"> to advertising for less healthy foods.</w:t>
      </w:r>
      <w:r w:rsidR="00412B46" w:rsidRPr="007271D7">
        <w:fldChar w:fldCharType="begin" w:fldLock="1"/>
      </w:r>
      <w:r w:rsidR="002542A3">
        <w:instrText>ADDIN CSL_CITATION {"citationItems":[{"id":"ITEM-1","itemData":{"DOI":"10.1111/obr.13144","ISSN":"1467789X","abstract":"Children's exposure to advertising of unhealthy food and nonalcoholic beverages that are high in saturated fats, salt and/or sugar is extensive and increases children's preferences for, and intake of, targeted products. This systematic review examines the differential potential exposure and impact of unhealthy food advertising to children according to socio-economic position (SEP) and/or ethnicity. Nine databases (health, business, marketing) and grey literature were searched in November 2019 using terms relating to ‘food or drink’, ‘advertising’ and ‘socioeconomic position or ethnicity’. Studies published since 2007 were included. Article screening and data extraction were conducted by two independent reviewers. Quality of studies was assessed using the Newcastle-Ottawa quality scale. Of the 25 articles included, 14 focused on exposure to unhealthy food advertising via television, nine via outdoor mediums and two via multiple mediums. Most studies (n = 19) revealed a higher potential exposure or a greater potential impact of unhealthy food advertising among ethnic minority or lower SEP children. Few studies reported no difference (n = 3) or mixed findings (n = 3). Children from minority and socio-economically disadvantaged backgrounds are disproportionately exposed to unhealthy food advertising. Regulations to restrict unhealthy food advertising to children should be implemented to improve children's diets and reduce inequities in dietary intake.","author":[{"dropping-particle":"","family":"Backholer","given":"Kathryn","non-dropping-particle":"","parse-names":false,"suffix":""},{"dropping-particle":"","family":"Gupta","given":"Adyya","non-dropping-particle":"","parse-names":false,"suffix":""},{"dropping-particle":"","family":"Zorbas","given":"Christina","non-dropping-particle":"","parse-names":false,"suffix":""},{"dropping-particle":"","family":"Bennett","given":"Rebecca","non-dropping-particle":"","parse-names":false,"suffix":""},{"dropping-particle":"","family":"Huse","given":"Oliver","non-dropping-particle":"","parse-names":false,"suffix":""},{"dropping-particle":"","family":"Chung","given":"Alexandra","non-dropping-particle":"","parse-names":false,"suffix":""},{"dropping-particle":"","family":"Isaacs","given":"Anna","non-dropping-particle":"","parse-names":false,"suffix":""},{"dropping-particle":"","family":"Golds","given":"Gabby","non-dropping-particle":"","parse-names":false,"suffix":""},{"dropping-particle":"","family":"Kelly","given":"Bridget","non-dropping-particle":"","parse-names":false,"suffix":""},{"dropping-particle":"","family":"Peeters","given":"Anna","non-dropping-particle":"","parse-names":false,"suffix":""}],"container-title":"Obesity Reviews","id":"ITEM-1","issued":{"date-parts":[["2021"]]},"page":"e13144","title":"Differential exposure to, and potential impact of, unhealthy advertising to children by socio-economic and ethnic groups: A systematic review of the evidence","type":"article-journal","volume":"22"},"uris":["http://www.mendeley.com/documents/?uuid=72822df4-71a5-45bb-a294-62079b4bbfe7"]}],"mendeley":{"formattedCitation":"[17]","plainTextFormattedCitation":"[17]","previouslyFormattedCitation":"[17]"},"properties":{"noteIndex":0},"schema":"https://github.com/citation-style-language/schema/raw/master/csl-citation.json"}</w:instrText>
      </w:r>
      <w:r w:rsidR="00412B46" w:rsidRPr="007271D7">
        <w:fldChar w:fldCharType="separate"/>
      </w:r>
      <w:r w:rsidR="00412B46" w:rsidRPr="007271D7">
        <w:rPr>
          <w:noProof/>
        </w:rPr>
        <w:t>[17]</w:t>
      </w:r>
      <w:r w:rsidR="00412B46" w:rsidRPr="007271D7">
        <w:fldChar w:fldCharType="end"/>
      </w:r>
      <w:r w:rsidR="00412B46" w:rsidRPr="007271D7">
        <w:t xml:space="preserve"> In adults, exposure to </w:t>
      </w:r>
      <w:r w:rsidR="00B56AC0" w:rsidRPr="007271D7">
        <w:t xml:space="preserve">outdoor advertising and television advertising </w:t>
      </w:r>
      <w:r w:rsidR="00412B46" w:rsidRPr="007271D7">
        <w:t xml:space="preserve">of less healthy foods </w:t>
      </w:r>
      <w:r w:rsidR="00754608" w:rsidRPr="007271D7">
        <w:t xml:space="preserve">are </w:t>
      </w:r>
      <w:r w:rsidR="00B56AC0" w:rsidRPr="007271D7">
        <w:t>correlated with socioeconomic position in the UK</w:t>
      </w:r>
      <w:r w:rsidR="00412B46" w:rsidRPr="007271D7">
        <w:t>.</w:t>
      </w:r>
      <w:r w:rsidR="00B56AC0" w:rsidRPr="007271D7">
        <w:fldChar w:fldCharType="begin" w:fldLock="1"/>
      </w:r>
      <w:r w:rsidR="00ED179C" w:rsidRPr="007271D7">
        <w:instrText>ADDIN CSL_CITATION {"citationItems":[{"id":"ITEM-1","itemData":{"DOI":"10.1017/S1368980011001686","abstract":"Objective: To document socioeconomic differences in exposure to food advertising , including advertisements for foods high in fat, salt and sugar (HFSS) as defined by the UK Food Standards Agency's Nutrient Profiling Model. Design: A cross-sectional survey. Information (including product advertised and viewing figures) on all advertisements broadcast in one UK region over one week (6-12 July 2009) was obtained. Food advertisements were identified and linked to nutritional information on the content of advertised foods. Setting: UK Tyne-Tees television region. Subjects: Data were sourced from a UK-wide television viewing panel. Results: Eleven per cent of advertising seen was for food and 63 % of food advertising seen was for HFSS foods. The proportion of all advertising seen that was for food was smaller among viewers in the least v. most affluent social grade (OR 5 0?98, 99 % CI 0","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J","non-dropping-particle":"","parse-names":false,"suffix":""},{"dropping-particle":"","family":"White","given":"Martin","non-dropping-particle":"","parse-names":false,"suffix":""}],"container-title":"Public Health Nutrition","id":"ITEM-1","issue":"3","issued":{"date-parts":[["2011"]]},"page":"487-494","title":"Socio-economic differences in exposure to television food advertisements in the UK: a cross-sectional study of advertisements broadcast in one television region","type":"article-journal","volume":"15"},"uris":["http://www.mendeley.com/documents/?uuid=f381c81b-f9df-3780-aa15-fe71660c18b4"]},{"id":"ITEM-2","itemData":{"DOI":"10.1017/S1368980010003332","ISSN":"1368-9800","abstract":"&lt;div class=\"abstract\" data-abstract-type=\"normal\"&gt;&lt;div class='sec'&gt;&lt;span class=\"bold\"&gt;Objective&lt;/span&gt;&lt;p&gt;To explore differences in the prevalence of outdoor food advertising, and the type and nutritional content of advertised foods, according to an area-based marker of socio-economic position (SEP) in a city in Northern England.&lt;/p&gt;&lt;/div&gt;&lt;div class='sec'&gt;&lt;span class=\"bold\"&gt;Design&lt;/span&gt;&lt;p&gt;All outdoor advertisements in the city were identified during October–December 2009, their size (in m&lt;span class='sup'&gt;2&lt;/span&gt;) estimated and their location determined using a global positioning system device. Advertisements were classified as food or non-food. Food advertisements were classified into one of six food categories. Information on the nutritional content of advertised foods was obtained from packaging and manufacturer's websites. An area-based marker of SEP was assigned using the location of each advertisement, grouped into three affluence tertiles for analysis.&lt;/p&gt;&lt;/div&gt;&lt;div class='sec'&gt;&lt;span class=\"bold\"&gt;Setting&lt;/span&gt;&lt;p&gt;A city in Northern England.&lt;/p&gt;&lt;/div&gt;&lt;div class='sec'&gt;&lt;span class=\"bold\"&gt;Subjects&lt;/span&gt;&lt;p&gt;None.&lt;/p&gt;&lt;/div&gt;&lt;div class='sec'&gt;&lt;span class=\"bold\"&gt;Results&lt;/span&gt;&lt;p&gt;In all, 1371 advertisements were identified; 211 (15 %) of these were for food. The advertisements covered 6765 m&lt;span class='sup'&gt;2&lt;/span&gt;, of which 1326 m&lt;span class='sup'&gt;2&lt;/span&gt; (20 %) was for food. Total advertising and food advertising space was largest in the least affluent tertile. There was little evidence of socio-economic trends in the type or nutritional content of advertised foods.&lt;/p&gt;&lt;/div&gt;&lt;div class='sec'&gt;&lt;span class=\"bold\"&gt;Conclusions&lt;/span&gt;&lt;p&gt;Despite an absence of socio-economic differences in the type and nutritional content of advertised foods, there were socio-economic differences in food advertising space. There may also be socio-economic differences in exposure to outdoor food advertising.&lt;/p&gt;&lt;/div&gt;&lt;/div&gt;","author":[{"dropping-particle":"","family":"Adams","given":"Jean","non-dropping-particle":"","parse-names":false,"suffix":""},{"dropping-particle":"","family":"Ganiti","given":"Ellie","non-dropping-particle":"","parse-names":false,"suffix":""},{"dropping-particle":"","family":"White","given":"Martin","non-dropping-particle":"","parse-names":false,"suffix":""}],"container-title":"Public Health Nutrition","id":"ITEM-2","issue":"6","issued":{"date-parts":[["2011","6","4"]]},"page":"945-950","publisher":"Cambridge University Press","title":"Socio-economic differences in outdoor food advertising in a city in Northern England","type":"article-journal","volume":"14"},"uris":["http://www.mendeley.com/documents/?uuid=57d9587e-8254-32b3-91d0-cfafc0288030"]}],"mendeley":{"formattedCitation":"[18,19]","plainTextFormattedCitation":"[18,19]","previouslyFormattedCitation":"[18,19]"},"properties":{"noteIndex":0},"schema":"https://github.com/citation-style-language/schema/raw/master/csl-citation.json"}</w:instrText>
      </w:r>
      <w:r w:rsidR="00B56AC0" w:rsidRPr="007271D7">
        <w:fldChar w:fldCharType="separate"/>
      </w:r>
      <w:r w:rsidR="00412B46" w:rsidRPr="007271D7">
        <w:rPr>
          <w:noProof/>
        </w:rPr>
        <w:t>[18,19]</w:t>
      </w:r>
      <w:r w:rsidR="00B56AC0" w:rsidRPr="007271D7">
        <w:fldChar w:fldCharType="end"/>
      </w:r>
      <w:r w:rsidR="00B56AC0" w:rsidRPr="007271D7">
        <w:t xml:space="preserve"> </w:t>
      </w:r>
      <w:r w:rsidR="00412B46" w:rsidRPr="007271D7">
        <w:t>These findings suggest that differential exposure to less healthy advertising</w:t>
      </w:r>
      <w:r w:rsidR="00B56AC0" w:rsidRPr="007271D7">
        <w:t xml:space="preserve"> may be contributing to the higher burden of obesity and diet-related non-communicable diseases among lower socioeconomic groups.</w:t>
      </w:r>
      <w:r w:rsidR="00941DB9" w:rsidRPr="007271D7">
        <w:fldChar w:fldCharType="begin" w:fldLock="1"/>
      </w:r>
      <w:r w:rsidR="00ED179C" w:rsidRPr="007271D7">
        <w:instrText>ADDIN CSL_CITATION {"citationItems":[{"id":"ITEM-1","itemData":{"DOI":"10.1136/bmjopen-2014-005530","ISSN":"20446055","PMID":"25344482","abstract":"Objective: We compared the distribution by wealth of self-reported illness burden (estimated from validated scales, biomarker and reported symptoms) for angina, cataract, depression, diabetes and osteoarthritis, with the distribution of self-reported medical diagnosis and treatment. We aimed to determine if the greater illness burden borne by poorer participants was matched by appropriately higher levels of diagnosis and treatment. Design: The English Longitudinal Study of Ageing, a panel study of 12 765 participants aged 50 years and older in four waves from 2004 to 2011, selected using a stratified random sample of households in England. Distribution of illness burden, diagnosis and treatment by wealth was estimated using regression analysis. Outcome measures: The main outcome measures were ORs for the illness burden, diagnosis and treatment, respectively, adjusted for age, sex and wealth. We estimated the illness burden for angina with the Rose Angina scale, diabetes with fasting glycosylated haemoglobin, depression with the Centre for Epidemiologic Studies Depression Scale, osteoarthritis with self-reported pain and disability and cataract with self-reported poor vision. Medical diagnoses were self-reported for all conditions. Treatment was defined as β-blocker prescription for angina, surgery for osteoarthritis and cataract, and receipt of predefined effective interventions for diabetes and depression. Results: Compared with the wealthiest, the least wealthy participant had substantially higher odds for illness burden from any of the five conditions at all four time points, with ORs ranging from 4.2 (95% CI 2.6 to 6.8) for diabetes to 15.1 (11.4 to 20.0) for osteoarthritis. The ORs for diagnosis and treatment were smaller in all five conditions, and ranged from 0.9 (0.5 to 1.4) for diabetes treatment to 4.5 (3.3 to 6.0) for angina diagnosis. Conclusions: The substantially higher illness burden in less wealthy participants was not matched by appropriately higher levels of diagnosis and treatment.","author":[{"dropping-particle":"","family":"Steel","given":"N.","non-dropping-particle":"","parse-names":false,"suffix":""},{"dropping-particle":"","family":"Hardcastle","given":"A. C.","non-dropping-particle":"","parse-names":false,"suffix":""},{"dropping-particle":"","family":"Bachmann","given":"M. O.","non-dropping-particle":"","parse-names":false,"suffix":""},{"dropping-particle":"","family":"Richards","given":"S. H.","non-dropping-particle":"","parse-names":false,"suffix":""},{"dropping-particle":"","family":"Mounce","given":"L. T.A.","non-dropping-particle":"","parse-names":false,"suffix":""},{"dropping-particle":"","family":"Clark","given":"A.","non-dropping-particle":"","parse-names":false,"suffix":""},{"dropping-particle":"","family":"Lang","given":"I.","non-dropping-particle":"","parse-names":false,"suffix":""},{"dropping-particle":"","family":"Melzer","given":"D.","non-dropping-particle":"","parse-names":false,"suffix":""},{"dropping-particle":"","family":"Campbell","given":"J.","non-dropping-particle":"","parse-names":false,"suffix":""}],"container-title":"BMJ Open","id":"ITEM-1","issued":{"date-parts":[["2014"]]},"page":"e005530","title":"Economic inequalities in burden of illness, diagnosis and treatment of five long-term conditions in England: Panel study","type":"article-journal","volume":"4"},"uris":["http://www.mendeley.com/documents/?uuid=c693def2-7f46-4822-9ebd-d9b49a78081a"]},{"id":"ITEM-2","itemData":{"author":[{"dropping-particle":"","family":"NHS Digital","given":"","non-dropping-particle":"","parse-names":false,"suffix":""}],"id":"ITEM-2","issued":{"date-parts":[["2019"]]},"title":"Health Survey for England 2018: Data tables","type":"webpage"},"uris":["http://www.mendeley.com/documents/?uuid=e6873bac-f75c-4f71-a3e8-c7017e1477a2"]},{"id":"ITEM-3","itemData":{"DOI":"10.1016/S2468-2667(19)30219-1","ISSN":"24682667","abstract":"Summary Background Low socioeconomic position is consistently associated with increased risk of premature death. The aim of this study is to measure the aggregate scale of inequality in premature mortality for the whole population of England. Methods We used mortality records from the UK Office for National Statistics to study all 2 465 285 premature deaths (defined as those before age 75 years) in England between Jan 1, 2003, and Dec 31, 2018. Socioeconomic position was defined using deciles of the Index of Multiple Deprivation: a measure of neighbourhood income, employment, education levels, crime, health, availability of services, and local environment. We calculated the number of expected deaths by applying mortality rates in the least deprived decile to other deciles, within the strata of age, sex, and time. The mortality rates attributable to socioeconomic inequality was defined as the difference between the observed and expected deaths. We also used life table modelling to estimate years-of-life lost attributable to socioeconomic inequality. Findings 35·6% (95% CI 35·3–35·9) of premature deaths were attributable to socioeconomic inequality, equating to 877 082 deaths, or one every 10 min. The biggest contributors were ischaemic heart disease (152 171 excess deaths), respiratory cancers (111 083) and chronic obstructive pulmonary disease (83 593). The most unequal causes of death were deaths due to tuberculosis, opioid use, HIV, psychoactive drugs use, viral hepatitis, and obesity, each with more than two-thirds attributable to inequality. Inequality was greater among men and peaked in early childhood and at age 40–49 years. The proportion of deaths attributable to inequality increased during the study period, particularly for women, because mortality rates among the most deprived women (excluding cardiovascular diseases) plateaued, and for some diseases increased. A mean of 14·4 months of life before age 75 years are lost due to socioeconomic inequality. Interpretation One in three premature deaths are attributable to socioeconomic inequality, making this our most important public health challenge. Interventions that address upstream determinants of health should be prioritised. Funding National Institute of Health Research; Wellcome Trust.","author":[{"dropping-particle":"","family":"Lewer","given":"Dan","non-dropping-particle":"","parse-names":false,"suffix":""},{"dropping-particle":"","family":"Jayatunga","given":"Wikum","non-dropping-particle":"","parse-names":false,"suffix":""},{"dropping-particle":"","family":"Aldridge","given":"Robert W","non-dropping-particle":"","parse-names":false,"suffix":""},{"dropping-particle":"","family":"Edge","given":"Chantal","non-dropping-particle":"","parse-names":false,"suffix":""},{"dropping-particle":"","family":"Marmot","given":"Michael","non-dropping-particle":"","parse-names":false,"suffix":""},{"dropping-particle":"","family":"Story","given":"Alistair","non-dropping-particle":"","parse-names":false,"suffix":""},{"dropping-particle":"","family":"Hayward","given":"Andrew","non-dropping-particle":"","parse-names":false,"suffix":""}],"container-title":"The Lancet Public Health","id":"ITEM-3","issue":"1","issued":{"date-parts":[["2019","12"]]},"page":"PE33-E41","title":"Premature mortality attributable to socioeconomic inequality in England between 2003 and 2018: an observational study","type":"article-journal","volume":"5"},"uris":["http://www.mendeley.com/documents/?uuid=a0b6a6e1-b0e6-3e88-9f88-5484a5371c92"]}],"mendeley":{"formattedCitation":"[20–22]","plainTextFormattedCitation":"[20–22]","previouslyFormattedCitation":"[20–22]"},"properties":{"noteIndex":0},"schema":"https://github.com/citation-style-language/schema/raw/master/csl-citation.json"}</w:instrText>
      </w:r>
      <w:r w:rsidR="00941DB9" w:rsidRPr="007271D7">
        <w:fldChar w:fldCharType="separate"/>
      </w:r>
      <w:r w:rsidR="00412B46" w:rsidRPr="007271D7">
        <w:rPr>
          <w:noProof/>
        </w:rPr>
        <w:t>[20–22]</w:t>
      </w:r>
      <w:r w:rsidR="00941DB9" w:rsidRPr="007271D7">
        <w:fldChar w:fldCharType="end"/>
      </w:r>
      <w:r w:rsidR="00B56AC0" w:rsidRPr="007271D7">
        <w:t xml:space="preserve"> </w:t>
      </w:r>
    </w:p>
    <w:p w14:paraId="364F836F" w14:textId="77777777" w:rsidR="00975DFE" w:rsidRPr="007271D7" w:rsidRDefault="00975DFE" w:rsidP="002A0FEE">
      <w:pPr>
        <w:spacing w:line="480" w:lineRule="auto"/>
      </w:pPr>
    </w:p>
    <w:p w14:paraId="179D096C" w14:textId="39126517" w:rsidR="00F6016B" w:rsidRPr="007271D7" w:rsidRDefault="007C28EB" w:rsidP="002A0FEE">
      <w:pPr>
        <w:spacing w:line="480" w:lineRule="auto"/>
      </w:pPr>
      <w:r w:rsidRPr="007271D7">
        <w:t>In response, the regulation of food and drink marketing and advertising has been increasingly promoted as a policy lever</w:t>
      </w:r>
      <w:r w:rsidR="00D370B8" w:rsidRPr="007271D7">
        <w:t xml:space="preserve"> for obesity prevention</w:t>
      </w:r>
      <w:r w:rsidRPr="007271D7">
        <w:t xml:space="preserve"> by local and national governments and the World Health Organisation.</w:t>
      </w:r>
      <w:r w:rsidR="00405ADC" w:rsidRPr="007271D7">
        <w:fldChar w:fldCharType="begin" w:fldLock="1"/>
      </w:r>
      <w:r w:rsidR="00B32B88" w:rsidRPr="007271D7">
        <w:instrText>ADDIN CSL_CITATION {"citationItems":[{"id":"ITEM-1","itemData":{"DOI":"10.1016/j.ypmed.2015.02.011","ISSN":"10960260","abstract":"Purpose: To identify and review evidence on 1) the effectiveness of statutory and self-regulatory actions to reduce the volume, exposure or wider impact of advertising for foods high in fat, sugar and salt (HFSS) to children, and 2) the role of educational measures. Design/methodology/approach: A systematic review of three databases (Medline, CINAHL and PsycINFO) and grey literature was carried out. Relevant evidence included studies evaluating advertising bans and restrictions, advertising literacy programmes and parental communication styles. Relevant media included TV, internet, radio, magazines and newspaper advertising. No studies were excluded based on language or publication date. Findings: Forty-seven publications were included: 19 provided evidence for the results of statutory regulation, 25 for self-regulation, and six for educational approaches. Outcome measures varied in approach, quality and results. Findings suggested statutory regulation could reduce the volume of and children's exposure to advertising for foods HFSS, and had potential to impact more widely. Self-regulatory approaches showed varied results in reducing children's exposure. There was some limited support for educational measures. Discussion: Consistency in measures from evaluations over time would assist the development and interpretation of the evidence base on successful actions and measures to reduce the volume, exposure and impact of advertising for foods HFSS to children.","author":[{"dropping-particle":"","family":"Chambers","given":"Stephanie A.","non-dropping-particle":"","parse-names":false,"suffix":""},{"dropping-particle":"","family":"Freeman","given":"Ruth","non-dropping-particle":"","parse-names":false,"suffix":""},{"dropping-particle":"","family":"Anderson","given":"Annie S.","non-dropping-particle":"","parse-names":false,"suffix":""},{"dropping-particle":"","family":"MacGillivray","given":"Steve","non-dropping-particle":"","parse-names":false,"suffix":""}],"container-title":"Preventive Medicine","id":"ITEM-1","issued":{"date-parts":[["2015"]]},"page":"32-43","publisher":"Elsevier Inc.","title":"Reducing the volume, exposure and negative impacts of advertising for foods high in fat, sugar and salt to children: A systematic review of the evidence from statutory and self-regulatory actions and educational measures","type":"article-journal","volume":"75"},"uris":["http://www.mendeley.com/documents/?uuid=896adae0-8f9a-4ea0-9c09-ff61e4e53863"]},{"id":"ITEM-2","itemData":{"DOI":"10.1111/obr.12678","ISSN":"1467789X","abstract":"Objective: To evaluate the impact of junk food broadcast marketing policies on nationwide junk food sales and identify policy characteristics effective in reducing sales. Methods: Country policy data (n = 79) were categorized in a thorough literature review and analysed using a repeated measures design against data on food sales per capita. Study conducted in United States, 2017. Results: Countries with junk food broadcast marketing policies saw a decrease in junk food sales per capita after implementation, while those without said policies saw an increase (p = 0.013). Countries with statutory policies saw a decrease in sales per capita, while those with only self-regulation saw an increase (p = 0.004). Audience restrictions (p = 0.024) and standardized nutrition criteria (p = 0.008) were policy characteristics significantly associated with a decrease in sales per capita. Conclusions: Utilizing a novel approach to evaluate junk food broadcast marketing policies, the study demonstrated that countries with statutory policies saw a significant decrease in junk food sales per capita not seen in countries with no or only self-regulatory policies. To effectively reduce exposure to child-targeted junk food marketing, governments should establish strong, comprehensive statutory regulations. Additionally, countries that implement junk food marketing policies can use food sales data to track policy effectiveness.","author":[{"dropping-particle":"","family":"Kovic","given":"Y.","non-dropping-particle":"","parse-names":false,"suffix":""},{"dropping-particle":"","family":"Noel","given":"J. K.","non-dropping-particle":"","parse-names":false,"suffix":""},{"dropping-particle":"","family":"Ungemack","given":"J. A.","non-dropping-particle":"","parse-names":false,"suffix":""},{"dropping-particle":"","family":"Burleson","given":"J. A.","non-dropping-particle":"","parse-names":false,"suffix":""}],"container-title":"Obesity Reviews","id":"ITEM-2","issued":{"date-parts":[["2018"]]},"page":"761-769","title":"The impact of junk food marketing regulations on food sales: an ecological study","type":"article-journal","volume":"19"},"uris":["http://www.mendeley.com/documents/?uuid=66a4989d-f2b6-4d40-8261-87c9533454d2"]},{"id":"ITEM-3","itemData":{"URL":"https://www.who.int/elena/titles/food_marketing_children/en/","accessed":{"date-parts":[["2020","7","28"]]},"author":[{"dropping-particle":"","family":"World Health Organisation","given":"","non-dropping-particle":"","parse-names":false,"suffix":""}],"id":"ITEM-3","issued":{"date-parts":[["2019"]]},"title":"Reducing the impact of marketing of foods and non-alcoholic beverages on children","type":"webpage"},"uris":["http://www.mendeley.com/documents/?uuid=f723ef76-a67b-4ed0-82e9-2d24416a5bf3"]}],"mendeley":{"formattedCitation":"[8,23,24]","plainTextFormattedCitation":"[8,23,24]","previouslyFormattedCitation":"[8,23,24]"},"properties":{"noteIndex":0},"schema":"https://github.com/citation-style-language/schema/raw/master/csl-citation.json"}</w:instrText>
      </w:r>
      <w:r w:rsidR="00405ADC" w:rsidRPr="007271D7">
        <w:fldChar w:fldCharType="separate"/>
      </w:r>
      <w:r w:rsidR="00405ADC" w:rsidRPr="007271D7">
        <w:rPr>
          <w:noProof/>
        </w:rPr>
        <w:t>[8,23,24]</w:t>
      </w:r>
      <w:r w:rsidR="00405ADC" w:rsidRPr="007271D7">
        <w:fldChar w:fldCharType="end"/>
      </w:r>
      <w:r w:rsidR="00975DFE" w:rsidRPr="007271D7">
        <w:t xml:space="preserve"> </w:t>
      </w:r>
      <w:r w:rsidR="00D370B8" w:rsidRPr="007271D7">
        <w:t>In the UK, p</w:t>
      </w:r>
      <w:r w:rsidR="00975DFE" w:rsidRPr="007271D7">
        <w:t>olic</w:t>
      </w:r>
      <w:r w:rsidR="002E752C" w:rsidRPr="007271D7">
        <w:t>i</w:t>
      </w:r>
      <w:r w:rsidR="00975DFE" w:rsidRPr="007271D7">
        <w:t>es</w:t>
      </w:r>
      <w:r w:rsidR="0054470A" w:rsidRPr="007271D7">
        <w:t xml:space="preserve"> </w:t>
      </w:r>
      <w:r w:rsidR="00975DFE" w:rsidRPr="007271D7">
        <w:t>have</w:t>
      </w:r>
      <w:r w:rsidR="0054470A" w:rsidRPr="007271D7">
        <w:t xml:space="preserve"> focus</w:t>
      </w:r>
      <w:r w:rsidR="00975DFE" w:rsidRPr="007271D7">
        <w:t>ed</w:t>
      </w:r>
      <w:r w:rsidR="0054470A" w:rsidRPr="007271D7">
        <w:t xml:space="preserve"> </w:t>
      </w:r>
      <w:r w:rsidR="0054470A" w:rsidRPr="007271D7">
        <w:lastRenderedPageBreak/>
        <w:t xml:space="preserve">on </w:t>
      </w:r>
      <w:r w:rsidR="0029135C" w:rsidRPr="007271D7">
        <w:t>highly</w:t>
      </w:r>
      <w:r w:rsidR="00405ADC" w:rsidRPr="007271D7">
        <w:t>-</w:t>
      </w:r>
      <w:r w:rsidR="0029135C" w:rsidRPr="007271D7">
        <w:t xml:space="preserve">processed </w:t>
      </w:r>
      <w:r w:rsidR="00405ADC" w:rsidRPr="007271D7">
        <w:t xml:space="preserve">HFSS </w:t>
      </w:r>
      <w:r w:rsidR="0054470A" w:rsidRPr="007271D7">
        <w:t xml:space="preserve">products as determined by the Nutrient </w:t>
      </w:r>
      <w:r w:rsidR="00CA6E35" w:rsidRPr="007271D7">
        <w:t xml:space="preserve">Profiling </w:t>
      </w:r>
      <w:r w:rsidR="0054470A" w:rsidRPr="007271D7">
        <w:t>Model.</w:t>
      </w:r>
      <w:r w:rsidR="0029135C" w:rsidRPr="007271D7">
        <w:fldChar w:fldCharType="begin" w:fldLock="1"/>
      </w:r>
      <w:r w:rsidR="00ED179C" w:rsidRPr="007271D7">
        <w:instrText>ADDIN CSL_CITATION {"citationItems":[{"id":"ITEM-1","itemData":{"DOI":"10.1016/j.ypmed.2015.02.011","ISSN":"10960260","abstract":"Purpose: To identify and review evidence on 1) the effectiveness of statutory and self-regulatory actions to reduce the volume, exposure or wider impact of advertising for foods high in fat, sugar and salt (HFSS) to children, and 2) the role of educational measures. Design/methodology/approach: A systematic review of three databases (Medline, CINAHL and PsycINFO) and grey literature was carried out. Relevant evidence included studies evaluating advertising bans and restrictions, advertising literacy programmes and parental communication styles. Relevant media included TV, internet, radio, magazines and newspaper advertising. No studies were excluded based on language or publication date. Findings: Forty-seven publications were included: 19 provided evidence for the results of statutory regulation, 25 for self-regulation, and six for educational approaches. Outcome measures varied in approach, quality and results. Findings suggested statutory regulation could reduce the volume of and children's exposure to advertising for foods HFSS, and had potential to impact more widely. Self-regulatory approaches showed varied results in reducing children's exposure. There was some limited support for educational measures. Discussion: Consistency in measures from evaluations over time would assist the development and interpretation of the evidence base on successful actions and measures to reduce the volume, exposure and impact of advertising for foods HFSS to children.","author":[{"dropping-particle":"","family":"Chambers","given":"Stephanie A.","non-dropping-particle":"","parse-names":false,"suffix":""},{"dropping-particle":"","family":"Freeman","given":"Ruth","non-dropping-particle":"","parse-names":false,"suffix":""},{"dropping-particle":"","family":"Anderson","given":"Annie S.","non-dropping-particle":"","parse-names":false,"suffix":""},{"dropping-particle":"","family":"MacGillivray","given":"Steve","non-dropping-particle":"","parse-names":false,"suffix":""}],"container-title":"Preventive Medicine","id":"ITEM-1","issued":{"date-parts":[["2015"]]},"page":"32-43","publisher":"Elsevier Inc.","title":"Reducing the volume, exposure and negative impacts of advertising for foods high in fat, sugar and salt to children: A systematic review of the evidence from statutory and self-regulatory actions and educational measures","type":"article-journal","volume":"75"},"uris":["http://www.mendeley.com/documents/?uuid=896adae0-8f9a-4ea0-9c09-ff61e4e53863"]},{"id":"ITEM-2","itemData":{"abstract":"In May 2010, the World Health Assembly unanimously adopted the WHO Set of Recommendations on the Marketing of Foods and Non-alcoholic Beverages to Children. These recommendations urge Member States to reduce the impact on children of the marketing of energy-dense, highly processed foods and beverages that are high in saturated fats, trans fats, free sugars and/or salt (HFSS). However, despite unequivocal evidence that HFSS food marketing has a harmful impact on children’s eating behaviours and body weight, and repeated commitments made by Member States to halt the rise of childhood obesity by 2025, implementation of the WHO Set of Recommendations has been patchy.","author":[{"dropping-particle":"","family":"World Health Organization","given":"","non-dropping-particle":"","parse-names":false,"suffix":""}],"id":"ITEM-2","issued":{"date-parts":[["2018"]]},"publisher-place":"Copenhagen","title":"Evaluating implementation of the WHO set of recommendations on the marketing of foods and non-alcoholic beverages to children: Progress, challenges and guidance for next steps in the WHO European Region","type":"report"},"uris":["http://www.mendeley.com/documents/?uuid=57e8710d-82f3-4ec6-a524-6739ed35d67a"]}],"mendeley":{"formattedCitation":"[23,25]","plainTextFormattedCitation":"[23,25]","previouslyFormattedCitation":"[23,25]"},"properties":{"noteIndex":0},"schema":"https://github.com/citation-style-language/schema/raw/master/csl-citation.json"}</w:instrText>
      </w:r>
      <w:r w:rsidR="0029135C" w:rsidRPr="007271D7">
        <w:fldChar w:fldCharType="separate"/>
      </w:r>
      <w:r w:rsidR="00412B46" w:rsidRPr="007271D7">
        <w:rPr>
          <w:noProof/>
        </w:rPr>
        <w:t>[23,25]</w:t>
      </w:r>
      <w:r w:rsidR="0029135C" w:rsidRPr="007271D7">
        <w:fldChar w:fldCharType="end"/>
      </w:r>
      <w:r w:rsidR="0054470A" w:rsidRPr="007271D7">
        <w:t xml:space="preserve"> </w:t>
      </w:r>
      <w:r w:rsidR="006E3DFE" w:rsidRPr="007271D7">
        <w:t xml:space="preserve">However, </w:t>
      </w:r>
      <w:r w:rsidR="002E752C" w:rsidRPr="007271D7">
        <w:t>restrictions on other advertising</w:t>
      </w:r>
      <w:r w:rsidR="006E3DFE" w:rsidRPr="007271D7">
        <w:t xml:space="preserve"> may </w:t>
      </w:r>
      <w:r w:rsidR="007F511F" w:rsidRPr="007271D7">
        <w:t xml:space="preserve">also </w:t>
      </w:r>
      <w:r w:rsidR="007613A9" w:rsidRPr="007271D7">
        <w:t xml:space="preserve">be </w:t>
      </w:r>
      <w:r w:rsidR="002E752C" w:rsidRPr="007271D7">
        <w:t>need</w:t>
      </w:r>
      <w:r w:rsidR="007613A9" w:rsidRPr="007271D7">
        <w:t>ed</w:t>
      </w:r>
      <w:r w:rsidR="002E752C" w:rsidRPr="007271D7">
        <w:t xml:space="preserve">. </w:t>
      </w:r>
      <w:r w:rsidR="00F6016B" w:rsidRPr="007271D7">
        <w:t xml:space="preserve">The use </w:t>
      </w:r>
      <w:r w:rsidR="00754608" w:rsidRPr="007271D7">
        <w:t xml:space="preserve">and advertising </w:t>
      </w:r>
      <w:r w:rsidR="00F6016B" w:rsidRPr="007271D7">
        <w:t>of</w:t>
      </w:r>
      <w:r w:rsidR="00E47F2E" w:rsidRPr="007271D7">
        <w:t xml:space="preserve"> digital</w:t>
      </w:r>
      <w:r w:rsidR="00F6016B" w:rsidRPr="007271D7">
        <w:t xml:space="preserve"> </w:t>
      </w:r>
      <w:r w:rsidR="00E47F2E" w:rsidRPr="007271D7">
        <w:t xml:space="preserve">food </w:t>
      </w:r>
      <w:r w:rsidR="00F6016B" w:rsidRPr="007271D7">
        <w:t>delivery</w:t>
      </w:r>
      <w:r w:rsidR="00E47F2E" w:rsidRPr="007271D7">
        <w:t xml:space="preserve"> services </w:t>
      </w:r>
      <w:r w:rsidR="0074509F" w:rsidRPr="007271D7">
        <w:t>have</w:t>
      </w:r>
      <w:r w:rsidR="00C11389" w:rsidRPr="007271D7">
        <w:t xml:space="preserve"> </w:t>
      </w:r>
      <w:r w:rsidR="001319CE" w:rsidRPr="007271D7">
        <w:t>increased dramatically in recent years</w:t>
      </w:r>
      <w:r w:rsidR="00B32B88" w:rsidRPr="007271D7">
        <w:t>.</w:t>
      </w:r>
      <w:r w:rsidR="0074509F" w:rsidRPr="007271D7">
        <w:fldChar w:fldCharType="begin" w:fldLock="1"/>
      </w:r>
      <w:r w:rsidR="00ED179C" w:rsidRPr="007271D7">
        <w:instrText>ADDIN CSL_CITATION {"citationItems":[{"id":"ITEM-1","itemData":{"DOI":"10.1017/S1368980020002128","ISSN":"14752727","PMID":"32618235","abstract":"OBJECTIVE: To evaluate the prevalence of food and beverage marketing on Twitch.tv (Twitch), a social media platform where individuals broadcast live audiovisual material to millions of daily users. DESIGN: Observational analysis of the prevalence of 238 food and beverage brands in five distinct categories (processed snacks; food delivery services and restaurants; candies, energy drinks/coffees/teas; and sodas and other sugar-sweetened beverages) over the course of 18 months. SETTING: Twitch streamer profiles and stream titles between January 2018 and July 2019. Twitch chat room messages during July 2019.None. RESULTS: There was a significant increase in brand exposure on Twitch both in stream titles (sodas and candies, P &lt; 0·05) and on streamer profiles (sodas, restaurants/food delivery services, candies, and energy drinks/coffees/teas, P &lt; 0·05) over the 18-month study period. Energy drinks, coffees and teas had the most exposure with 1·08 billion exposure hours from profiles and 83 million exposure hours from titles. Restaurants/food delivery services and sugar-sweetened beverages were the most frequently mentioned products in chat rooms with 1·24 million messages and 1·10 million messages, respectively. CONCLUSIONS: This study is the first to demonstrate the extent by which food and beverage brands garner millions of hours of exposure on Twitch. Future studies should evaluate the impact that this level of exposure to nutrient-poor, energy-dense products may have on behavioural and health outcomes.","author":[{"dropping-particle":"","family":"Pollack","given":"Catherine C.","non-dropping-particle":"","parse-names":false,"suffix":""},{"dropping-particle":"","family":"Kim","given":"Jason","non-dropping-particle":"","parse-names":false,"suffix":""},{"dropping-particle":"","family":"Emond","given":"Jennifer A.","non-dropping-particle":"","parse-names":false,"suffix":""},{"dropping-particle":"","family":"Brand","given":"John","non-dropping-particle":"","parse-names":false,"suffix":""},{"dropping-particle":"","family":"Gilbert-Diamond","given":"Diane","non-dropping-particle":"","parse-names":false,"suffix":""},{"dropping-particle":"","family":"Masterson","given":"Travis D.","non-dropping-particle":"","parse-names":false,"suffix":""}],"container-title":"Public health nutrition","id":"ITEM-1","issue":"15","issued":{"date-parts":[["2020"]]},"page":"2793-2803","title":"Prevalence and strategies of energy drink, soda, processed snack, candy and restaurant product marketing on the online streaming platform Twitch","type":"article-journal","volume":"23"},"uris":["http://www.mendeley.com/documents/?uuid=67ca57c0-b73a-4fdb-8036-9a8cd23a914a"]}],"mendeley":{"formattedCitation":"[26]","plainTextFormattedCitation":"[26]","previouslyFormattedCitation":"[26]"},"properties":{"noteIndex":0},"schema":"https://github.com/citation-style-language/schema/raw/master/csl-citation.json"}</w:instrText>
      </w:r>
      <w:r w:rsidR="0074509F" w:rsidRPr="007271D7">
        <w:fldChar w:fldCharType="separate"/>
      </w:r>
      <w:r w:rsidR="00412B46" w:rsidRPr="007271D7">
        <w:rPr>
          <w:noProof/>
        </w:rPr>
        <w:t>[26]</w:t>
      </w:r>
      <w:r w:rsidR="0074509F" w:rsidRPr="007271D7">
        <w:fldChar w:fldCharType="end"/>
      </w:r>
      <w:r w:rsidR="001319CE" w:rsidRPr="007271D7">
        <w:t xml:space="preserve"> </w:t>
      </w:r>
      <w:r w:rsidR="00E47F2E" w:rsidRPr="007271D7">
        <w:t>These services</w:t>
      </w:r>
      <w:r w:rsidR="001319CE" w:rsidRPr="007271D7">
        <w:t xml:space="preserve"> often deliver takeaway fast food </w:t>
      </w:r>
      <w:r w:rsidR="005555F1" w:rsidRPr="007271D7">
        <w:t>or restaurant meals</w:t>
      </w:r>
      <w:r w:rsidR="00754608" w:rsidRPr="007271D7">
        <w:t>, which</w:t>
      </w:r>
      <w:r w:rsidR="001319CE" w:rsidRPr="007271D7">
        <w:t xml:space="preserve"> tend to be less healthy</w:t>
      </w:r>
      <w:r w:rsidR="005555F1" w:rsidRPr="007271D7">
        <w:t xml:space="preserve"> than home-prepared food</w:t>
      </w:r>
      <w:r w:rsidR="001319CE" w:rsidRPr="007271D7">
        <w:t>.</w:t>
      </w:r>
      <w:r w:rsidR="005555F1" w:rsidRPr="007271D7">
        <w:fldChar w:fldCharType="begin" w:fldLock="1"/>
      </w:r>
      <w:r w:rsidR="00ED179C" w:rsidRPr="007271D7">
        <w:instrText>ADDIN CSL_CITATION {"citationItems":[{"id":"ITEM-1","itemData":{"DOI":"10.1016/j.appet.2012.06.018","ISSN":"01956663","abstract":"High sodium intake is associated with negative health outcomes, including an independent correlation with high blood pressure which increases the risk of cardiovascular disease. A high proportion of sodium intake in the UK is from processed and out of the home food; this includes takeaway food which is increasing in popularity. The aim of the present study was to evaluate salt levels in popular hot takeaway meals. A total of 411 samples of 23 different types of takeaway meals were analysed. Obtained results show the salt content in these kinds of foods is alarmingly high. Comparing medians (interquartile range) for different meal categories, Pizzas contained the highest salt content per portion (9.45. g (6.97-12.83)), followed by Chinese meals (8.07. g (5.47-10.99. g)), Kebabs (6.21. g (4.01-8.35)) and Indian meals (4.73. g (3.61-6.10)). In addition, significant differences in the salt content between meals within the same category were reported. To enable the consumer to meet the UK's target salt intake, a significant reduction in the salt content of hot takeaway meals should be considered. © 2012 Elsevier Ltd.","author":[{"dropping-particle":"","family":"Jaworowska","given":"Agnieszka","non-dropping-particle":"","parse-names":false,"suffix":""},{"dropping-particle":"","family":"Blackham","given":"Toni","non-dropping-particle":"","parse-names":false,"suffix":""},{"dropping-particle":"","family":"Stevenson","given":"Leonard","non-dropping-particle":"","parse-names":false,"suffix":""},{"dropping-particle":"","family":"Davies","given":"Ian G.","non-dropping-particle":"","parse-names":false,"suffix":""}],"container-title":"Appetite","id":"ITEM-1","issued":{"date-parts":[["2012"]]},"page":"517-522","title":"Determination of salt content in hot takeaway meals in the United Kingdom","type":"article-journal","volume":"59"},"uris":["http://www.mendeley.com/documents/?uuid=0264778b-1268-462d-90b1-89bd0a26ad1a"]},{"id":"ITEM-2","itemData":{"ISBN":"0389472115","author":[{"dropping-particle":"","family":"Jaworowska","given":"A","non-dropping-particle":"","parse-names":false,"suffix":""},{"dropping-particle":"","family":"Blackham","given":"TM","non-dropping-particle":"","parse-names":false,"suffix":""},{"dropping-particle":"","family":"Long","given":"R","non-dropping-particle":"","parse-names":false,"suffix":""},{"dropping-particle":"","family":"Taylor","given":"C","non-dropping-particle":"","parse-names":false,"suffix":""},{"dropping-particle":"","family":"Ashton","given":"M","non-dropping-particle":"","parse-names":false,"suffix":""},{"dropping-particle":"","family":"Stevenson","given":"L","non-dropping-particle":"","parse-names":false,"suffix":""},{"dropping-particle":"","family":"Davies","given":"IG","non-dropping-particle":"","parse-names":false,"suffix":""}],"container-title":"Nutrition &amp; Food Science","id":"ITEM-2","issue":"5","issued":{"date-parts":[["2014"]]},"page":"414-430","title":"Nutritional composition of takeaway food in the UK","type":"article-journal","volume":"44"},"uris":["http://www.mendeley.com/documents/?uuid=012a56f9-aa2b-4de0-a804-b7c9e08a92b9"]},{"id":"ITEM-3","itemData":{"DOI":"10.1136/bmj.k4982","ISSN":"17561833","PMID":"30541906","abstract":"Objectives To examine the energy content of main meals served in major UK restaurant chains and compare the energy content of meals in fast food and \"full service\" restaurant chains. Design Observational study. Setting Men</w:instrText>
      </w:r>
      <w:r w:rsidR="00ED179C" w:rsidRPr="007271D7">
        <w:rPr>
          <w:rFonts w:hint="eastAsia"/>
        </w:rPr>
        <w:instrText>u and nutritional information provided by major UK restaurant chains. Main outcome measures Mean energy content of meals, proportion of meals meeting public health recommendations for energy consumption (</w:instrText>
      </w:r>
      <w:r w:rsidR="00ED179C" w:rsidRPr="007271D7">
        <w:rPr>
          <w:rFonts w:hint="eastAsia"/>
        </w:rPr>
        <w:instrText>≤</w:instrText>
      </w:r>
      <w:r w:rsidR="00ED179C" w:rsidRPr="007271D7">
        <w:rPr>
          <w:rFonts w:hint="eastAsia"/>
        </w:rPr>
        <w:instrText>600 kcal), and proportion of meals with excessive energy content (</w:instrText>
      </w:r>
      <w:r w:rsidR="00ED179C" w:rsidRPr="007271D7">
        <w:rPr>
          <w:rFonts w:hint="eastAsia"/>
        </w:rPr>
        <w:instrText>≥</w:instrText>
      </w:r>
      <w:r w:rsidR="00ED179C" w:rsidRPr="007271D7">
        <w:rPr>
          <w:rFonts w:hint="eastAsia"/>
        </w:rPr>
        <w:instrText>1000 kcal). Results Main meals from 27 restaurant chains (21 full service; 6 fast food) were sampled. The mean energy content of all eligible restaurant meals (13 396 in total) was 977 (95% confidence interval 973 to 983) kcal. The percen</w:instrText>
      </w:r>
      <w:r w:rsidR="00ED179C" w:rsidRPr="007271D7">
        <w:instrText>tage of all meals that met public health recommendations for energy content was low (9%; n=1226) and smaller than the percentage of meals with an excessive energy content (47%; 6251). Compared with fast food restaurants, full service restaurants offered significantly more excessively calorific main meals, fewer main meals meeting public health recommendations, and on average 268 (103 to 433) kcal more in main meals. Conclusions The energy content of a large number of main meals in major UK restaurant chains is excessive, and only a minority meet public health recommendations. Although the poor nutritional quality of fast food meals has been well documented, the energy content of full service restaurant meals in the UK tends to be higher and is a cause for concern. Registration Study protocol and analysis strategy pre-registered on Open Science Framework (https://osf.io/w5h8q/).","author":[{"dropping-particle":"","family":"Robinson","given":"Eric","non-dropping-particle":"","parse-names":false,"suffix":""},{"dropping-particle":"","family":"Jones","given":"Andrew","non-dropping-particle":"","parse-names":false,"suffix":""},{"dropping-particle":"","family":"Whitelock","given":"Victoria","non-dropping-particle":"","parse-names":false,"suffix":""},{"dropping-particle":"","family":"Mead","given":"Bethan R.","non-dropping-particle":"","parse-names":false,"suffix":""},{"dropping-particle":"","family":"Haynes","given":"Ashleigh","non-dropping-particle":"","parse-names":false,"suffix":""}],"container-title":"BMJ (Online)","id":"ITEM-3","issued":{"date-parts":[["2018"]]},"page":"k4982","title":"(Over)eating out at major UK restaurant chains: Observational study of energy content of main meals","type":"article-journal","volume":"363"},"uris":["http://www.mendeley.com/documents/?uuid=4446ca4f-c214-4e63-b094-86d38ec7c2c9"]}],"mendeley":{"formattedCitation":"[27–29]","plainTextFormattedCitation":"[27–29]","previouslyFormattedCitation":"[27–29]"},"properties":{"noteIndex":0},"schema":"https://github.com/citation-style-language/schema/raw/master/csl-citation.json"}</w:instrText>
      </w:r>
      <w:r w:rsidR="005555F1" w:rsidRPr="007271D7">
        <w:fldChar w:fldCharType="separate"/>
      </w:r>
      <w:r w:rsidR="00412B46" w:rsidRPr="007271D7">
        <w:rPr>
          <w:noProof/>
        </w:rPr>
        <w:t>[27–29]</w:t>
      </w:r>
      <w:r w:rsidR="005555F1" w:rsidRPr="007271D7">
        <w:fldChar w:fldCharType="end"/>
      </w:r>
      <w:r w:rsidR="001319CE" w:rsidRPr="007271D7">
        <w:t xml:space="preserve"> Therefore, </w:t>
      </w:r>
      <w:r w:rsidR="00EC63B5" w:rsidRPr="007271D7">
        <w:t>regulating the</w:t>
      </w:r>
      <w:r w:rsidR="001319CE" w:rsidRPr="007271D7">
        <w:t xml:space="preserve"> promotion of </w:t>
      </w:r>
      <w:r w:rsidR="007F2268" w:rsidRPr="007271D7">
        <w:t xml:space="preserve">digital food </w:t>
      </w:r>
      <w:r w:rsidR="001319CE" w:rsidRPr="007271D7">
        <w:t>delivery services may</w:t>
      </w:r>
      <w:r w:rsidR="0029135C" w:rsidRPr="007271D7">
        <w:t xml:space="preserve"> also</w:t>
      </w:r>
      <w:r w:rsidR="001319CE" w:rsidRPr="007271D7">
        <w:t xml:space="preserve"> be </w:t>
      </w:r>
      <w:r w:rsidR="00EC63B5" w:rsidRPr="007271D7">
        <w:t>a potential policy lever to reduce</w:t>
      </w:r>
      <w:r w:rsidR="0029135C" w:rsidRPr="007271D7">
        <w:t xml:space="preserve"> </w:t>
      </w:r>
      <w:r w:rsidR="001319CE" w:rsidRPr="007271D7">
        <w:t xml:space="preserve">consumption of less healthy </w:t>
      </w:r>
      <w:r w:rsidR="007F511F" w:rsidRPr="007271D7">
        <w:t>products.</w:t>
      </w:r>
    </w:p>
    <w:p w14:paraId="3343EE4D" w14:textId="56BF0CA8" w:rsidR="00DF6A00" w:rsidRPr="007271D7" w:rsidRDefault="00DF6A00" w:rsidP="002A0FEE">
      <w:pPr>
        <w:spacing w:line="480" w:lineRule="auto"/>
      </w:pPr>
    </w:p>
    <w:p w14:paraId="7A555FCC" w14:textId="5F2E3E90" w:rsidR="00DF6A00" w:rsidRPr="007271D7" w:rsidRDefault="00DF6A00" w:rsidP="002A0FEE">
      <w:pPr>
        <w:spacing w:line="480" w:lineRule="auto"/>
      </w:pPr>
      <w:r w:rsidRPr="007271D7">
        <w:t>A wide range of advertising channels are used by companies to promote their products and brand. The use of multiple advertising settings both reinforces the messaging and helps to reach a wider audience.</w:t>
      </w:r>
      <w:r w:rsidR="00154B6B" w:rsidRPr="007271D7">
        <w:fldChar w:fldCharType="begin" w:fldLock="1"/>
      </w:r>
      <w:r w:rsidR="0015598E" w:rsidRPr="007271D7">
        <w:instrText>ADDIN CSL_CITATION {"citationItems":[{"id":"ITEM-1","itemData":{"DOI":"10.1016/j.jadohealth.2009.04.006","ISSN":"1054139X","PMID":"19699433","abstract":"Because of their avid use of new media and their increased spending power, adolescents have become primary targets of a new \"Media and Marketing Ecosystem.\" Digital media resonate particularly well with many of the fundamental developmental tasks of adolescence by enabling instantaneous and constant contact with peers, providing opportunities for self-expression, identity exploration, and social interaction, and facilitating mobility and independence. Six key features of interactive media-ubiquitous connectivity, personalization, peer-to-peer networking, engagement, immersion, and content creation-are emblematic of the ways in which young people are both shaping and being shaped by this new digital culture. The advertising industry, in many instances led by food and beverage marketers, is purposefully exploiting the special relationship that teenagers have with new media, with online marketing campaigns that create unprecedented intimacies between adolescents and the brands and products that now literally surround them. Major food and beverage companies, including Coca-Cola, McDonald's, Burger King, and Kentucky Fried Chicken (KFC), have incorporated these elements into their interactive marketing strategies, posing particular risks to adolescents, who are not being addressed in the current U.S. policy and self-regulatory regimens. However, recent and emerging neuroscience and psychological research on adolescents suggests a need to revisit the traditional approach to regulation of advertising. Despite the growth of interactive marketing, academic research on the impact of digital advertising on children and youth remains underdeveloped. Additional research and policy initiatives are needed to address the growing health threat facing youth in the digital marketplace. © 2009 Society for Adolescent Medicine.","author":[{"dropping-particle":"","family":"Montgomery","given":"Kathryn C.","non-dropping-particle":"","parse-names":false,"suffix":""},{"dropping-particle":"","family":"Chester","given":"Jeff","non-dropping-particle":"","parse-names":false,"suffix":""}],"container-title":"Journal of Adolescent Health","id":"ITEM-1","issued":{"date-parts":[["2009"]]},"page":"S18-S29","publisher":"Elsevier Ltd","title":"Interactive Food and Beverage Marketing: Targeting Adolescents in the Digital Age","type":"article-journal","volume":"45"},"uris":["http://www.mendeley.com/documents/?uuid=32c195dd-8f21-4224-851d-2859da68fcaf"]}],"mendeley":{"formattedCitation":"[30]","plainTextFormattedCitation":"[30]","previouslyFormattedCitation":"[30]"},"properties":{"noteIndex":0},"schema":"https://github.com/citation-style-language/schema/raw/master/csl-citation.json"}</w:instrText>
      </w:r>
      <w:r w:rsidR="00154B6B" w:rsidRPr="007271D7">
        <w:fldChar w:fldCharType="separate"/>
      </w:r>
      <w:r w:rsidR="00154B6B" w:rsidRPr="007271D7">
        <w:rPr>
          <w:noProof/>
        </w:rPr>
        <w:t>[30]</w:t>
      </w:r>
      <w:r w:rsidR="00154B6B" w:rsidRPr="007271D7">
        <w:fldChar w:fldCharType="end"/>
      </w:r>
      <w:r w:rsidRPr="007271D7">
        <w:t xml:space="preserve"> </w:t>
      </w:r>
      <w:r w:rsidR="00C915A0" w:rsidRPr="007271D7">
        <w:t xml:space="preserve">Outdoor advertising </w:t>
      </w:r>
      <w:r w:rsidR="00154B6B" w:rsidRPr="007271D7">
        <w:t xml:space="preserve">is thought to </w:t>
      </w:r>
      <w:r w:rsidR="00C915A0" w:rsidRPr="007271D7">
        <w:t>reach 98% of the UK population at least once a week and is especially effective at reaching young, urban, affluent consumers.</w:t>
      </w:r>
      <w:r w:rsidR="00EB6755" w:rsidRPr="007271D7">
        <w:fldChar w:fldCharType="begin" w:fldLock="1"/>
      </w:r>
      <w:r w:rsidR="0015598E" w:rsidRPr="007271D7">
        <w:instrText>ADDIN CSL_CITATION {"citationItems":[{"id":"ITEM-1","itemData":{"URL":"https://www.outsmart.org.uk/who-sees-ooh","accessed":{"date-parts":[["2021","2","26"]]},"author":[{"dropping-particle":"","family":"OutSmart","given":"","non-dropping-particle":"","parse-names":false,"suffix":""}],"id":"ITEM-1","issued":{"date-parts":[["2021"]]},"title":"Who sees OOH?","type":"webpage"},"uris":["http://www.mendeley.com/documents/?uuid=3a3a71c4-bc6d-446c-a72b-fdf7746a4f39"]}],"mendeley":{"formattedCitation":"[31]","plainTextFormattedCitation":"[31]","previouslyFormattedCitation":"[31]"},"properties":{"noteIndex":0},"schema":"https://github.com/citation-style-language/schema/raw/master/csl-citation.json"}</w:instrText>
      </w:r>
      <w:r w:rsidR="00EB6755" w:rsidRPr="007271D7">
        <w:fldChar w:fldCharType="separate"/>
      </w:r>
      <w:r w:rsidR="00154B6B" w:rsidRPr="007271D7">
        <w:rPr>
          <w:noProof/>
        </w:rPr>
        <w:t>[31]</w:t>
      </w:r>
      <w:r w:rsidR="00EB6755" w:rsidRPr="007271D7">
        <w:fldChar w:fldCharType="end"/>
      </w:r>
      <w:r w:rsidR="00EB6755" w:rsidRPr="007271D7">
        <w:t xml:space="preserve"> </w:t>
      </w:r>
      <w:r w:rsidR="00F73FD9" w:rsidRPr="007271D7">
        <w:t>A</w:t>
      </w:r>
      <w:r w:rsidR="00154B6B" w:rsidRPr="007271D7">
        <w:t xml:space="preserve">dvertising across </w:t>
      </w:r>
      <w:r w:rsidR="00EB6755" w:rsidRPr="007271D7">
        <w:t>the Transport for London network</w:t>
      </w:r>
      <w:r w:rsidR="00F73FD9" w:rsidRPr="007271D7">
        <w:t xml:space="preserve"> generated £152.1 million</w:t>
      </w:r>
      <w:r w:rsidR="00154B6B" w:rsidRPr="007271D7">
        <w:t xml:space="preserve"> </w:t>
      </w:r>
      <w:r w:rsidR="00F73FD9" w:rsidRPr="007271D7">
        <w:t xml:space="preserve">in 2017/18, </w:t>
      </w:r>
      <w:r w:rsidR="00EB6755" w:rsidRPr="007271D7">
        <w:t>account</w:t>
      </w:r>
      <w:r w:rsidR="00F73FD9" w:rsidRPr="007271D7">
        <w:t>ing</w:t>
      </w:r>
      <w:r w:rsidR="00EB6755" w:rsidRPr="007271D7">
        <w:t xml:space="preserve"> for </w:t>
      </w:r>
      <w:r w:rsidR="0015598E" w:rsidRPr="007271D7">
        <w:t xml:space="preserve">40% of London’s outdoor advertising spend and </w:t>
      </w:r>
      <w:r w:rsidR="00EB6755" w:rsidRPr="007271D7">
        <w:t>20% of outdoor advertising spend</w:t>
      </w:r>
      <w:r w:rsidR="00F73FD9" w:rsidRPr="007271D7">
        <w:t xml:space="preserve"> across the UK</w:t>
      </w:r>
      <w:r w:rsidR="00EB6755" w:rsidRPr="007271D7">
        <w:t>.</w:t>
      </w:r>
      <w:r w:rsidR="00EB6755" w:rsidRPr="007271D7">
        <w:fldChar w:fldCharType="begin" w:fldLock="1"/>
      </w:r>
      <w:r w:rsidR="0015598E" w:rsidRPr="007271D7">
        <w:instrText>ADDIN CSL_CITATION {"citationItems":[{"id":"ITEM-1","itemData":{"author":[{"dropping-particle":"","family":"Transport for London","given":"","non-dropping-particle":"","parse-names":false,"suffix":""}],"id":"ITEM-1","issued":{"date-parts":[["2018"]]},"publisher-place":"London","title":"Advertising Annual Report 2017/18","type":"report"},"uris":["http://www.mendeley.com/documents/?uuid=75b82883-60c4-4e28-b0b0-2d57c3fae6be"]}],"mendeley":{"formattedCitation":"[32]","plainTextFormattedCitation":"[32]","previouslyFormattedCitation":"[32]"},"properties":{"noteIndex":0},"schema":"https://github.com/citation-style-language/schema/raw/master/csl-citation.json"}</w:instrText>
      </w:r>
      <w:r w:rsidR="00EB6755" w:rsidRPr="007271D7">
        <w:fldChar w:fldCharType="separate"/>
      </w:r>
      <w:r w:rsidR="00154B6B" w:rsidRPr="007271D7">
        <w:rPr>
          <w:noProof/>
        </w:rPr>
        <w:t>[32]</w:t>
      </w:r>
      <w:r w:rsidR="00EB6755" w:rsidRPr="007271D7">
        <w:fldChar w:fldCharType="end"/>
      </w:r>
      <w:r w:rsidR="00C915A0" w:rsidRPr="007271D7">
        <w:t xml:space="preserve"> </w:t>
      </w:r>
      <w:r w:rsidR="0076411D" w:rsidRPr="007271D7">
        <w:t>D</w:t>
      </w:r>
      <w:r w:rsidRPr="007271D7">
        <w:t xml:space="preserve">igital advertising </w:t>
      </w:r>
      <w:r w:rsidR="00EB6755" w:rsidRPr="007271D7">
        <w:t>has</w:t>
      </w:r>
      <w:r w:rsidR="00F73FD9" w:rsidRPr="007271D7">
        <w:t xml:space="preserve"> grown</w:t>
      </w:r>
      <w:r w:rsidR="00EB6755" w:rsidRPr="007271D7">
        <w:t>,</w:t>
      </w:r>
      <w:r w:rsidR="00F73FD9" w:rsidRPr="007271D7">
        <w:t xml:space="preserve"> with online advertisers spending £13.4 billion in 2018 in the UK,</w:t>
      </w:r>
      <w:r w:rsidR="00EB6755" w:rsidRPr="007271D7">
        <w:t xml:space="preserve"> and is set to grow further.</w:t>
      </w:r>
      <w:r w:rsidR="0015598E" w:rsidRPr="007271D7">
        <w:fldChar w:fldCharType="begin" w:fldLock="1"/>
      </w:r>
      <w:r w:rsidR="00F73FD9" w:rsidRPr="007271D7">
        <w:instrText>ADDIN CSL_CITATION {"citationItems":[{"id":"ITEM-1","itemData":{"author":[{"dropping-particle":"","family":"Tatum","given":"Megan","non-dropping-particle":"","parse-names":false,"suffix":""}],"id":"ITEM-1","issued":{"date-parts":[["2017"]]},"title":"The Advertising Report","type":"report"},"uris":["http://www.mendeley.com/documents/?uuid=bb1bf9fd-1c63-4df9-8ba0-a4ca82473b08"]},{"id":"ITEM-2","itemData":{"author":[{"dropping-particle":"","family":"Advertising Association","given":"","non-dropping-particle":"","parse-names":false,"suffix":""}],"id":"ITEM-2","issued":{"date-parts":[["2019"]]},"publisher-place":"London","title":"Advertising pays 7: UK advertising's digital revolution","type":"report"},"uris":["http://www.mendeley.com/documents/?uuid=55545f79-443e-450a-b1de-8793718edfd7"]}],"mendeley":{"formattedCitation":"[33,34]","plainTextFormattedCitation":"[33,34]","previouslyFormattedCitation":"[33,34]"},"properties":{"noteIndex":0},"schema":"https://github.com/citation-style-language/schema/raw/master/csl-citation.json"}</w:instrText>
      </w:r>
      <w:r w:rsidR="0015598E" w:rsidRPr="007271D7">
        <w:fldChar w:fldCharType="separate"/>
      </w:r>
      <w:r w:rsidR="0015598E" w:rsidRPr="007271D7">
        <w:rPr>
          <w:noProof/>
        </w:rPr>
        <w:t>[33,34]</w:t>
      </w:r>
      <w:r w:rsidR="0015598E" w:rsidRPr="007271D7">
        <w:fldChar w:fldCharType="end"/>
      </w:r>
      <w:r w:rsidR="00EB6755" w:rsidRPr="007271D7">
        <w:t xml:space="preserve"> Digital advertising </w:t>
      </w:r>
      <w:r w:rsidR="00BA1D11" w:rsidRPr="007271D7">
        <w:t xml:space="preserve">has </w:t>
      </w:r>
      <w:r w:rsidR="001D3BFA" w:rsidRPr="007271D7">
        <w:t xml:space="preserve">the </w:t>
      </w:r>
      <w:r w:rsidR="00BA1D11" w:rsidRPr="007271D7">
        <w:t>advantage of allowing more customisation and</w:t>
      </w:r>
      <w:r w:rsidR="0076411D" w:rsidRPr="007271D7">
        <w:t xml:space="preserve"> is</w:t>
      </w:r>
      <w:r w:rsidR="007901E0" w:rsidRPr="007271D7">
        <w:t xml:space="preserve"> often targeted towards younger people, especially those in more disadvantaged areas.</w:t>
      </w:r>
      <w:r w:rsidR="007901E0" w:rsidRPr="007271D7">
        <w:fldChar w:fldCharType="begin" w:fldLock="1"/>
      </w:r>
      <w:r w:rsidR="00F647C5" w:rsidRPr="007271D7">
        <w:instrText>ADDIN CSL_CITATION {"citationItems":[{"id":"ITEM-1","itemData":{"author":[{"dropping-particle":"","family":"Forbes Insights","given":"","non-dropping-particle":"","parse-names":false,"suffix":""}],"id":"ITEM-1","issued":{"date-parts":[["2015"]]},"publisher-place":"Jersey City","title":"Reaching the right audience. How brands are using audience targeting in digital advertising.","type":"report"},"uris":["http://www.mendeley.com/documents/?uuid=99c4987c-eaa6-4d84-81f4-ac6a90fa9fbd"]},{"id":"ITEM-2","itemData":{"DOI":"10.1093/heapro/dav081","ISSN":"14602245","abstract":"Young adults are a highly desirable target population for energy-dense, nutrient-poor (EDNP) food and beverage marketing. But little research, resources, advocacy and policy action have been directed at this age group, despite the fact that young adults are gaining weight faster than previous generations and other population groups. Factors such as identity development and shifting interpersonal influences differentiate young adulthood from other life stages and influence the adoption of both healthy and unhealthy eating behaviours. EDNP food and beverage marketing campaigns use techniques to normalize brands within young adult culture, in particular through online social media. Young adults must be a priority population in future obesity prevention efforts. Stronger policies to protect young adults from EDNP food and beverage marketing may also increase the effectiveness of policies that are meant to protect younger children. Restrictions on EDNP food and beverage marketing should be extended to include Internet-based advertising and also aim to protect vulnerable young adults.","author":[{"dropping-particle":"","family":"Freeman","given":"Becky","non-dropping-particle":"","parse-names":false,"suffix":""},{"dropping-particle":"","family":"Kelly","given":"Bridget","non-dropping-particle":"","parse-names":false,"suffix":""},{"dropping-particle":"","family":"Vandevijvere","given":"Stefanie","non-dropping-particle":"","parse-names":false,"suffix":""},{"dropping-particle":"","family":"Baur","given":"Louise","non-dropping-particle":"","parse-names":false,"suffix":""}],"container-title":"Health Promotion International","id":"ITEM-2","issued":{"date-parts":[["2016"]]},"page":"954-961","title":"Young adults: Beloved by food and drink marketers and forgotten by public health?","type":"article-journal","volume":"31"},"uris":["http://www.mendeley.com/documents/?uuid=a64a0b56-c299-4968-aa95-44492319df3e"]},{"id":"ITEM-3","itemData":{"author":[{"dropping-particle":"","family":"Buston","given":"Olly","non-dropping-particle":"","parse-names":false,"suffix":""}],"id":"ITEM-3","issued":{"date-parts":[["2020"]]},"title":"Lifting the lid on the secretive online strategies global food giants are using to manipulate British children","type":"report"},"uris":["http://www.mendeley.com/documents/?uuid=e049ca69-614d-4097-a2c6-f1f006939095"]}],"mendeley":{"formattedCitation":"[35–37]","plainTextFormattedCitation":"[35–37]","previouslyFormattedCitation":"[35–37]"},"properties":{"noteIndex":0},"schema":"https://github.com/citation-style-language/schema/raw/master/csl-citation.json"}</w:instrText>
      </w:r>
      <w:r w:rsidR="007901E0" w:rsidRPr="007271D7">
        <w:fldChar w:fldCharType="separate"/>
      </w:r>
      <w:r w:rsidR="00F647C5" w:rsidRPr="007271D7">
        <w:rPr>
          <w:noProof/>
        </w:rPr>
        <w:t>[35–37]</w:t>
      </w:r>
      <w:r w:rsidR="007901E0" w:rsidRPr="007271D7">
        <w:fldChar w:fldCharType="end"/>
      </w:r>
      <w:r w:rsidR="00EB6755" w:rsidRPr="007271D7">
        <w:t xml:space="preserve"> </w:t>
      </w:r>
      <w:r w:rsidR="007901E0" w:rsidRPr="007271D7">
        <w:t>A</w:t>
      </w:r>
      <w:r w:rsidR="007B2F22" w:rsidRPr="007271D7">
        <w:t xml:space="preserve">dvertising through more traditional media, such as television, remains popular </w:t>
      </w:r>
      <w:r w:rsidR="0076411D" w:rsidRPr="007271D7">
        <w:t>with</w:t>
      </w:r>
      <w:r w:rsidR="007B2F22" w:rsidRPr="007271D7">
        <w:t xml:space="preserve"> food companies and are considered cost-effective</w:t>
      </w:r>
      <w:r w:rsidR="007901E0" w:rsidRPr="007271D7">
        <w:t xml:space="preserve"> and wide-reaching</w:t>
      </w:r>
      <w:r w:rsidR="007B2F22" w:rsidRPr="007271D7">
        <w:t>.</w:t>
      </w:r>
      <w:r w:rsidR="0015598E" w:rsidRPr="007271D7">
        <w:fldChar w:fldCharType="begin" w:fldLock="1"/>
      </w:r>
      <w:r w:rsidR="0015598E" w:rsidRPr="007271D7">
        <w:instrText>ADDIN CSL_CITATION {"citationItems":[{"id":"ITEM-1","itemData":{"author":[{"dropping-particle":"","family":"Tatum","given":"Megan","non-dropping-particle":"","parse-names":false,"suffix":""}],"id":"ITEM-1","issued":{"date-parts":[["2017"]]},"title":"The Advertising Report","type":"report"},"uris":["http://www.mendeley.com/documents/?uuid=bb1bf9fd-1c63-4df9-8ba0-a4ca82473b08"]}],"mendeley":{"formattedCitation":"[33]","plainTextFormattedCitation":"[33]","previouslyFormattedCitation":"[33]"},"properties":{"noteIndex":0},"schema":"https://github.com/citation-style-language/schema/raw/master/csl-citation.json"}</w:instrText>
      </w:r>
      <w:r w:rsidR="0015598E" w:rsidRPr="007271D7">
        <w:fldChar w:fldCharType="separate"/>
      </w:r>
      <w:r w:rsidR="0015598E" w:rsidRPr="007271D7">
        <w:rPr>
          <w:noProof/>
        </w:rPr>
        <w:t>[33]</w:t>
      </w:r>
      <w:r w:rsidR="0015598E" w:rsidRPr="007271D7">
        <w:fldChar w:fldCharType="end"/>
      </w:r>
      <w:r w:rsidR="007B2F22" w:rsidRPr="007271D7">
        <w:t xml:space="preserve">  </w:t>
      </w:r>
    </w:p>
    <w:p w14:paraId="0E598E02" w14:textId="77777777" w:rsidR="009B420C" w:rsidRPr="007271D7" w:rsidRDefault="009B420C" w:rsidP="002A0FEE">
      <w:pPr>
        <w:spacing w:line="480" w:lineRule="auto"/>
      </w:pPr>
    </w:p>
    <w:p w14:paraId="1DCE0D97" w14:textId="0D000F15" w:rsidR="006B3E77" w:rsidRPr="007271D7" w:rsidRDefault="00E47F2E" w:rsidP="002A0FEE">
      <w:pPr>
        <w:spacing w:line="480" w:lineRule="auto"/>
      </w:pPr>
      <w:r w:rsidRPr="007271D7">
        <w:t>O</w:t>
      </w:r>
      <w:r w:rsidR="00AB55A2" w:rsidRPr="007271D7">
        <w:t xml:space="preserve">besity </w:t>
      </w:r>
      <w:r w:rsidRPr="007271D7">
        <w:t xml:space="preserve">and diet quality </w:t>
      </w:r>
      <w:r w:rsidR="00615BAD" w:rsidRPr="007271D7">
        <w:t xml:space="preserve">are </w:t>
      </w:r>
      <w:r w:rsidR="00975DFE" w:rsidRPr="007271D7">
        <w:t xml:space="preserve">socially </w:t>
      </w:r>
      <w:r w:rsidR="002E752C" w:rsidRPr="007271D7">
        <w:t>patterned</w:t>
      </w:r>
      <w:r w:rsidR="007F2268" w:rsidRPr="007271D7">
        <w:t xml:space="preserve">, </w:t>
      </w:r>
      <w:r w:rsidRPr="007271D7">
        <w:t xml:space="preserve">with greater prevalence of obesity and </w:t>
      </w:r>
      <w:r w:rsidR="00975DFE" w:rsidRPr="007271D7">
        <w:t>poor</w:t>
      </w:r>
      <w:r w:rsidRPr="007271D7">
        <w:t>er</w:t>
      </w:r>
      <w:r w:rsidR="00975DFE" w:rsidRPr="007271D7">
        <w:t xml:space="preserve"> diet quality </w:t>
      </w:r>
      <w:r w:rsidR="00AB55A2" w:rsidRPr="007271D7">
        <w:t>associated with low</w:t>
      </w:r>
      <w:r w:rsidR="00405ADC" w:rsidRPr="007271D7">
        <w:t>er</w:t>
      </w:r>
      <w:r w:rsidR="00AB55A2" w:rsidRPr="007271D7">
        <w:t xml:space="preserve"> socioeconomic position.</w:t>
      </w:r>
      <w:r w:rsidR="002E752C" w:rsidRPr="007271D7">
        <w:fldChar w:fldCharType="begin" w:fldLock="1"/>
      </w:r>
      <w:r w:rsidR="00F647C5" w:rsidRPr="007271D7">
        <w:instrText>ADDIN CSL_CITATION {"citationItems":[{"id":"ITEM-1","itemData":{"author":[{"dropping-particle":"","family":"NHS Digital","given":"","non-dropping-particle":"","parse-names":false,"suffix":""}],"id":"ITEM-1","issued":{"date-parts":[["2019"]]},"title":"Health Survey for England 2018: Data tables","type":"webpage"},"uris":["http://www.mendeley.com/documents/?uuid=e6873bac-f75c-4f71-a3e8-c7017e1477a2"]},{"id":"ITEM-2","itemData":{"DOI":"10.1038/s41430-018-0347-z","ISSN":"14765640","abstract":"Background/objectives Little is known about time trends in diet quality and associated inequalities in the UK. This study aimed to examine trends in adherence to four UK dietary recommendations, overall and among sociodemographic subgroups , from 1986 to 2012. Subjects/methods We conducted a repeated cross-sectional analysis using data from three UK diet surveys: Dietary and Nutritional Survey of British Adults 1986-87 (n = 2018), National Diet and Nutrition Survey (NDNS) 2000-01 (n = 1683) and NDNS Rolling Programme 2008-12 (n = 1632). We measured adherence to dietary recommendations for fruit and vegetables, salt, oily fish, and red and processed meat, estimated using food diary record data. We compared adherence across surveys and by four sociodemographic characteristics: sex, age, socioeconomic position and ethnicity. Results Overall, population adherence to dietary recommendations was low to moderate, but improved over time. There were inequalities in adherence to all recommendations at all timepoints according to one or more sociodemographic characteristic. When inequalities were present, women, older adults, those with non-manual occupations and non-Whites were more likely to adhere to dietary recommendations. Although some dietary inequalities declined, most persisted across the three surveys. Conclusions The persistence of most inequalities highlights the need for further interventions to reduce dietary inequalities as well as improve overall population diet. The greatest simultaneous improvement in population adherence and reduction of inequalities was observed for salt, which may reflect the success of the UK Salt Reduction Programme. Similarly comprehensive programmes should be encouraged for other dietary components.","author":[{"dropping-particle":"","family":"Yau","given":"Amy","non-dropping-particle":"","parse-names":false,"suffix":""},{"dropping-particle":"","family":"Adams","given":"Jean","non-dropping-particle":"","parse-names":false,"suffix":""},{"dropping-particle":"","family":"Monsivais","given":"Pablo","non-dropping-particle":"","parse-names":false,"suffix":""}],"container-title":"European Journal of Clinical Nutrition","id":"ITEM-2","issue":"7","issued":{"date-parts":[["2019","11","16"]]},"page":"997-1005","title":"Time trends in adherence to UK dietary recommendations and associated sociodemographic inequalities, 1986-2012: a repeated cross-sectional analysis","type":"article-journal","volume":"73"},"uris":["http://www.mendeley.com/documents/?uuid=ab11ee0a-7444-326d-9cdd-0ae4fc4d1f54"]}],"mendeley":{"formattedCitation":"[21,38]","plainTextFormattedCitation":"[21,38]","previouslyFormattedCitation":"[21,38]"},"properties":{"noteIndex":0},"schema":"https://github.com/citation-style-language/schema/raw/master/csl-citation.json"}</w:instrText>
      </w:r>
      <w:r w:rsidR="002E752C" w:rsidRPr="007271D7">
        <w:fldChar w:fldCharType="separate"/>
      </w:r>
      <w:r w:rsidR="00F647C5" w:rsidRPr="007271D7">
        <w:rPr>
          <w:noProof/>
        </w:rPr>
        <w:t>[21,38]</w:t>
      </w:r>
      <w:r w:rsidR="002E752C" w:rsidRPr="007271D7">
        <w:fldChar w:fldCharType="end"/>
      </w:r>
      <w:r w:rsidR="00AB55A2" w:rsidRPr="007271D7">
        <w:t xml:space="preserve"> </w:t>
      </w:r>
      <w:r w:rsidR="00C60294" w:rsidRPr="007271D7">
        <w:t>Socioeconomic inequalities</w:t>
      </w:r>
      <w:r w:rsidR="00AB55A2" w:rsidRPr="007271D7">
        <w:t xml:space="preserve"> in exposure to advertising of less healthy foods and drinks </w:t>
      </w:r>
      <w:r w:rsidR="00C60294" w:rsidRPr="007271D7">
        <w:t xml:space="preserve">may be a mechanism </w:t>
      </w:r>
      <w:r w:rsidR="00C60294" w:rsidRPr="007271D7">
        <w:lastRenderedPageBreak/>
        <w:t xml:space="preserve">for the generation of socioeconomic inequalities in </w:t>
      </w:r>
      <w:r w:rsidR="00AB55A2" w:rsidRPr="007271D7">
        <w:t xml:space="preserve">diet and obesity. </w:t>
      </w:r>
      <w:r w:rsidR="005E5CFE" w:rsidRPr="007271D7">
        <w:t xml:space="preserve">While </w:t>
      </w:r>
      <w:r w:rsidR="009B420C" w:rsidRPr="007271D7">
        <w:t xml:space="preserve">there </w:t>
      </w:r>
      <w:r w:rsidR="00D20DAB" w:rsidRPr="007271D7">
        <w:t xml:space="preserve">is some </w:t>
      </w:r>
      <w:r w:rsidR="009B420C" w:rsidRPr="007271D7">
        <w:t>evidence</w:t>
      </w:r>
      <w:r w:rsidR="00D20DAB" w:rsidRPr="007271D7">
        <w:t xml:space="preserve"> that</w:t>
      </w:r>
      <w:r w:rsidR="009B420C" w:rsidRPr="007271D7">
        <w:t xml:space="preserve"> </w:t>
      </w:r>
      <w:r w:rsidR="00B62A76" w:rsidRPr="007271D7">
        <w:t xml:space="preserve">levels of </w:t>
      </w:r>
      <w:r w:rsidR="009B420C" w:rsidRPr="007271D7">
        <w:t xml:space="preserve">exposure to outdoor advertising and television advertising for HFSS </w:t>
      </w:r>
      <w:r w:rsidR="007613A9" w:rsidRPr="007271D7">
        <w:t>products</w:t>
      </w:r>
      <w:r w:rsidR="009B420C" w:rsidRPr="007271D7">
        <w:t xml:space="preserve"> </w:t>
      </w:r>
      <w:r w:rsidR="00B62A76" w:rsidRPr="007271D7">
        <w:t>differ by socioeconomic position</w:t>
      </w:r>
      <w:r w:rsidR="00D20DAB" w:rsidRPr="007271D7">
        <w:t xml:space="preserve">, the evidence base </w:t>
      </w:r>
      <w:r w:rsidR="00975DFE" w:rsidRPr="007271D7">
        <w:t xml:space="preserve">for sociodemographic correlates of advertising exposure in the UK </w:t>
      </w:r>
      <w:r w:rsidR="00D20DAB" w:rsidRPr="007271D7">
        <w:t xml:space="preserve">remains </w:t>
      </w:r>
      <w:r w:rsidR="00A60FA3" w:rsidRPr="007271D7">
        <w:t>limited</w:t>
      </w:r>
      <w:r w:rsidR="009B420C" w:rsidRPr="007271D7">
        <w:t>.</w:t>
      </w:r>
      <w:r w:rsidR="00EB55E5" w:rsidRPr="007271D7">
        <w:fldChar w:fldCharType="begin" w:fldLock="1"/>
      </w:r>
      <w:r w:rsidR="00ED179C" w:rsidRPr="007271D7">
        <w:instrText>ADDIN CSL_CITATION {"citationItems":[{"id":"ITEM-1","itemData":{"DOI":"10.1017/S1368980011001686","abstract":"Objective: To document socioeconomic differences in exposure to food advertising , including advertisements for foods high in fat, salt and sugar (HFSS) as defined by the UK Food Standards Agency's Nutrient Profiling Model. Design: A cross-sectional survey. Information (including product advertised and viewing figures) on all advertisements broadcast in one UK region over one week (6-12 July 2009) was obtained. Food advertisements were identified and linked to nutritional information on the content of advertised foods. Setting: UK Tyne-Tees television region. Subjects: Data were sourced from a UK-wide television viewing panel. Results: Eleven per cent of advertising seen was for food and 63 % of food advertising seen was for HFSS foods. The proportion of all advertising seen that was for food was smaller among viewers in the least v. most affluent social grade (OR 5 0?98, 99 % CI 0","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J","non-dropping-particle":"","parse-names":false,"suffix":""},{"dropping-particle":"","family":"White","given":"Martin","non-dropping-particle":"","parse-names":false,"suffix":""}],"container-title":"Public Health Nutrition","id":"ITEM-1","issue":"3","issued":{"date-parts":[["2011"]]},"page":"487-494","title":"Socio-economic differences in exposure to television food advertisements in the UK: a cross-sectional study of advertisements broadcast in one television region","type":"article-journal","volume":"15"},"uris":["http://www.mendeley.com/documents/?uuid=f381c81b-f9df-3780-aa15-fe71660c18b4"]},{"id":"ITEM-2","itemData":{"DOI":"10.1017/S1368980010003332","ISSN":"1368-9800","abstract":"&lt;div class=\"abstract\" data-abstract-type=\"normal\"&gt;&lt;div class='sec'&gt;&lt;span class=\"bold\"&gt;Objective&lt;/span&gt;&lt;p&gt;To explore differences in the prevalence of outdoor food advertising, and the type and nutritional content of advertised foods, according to an area-based marker of socio-economic position (SEP) in a city in Northern England.&lt;/p&gt;&lt;/div&gt;&lt;div class='sec'&gt;&lt;span class=\"bold\"&gt;Design&lt;/span&gt;&lt;p&gt;All outdoor advertisements in the city were identified during October–December 2009, their size (in m&lt;span class='sup'&gt;2&lt;/span&gt;) estimated and their location determined using a global positioning system device. Advertisements were classified as food or non-food. Food advertisements were classified into one of six food categories. Information on the nutritional content of advertised foods was obtained from packaging and manufacturer's websites. An area-based marker of SEP was assigned using the location of each advertisement, grouped into three affluence tertiles for analysis.&lt;/p&gt;&lt;/div&gt;&lt;div class='sec'&gt;&lt;span class=\"bold\"&gt;Setting&lt;/span&gt;&lt;p&gt;A city in Northern England.&lt;/p&gt;&lt;/div&gt;&lt;div class='sec'&gt;&lt;span class=\"bold\"&gt;Subjects&lt;/span&gt;&lt;p&gt;None.&lt;/p&gt;&lt;/div&gt;&lt;div class='sec'&gt;&lt;span class=\"bold\"&gt;Results&lt;/span&gt;&lt;p&gt;In all, 1371 advertisements were identified; 211 (15 %) of these were for food. The advertisements covered 6765 m&lt;span class='sup'&gt;2&lt;/span&gt;, of which 1326 m&lt;span class='sup'&gt;2&lt;/span&gt; (20 %) was for food. Total advertising and food advertising space was largest in the least affluent tertile. There was little evidence of socio-economic trends in the type or nutritional content of advertised foods.&lt;/p&gt;&lt;/div&gt;&lt;div class='sec'&gt;&lt;span class=\"bold\"&gt;Conclusions&lt;/span&gt;&lt;p&gt;Despite an absence of socio-economic differences in the type and nutritional content of advertised foods, there were socio-economic differences in food advertising space. There may also be socio-economic differences in exposure to outdoor food advertising.&lt;/p&gt;&lt;/div&gt;&lt;/div&gt;","author":[{"dropping-particle":"","family":"Adams","given":"Jean","non-dropping-particle":"","parse-names":false,"suffix":""},{"dropping-particle":"","family":"Ganiti","given":"Ellie","non-dropping-particle":"","parse-names":false,"suffix":""},{"dropping-particle":"","family":"White","given":"Martin","non-dropping-particle":"","parse-names":false,"suffix":""}],"container-title":"Public Health Nutrition","id":"ITEM-2","issue":"6","issued":{"date-parts":[["2011","6","4"]]},"page":"945-950","publisher":"Cambridge University Press","title":"Socio-economic differences in outdoor food advertising in a city in Northern England","type":"article-journal","volume":"14"},"uris":["http://www.mendeley.com/documents/?uuid=57d9587e-8254-32b3-91d0-cfafc0288030"]}],"mendeley":{"formattedCitation":"[18,19]","plainTextFormattedCitation":"[18,19]","previouslyFormattedCitation":"[18,19]"},"properties":{"noteIndex":0},"schema":"https://github.com/citation-style-language/schema/raw/master/csl-citation.json"}</w:instrText>
      </w:r>
      <w:r w:rsidR="00EB55E5" w:rsidRPr="007271D7">
        <w:fldChar w:fldCharType="separate"/>
      </w:r>
      <w:r w:rsidR="00412B46" w:rsidRPr="007271D7">
        <w:rPr>
          <w:noProof/>
        </w:rPr>
        <w:t>[18,19]</w:t>
      </w:r>
      <w:r w:rsidR="00EB55E5" w:rsidRPr="007271D7">
        <w:fldChar w:fldCharType="end"/>
      </w:r>
      <w:r w:rsidR="009B420C" w:rsidRPr="007271D7">
        <w:t xml:space="preserve"> </w:t>
      </w:r>
      <w:r w:rsidR="00975DFE" w:rsidRPr="007271D7">
        <w:t>V</w:t>
      </w:r>
      <w:r w:rsidR="00A60FA3" w:rsidRPr="007271D7">
        <w:t>ery little</w:t>
      </w:r>
      <w:r w:rsidR="00A94967" w:rsidRPr="007271D7">
        <w:t xml:space="preserve"> research has been conducted </w:t>
      </w:r>
      <w:r w:rsidR="003B79DA" w:rsidRPr="007271D7">
        <w:t>to</w:t>
      </w:r>
      <w:r w:rsidR="00A94967" w:rsidRPr="007271D7">
        <w:t xml:space="preserve"> </w:t>
      </w:r>
      <w:r w:rsidR="00FB7DDE" w:rsidRPr="007271D7">
        <w:t xml:space="preserve">explore differences in </w:t>
      </w:r>
      <w:r w:rsidR="00A94967" w:rsidRPr="007271D7">
        <w:t>exposure to</w:t>
      </w:r>
      <w:r w:rsidR="00FB7DDE" w:rsidRPr="007271D7">
        <w:t xml:space="preserve"> a wider range of</w:t>
      </w:r>
      <w:r w:rsidR="00A94967" w:rsidRPr="007271D7">
        <w:t xml:space="preserve"> advertising</w:t>
      </w:r>
      <w:r w:rsidR="00D20DAB" w:rsidRPr="007271D7">
        <w:t xml:space="preserve"> </w:t>
      </w:r>
      <w:r w:rsidR="00332E19" w:rsidRPr="007271D7">
        <w:t>settings</w:t>
      </w:r>
      <w:r w:rsidR="00FB7DDE" w:rsidRPr="007271D7">
        <w:t xml:space="preserve">, </w:t>
      </w:r>
      <w:r w:rsidR="00B56AC0" w:rsidRPr="007271D7">
        <w:t>such as digital advertising and advertising across transport networks</w:t>
      </w:r>
      <w:r w:rsidR="00A94967" w:rsidRPr="007271D7">
        <w:t>.</w:t>
      </w:r>
      <w:r w:rsidR="001542A8" w:rsidRPr="007271D7">
        <w:fldChar w:fldCharType="begin" w:fldLock="1"/>
      </w:r>
      <w:r w:rsidR="00F647C5" w:rsidRPr="007271D7">
        <w:instrText>ADDIN CSL_CITATION {"citationItems":[{"id":"ITEM-1","itemData":{"DOI":"10.1111/obr.12012","ISBN":"1467-7881","ISSN":"14677881","PMID":"23297736","abstract":"A large body of research confirms that food advertising affects the food preferences and behaviour of children. The impact of food advertising on adults is less clear. We conducted a systematic review exploring the effects of advertising of food and non-alcoholic drinks (referred to as 'food' throughout) on food-related behaviour, attitudes and beliefs in adult populations. We searched seven electronic databases, grey literature sources, and references and citations of included material for experimental studies written in English investigating the effects of commercial food advertising on the food-related behaviours, attitudes and beliefs of adults aged 16 years and over. Nine studies, rated moderate to poor quality, were included in the review; all were from developed countries and explored the impact of televised food advertising. Overall, the results did not show conclusively whether or not food advertising affects food-related behaviour, attitudes or beliefs in adults, but suggest that the impact varies inconsistently within subgroups, including gender, weight and existing food psychology. The identification of a small number of relevant studies, none of which were high quality, and with substantial heterogeneity, highlights the need for further research. Future studies investigating longer term outcomes, diverse advertising formats, and in countries with different levels of economic development will be of particular value.","author":[{"dropping-particle":"","family":"Mills","given":"S. D. H.","non-dropping-particle":"","parse-names":false,"suffix":""},{"dropping-particle":"","family":"Tanner","given":"L. M.","non-dropping-particle":"","parse-names":false,"suffix":""},{"dropping-particle":"","family":"Adams","given":"J.","non-dropping-particle":"","parse-names":false,"suffix":""}],"container-title":"Obesity Reviews","id":"ITEM-1","issue":"4","issued":{"date-parts":[["2013"]]},"page":"303-314","title":"Systematic literature review of the effects of food and drink advertising on food and drink-related behaviour, attitudes and beliefs in adult populations","type":"article-journal","volume":"14"},"uris":["http://www.mendeley.com/documents/?uuid=9b5459b4-baff-4900-809c-35327c4ecd07"]}],"mendeley":{"formattedCitation":"[39]","plainTextFormattedCitation":"[39]","previouslyFormattedCitation":"[39]"},"properties":{"noteIndex":0},"schema":"https://github.com/citation-style-language/schema/raw/master/csl-citation.json"}</w:instrText>
      </w:r>
      <w:r w:rsidR="001542A8" w:rsidRPr="007271D7">
        <w:fldChar w:fldCharType="separate"/>
      </w:r>
      <w:r w:rsidR="00F647C5" w:rsidRPr="007271D7">
        <w:rPr>
          <w:noProof/>
        </w:rPr>
        <w:t>[39]</w:t>
      </w:r>
      <w:r w:rsidR="001542A8" w:rsidRPr="007271D7">
        <w:fldChar w:fldCharType="end"/>
      </w:r>
      <w:r w:rsidR="00A94967" w:rsidRPr="007271D7">
        <w:t xml:space="preserve"> </w:t>
      </w:r>
      <w:r w:rsidR="00C60294" w:rsidRPr="007271D7">
        <w:t>E</w:t>
      </w:r>
      <w:r w:rsidR="005555F1" w:rsidRPr="007271D7">
        <w:t>xposure to</w:t>
      </w:r>
      <w:r w:rsidR="00405ADC" w:rsidRPr="007271D7">
        <w:t xml:space="preserve"> </w:t>
      </w:r>
      <w:r w:rsidR="00C60294" w:rsidRPr="007271D7">
        <w:t>advertis</w:t>
      </w:r>
      <w:r w:rsidR="00405ADC" w:rsidRPr="007271D7">
        <w:t>ing</w:t>
      </w:r>
      <w:r w:rsidR="00C60294" w:rsidRPr="007271D7">
        <w:t xml:space="preserve"> </w:t>
      </w:r>
      <w:r w:rsidR="00C66C9F" w:rsidRPr="007271D7">
        <w:t xml:space="preserve">for </w:t>
      </w:r>
      <w:r w:rsidR="002841EB" w:rsidRPr="007271D7">
        <w:t>digital food delivery services</w:t>
      </w:r>
      <w:r w:rsidR="00C66C9F" w:rsidRPr="007271D7">
        <w:t xml:space="preserve"> </w:t>
      </w:r>
      <w:r w:rsidR="00405ADC" w:rsidRPr="007271D7">
        <w:t xml:space="preserve">is </w:t>
      </w:r>
      <w:r w:rsidR="005B3C8E" w:rsidRPr="007271D7">
        <w:t>also poorly understood</w:t>
      </w:r>
      <w:r w:rsidR="002845A0" w:rsidRPr="007271D7">
        <w:t>.</w:t>
      </w:r>
      <w:r w:rsidR="00B56AC0" w:rsidRPr="007271D7">
        <w:t xml:space="preserve"> Further, few studies have examined sociodemographic differences in advertising exposure beyond socioeconomic position. </w:t>
      </w:r>
      <w:r w:rsidR="007C6D56" w:rsidRPr="007271D7">
        <w:t>T</w:t>
      </w:r>
      <w:r w:rsidR="00E134F3" w:rsidRPr="007271D7">
        <w:t xml:space="preserve">here has </w:t>
      </w:r>
      <w:r w:rsidR="007C6D56" w:rsidRPr="007271D7">
        <w:t xml:space="preserve">also </w:t>
      </w:r>
      <w:r w:rsidR="00E134F3" w:rsidRPr="007271D7">
        <w:t>been limited work that directly explores associations between exposure to less healthy food and drink advertising and obesity.</w:t>
      </w:r>
      <w:r w:rsidR="00FC272C" w:rsidRPr="007271D7">
        <w:t xml:space="preserve"> </w:t>
      </w:r>
      <w:r w:rsidR="00D20DAB" w:rsidRPr="007271D7">
        <w:t>In this paper</w:t>
      </w:r>
      <w:r w:rsidR="00FB7DDE" w:rsidRPr="007271D7">
        <w:t xml:space="preserve"> </w:t>
      </w:r>
      <w:r w:rsidR="00D20DAB" w:rsidRPr="007271D7">
        <w:t xml:space="preserve">we address </w:t>
      </w:r>
      <w:r w:rsidR="005B3C8E" w:rsidRPr="007271D7">
        <w:t xml:space="preserve">these </w:t>
      </w:r>
      <w:r w:rsidR="00D20DAB" w:rsidRPr="007271D7">
        <w:t>gap</w:t>
      </w:r>
      <w:r w:rsidR="005B3C8E" w:rsidRPr="007271D7">
        <w:t>s</w:t>
      </w:r>
      <w:r w:rsidR="00D20DAB" w:rsidRPr="007271D7">
        <w:t xml:space="preserve"> </w:t>
      </w:r>
      <w:r w:rsidR="00405ADC" w:rsidRPr="007271D7">
        <w:t xml:space="preserve">by </w:t>
      </w:r>
      <w:r w:rsidR="00C60294" w:rsidRPr="007271D7">
        <w:t>using survey data from the UK (London and the North of England) to</w:t>
      </w:r>
      <w:r w:rsidR="00D20DAB" w:rsidRPr="007271D7">
        <w:t xml:space="preserve"> </w:t>
      </w:r>
      <w:r w:rsidR="006F69A2" w:rsidRPr="007271D7">
        <w:t>explor</w:t>
      </w:r>
      <w:r w:rsidR="00C60294" w:rsidRPr="007271D7">
        <w:t>e</w:t>
      </w:r>
      <w:r w:rsidR="00D821F5" w:rsidRPr="007271D7">
        <w:t xml:space="preserve"> </w:t>
      </w:r>
      <w:r w:rsidR="00A1581A" w:rsidRPr="007271D7">
        <w:t>socio</w:t>
      </w:r>
      <w:r w:rsidR="006F69A2" w:rsidRPr="007271D7">
        <w:t>demographic</w:t>
      </w:r>
      <w:r w:rsidR="00F24E82" w:rsidRPr="007271D7">
        <w:t xml:space="preserve"> </w:t>
      </w:r>
      <w:r w:rsidR="00FB7DDE" w:rsidRPr="007271D7">
        <w:t>differences</w:t>
      </w:r>
      <w:r w:rsidR="000773B9" w:rsidRPr="007271D7">
        <w:t xml:space="preserve"> </w:t>
      </w:r>
      <w:r w:rsidR="00FB7DDE" w:rsidRPr="007271D7">
        <w:t>in</w:t>
      </w:r>
      <w:r w:rsidR="00EE0909" w:rsidRPr="007271D7">
        <w:t>:</w:t>
      </w:r>
      <w:r w:rsidR="00FB7DDE" w:rsidRPr="007271D7">
        <w:t xml:space="preserve"> </w:t>
      </w:r>
      <w:r w:rsidR="00B32B88" w:rsidRPr="007271D7">
        <w:t>(</w:t>
      </w:r>
      <w:proofErr w:type="spellStart"/>
      <w:r w:rsidR="00B32B88" w:rsidRPr="007271D7">
        <w:t>i</w:t>
      </w:r>
      <w:proofErr w:type="spellEnd"/>
      <w:r w:rsidR="00B32B88" w:rsidRPr="007271D7">
        <w:t xml:space="preserve">) overall </w:t>
      </w:r>
      <w:r w:rsidR="00D20DAB" w:rsidRPr="007271D7">
        <w:t xml:space="preserve">exposure to </w:t>
      </w:r>
      <w:r w:rsidR="00F24E82" w:rsidRPr="007271D7">
        <w:t>less healthy food and drink</w:t>
      </w:r>
      <w:r w:rsidR="00E134F3" w:rsidRPr="007271D7">
        <w:t xml:space="preserve"> advertising</w:t>
      </w:r>
      <w:r w:rsidR="00D20DAB" w:rsidRPr="007271D7">
        <w:t xml:space="preserve">, </w:t>
      </w:r>
      <w:r w:rsidR="00A60FA3" w:rsidRPr="007271D7">
        <w:t xml:space="preserve">(ii) </w:t>
      </w:r>
      <w:r w:rsidR="00B32B88" w:rsidRPr="007271D7">
        <w:t xml:space="preserve">advertising </w:t>
      </w:r>
      <w:r w:rsidR="00D20DAB" w:rsidRPr="007271D7">
        <w:t>exposure</w:t>
      </w:r>
      <w:r w:rsidR="00FB7DDE" w:rsidRPr="007271D7">
        <w:t xml:space="preserve"> </w:t>
      </w:r>
      <w:r w:rsidR="003961D1" w:rsidRPr="007271D7">
        <w:t>stratified</w:t>
      </w:r>
      <w:r w:rsidR="00E134F3" w:rsidRPr="007271D7">
        <w:t xml:space="preserve"> by</w:t>
      </w:r>
      <w:r w:rsidR="00F24E82" w:rsidRPr="007271D7">
        <w:t xml:space="preserve"> </w:t>
      </w:r>
      <w:r w:rsidR="00E134F3" w:rsidRPr="007271D7">
        <w:t xml:space="preserve">product </w:t>
      </w:r>
      <w:r w:rsidR="00B32B88" w:rsidRPr="007271D7">
        <w:t>category</w:t>
      </w:r>
      <w:r w:rsidR="00D20DAB" w:rsidRPr="007271D7">
        <w:t xml:space="preserve">, </w:t>
      </w:r>
      <w:r w:rsidR="00A62AB1" w:rsidRPr="007271D7">
        <w:t xml:space="preserve">(iii) exposure </w:t>
      </w:r>
      <w:r w:rsidR="00E134F3" w:rsidRPr="007271D7">
        <w:t>to advertising</w:t>
      </w:r>
      <w:r w:rsidR="00A62AB1" w:rsidRPr="007271D7">
        <w:t xml:space="preserve"> </w:t>
      </w:r>
      <w:r w:rsidR="002841EB" w:rsidRPr="007271D7">
        <w:t xml:space="preserve">for digital food delivery services </w:t>
      </w:r>
      <w:r w:rsidR="00A62AB1" w:rsidRPr="007271D7">
        <w:t xml:space="preserve">and </w:t>
      </w:r>
      <w:r w:rsidR="00A60FA3" w:rsidRPr="007271D7">
        <w:t>(</w:t>
      </w:r>
      <w:r w:rsidR="00A1581A" w:rsidRPr="007271D7">
        <w:t>i</w:t>
      </w:r>
      <w:r w:rsidR="00A62AB1" w:rsidRPr="007271D7">
        <w:t>v</w:t>
      </w:r>
      <w:r w:rsidR="00A60FA3" w:rsidRPr="007271D7">
        <w:t xml:space="preserve">) </w:t>
      </w:r>
      <w:r w:rsidR="00B32B88" w:rsidRPr="007271D7">
        <w:t xml:space="preserve">advertising </w:t>
      </w:r>
      <w:r w:rsidR="00D20DAB" w:rsidRPr="007271D7">
        <w:t xml:space="preserve">exposure </w:t>
      </w:r>
      <w:r w:rsidR="00D57A41" w:rsidRPr="007271D7">
        <w:t xml:space="preserve">stratified </w:t>
      </w:r>
      <w:r w:rsidR="00D20DAB" w:rsidRPr="007271D7">
        <w:t xml:space="preserve">by </w:t>
      </w:r>
      <w:r w:rsidR="00EE0909" w:rsidRPr="007271D7">
        <w:t>advertising setting</w:t>
      </w:r>
      <w:r w:rsidR="00D821F5" w:rsidRPr="007271D7">
        <w:t xml:space="preserve">. </w:t>
      </w:r>
      <w:r w:rsidR="00F24E82" w:rsidRPr="007271D7">
        <w:t xml:space="preserve">We </w:t>
      </w:r>
      <w:r w:rsidR="00E134F3" w:rsidRPr="007271D7">
        <w:t>then</w:t>
      </w:r>
      <w:r w:rsidR="00F24E82" w:rsidRPr="007271D7">
        <w:t xml:space="preserve"> examine the association between </w:t>
      </w:r>
      <w:r w:rsidR="003961D1" w:rsidRPr="007271D7">
        <w:t xml:space="preserve">advertising </w:t>
      </w:r>
      <w:r w:rsidR="00F24E82" w:rsidRPr="007271D7">
        <w:t>exposure</w:t>
      </w:r>
      <w:r w:rsidR="000053C2" w:rsidRPr="007271D7">
        <w:t xml:space="preserve"> </w:t>
      </w:r>
      <w:r w:rsidR="00F24E82" w:rsidRPr="007271D7">
        <w:t xml:space="preserve">and </w:t>
      </w:r>
      <w:r w:rsidR="005B3C8E" w:rsidRPr="007271D7">
        <w:t>body mass index (BMI)</w:t>
      </w:r>
      <w:r w:rsidR="00F24E82" w:rsidRPr="007271D7">
        <w:t xml:space="preserve">. </w:t>
      </w:r>
      <w:r w:rsidR="009E3959" w:rsidRPr="007271D7">
        <w:t xml:space="preserve"> </w:t>
      </w:r>
    </w:p>
    <w:p w14:paraId="7C7141A9" w14:textId="1FF0EDC0" w:rsidR="006B3E77" w:rsidRPr="007271D7" w:rsidRDefault="006B3E77" w:rsidP="002A0FEE">
      <w:pPr>
        <w:spacing w:line="480" w:lineRule="auto"/>
      </w:pPr>
    </w:p>
    <w:p w14:paraId="78DDB43D" w14:textId="2BC84551" w:rsidR="006B3E77" w:rsidRPr="007271D7" w:rsidRDefault="006B3E77" w:rsidP="002A0FEE">
      <w:pPr>
        <w:spacing w:line="480" w:lineRule="auto"/>
        <w:rPr>
          <w:b/>
          <w:bCs/>
        </w:rPr>
      </w:pPr>
      <w:r w:rsidRPr="007271D7">
        <w:rPr>
          <w:b/>
          <w:bCs/>
        </w:rPr>
        <w:t>METHODS</w:t>
      </w:r>
    </w:p>
    <w:p w14:paraId="23EABD84" w14:textId="538C9B8C" w:rsidR="00B0773C" w:rsidRPr="007271D7" w:rsidRDefault="00B0773C" w:rsidP="002A0FEE">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Data</w:t>
      </w:r>
    </w:p>
    <w:p w14:paraId="5DC326FC" w14:textId="26919E7D" w:rsidR="001E29A5" w:rsidRPr="007271D7" w:rsidRDefault="00B0773C" w:rsidP="002A0FEE">
      <w:pPr>
        <w:pStyle w:val="NormalWeb"/>
        <w:spacing w:before="0" w:beforeAutospacing="0" w:after="0" w:afterAutospacing="0" w:line="480" w:lineRule="auto"/>
        <w:textAlignment w:val="baseline"/>
        <w:rPr>
          <w:rFonts w:ascii="Calibri" w:hAnsi="Calibri" w:cs="Calibri"/>
        </w:rPr>
      </w:pPr>
      <w:r w:rsidRPr="007271D7">
        <w:rPr>
          <w:rFonts w:ascii="Calibri" w:eastAsiaTheme="minorEastAsia" w:hAnsi="Calibri" w:cs="Calibri"/>
        </w:rPr>
        <w:t xml:space="preserve">We used </w:t>
      </w:r>
      <w:r w:rsidR="000053C2" w:rsidRPr="007271D7">
        <w:rPr>
          <w:rFonts w:ascii="Calibri" w:eastAsiaTheme="minorEastAsia" w:hAnsi="Calibri" w:cs="Calibri"/>
        </w:rPr>
        <w:t xml:space="preserve">baseline </w:t>
      </w:r>
      <w:r w:rsidRPr="007271D7">
        <w:rPr>
          <w:rFonts w:ascii="Calibri" w:eastAsiaTheme="minorEastAsia" w:hAnsi="Calibri" w:cs="Calibri"/>
        </w:rPr>
        <w:t>cross-sectional data</w:t>
      </w:r>
      <w:r w:rsidR="000053C2" w:rsidRPr="007271D7">
        <w:rPr>
          <w:rFonts w:ascii="Calibri" w:eastAsiaTheme="minorEastAsia" w:hAnsi="Calibri" w:cs="Calibri"/>
        </w:rPr>
        <w:t xml:space="preserve"> from </w:t>
      </w:r>
      <w:r w:rsidR="00B10C7A" w:rsidRPr="007271D7">
        <w:rPr>
          <w:rFonts w:ascii="Calibri" w:eastAsiaTheme="minorEastAsia" w:hAnsi="Calibri" w:cs="Calibri"/>
        </w:rPr>
        <w:t>a</w:t>
      </w:r>
      <w:r w:rsidR="004632BB" w:rsidRPr="007271D7">
        <w:rPr>
          <w:rFonts w:ascii="Calibri" w:eastAsiaTheme="minorEastAsia" w:hAnsi="Calibri" w:cs="Calibri"/>
        </w:rPr>
        <w:t xml:space="preserve"> </w:t>
      </w:r>
      <w:r w:rsidR="00B10C7A" w:rsidRPr="007271D7">
        <w:rPr>
          <w:rFonts w:ascii="Calibri" w:eastAsiaTheme="minorEastAsia" w:hAnsi="Calibri" w:cs="Calibri"/>
        </w:rPr>
        <w:t>study evaluating the impact of restricting advertising</w:t>
      </w:r>
      <w:r w:rsidR="00D520D9" w:rsidRPr="007271D7">
        <w:rPr>
          <w:rFonts w:ascii="Calibri" w:eastAsiaTheme="minorEastAsia" w:hAnsi="Calibri" w:cs="Calibri"/>
        </w:rPr>
        <w:t xml:space="preserve"> of HFSS foods and drinks</w:t>
      </w:r>
      <w:r w:rsidR="00B10C7A" w:rsidRPr="007271D7">
        <w:rPr>
          <w:rFonts w:ascii="Calibri" w:eastAsiaTheme="minorEastAsia" w:hAnsi="Calibri" w:cs="Calibri"/>
        </w:rPr>
        <w:t xml:space="preserve"> </w:t>
      </w:r>
      <w:r w:rsidR="00D520D9" w:rsidRPr="007271D7">
        <w:rPr>
          <w:rFonts w:ascii="Calibri" w:eastAsiaTheme="minorEastAsia" w:hAnsi="Calibri" w:cs="Calibri"/>
        </w:rPr>
        <w:t>across</w:t>
      </w:r>
      <w:r w:rsidR="00B10C7A" w:rsidRPr="007271D7">
        <w:rPr>
          <w:rFonts w:ascii="Calibri" w:eastAsiaTheme="minorEastAsia" w:hAnsi="Calibri" w:cs="Calibri"/>
        </w:rPr>
        <w:t xml:space="preserve"> the Transport for London network</w:t>
      </w:r>
      <w:r w:rsidR="008E4799" w:rsidRPr="007271D7">
        <w:rPr>
          <w:rFonts w:ascii="Calibri" w:eastAsiaTheme="minorEastAsia" w:hAnsi="Calibri" w:cs="Calibri"/>
        </w:rPr>
        <w:t>.</w:t>
      </w:r>
      <w:r w:rsidR="00397176" w:rsidRPr="007271D7">
        <w:rPr>
          <w:rFonts w:ascii="Calibri" w:eastAsiaTheme="minorEastAsia" w:hAnsi="Calibri" w:cs="Calibri"/>
        </w:rPr>
        <w:fldChar w:fldCharType="begin" w:fldLock="1"/>
      </w:r>
      <w:r w:rsidR="00F647C5" w:rsidRPr="007271D7">
        <w:rPr>
          <w:rFonts w:ascii="Calibri" w:eastAsiaTheme="minorEastAsia" w:hAnsi="Calibri" w:cs="Calibri"/>
        </w:rPr>
        <w:instrText>ADDIN CSL_CITATION {"citationItems":[{"id":"ITEM-1","itemData":{"author":[{"dropping-particle":"","family":"Transport for London","given":"","non-dropping-particle":"","parse-names":false,"suffix":""}],"id":"ITEM-1","issued":{"date-parts":[["2018"]]},"publisher-place":"London","title":"Advertising Annual Report 2017/18","type":"report"},"uris":["http://www.mendeley.com/documents/?uuid=75b82883-60c4-4e28-b0b0-2d57c3fae6be"]},{"id":"ITEM-2","itemData":{"DOI":"https://doi.org/10.1186/ISRCTN19928803","author":[{"dropping-particle":"","family":"Cummins","given":"Steven","non-dropping-particle":"","parse-names":false,"suffix":""}],"id":"ITEM-2","issued":{"date-parts":[["2019"]]},"title":"Restricting advertising of high fat, salt and sugar foods and drinks on the Transport for London network: evaluation of a natural experiment","type":"article"},"uris":["http://www.mendeley.com/documents/?uuid=33502794-b953-4fac-b48f-209de93984e6"]}],"mendeley":{"formattedCitation":"[32,40]","plainTextFormattedCitation":"[32,40]","previouslyFormattedCitation":"[32,40]"},"properties":{"noteIndex":0},"schema":"https://github.com/citation-style-language/schema/raw/master/csl-citation.json"}</w:instrText>
      </w:r>
      <w:r w:rsidR="00397176" w:rsidRPr="007271D7">
        <w:rPr>
          <w:rFonts w:ascii="Calibri" w:eastAsiaTheme="minorEastAsia" w:hAnsi="Calibri" w:cs="Calibri"/>
        </w:rPr>
        <w:fldChar w:fldCharType="separate"/>
      </w:r>
      <w:r w:rsidR="00F647C5" w:rsidRPr="007271D7">
        <w:rPr>
          <w:rFonts w:ascii="Calibri" w:eastAsiaTheme="minorEastAsia" w:hAnsi="Calibri" w:cs="Calibri"/>
          <w:noProof/>
        </w:rPr>
        <w:t>[32,40]</w:t>
      </w:r>
      <w:r w:rsidR="00397176" w:rsidRPr="007271D7">
        <w:rPr>
          <w:rFonts w:ascii="Calibri" w:eastAsiaTheme="minorEastAsia" w:hAnsi="Calibri" w:cs="Calibri"/>
        </w:rPr>
        <w:fldChar w:fldCharType="end"/>
      </w:r>
      <w:r w:rsidR="00B10C7A" w:rsidRPr="007271D7">
        <w:rPr>
          <w:rFonts w:ascii="Calibri" w:eastAsiaTheme="minorEastAsia" w:hAnsi="Calibri" w:cs="Calibri"/>
        </w:rPr>
        <w:t xml:space="preserve"> Data were f</w:t>
      </w:r>
      <w:r w:rsidR="00200DF5" w:rsidRPr="007271D7">
        <w:rPr>
          <w:rFonts w:ascii="Calibri" w:hAnsi="Calibri" w:cs="Calibri"/>
        </w:rPr>
        <w:t>rom households recruited to the UK Kantar Fast Moving Consumer Goods</w:t>
      </w:r>
      <w:r w:rsidR="007076FF" w:rsidRPr="007271D7">
        <w:rPr>
          <w:rFonts w:ascii="Calibri" w:hAnsi="Calibri" w:cs="Calibri"/>
        </w:rPr>
        <w:t xml:space="preserve"> (FMCG</w:t>
      </w:r>
      <w:r w:rsidR="00200DF5" w:rsidRPr="007271D7">
        <w:rPr>
          <w:rFonts w:ascii="Calibri" w:hAnsi="Calibri" w:cs="Calibri"/>
        </w:rPr>
        <w:t xml:space="preserve">) panel for London and the </w:t>
      </w:r>
      <w:r w:rsidR="00332E19" w:rsidRPr="007271D7">
        <w:rPr>
          <w:rFonts w:ascii="Calibri" w:hAnsi="Calibri" w:cs="Calibri"/>
        </w:rPr>
        <w:t>North</w:t>
      </w:r>
      <w:r w:rsidR="00200DF5" w:rsidRPr="007271D7">
        <w:rPr>
          <w:rFonts w:ascii="Calibri" w:hAnsi="Calibri" w:cs="Calibri"/>
        </w:rPr>
        <w:t xml:space="preserve"> of England</w:t>
      </w:r>
      <w:r w:rsidR="00885D93" w:rsidRPr="007271D7">
        <w:rPr>
          <w:rFonts w:ascii="Calibri" w:hAnsi="Calibri" w:cs="Calibri"/>
        </w:rPr>
        <w:t xml:space="preserve"> (</w:t>
      </w:r>
      <w:r w:rsidR="00885D93" w:rsidRPr="007271D7">
        <w:rPr>
          <w:rFonts w:ascii="Calibri" w:hAnsi="Calibri" w:cs="Calibri"/>
          <w:i/>
          <w:iCs/>
        </w:rPr>
        <w:t>n</w:t>
      </w:r>
      <w:r w:rsidR="00885D93" w:rsidRPr="007271D7">
        <w:rPr>
          <w:rFonts w:ascii="Calibri" w:hAnsi="Calibri" w:cs="Calibri"/>
        </w:rPr>
        <w:t>=1552 households)</w:t>
      </w:r>
      <w:r w:rsidR="00200DF5" w:rsidRPr="007271D7">
        <w:rPr>
          <w:rFonts w:ascii="Calibri" w:hAnsi="Calibri" w:cs="Calibri"/>
        </w:rPr>
        <w:t xml:space="preserve">. </w:t>
      </w:r>
      <w:r w:rsidR="00653C3E" w:rsidRPr="007271D7">
        <w:rPr>
          <w:rFonts w:ascii="Calibri" w:hAnsi="Calibri" w:cs="Calibri"/>
        </w:rPr>
        <w:t xml:space="preserve">Our sample size was based on the maximum </w:t>
      </w:r>
      <w:r w:rsidR="00C66C9F" w:rsidRPr="007271D7">
        <w:rPr>
          <w:rFonts w:ascii="Calibri" w:hAnsi="Calibri" w:cs="Calibri"/>
        </w:rPr>
        <w:t xml:space="preserve">number of </w:t>
      </w:r>
      <w:r w:rsidR="00653C3E" w:rsidRPr="007271D7">
        <w:rPr>
          <w:rFonts w:ascii="Calibri" w:hAnsi="Calibri" w:cs="Calibri"/>
        </w:rPr>
        <w:t xml:space="preserve">available households within the panel for the two regions. </w:t>
      </w:r>
      <w:r w:rsidR="00200DF5" w:rsidRPr="007271D7">
        <w:rPr>
          <w:rFonts w:ascii="Calibri" w:hAnsi="Calibri" w:cs="Calibri"/>
        </w:rPr>
        <w:t xml:space="preserve">The </w:t>
      </w:r>
      <w:r w:rsidR="00200DF5" w:rsidRPr="007271D7">
        <w:rPr>
          <w:rFonts w:ascii="Calibri" w:hAnsi="Calibri" w:cs="Calibri"/>
        </w:rPr>
        <w:lastRenderedPageBreak/>
        <w:t xml:space="preserve">main food shopper from each recruited household was asked to complete </w:t>
      </w:r>
      <w:r w:rsidRPr="007271D7">
        <w:rPr>
          <w:rFonts w:ascii="Calibri" w:eastAsiaTheme="minorEastAsia" w:hAnsi="Calibri" w:cs="Calibri"/>
        </w:rPr>
        <w:t>an online survey</w:t>
      </w:r>
      <w:r w:rsidR="00200DF5" w:rsidRPr="007271D7">
        <w:rPr>
          <w:rFonts w:ascii="Calibri" w:eastAsiaTheme="minorEastAsia" w:hAnsi="Calibri" w:cs="Calibri"/>
        </w:rPr>
        <w:t xml:space="preserve"> </w:t>
      </w:r>
      <w:r w:rsidR="00332E19" w:rsidRPr="007271D7">
        <w:rPr>
          <w:rFonts w:ascii="Calibri" w:eastAsiaTheme="minorEastAsia" w:hAnsi="Calibri" w:cs="Calibri"/>
        </w:rPr>
        <w:t xml:space="preserve">(between </w:t>
      </w:r>
      <w:r w:rsidR="00332E19" w:rsidRPr="007271D7">
        <w:rPr>
          <w:rFonts w:ascii="Calibri" w:hAnsi="Calibri" w:cs="Calibri"/>
        </w:rPr>
        <w:t>10</w:t>
      </w:r>
      <w:r w:rsidR="00332E19" w:rsidRPr="007271D7">
        <w:rPr>
          <w:rFonts w:ascii="Calibri" w:hAnsi="Calibri" w:cs="Calibri"/>
          <w:vertAlign w:val="superscript"/>
        </w:rPr>
        <w:t>th</w:t>
      </w:r>
      <w:r w:rsidR="00332E19" w:rsidRPr="007271D7">
        <w:rPr>
          <w:rFonts w:ascii="Calibri" w:hAnsi="Calibri" w:cs="Calibri"/>
        </w:rPr>
        <w:t xml:space="preserve"> </w:t>
      </w:r>
      <w:r w:rsidR="003903DF" w:rsidRPr="007271D7">
        <w:rPr>
          <w:rFonts w:ascii="Calibri" w:hAnsi="Calibri" w:cs="Calibri"/>
        </w:rPr>
        <w:t>and</w:t>
      </w:r>
      <w:r w:rsidR="00332E19" w:rsidRPr="007271D7">
        <w:rPr>
          <w:rFonts w:ascii="Calibri" w:hAnsi="Calibri" w:cs="Calibri"/>
        </w:rPr>
        <w:t xml:space="preserve"> 18</w:t>
      </w:r>
      <w:r w:rsidR="00332E19" w:rsidRPr="007271D7">
        <w:rPr>
          <w:rFonts w:ascii="Calibri" w:hAnsi="Calibri" w:cs="Calibri"/>
          <w:vertAlign w:val="superscript"/>
        </w:rPr>
        <w:t>th</w:t>
      </w:r>
      <w:r w:rsidR="00332E19" w:rsidRPr="007271D7">
        <w:rPr>
          <w:rFonts w:ascii="Calibri" w:hAnsi="Calibri" w:cs="Calibri"/>
        </w:rPr>
        <w:t xml:space="preserve"> February 2019) </w:t>
      </w:r>
      <w:r w:rsidR="00200DF5" w:rsidRPr="007271D7">
        <w:rPr>
          <w:rFonts w:ascii="Calibri" w:eastAsiaTheme="minorEastAsia" w:hAnsi="Calibri" w:cs="Calibri"/>
        </w:rPr>
        <w:t>on recent exposure to advertising</w:t>
      </w:r>
      <w:r w:rsidR="00D520D9" w:rsidRPr="007271D7">
        <w:rPr>
          <w:rFonts w:ascii="Calibri" w:eastAsiaTheme="minorEastAsia" w:hAnsi="Calibri" w:cs="Calibri"/>
        </w:rPr>
        <w:t xml:space="preserve"> of less healthy foods and drinks</w:t>
      </w:r>
      <w:r w:rsidRPr="007271D7">
        <w:rPr>
          <w:rFonts w:ascii="Calibri" w:eastAsiaTheme="minorEastAsia" w:hAnsi="Calibri" w:cs="Calibri"/>
        </w:rPr>
        <w:t>.</w:t>
      </w:r>
      <w:r w:rsidR="00653C3E" w:rsidRPr="007271D7">
        <w:rPr>
          <w:rFonts w:ascii="Calibri" w:eastAsiaTheme="minorEastAsia" w:hAnsi="Calibri" w:cs="Calibri"/>
        </w:rPr>
        <w:t xml:space="preserve"> The response rate was 71%.</w:t>
      </w:r>
      <w:r w:rsidR="00200DF5" w:rsidRPr="007271D7">
        <w:rPr>
          <w:rFonts w:ascii="Calibri" w:hAnsi="Calibri" w:cs="Calibri"/>
        </w:rPr>
        <w:t xml:space="preserve"> </w:t>
      </w:r>
      <w:r w:rsidR="00200DF5" w:rsidRPr="007271D7">
        <w:rPr>
          <w:rFonts w:ascii="Calibri" w:eastAsiaTheme="minorEastAsia" w:hAnsi="Calibri" w:cs="Calibri"/>
        </w:rPr>
        <w:t>Households</w:t>
      </w:r>
      <w:r w:rsidRPr="007271D7">
        <w:rPr>
          <w:rFonts w:ascii="Calibri" w:eastAsiaTheme="minorEastAsia" w:hAnsi="Calibri" w:cs="Calibri"/>
        </w:rPr>
        <w:t xml:space="preserve"> were recruited to the consumer panel through stratified random sampling</w:t>
      </w:r>
      <w:r w:rsidR="00200DF5" w:rsidRPr="007271D7">
        <w:rPr>
          <w:rFonts w:ascii="Calibri" w:eastAsiaTheme="minorEastAsia" w:hAnsi="Calibri" w:cs="Calibri"/>
        </w:rPr>
        <w:t xml:space="preserve"> and </w:t>
      </w:r>
      <w:r w:rsidR="000053C2" w:rsidRPr="007271D7">
        <w:rPr>
          <w:rFonts w:ascii="Calibri" w:eastAsiaTheme="minorEastAsia" w:hAnsi="Calibri" w:cs="Calibri"/>
        </w:rPr>
        <w:t xml:space="preserve">were </w:t>
      </w:r>
      <w:r w:rsidRPr="007271D7">
        <w:rPr>
          <w:rFonts w:ascii="Calibri" w:eastAsiaTheme="minorEastAsia" w:hAnsi="Calibri" w:cs="Calibri"/>
        </w:rPr>
        <w:t>representative of the</w:t>
      </w:r>
      <w:r w:rsidR="00200DF5" w:rsidRPr="007271D7">
        <w:rPr>
          <w:rFonts w:ascii="Calibri" w:eastAsiaTheme="minorEastAsia" w:hAnsi="Calibri" w:cs="Calibri"/>
        </w:rPr>
        <w:t xml:space="preserve"> regions from which they were sampled </w:t>
      </w:r>
      <w:r w:rsidR="00200DF5" w:rsidRPr="007271D7">
        <w:rPr>
          <w:rFonts w:ascii="Calibri" w:hAnsi="Calibri" w:cs="Calibri"/>
        </w:rPr>
        <w:t>on the basis of household size, number of children, soci</w:t>
      </w:r>
      <w:r w:rsidR="003F721E" w:rsidRPr="007271D7">
        <w:rPr>
          <w:rFonts w:ascii="Calibri" w:hAnsi="Calibri" w:cs="Calibri"/>
        </w:rPr>
        <w:t xml:space="preserve">oeconomic position </w:t>
      </w:r>
      <w:r w:rsidR="00200DF5" w:rsidRPr="007271D7">
        <w:rPr>
          <w:rFonts w:ascii="Calibri" w:hAnsi="Calibri" w:cs="Calibri"/>
        </w:rPr>
        <w:t>and age of main shopper.</w:t>
      </w:r>
      <w:r w:rsidR="00B94319" w:rsidRPr="007271D7">
        <w:rPr>
          <w:rFonts w:ascii="Calibri" w:hAnsi="Calibri" w:cs="Calibri"/>
        </w:rPr>
        <w:fldChar w:fldCharType="begin" w:fldLock="1"/>
      </w:r>
      <w:r w:rsidR="00F647C5" w:rsidRPr="007271D7">
        <w:rPr>
          <w:rFonts w:ascii="Calibri" w:hAnsi="Calibri" w:cs="Calibri"/>
        </w:rPr>
        <w:instrText>ADDIN CSL_CITATION {"citationItems":[{"id":"ITEM-1","itemData":{"DOI":"10.1136/bmjnph-2019-000036","abstract":"Introduction In recent years, there has been an increased focus on developing a coherent obesity policy in the UK, which has led to various national policy initiatives aimed at improving population diet. We sought to determine whether there have been concurrent changes in trends in the nutrient content of take-home food and beverage purchases within this policy environment.\n\nMethods We used 2012–2017 data from the UK Kantar Fast-Moving Consumer Goods (FMCG) panel, a nationally representative panel study of food and beverages bought by British households and brought into the home (n≈32 000 per year). Households used hand-held barcode scanners to report over 225 million product-level purchases of food and beverages, for which nutritional information was obtained. We estimated daily per capita purchases of energy and nutrients from 32 healthier and less healthy food groups defined using the nutrient profiling model used by the UK Department of Health.\n\nResults From 2012 to 2017, daily purchases of energy from food and beverages taken home decreased by 35.4 kcal (95% CI 25.5 to 45.2) per capita. This is explained by moderate decreases in the purchase of products with high contents in carbohydrate (−13.1 g (−14.4 to –11.8)) and sugar (−4.4 g (−5.1 to –3.7)), despite small increases in protein (1.7 g (1.4 to 2.1)) and saturated fat (0.4 g (0.2 to 0.6)). Food and beverage purchases exceeded daily reference intake values in fat (on average +6%), saturated fat (+43%), sugar (+16%) and protein (+28%) across all years. Although substitutions between individual food groups were large in energy and nutrients purchased, the heterogeneity of these patterns resulted in modest overall changes.\n\nConclusion There have been small declines in the purchase of less healthy food products, which translated to a small reduction of total energy and sugar purchases taken home. However, the rate of change needs to be accelerated in order to substantially reduce the health risks of poor diets, suggesting that more radical policies may be needed to attain larger population effects.","author":[{"dropping-particle":"","family":"Berger","given":"Nicolas","non-dropping-particle":"","parse-names":false,"suffix":""},{"dropping-particle":"","family":"Cummins","given":"Steven","non-dropping-particle":"","parse-names":false,"suffix":""},{"dropping-particle":"","family":"Smith","given":"Richard D","non-dropping-particle":"","parse-names":false,"suffix":""},{"dropping-particle":"","family":"Cornelsen","given":"Laura","non-dropping-particle":"","parse-names":false,"suffix":""}],"container-title":"BMJ Nutrition, Prevention &amp; Health","id":"ITEM-1","issue":"2","issued":{"date-parts":[["2019"]]},"page":"63-71","title":"Recent trends in energy and nutrient content of take-home food and beverage purchases in Great Britain: an analysis of 225 million food and beverage purchases over 6 years","type":"article-journal","volume":"2"},"uris":["http://www.mendeley.com/documents/?uuid=656cf92f-b35a-4e46-9339-94b0ceb8f867"]},{"id":"ITEM-2","itemData":{"DOI":"10.1016/j.socscimed.2019.112361","ISSN":"18735347","PMID":"31262504","abstract":"While most food is consumed at home, food eaten out-of-home plays an important role in diets and it has been associated with higher energy intake and higher body weight. Beyond prepared meals, there is limited understanding of what foods people buy out-of-home and where they buy them from. This study analyses out-of-home food purchases by food groups and food outlet types, and estimates socio-economic differences in these expenditure patterns. We used a nationally representative product-level dataset of expenditures (n=2,734,987) on foods and non-alcoholic beverages for out-of-home consumption for 9,704 respondents in Great Britain (June 2015-December 2017). Population weighted estimates of per capita weekly expenditures and shares of expenditure were derived for four outlet types and eight food groups. We used linear multi-level modelling to determine differences in expenditure patterns by socio-economic status (SES) characterised via occupational social grade. Out-of-home purchases make up 25-39% of total food and beverage expenditures. Mid- and high-SES respondents spent nearly twice as much (£17.76 and £15.11 weekly), compared to low-SES respondents (£9.69) for out-ofhome food consumption. A third of expenditures across SES (36-37%) were spent in venues other than restaurants or fast-food and takeaway outlets. Meals accounted for 60% of expenditures, but a third was spent on beverages (10-12% non-alcoholic cold beverages, 17-18% hot beverages) and 9-10% on snacks. Mid- and low-SES respondents had a greater share of expenditure in takeaway and fast-food outlets, supermarkets and convenience stores, and on cold non-alcoholic beverages. Overall, low-SES respondents spent less on out-of-home foods but the share of this expenditure across different foods or outlets varied less. While restaurants, fast-food and takeaway outlets were a major source of out-of-home purchases, a significant proportion was spent in other outlets. Policies targeting out-of-home consumption should therefore consider the full range of foods as well as the diversity of places where they are sold.","author":[{"dropping-particle":"","family":"Cornelsen","given":"L.","non-dropping-particle":"","parse-names":false,"suffix":""},{"dropping-particle":"","family":"Berger","given":"Nicolas","non-dropping-particle":"","parse-names":false,"suffix":""},{"dropping-particle":"","family":"Cummins","given":"Steven","non-dropping-particle":"","parse-names":false,"suffix":""},{"dropping-particle":"","family":"Smith","given":"Richard D.","non-dropping-particle":"","parse-names":false,"suffix":""}],"container-title":"Social Science and Medicine","id":"ITEM-2","issue":"June","issued":{"date-parts":[["2019"]]},"page":"112361","publisher":"Elsevier","title":"Socio-economic patterning of expenditures on ‘out-of-home’ food and non-alcoholic beverages by product and place of purchase in Britain","type":"article-journal","volume":"235"},"uris":["http://www.mendeley.com/documents/?uuid=6426479f-6318-4709-9588-99c66998c191"]}],"mendeley":{"formattedCitation":"[41,42]","plainTextFormattedCitation":"[41,42]","previouslyFormattedCitation":"[41,42]"},"properties":{"noteIndex":0},"schema":"https://github.com/citation-style-language/schema/raw/master/csl-citation.json"}</w:instrText>
      </w:r>
      <w:r w:rsidR="00B94319" w:rsidRPr="007271D7">
        <w:rPr>
          <w:rFonts w:ascii="Calibri" w:hAnsi="Calibri" w:cs="Calibri"/>
        </w:rPr>
        <w:fldChar w:fldCharType="separate"/>
      </w:r>
      <w:r w:rsidR="00F647C5" w:rsidRPr="007271D7">
        <w:rPr>
          <w:rFonts w:ascii="Calibri" w:hAnsi="Calibri" w:cs="Calibri"/>
          <w:noProof/>
        </w:rPr>
        <w:t>[41,42]</w:t>
      </w:r>
      <w:r w:rsidR="00B94319" w:rsidRPr="007271D7">
        <w:rPr>
          <w:rFonts w:ascii="Calibri" w:hAnsi="Calibri" w:cs="Calibri"/>
        </w:rPr>
        <w:fldChar w:fldCharType="end"/>
      </w:r>
      <w:r w:rsidR="00200DF5" w:rsidRPr="007271D7">
        <w:rPr>
          <w:rFonts w:ascii="Calibri" w:hAnsi="Calibri" w:cs="Calibri"/>
        </w:rPr>
        <w:t xml:space="preserve"> Panel households are recruited by Kantar through post and email.</w:t>
      </w:r>
      <w:r w:rsidR="00B94319" w:rsidRPr="007271D7">
        <w:rPr>
          <w:rFonts w:ascii="Calibri" w:hAnsi="Calibri" w:cs="Calibri"/>
        </w:rPr>
        <w:fldChar w:fldCharType="begin" w:fldLock="1"/>
      </w:r>
      <w:r w:rsidR="00F647C5" w:rsidRPr="007271D7">
        <w:rPr>
          <w:rFonts w:ascii="Calibri" w:hAnsi="Calibri" w:cs="Calibri"/>
        </w:rPr>
        <w:instrText>ADDIN CSL_CITATION {"citationItems":[{"id":"ITEM-1","itemData":{"DOI":"10.1016/j.socscimed.2019.112361","ISSN":"18735347","PMID":"31262504","abstract":"While most food is consumed at home, food eaten out-of-home plays an important role in diets and it has been associated with higher energy intake and higher body weight. Beyond prepared meals, there is limited understanding of what foods people buy out-of-home and where they buy them from. This study analyses out-of-home food purchases by food groups and food outlet types, and estimates socio-economic differences in these expenditure patterns. We used a nationally representative product-level dataset of expenditures (n=2,734,987) on foods and non-alcoholic beverages for out-of-home consumption for 9,704 respondents in Great Britain (June 2015-December 2017). Population weighted estimates of per capita weekly expenditures and shares of expenditure were derived for four outlet types and eight food groups. We used linear multi-level modelling to determine differences in expenditure patterns by socio-economic status (SES) characterised via occupational social grade. Out-of-home purchases make up 25-39% of total food and beverage expenditures. Mid- and high-SES respondents spent nearly twice as much (£17.76 and £15.11 weekly), compared to low-SES respondents (£9.69) for out-ofhome food consumption. A third of expenditures across SES (36-37%) were spent in venues other than restaurants or fast-food and takeaway outlets. Meals accounted for 60% of expenditures, but a third was spent on beverages (10-12% non-alcoholic cold beverages, 17-18% hot beverages) and 9-10% on snacks. Mid- and low-SES respondents had a greater share of expenditure in takeaway and fast-food outlets, supermarkets and convenience stores, and on cold non-alcoholic beverages. Overall, low-SES respondents spent less on out-of-home foods but the share of this expenditure across different foods or outlets varied less. While restaurants, fast-food and takeaway outlets were a major source of out-of-home purchases, a significant proportion was spent in other outlets. Policies targeting out-of-home consumption should therefore consider the full range of foods as well as the diversity of places where they are sold.","author":[{"dropping-particle":"","family":"Cornelsen","given":"L.","non-dropping-particle":"","parse-names":false,"suffix":""},{"dropping-particle":"","family":"Berger","given":"Nicolas","non-dropping-particle":"","parse-names":false,"suffix":""},{"dropping-particle":"","family":"Cummins","given":"Steven","non-dropping-particle":"","parse-names":false,"suffix":""},{"dropping-particle":"","family":"Smith","given":"Richard D.","non-dropping-particle":"","parse-names":false,"suffix":""}],"container-title":"Social Science and Medicine","id":"ITEM-1","issue":"June","issued":{"date-parts":[["2019"]]},"page":"112361","publisher":"Elsevier","title":"Socio-economic patterning of expenditures on ‘out-of-home’ food and non-alcoholic beverages by product and place of purchase in Britain","type":"article-journal","volume":"235"},"uris":["http://www.mendeley.com/documents/?uuid=6426479f-6318-4709-9588-99c66998c191"]}],"mendeley":{"formattedCitation":"[42]","plainTextFormattedCitation":"[42]","previouslyFormattedCitation":"[42]"},"properties":{"noteIndex":0},"schema":"https://github.com/citation-style-language/schema/raw/master/csl-citation.json"}</w:instrText>
      </w:r>
      <w:r w:rsidR="00B94319" w:rsidRPr="007271D7">
        <w:rPr>
          <w:rFonts w:ascii="Calibri" w:hAnsi="Calibri" w:cs="Calibri"/>
        </w:rPr>
        <w:fldChar w:fldCharType="separate"/>
      </w:r>
      <w:r w:rsidR="00F647C5" w:rsidRPr="007271D7">
        <w:rPr>
          <w:rFonts w:ascii="Calibri" w:hAnsi="Calibri" w:cs="Calibri"/>
          <w:noProof/>
        </w:rPr>
        <w:t>[42]</w:t>
      </w:r>
      <w:r w:rsidR="00B94319" w:rsidRPr="007271D7">
        <w:rPr>
          <w:rFonts w:ascii="Calibri" w:hAnsi="Calibri" w:cs="Calibri"/>
        </w:rPr>
        <w:fldChar w:fldCharType="end"/>
      </w:r>
      <w:r w:rsidR="00200DF5" w:rsidRPr="007271D7">
        <w:rPr>
          <w:rFonts w:ascii="Calibri" w:hAnsi="Calibri" w:cs="Calibri"/>
        </w:rPr>
        <w:t xml:space="preserve"> </w:t>
      </w:r>
    </w:p>
    <w:p w14:paraId="3E02FC4D" w14:textId="77777777" w:rsidR="001E29A5" w:rsidRPr="007271D7" w:rsidRDefault="001E29A5" w:rsidP="002A0FEE">
      <w:pPr>
        <w:pStyle w:val="NormalWeb"/>
        <w:spacing w:before="0" w:beforeAutospacing="0" w:after="0" w:afterAutospacing="0" w:line="480" w:lineRule="auto"/>
        <w:textAlignment w:val="baseline"/>
        <w:rPr>
          <w:rFonts w:ascii="Calibri" w:hAnsi="Calibri" w:cs="Calibri"/>
        </w:rPr>
      </w:pPr>
    </w:p>
    <w:p w14:paraId="3ACF83EF" w14:textId="5C23E915" w:rsidR="00200DF5" w:rsidRPr="007271D7" w:rsidRDefault="00200DF5" w:rsidP="002A0FEE">
      <w:pPr>
        <w:pStyle w:val="NormalWeb"/>
        <w:spacing w:before="0" w:beforeAutospacing="0" w:after="0" w:afterAutospacing="0" w:line="480" w:lineRule="auto"/>
        <w:textAlignment w:val="baseline"/>
        <w:rPr>
          <w:rFonts w:ascii="Calibri" w:hAnsi="Calibri" w:cs="Calibri"/>
        </w:rPr>
      </w:pPr>
      <w:r w:rsidRPr="007271D7">
        <w:rPr>
          <w:rFonts w:ascii="Calibri" w:hAnsi="Calibri" w:cs="Calibri"/>
        </w:rPr>
        <w:t>Ethical approval for this study was granted by the London School of Hygiene &amp; Tropical Medicine Research Ethics Committee</w:t>
      </w:r>
      <w:r w:rsidR="000773B9" w:rsidRPr="007271D7">
        <w:rPr>
          <w:rFonts w:ascii="Calibri" w:hAnsi="Calibri" w:cs="Calibri"/>
        </w:rPr>
        <w:t xml:space="preserve"> (ref no</w:t>
      </w:r>
      <w:r w:rsidR="007F2268" w:rsidRPr="007271D7">
        <w:rPr>
          <w:rFonts w:ascii="Calibri" w:hAnsi="Calibri" w:cs="Calibri"/>
        </w:rPr>
        <w:t>:</w:t>
      </w:r>
      <w:r w:rsidR="007C07E6" w:rsidRPr="007271D7">
        <w:rPr>
          <w:rFonts w:ascii="Calibri" w:hAnsi="Calibri" w:cs="Calibri"/>
        </w:rPr>
        <w:t xml:space="preserve"> 16297 /RR/11721</w:t>
      </w:r>
      <w:r w:rsidR="000773B9" w:rsidRPr="007271D7">
        <w:rPr>
          <w:rFonts w:ascii="Calibri" w:hAnsi="Calibri" w:cs="Calibri"/>
        </w:rPr>
        <w:t>)</w:t>
      </w:r>
      <w:r w:rsidRPr="007271D7">
        <w:rPr>
          <w:rFonts w:ascii="Calibri" w:hAnsi="Calibri" w:cs="Calibri"/>
        </w:rPr>
        <w:t>.</w:t>
      </w:r>
    </w:p>
    <w:p w14:paraId="0FE9611C" w14:textId="77777777" w:rsidR="00A62AB1" w:rsidRPr="007271D7" w:rsidRDefault="00A62AB1" w:rsidP="002A0FEE">
      <w:pPr>
        <w:pStyle w:val="NormalWeb"/>
        <w:spacing w:before="0" w:beforeAutospacing="0" w:after="0" w:afterAutospacing="0" w:line="480" w:lineRule="auto"/>
        <w:textAlignment w:val="baseline"/>
        <w:rPr>
          <w:rFonts w:ascii="Calibri" w:hAnsi="Calibri" w:cs="Calibri"/>
        </w:rPr>
      </w:pPr>
    </w:p>
    <w:p w14:paraId="2F7E7829" w14:textId="77777777" w:rsidR="00A62AB1" w:rsidRPr="007271D7" w:rsidRDefault="00A62AB1" w:rsidP="00A62AB1">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Sociodemographic characteristics</w:t>
      </w:r>
    </w:p>
    <w:p w14:paraId="21D48461" w14:textId="71017DB5" w:rsidR="00A62AB1" w:rsidRPr="007271D7" w:rsidRDefault="00A62AB1" w:rsidP="00A62AB1">
      <w:pPr>
        <w:pStyle w:val="NormalWeb"/>
        <w:spacing w:before="0" w:beforeAutospacing="0" w:after="0" w:afterAutospacing="0" w:line="480" w:lineRule="auto"/>
        <w:textAlignment w:val="baseline"/>
        <w:rPr>
          <w:rFonts w:ascii="Calibri" w:eastAsiaTheme="minorEastAsia" w:hAnsi="Calibri" w:cs="Calibri"/>
        </w:rPr>
      </w:pPr>
      <w:r w:rsidRPr="007271D7">
        <w:rPr>
          <w:rFonts w:ascii="Calibri" w:eastAsiaTheme="minorEastAsia" w:hAnsi="Calibri" w:cs="Calibri"/>
        </w:rPr>
        <w:t>Based on self-reported survey data, participants were categorised by</w:t>
      </w:r>
      <w:r w:rsidR="003B7270" w:rsidRPr="007271D7">
        <w:rPr>
          <w:rFonts w:ascii="Calibri" w:eastAsiaTheme="minorEastAsia" w:hAnsi="Calibri" w:cs="Calibri"/>
        </w:rPr>
        <w:t xml:space="preserve"> sociodemographic characteristics</w:t>
      </w:r>
      <w:r w:rsidRPr="007271D7">
        <w:rPr>
          <w:rFonts w:ascii="Calibri" w:eastAsiaTheme="minorEastAsia" w:hAnsi="Calibri" w:cs="Calibri"/>
        </w:rPr>
        <w:t xml:space="preserve">: sex (male and female), age group (18-34 years, 35-44 years, 45-54 years, 55-64 years and </w:t>
      </w:r>
      <w:r w:rsidRPr="007271D7">
        <w:rPr>
          <w:rFonts w:ascii="Calibri" w:eastAsiaTheme="minorEastAsia" w:hAnsi="Calibri" w:cs="Calibri"/>
        </w:rPr>
        <w:sym w:font="Symbol" w:char="F0B3"/>
      </w:r>
      <w:r w:rsidRPr="007271D7">
        <w:rPr>
          <w:rFonts w:ascii="Calibri" w:eastAsiaTheme="minorEastAsia" w:hAnsi="Calibri" w:cs="Calibri"/>
        </w:rPr>
        <w:t>65 years), children</w:t>
      </w:r>
      <w:r w:rsidR="00C21AE7" w:rsidRPr="007271D7">
        <w:rPr>
          <w:rFonts w:ascii="Calibri" w:eastAsiaTheme="minorEastAsia" w:hAnsi="Calibri" w:cs="Calibri"/>
        </w:rPr>
        <w:t xml:space="preserve"> &lt;16</w:t>
      </w:r>
      <w:r w:rsidR="00F77457" w:rsidRPr="007271D7">
        <w:rPr>
          <w:rFonts w:ascii="Calibri" w:eastAsiaTheme="minorEastAsia" w:hAnsi="Calibri" w:cs="Calibri"/>
        </w:rPr>
        <w:t xml:space="preserve"> years</w:t>
      </w:r>
      <w:r w:rsidRPr="007271D7">
        <w:rPr>
          <w:rFonts w:ascii="Calibri" w:eastAsiaTheme="minorEastAsia" w:hAnsi="Calibri" w:cs="Calibri"/>
        </w:rPr>
        <w:t xml:space="preserve"> in the household</w:t>
      </w:r>
      <w:r w:rsidR="00C21AE7" w:rsidRPr="007271D7">
        <w:rPr>
          <w:rFonts w:ascii="Calibri" w:eastAsiaTheme="minorEastAsia" w:hAnsi="Calibri" w:cs="Calibri"/>
        </w:rPr>
        <w:t xml:space="preserve"> (yes or no), socioeconomic position</w:t>
      </w:r>
      <w:r w:rsidRPr="007271D7">
        <w:rPr>
          <w:rFonts w:ascii="Calibri" w:eastAsiaTheme="minorEastAsia" w:hAnsi="Calibri" w:cs="Calibri"/>
        </w:rPr>
        <w:t xml:space="preserve"> and working status. </w:t>
      </w:r>
      <w:r w:rsidR="00C21AE7" w:rsidRPr="007271D7">
        <w:rPr>
          <w:rFonts w:ascii="Calibri" w:eastAsiaTheme="minorEastAsia" w:hAnsi="Calibri" w:cs="Calibri"/>
        </w:rPr>
        <w:t xml:space="preserve">For </w:t>
      </w:r>
      <w:r w:rsidRPr="007271D7">
        <w:rPr>
          <w:rFonts w:ascii="Calibri" w:eastAsiaTheme="minorEastAsia" w:hAnsi="Calibri" w:cs="Calibri"/>
        </w:rPr>
        <w:t>socioeconomic position, participants were classified according to the National Readership Survey</w:t>
      </w:r>
      <w:r w:rsidR="00C21AE7" w:rsidRPr="007271D7">
        <w:rPr>
          <w:rFonts w:ascii="Calibri" w:eastAsiaTheme="minorEastAsia" w:hAnsi="Calibri" w:cs="Calibri"/>
        </w:rPr>
        <w:t xml:space="preserve"> (NRS)</w:t>
      </w:r>
      <w:r w:rsidRPr="007271D7">
        <w:rPr>
          <w:rFonts w:ascii="Calibri" w:eastAsiaTheme="minorEastAsia" w:hAnsi="Calibri" w:cs="Calibri"/>
        </w:rPr>
        <w:t xml:space="preserve"> </w:t>
      </w:r>
      <w:r w:rsidR="00C21AE7" w:rsidRPr="007271D7">
        <w:rPr>
          <w:rFonts w:ascii="Calibri" w:eastAsiaTheme="minorEastAsia" w:hAnsi="Calibri" w:cs="Calibri"/>
        </w:rPr>
        <w:t xml:space="preserve">occupational </w:t>
      </w:r>
      <w:r w:rsidRPr="007271D7">
        <w:rPr>
          <w:rFonts w:ascii="Calibri" w:eastAsiaTheme="minorEastAsia" w:hAnsi="Calibri" w:cs="Calibri"/>
        </w:rPr>
        <w:t>social grade classification</w:t>
      </w:r>
      <w:r w:rsidR="00C21AE7" w:rsidRPr="007271D7">
        <w:rPr>
          <w:rFonts w:ascii="Calibri" w:eastAsiaTheme="minorEastAsia" w:hAnsi="Calibri" w:cs="Calibri"/>
        </w:rPr>
        <w:t xml:space="preserve"> (A, B, C1, C2, D, E)</w:t>
      </w:r>
      <w:r w:rsidRPr="007271D7">
        <w:rPr>
          <w:rFonts w:ascii="Calibri" w:eastAsiaTheme="minorEastAsia" w:hAnsi="Calibri" w:cs="Calibri"/>
        </w:rPr>
        <w:t>.</w:t>
      </w:r>
      <w:r w:rsidRPr="007271D7">
        <w:rPr>
          <w:rFonts w:ascii="Calibri" w:eastAsiaTheme="minorEastAsia" w:hAnsi="Calibri" w:cs="Calibri"/>
        </w:rPr>
        <w:fldChar w:fldCharType="begin" w:fldLock="1"/>
      </w:r>
      <w:r w:rsidR="00F647C5" w:rsidRPr="007271D7">
        <w:rPr>
          <w:rFonts w:ascii="Calibri" w:eastAsiaTheme="minorEastAsia" w:hAnsi="Calibri" w:cs="Calibri"/>
        </w:rPr>
        <w:instrText>ADDIN CSL_CITATION {"citationItems":[{"id":"ITEM-1","itemData":{"URL":"http://www.nrs.co.uk/nrs-print/lifestyle-and-classification-data/social-grade/","accessed":{"date-parts":[["2020","9","22"]]},"author":[{"dropping-particle":"","family":"National Readership Survey","given":"","non-dropping-particle":"","parse-names":false,"suffix":""}],"id":"ITEM-1","issued":{"date-parts":[["2018"]]},"title":"Social Grade","type":"webpage"},"uris":["http://www.mendeley.com/documents/?uuid=c19b0ec3-f00b-4a41-bede-4c3b3fca5f98"]}],"mendeley":{"formattedCitation":"[43]","plainTextFormattedCitation":"[43]","previouslyFormattedCitation":"[43]"},"properties":{"noteIndex":0},"schema":"https://github.com/citation-style-language/schema/raw/master/csl-citation.json"}</w:instrText>
      </w:r>
      <w:r w:rsidRPr="007271D7">
        <w:rPr>
          <w:rFonts w:ascii="Calibri" w:eastAsiaTheme="minorEastAsia" w:hAnsi="Calibri" w:cs="Calibri"/>
        </w:rPr>
        <w:fldChar w:fldCharType="separate"/>
      </w:r>
      <w:r w:rsidR="00F647C5" w:rsidRPr="007271D7">
        <w:rPr>
          <w:rFonts w:ascii="Calibri" w:eastAsiaTheme="minorEastAsia" w:hAnsi="Calibri" w:cs="Calibri"/>
          <w:noProof/>
        </w:rPr>
        <w:t>[43]</w:t>
      </w:r>
      <w:r w:rsidRPr="007271D7">
        <w:rPr>
          <w:rFonts w:ascii="Calibri" w:eastAsiaTheme="minorEastAsia" w:hAnsi="Calibri" w:cs="Calibri"/>
        </w:rPr>
        <w:fldChar w:fldCharType="end"/>
      </w:r>
      <w:r w:rsidRPr="007271D7">
        <w:rPr>
          <w:rFonts w:ascii="Calibri" w:eastAsiaTheme="minorEastAsia" w:hAnsi="Calibri" w:cs="Calibri"/>
        </w:rPr>
        <w:t xml:space="preserve"> We categorised </w:t>
      </w:r>
      <w:r w:rsidR="00C21AE7" w:rsidRPr="007271D7">
        <w:rPr>
          <w:rFonts w:ascii="Calibri" w:eastAsiaTheme="minorEastAsia" w:hAnsi="Calibri" w:cs="Calibri"/>
        </w:rPr>
        <w:t xml:space="preserve">NRS </w:t>
      </w:r>
      <w:r w:rsidR="00DF5E19" w:rsidRPr="007271D7">
        <w:rPr>
          <w:rFonts w:ascii="Calibri" w:eastAsiaTheme="minorEastAsia" w:hAnsi="Calibri" w:cs="Calibri"/>
        </w:rPr>
        <w:t xml:space="preserve">social </w:t>
      </w:r>
      <w:r w:rsidR="00C21AE7" w:rsidRPr="007271D7">
        <w:rPr>
          <w:rFonts w:ascii="Calibri" w:eastAsiaTheme="minorEastAsia" w:hAnsi="Calibri" w:cs="Calibri"/>
        </w:rPr>
        <w:t xml:space="preserve">grade into </w:t>
      </w:r>
      <w:r w:rsidRPr="007271D7">
        <w:rPr>
          <w:rFonts w:ascii="Calibri" w:eastAsiaTheme="minorEastAsia" w:hAnsi="Calibri" w:cs="Calibri"/>
        </w:rPr>
        <w:t>three</w:t>
      </w:r>
      <w:r w:rsidR="00DF5E19" w:rsidRPr="007271D7">
        <w:rPr>
          <w:rFonts w:ascii="Calibri" w:eastAsiaTheme="minorEastAsia" w:hAnsi="Calibri" w:cs="Calibri"/>
        </w:rPr>
        <w:t xml:space="preserve"> socioeconomic </w:t>
      </w:r>
      <w:r w:rsidRPr="007271D7">
        <w:rPr>
          <w:rFonts w:ascii="Calibri" w:eastAsiaTheme="minorEastAsia" w:hAnsi="Calibri" w:cs="Calibri"/>
        </w:rPr>
        <w:t xml:space="preserve">groups: high (AB), middle (C1C2) and low (DE). For working status, we categorised participants into six categories: full-time employee, part-time employee, self-employed, retired, </w:t>
      </w:r>
      <w:r w:rsidR="002F71A3" w:rsidRPr="007271D7">
        <w:rPr>
          <w:rFonts w:ascii="Calibri" w:hAnsi="Calibri" w:cs="Calibri"/>
        </w:rPr>
        <w:t>not looking for work or unable to work</w:t>
      </w:r>
      <w:r w:rsidR="002F71A3" w:rsidRPr="007271D7" w:rsidDel="002F71A3">
        <w:rPr>
          <w:rFonts w:ascii="Calibri" w:eastAsiaTheme="minorEastAsia" w:hAnsi="Calibri" w:cs="Calibri"/>
        </w:rPr>
        <w:t xml:space="preserve"> </w:t>
      </w:r>
      <w:r w:rsidRPr="007271D7">
        <w:rPr>
          <w:rFonts w:ascii="Calibri" w:eastAsiaTheme="minorEastAsia" w:hAnsi="Calibri" w:cs="Calibri"/>
        </w:rPr>
        <w:t xml:space="preserve">(looking after home or family, long term sick or disabled, away from work due to illness, maternity leave, holiday or unemployed and not looking for work) or other (government sponsored training scheme, other paid work, student, actively looking for paid work or other). </w:t>
      </w:r>
    </w:p>
    <w:p w14:paraId="70E73BA7" w14:textId="77777777" w:rsidR="00A62AB1" w:rsidRPr="007271D7" w:rsidRDefault="00A62AB1" w:rsidP="00A62AB1">
      <w:pPr>
        <w:pStyle w:val="NormalWeb"/>
        <w:spacing w:before="0" w:beforeAutospacing="0" w:after="0" w:afterAutospacing="0" w:line="480" w:lineRule="auto"/>
        <w:textAlignment w:val="baseline"/>
        <w:rPr>
          <w:rFonts w:ascii="Calibri" w:eastAsiaTheme="minorEastAsia" w:hAnsi="Calibri" w:cs="Calibri"/>
        </w:rPr>
      </w:pPr>
    </w:p>
    <w:p w14:paraId="71E85B45" w14:textId="77777777" w:rsidR="00A62AB1" w:rsidRPr="007271D7" w:rsidRDefault="00A62AB1" w:rsidP="00A62AB1">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Region</w:t>
      </w:r>
    </w:p>
    <w:p w14:paraId="451AE4DA" w14:textId="1C613878" w:rsidR="00A62AB1" w:rsidRPr="007271D7" w:rsidRDefault="00A62AB1" w:rsidP="00A62AB1">
      <w:pPr>
        <w:pStyle w:val="NormalWeb"/>
        <w:spacing w:before="0" w:beforeAutospacing="0" w:after="0" w:afterAutospacing="0" w:line="480" w:lineRule="auto"/>
        <w:textAlignment w:val="baseline"/>
        <w:rPr>
          <w:rFonts w:ascii="Calibri" w:eastAsiaTheme="minorEastAsia" w:hAnsi="Calibri" w:cs="Calibri"/>
        </w:rPr>
      </w:pPr>
      <w:r w:rsidRPr="007271D7">
        <w:rPr>
          <w:rFonts w:ascii="Calibri" w:eastAsiaTheme="minorEastAsia" w:hAnsi="Calibri" w:cs="Calibri"/>
        </w:rPr>
        <w:t xml:space="preserve">From household postcode data, participants were categorised as living in either London </w:t>
      </w:r>
      <w:r w:rsidR="00137AB9" w:rsidRPr="007271D7">
        <w:rPr>
          <w:rFonts w:ascii="Calibri" w:eastAsiaTheme="minorEastAsia" w:hAnsi="Calibri" w:cs="Calibri"/>
        </w:rPr>
        <w:t xml:space="preserve">(Greater London) </w:t>
      </w:r>
      <w:r w:rsidRPr="007271D7">
        <w:rPr>
          <w:rFonts w:ascii="Calibri" w:eastAsiaTheme="minorEastAsia" w:hAnsi="Calibri" w:cs="Calibri"/>
        </w:rPr>
        <w:t>or the North of England</w:t>
      </w:r>
      <w:r w:rsidR="00CD08BF" w:rsidRPr="007271D7">
        <w:rPr>
          <w:rFonts w:ascii="Calibri" w:eastAsiaTheme="minorEastAsia" w:hAnsi="Calibri" w:cs="Calibri"/>
        </w:rPr>
        <w:t xml:space="preserve"> (</w:t>
      </w:r>
      <w:r w:rsidRPr="007271D7">
        <w:rPr>
          <w:rFonts w:ascii="Calibri" w:eastAsiaTheme="minorEastAsia" w:hAnsi="Calibri" w:cs="Calibri"/>
        </w:rPr>
        <w:t xml:space="preserve">North West, North East </w:t>
      </w:r>
      <w:r w:rsidR="00DF5E19" w:rsidRPr="007271D7">
        <w:rPr>
          <w:rFonts w:ascii="Calibri" w:eastAsiaTheme="minorEastAsia" w:hAnsi="Calibri" w:cs="Calibri"/>
        </w:rPr>
        <w:t>or</w:t>
      </w:r>
      <w:r w:rsidRPr="007271D7">
        <w:rPr>
          <w:rFonts w:ascii="Calibri" w:eastAsiaTheme="minorEastAsia" w:hAnsi="Calibri" w:cs="Calibri"/>
        </w:rPr>
        <w:t xml:space="preserve"> Yorkshire and the Humber</w:t>
      </w:r>
      <w:r w:rsidR="00CD08BF" w:rsidRPr="007271D7">
        <w:rPr>
          <w:rFonts w:ascii="Calibri" w:eastAsiaTheme="minorEastAsia" w:hAnsi="Calibri" w:cs="Calibri"/>
        </w:rPr>
        <w:t>).</w:t>
      </w:r>
    </w:p>
    <w:p w14:paraId="5B8505DE" w14:textId="29CC8628" w:rsidR="00F75E9B" w:rsidRPr="007271D7" w:rsidRDefault="00F75E9B" w:rsidP="00A62AB1">
      <w:pPr>
        <w:pStyle w:val="NormalWeb"/>
        <w:spacing w:before="0" w:beforeAutospacing="0" w:after="0" w:afterAutospacing="0" w:line="480" w:lineRule="auto"/>
        <w:textAlignment w:val="baseline"/>
        <w:rPr>
          <w:rFonts w:ascii="Calibri" w:eastAsiaTheme="minorEastAsia" w:hAnsi="Calibri" w:cs="Calibri"/>
        </w:rPr>
      </w:pPr>
    </w:p>
    <w:p w14:paraId="7C02B42B" w14:textId="1B647989" w:rsidR="001319CE" w:rsidRPr="007271D7" w:rsidRDefault="00D520D9" w:rsidP="002A0FEE">
      <w:pPr>
        <w:spacing w:line="480" w:lineRule="auto"/>
        <w:rPr>
          <w:b/>
          <w:bCs/>
        </w:rPr>
      </w:pPr>
      <w:r w:rsidRPr="007271D7">
        <w:rPr>
          <w:b/>
          <w:bCs/>
        </w:rPr>
        <w:t>Measuring e</w:t>
      </w:r>
      <w:r w:rsidR="00B0773C" w:rsidRPr="007271D7">
        <w:rPr>
          <w:b/>
          <w:bCs/>
        </w:rPr>
        <w:t xml:space="preserve">xposure </w:t>
      </w:r>
      <w:r w:rsidR="001319CE" w:rsidRPr="007271D7">
        <w:rPr>
          <w:b/>
          <w:bCs/>
        </w:rPr>
        <w:t>to</w:t>
      </w:r>
      <w:r w:rsidR="007F2268" w:rsidRPr="007271D7">
        <w:rPr>
          <w:b/>
          <w:bCs/>
        </w:rPr>
        <w:t xml:space="preserve"> advertising </w:t>
      </w:r>
    </w:p>
    <w:p w14:paraId="7CEB5042" w14:textId="526BB569" w:rsidR="0051183F" w:rsidRPr="007271D7" w:rsidRDefault="0051183F" w:rsidP="00872085">
      <w:pPr>
        <w:spacing w:line="480" w:lineRule="auto"/>
      </w:pPr>
      <w:r w:rsidRPr="007271D7">
        <w:t>We assessed exposure to</w:t>
      </w:r>
      <w:r w:rsidR="005D2E8A" w:rsidRPr="007271D7">
        <w:t xml:space="preserve"> advertising for</w:t>
      </w:r>
      <w:r w:rsidRPr="007271D7">
        <w:t xml:space="preserve"> </w:t>
      </w:r>
      <w:r w:rsidR="0074509F" w:rsidRPr="007271D7">
        <w:t>five</w:t>
      </w:r>
      <w:r w:rsidR="001319CE" w:rsidRPr="007271D7">
        <w:t xml:space="preserve"> of the most commonly advertised food and drink </w:t>
      </w:r>
      <w:r w:rsidR="00D520D9" w:rsidRPr="007271D7">
        <w:t xml:space="preserve">product categories </w:t>
      </w:r>
      <w:r w:rsidR="001319CE" w:rsidRPr="007271D7">
        <w:t>of</w:t>
      </w:r>
      <w:r w:rsidRPr="007271D7">
        <w:t xml:space="preserve"> current</w:t>
      </w:r>
      <w:r w:rsidR="001319CE" w:rsidRPr="007271D7">
        <w:t xml:space="preserve"> policy concern: processed </w:t>
      </w:r>
      <w:r w:rsidR="002C11C9" w:rsidRPr="007271D7">
        <w:t>HFSS</w:t>
      </w:r>
      <w:r w:rsidR="001319CE" w:rsidRPr="007271D7">
        <w:t xml:space="preserve"> food</w:t>
      </w:r>
      <w:r w:rsidR="002C11C9" w:rsidRPr="007271D7">
        <w:t>s</w:t>
      </w:r>
      <w:r w:rsidR="001319CE" w:rsidRPr="007271D7">
        <w:t>, sugary drinks, sugary cereals, sweet snack</w:t>
      </w:r>
      <w:r w:rsidR="0074509F" w:rsidRPr="007271D7">
        <w:t>s and</w:t>
      </w:r>
      <w:r w:rsidR="001319CE" w:rsidRPr="007271D7">
        <w:t xml:space="preserve"> fast food.</w:t>
      </w:r>
      <w:r w:rsidR="00070559" w:rsidRPr="007271D7">
        <w:fldChar w:fldCharType="begin" w:fldLock="1"/>
      </w:r>
      <w:r w:rsidR="00F647C5" w:rsidRPr="007271D7">
        <w:instrText>ADDIN CSL_CITATION {"citationItems":[{"id":"ITEM-1","itemData":{"DOI":"10.1016/j.appet.2012.04.017","ISSN":"01956663","abstract":"A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 © 2012 Elsevier Ltd.","author":[{"dropping-particle":"","family":"Cairns","given":"Georgina","non-dropping-particle":"","parse-names":false,"suffix":""},{"dropping-particle":"","family":"Angus","given":"Kathryn","non-dropping-particle":"","parse-names":false,"suffix":""},{"dropping-particle":"","family":"Hastings","given":"Gerard","non-dropping-particle":"","parse-names":false,"suffix":""},{"dropping-particle":"","family":"Caraher","given":"Martin","non-dropping-particle":"","parse-names":false,"suffix":""}],"container-title":"Appetite","id":"ITEM-1","issued":{"date-parts":[["2013"]]},"title":"Systematic reviews of the evidence on the nature, extent and effects of food marketing to children. A retrospective summary","type":"article"},"uris":["http://www.mendeley.com/documents/?uuid=46b5506a-c36d-45dc-8dd1-1b6c4164aa32"]}],"mendeley":{"formattedCitation":"[44]","plainTextFormattedCitation":"[44]","previouslyFormattedCitation":"[44]"},"properties":{"noteIndex":0},"schema":"https://github.com/citation-style-language/schema/raw/master/csl-citation.json"}</w:instrText>
      </w:r>
      <w:r w:rsidR="00070559" w:rsidRPr="007271D7">
        <w:fldChar w:fldCharType="separate"/>
      </w:r>
      <w:r w:rsidR="00F647C5" w:rsidRPr="007271D7">
        <w:rPr>
          <w:noProof/>
        </w:rPr>
        <w:t>[44]</w:t>
      </w:r>
      <w:r w:rsidR="00070559" w:rsidRPr="007271D7">
        <w:fldChar w:fldCharType="end"/>
      </w:r>
      <w:r w:rsidR="008666AA" w:rsidRPr="007271D7">
        <w:t xml:space="preserve"> </w:t>
      </w:r>
      <w:r w:rsidR="00F55292" w:rsidRPr="007271D7">
        <w:t>De</w:t>
      </w:r>
      <w:r w:rsidR="00266980" w:rsidRPr="007271D7">
        <w:t>finitions</w:t>
      </w:r>
      <w:r w:rsidR="00F55292" w:rsidRPr="007271D7">
        <w:t xml:space="preserve"> of the product categories</w:t>
      </w:r>
      <w:r w:rsidR="00266980" w:rsidRPr="007271D7">
        <w:t xml:space="preserve"> used in the survey were adapted from the International Food Policy Study and </w:t>
      </w:r>
      <w:r w:rsidR="00F55292" w:rsidRPr="007271D7">
        <w:t xml:space="preserve">are available in </w:t>
      </w:r>
      <w:r w:rsidR="00F55292" w:rsidRPr="007271D7">
        <w:rPr>
          <w:b/>
          <w:bCs/>
        </w:rPr>
        <w:t>Supplementary Table S1</w:t>
      </w:r>
      <w:r w:rsidR="006322A3" w:rsidRPr="007271D7">
        <w:t>.</w:t>
      </w:r>
      <w:r w:rsidR="009C18D1" w:rsidRPr="007271D7">
        <w:fldChar w:fldCharType="begin" w:fldLock="1"/>
      </w:r>
      <w:r w:rsidR="00F647C5" w:rsidRPr="007271D7">
        <w:instrText>ADDIN CSL_CITATION {"citationItems":[{"id":"ITEM-1","itemData":{"URL":"http://foodpolicystudy.com/about/","author":[{"dropping-particle":"","family":"Hammond","given":"David","non-dropping-particle":"","parse-names":false,"suffix":""}],"id":"ITEM-1","issued":{"date-parts":[["2019"]]},"title":"International Food Policy Study","type":"webpage"},"uris":["http://www.mendeley.com/documents/?uuid=aceaf56b-faa8-4a08-9a0a-2a904e124aef"]}],"mendeley":{"formattedCitation":"[45]","plainTextFormattedCitation":"[45]","previouslyFormattedCitation":"[45]"},"properties":{"noteIndex":0},"schema":"https://github.com/citation-style-language/schema/raw/master/csl-citation.json"}</w:instrText>
      </w:r>
      <w:r w:rsidR="009C18D1" w:rsidRPr="007271D7">
        <w:fldChar w:fldCharType="separate"/>
      </w:r>
      <w:r w:rsidR="00F647C5" w:rsidRPr="007271D7">
        <w:rPr>
          <w:noProof/>
        </w:rPr>
        <w:t>[45]</w:t>
      </w:r>
      <w:r w:rsidR="009C18D1" w:rsidRPr="007271D7">
        <w:fldChar w:fldCharType="end"/>
      </w:r>
      <w:r w:rsidR="00F24E82" w:rsidRPr="007271D7">
        <w:t xml:space="preserve"> </w:t>
      </w:r>
      <w:r w:rsidRPr="007271D7">
        <w:t xml:space="preserve">In addition, </w:t>
      </w:r>
      <w:r w:rsidR="00F10167" w:rsidRPr="007271D7">
        <w:t>exposure to</w:t>
      </w:r>
      <w:r w:rsidR="00696CF9" w:rsidRPr="007271D7">
        <w:t xml:space="preserve"> advertising for</w:t>
      </w:r>
      <w:r w:rsidR="002A3D16" w:rsidRPr="007271D7">
        <w:t xml:space="preserve"> digital</w:t>
      </w:r>
      <w:r w:rsidR="00F10167" w:rsidRPr="007271D7">
        <w:t xml:space="preserve"> </w:t>
      </w:r>
      <w:r w:rsidR="003723D3" w:rsidRPr="007271D7">
        <w:t xml:space="preserve">food </w:t>
      </w:r>
      <w:r w:rsidR="00F10167" w:rsidRPr="007271D7">
        <w:t>delivery</w:t>
      </w:r>
      <w:r w:rsidR="002A3D16" w:rsidRPr="007271D7">
        <w:t xml:space="preserve"> services was assessed with a question </w:t>
      </w:r>
      <w:r w:rsidR="00F1118E" w:rsidRPr="007271D7">
        <w:t xml:space="preserve">on exposure to advertising for </w:t>
      </w:r>
      <w:r w:rsidR="002A3D16" w:rsidRPr="007271D7">
        <w:t>food delivery</w:t>
      </w:r>
      <w:r w:rsidR="00F10167" w:rsidRPr="007271D7">
        <w:t xml:space="preserve"> </w:t>
      </w:r>
      <w:r w:rsidR="0030338F" w:rsidRPr="007271D7">
        <w:t>apps</w:t>
      </w:r>
      <w:r w:rsidRPr="007271D7">
        <w:t xml:space="preserve">, with the market-leading services </w:t>
      </w:r>
      <w:r w:rsidR="00B32B88" w:rsidRPr="007271D7">
        <w:t>(</w:t>
      </w:r>
      <w:r w:rsidR="00F10167" w:rsidRPr="007271D7">
        <w:t>Uber Eats, Deliveroo, Just Eat</w:t>
      </w:r>
      <w:r w:rsidRPr="007271D7">
        <w:t xml:space="preserve"> and</w:t>
      </w:r>
      <w:r w:rsidR="00F10167" w:rsidRPr="007271D7">
        <w:t xml:space="preserve"> </w:t>
      </w:r>
      <w:proofErr w:type="spellStart"/>
      <w:r w:rsidR="00F10167" w:rsidRPr="007271D7">
        <w:t>FoodHub</w:t>
      </w:r>
      <w:proofErr w:type="spellEnd"/>
      <w:r w:rsidR="00B32B88" w:rsidRPr="007271D7">
        <w:t>)</w:t>
      </w:r>
      <w:r w:rsidR="00F10167" w:rsidRPr="007271D7">
        <w:t xml:space="preserve"> listed as examples. </w:t>
      </w:r>
    </w:p>
    <w:p w14:paraId="11614450" w14:textId="77777777" w:rsidR="00F10167" w:rsidRPr="007271D7" w:rsidRDefault="00F10167" w:rsidP="002A0FEE">
      <w:pPr>
        <w:spacing w:line="480" w:lineRule="auto"/>
      </w:pPr>
    </w:p>
    <w:p w14:paraId="1334DAAF" w14:textId="5BBEA8B4" w:rsidR="00FE13CD" w:rsidRPr="007271D7" w:rsidRDefault="0051183F" w:rsidP="002A0FEE">
      <w:pPr>
        <w:spacing w:line="480" w:lineRule="auto"/>
      </w:pPr>
      <w:r w:rsidRPr="007271D7">
        <w:t xml:space="preserve">Survey questions were structured </w:t>
      </w:r>
      <w:r w:rsidR="00F10167" w:rsidRPr="007271D7">
        <w:t>as</w:t>
      </w:r>
      <w:r w:rsidRPr="007271D7">
        <w:t xml:space="preserve"> follows</w:t>
      </w:r>
      <w:r w:rsidR="00F10167" w:rsidRPr="007271D7">
        <w:t xml:space="preserve">: </w:t>
      </w:r>
      <w:r w:rsidR="00F10167" w:rsidRPr="007271D7">
        <w:rPr>
          <w:i/>
          <w:iCs/>
        </w:rPr>
        <w:t xml:space="preserve">“In the last 7 days, have you seen or heard advertisements for </w:t>
      </w:r>
      <w:r w:rsidR="00F10167" w:rsidRPr="007271D7">
        <w:t>[category]</w:t>
      </w:r>
      <w:r w:rsidR="00F10167" w:rsidRPr="007271D7">
        <w:rPr>
          <w:i/>
          <w:iCs/>
        </w:rPr>
        <w:t xml:space="preserve"> in the following places?”</w:t>
      </w:r>
      <w:r w:rsidR="00F10167" w:rsidRPr="007271D7">
        <w:t xml:space="preserve">. </w:t>
      </w:r>
      <w:r w:rsidR="0029563E" w:rsidRPr="007271D7">
        <w:t xml:space="preserve">Within each question, </w:t>
      </w:r>
      <w:r w:rsidR="00137AB9" w:rsidRPr="007271D7">
        <w:t>19</w:t>
      </w:r>
      <w:r w:rsidR="0029563E" w:rsidRPr="007271D7">
        <w:t xml:space="preserve"> places where advertisements may have been seen or heard were specified. </w:t>
      </w:r>
      <w:r w:rsidR="00D755C9" w:rsidRPr="007271D7">
        <w:t>Using methods adapted from Forde et al,</w:t>
      </w:r>
      <w:r w:rsidR="00D755C9" w:rsidRPr="007271D7">
        <w:fldChar w:fldCharType="begin" w:fldLock="1"/>
      </w:r>
      <w:r w:rsidR="003E3C11" w:rsidRPr="007271D7">
        <w:instrText>ADDIN CSL_CITATION {"citationItems":[{"id":"ITEM-1","itemData":{"DOI":"10.3390/nu11123047","ISSN":"20726643","PMID":"31847203","abstract":"Sugar-sweetened beverage (SSB) consumption is independently associated with several non-communicable diseases, so policymakers are increasingly implementing measures, such as marketing regulation, to reduce intake. To help understand how such measures work, this study examined the association between SSB consumption and self-reported exposure to SSB promotions, both overall and by type of promotion, and whether these relationships vary between the UK, USA, Canada, Mexico, and Australia. Cross-sectional analysis of the online 2017 International Food Policy Study was performed (n = 15,515). Participants were grouped into 5265 (34%) non-, 5117 (33%) low-, and 5133 (33%) high-SSB consumers. Multinomial logistic regression models examined whether SSB consumption varied by exposure to total SSB promotion and by type: traditional, digital, recreational environment, and functional environment. Multiplicative interactions were included to investigate international variations. An additional unit of total self-reported SSB promotion exposure increased the likelihood of participants being low SSB consumers (relative risk ratio (RRR) = 1.08, 95% confidence interval (CI) = 1.06–1.10) and high SSB consumers (RRR = 1.13, 95% CI = 1.11–1.16). Only exposure to traditional and digital promotion increased the likelihood of participants being SSB consumers, though this may be explained by degree of exposure, which was not measured in this study. Some evidence illustrated international variation in these relationships.","author":[{"dropping-particle":"","family":"Forde","given":"Hannah","non-dropping-particle":"","parse-names":false,"suffix":""},{"dropping-particle":"","family":"White","given":"Martin","non-dropping-particle":"","parse-names":false,"suffix":""},{"dropping-particle":"","family":"Levy","given":"Louis","non-dropping-particle":"","parse-names":false,"suffix":""},{"dropping-particle":"","family":"Greaves","given":"Felix","non-dropping-particle":"","parse-names":false,"suffix":""},{"dropping-particle":"","family":"Hammond","given":"David","non-dropping-particle":"","parse-names":false,"suffix":""},{"dropping-particle":"","family":"Vanderlee","given":"Lana","non-dropping-particle":"","parse-names":false,"suffix":""},{"dropping-particle":"","family":"Sharp","given":"Stephen","non-dropping-particle":"","parse-names":false,"suffix":""},{"dropping-particle":"","family":"Adams","given":"Jean","non-dropping-particle":"","parse-names":false,"suffix":""}],"container-title":"Nutrients","id":"ITEM-1","issued":{"date-parts":[["2019"]]},"page":"3047","title":"The relationship between self-reported exposure to sugar-sweetened beverage promotions and intake: Cross-sectional analysis of the 2017 international food policy study","type":"article-journal","volume":"11"},"uris":["http://www.mendeley.com/documents/?uuid=f5d8bf8d-cfc8-441f-96d2-7424c6978d1e"]}],"mendeley":{"formattedCitation":"[12]","plainTextFormattedCitation":"[12]","previouslyFormattedCitation":"[12]"},"properties":{"noteIndex":0},"schema":"https://github.com/citation-style-language/schema/raw/master/csl-citation.json"}</w:instrText>
      </w:r>
      <w:r w:rsidR="00D755C9" w:rsidRPr="007271D7">
        <w:fldChar w:fldCharType="separate"/>
      </w:r>
      <w:r w:rsidR="003E3C11" w:rsidRPr="007271D7">
        <w:rPr>
          <w:noProof/>
        </w:rPr>
        <w:t>[12]</w:t>
      </w:r>
      <w:r w:rsidR="00D755C9" w:rsidRPr="007271D7">
        <w:fldChar w:fldCharType="end"/>
      </w:r>
      <w:r w:rsidR="00D755C9" w:rsidRPr="007271D7">
        <w:t xml:space="preserve"> we</w:t>
      </w:r>
      <w:r w:rsidR="00B0773C" w:rsidRPr="007271D7">
        <w:t xml:space="preserve"> </w:t>
      </w:r>
      <w:r w:rsidR="0037534B" w:rsidRPr="007271D7">
        <w:t>re-</w:t>
      </w:r>
      <w:r w:rsidR="00B0773C" w:rsidRPr="007271D7">
        <w:t xml:space="preserve">categorised </w:t>
      </w:r>
      <w:r w:rsidR="0029563E" w:rsidRPr="007271D7">
        <w:t xml:space="preserve">the 19 places </w:t>
      </w:r>
      <w:r w:rsidR="00B0773C" w:rsidRPr="007271D7">
        <w:t xml:space="preserve">into </w:t>
      </w:r>
      <w:r w:rsidR="0037534B" w:rsidRPr="007271D7">
        <w:t>five</w:t>
      </w:r>
      <w:r w:rsidR="00B0773C" w:rsidRPr="007271D7">
        <w:t xml:space="preserve"> advertising</w:t>
      </w:r>
      <w:r w:rsidR="009C6E4C" w:rsidRPr="007271D7">
        <w:t xml:space="preserve"> settings</w:t>
      </w:r>
      <w:r w:rsidR="006652E0" w:rsidRPr="007271D7">
        <w:t xml:space="preserve"> prior to analysis</w:t>
      </w:r>
      <w:r w:rsidR="00A704CC" w:rsidRPr="007271D7">
        <w:t xml:space="preserve">: </w:t>
      </w:r>
      <w:r w:rsidR="00B0773C" w:rsidRPr="007271D7">
        <w:t>traditional</w:t>
      </w:r>
      <w:r w:rsidR="00A94967" w:rsidRPr="007271D7">
        <w:t xml:space="preserve"> advertising</w:t>
      </w:r>
      <w:r w:rsidR="00B0773C" w:rsidRPr="007271D7">
        <w:t>, digital</w:t>
      </w:r>
      <w:r w:rsidR="00A94967" w:rsidRPr="007271D7">
        <w:t xml:space="preserve"> advertising</w:t>
      </w:r>
      <w:r w:rsidR="00B0773C" w:rsidRPr="007271D7">
        <w:t>,</w:t>
      </w:r>
      <w:r w:rsidR="00A94967" w:rsidRPr="007271D7">
        <w:t xml:space="preserve"> advertising </w:t>
      </w:r>
      <w:r w:rsidR="00B0773C" w:rsidRPr="007271D7">
        <w:t>in recreational environment</w:t>
      </w:r>
      <w:r w:rsidR="000276D8" w:rsidRPr="007271D7">
        <w:t>s</w:t>
      </w:r>
      <w:r w:rsidR="002126C9" w:rsidRPr="007271D7">
        <w:t xml:space="preserve">, </w:t>
      </w:r>
      <w:r w:rsidR="00A94967" w:rsidRPr="007271D7">
        <w:t>advertising</w:t>
      </w:r>
      <w:r w:rsidR="00B0773C" w:rsidRPr="007271D7">
        <w:t xml:space="preserve"> in functional environment</w:t>
      </w:r>
      <w:r w:rsidR="000276D8" w:rsidRPr="007271D7">
        <w:t>s</w:t>
      </w:r>
      <w:r w:rsidR="00B0773C" w:rsidRPr="007271D7">
        <w:t xml:space="preserve"> and</w:t>
      </w:r>
      <w:r w:rsidR="00A94967" w:rsidRPr="007271D7">
        <w:t xml:space="preserve"> advertising</w:t>
      </w:r>
      <w:r w:rsidR="00B0773C" w:rsidRPr="007271D7">
        <w:t xml:space="preserve"> </w:t>
      </w:r>
      <w:r w:rsidR="00F10167" w:rsidRPr="007271D7">
        <w:t xml:space="preserve">across </w:t>
      </w:r>
      <w:r w:rsidR="00B0773C" w:rsidRPr="007271D7">
        <w:t xml:space="preserve">transport </w:t>
      </w:r>
      <w:r w:rsidR="00F10167" w:rsidRPr="007271D7">
        <w:t xml:space="preserve">networks </w:t>
      </w:r>
      <w:r w:rsidR="00B0773C" w:rsidRPr="007271D7">
        <w:t>(</w:t>
      </w:r>
      <w:r w:rsidR="00467042" w:rsidRPr="007271D7">
        <w:rPr>
          <w:b/>
          <w:bCs/>
        </w:rPr>
        <w:t>Box</w:t>
      </w:r>
      <w:r w:rsidR="00AF70C8" w:rsidRPr="007271D7">
        <w:rPr>
          <w:b/>
          <w:bCs/>
        </w:rPr>
        <w:t xml:space="preserve"> 1</w:t>
      </w:r>
      <w:r w:rsidR="00B0773C" w:rsidRPr="007271D7">
        <w:t>).</w:t>
      </w:r>
      <w:r w:rsidR="00A704CC" w:rsidRPr="007271D7">
        <w:t xml:space="preserve"> </w:t>
      </w:r>
      <w:r w:rsidR="00E91D97" w:rsidRPr="007271D7">
        <w:t>Participants were also able to</w:t>
      </w:r>
      <w:r w:rsidR="000276D8" w:rsidRPr="007271D7">
        <w:t xml:space="preserve"> report</w:t>
      </w:r>
      <w:r w:rsidR="00E91D97" w:rsidRPr="007271D7">
        <w:t xml:space="preserve"> other </w:t>
      </w:r>
      <w:r w:rsidR="005D2E8A" w:rsidRPr="007271D7">
        <w:t xml:space="preserve">places </w:t>
      </w:r>
      <w:r w:rsidR="00E91D97" w:rsidRPr="007271D7">
        <w:t xml:space="preserve">using free text. We </w:t>
      </w:r>
      <w:r w:rsidR="00B261D6" w:rsidRPr="007271D7">
        <w:t xml:space="preserve">allocated </w:t>
      </w:r>
      <w:r w:rsidR="00E91D97" w:rsidRPr="007271D7">
        <w:t xml:space="preserve">these text responses into the </w:t>
      </w:r>
      <w:r w:rsidR="00B261D6" w:rsidRPr="007271D7">
        <w:t xml:space="preserve">five </w:t>
      </w:r>
      <w:r w:rsidR="00E91D97" w:rsidRPr="007271D7">
        <w:t>advertising</w:t>
      </w:r>
      <w:r w:rsidR="001E29A5" w:rsidRPr="007271D7">
        <w:t xml:space="preserve"> settings</w:t>
      </w:r>
      <w:r w:rsidR="00E91D97" w:rsidRPr="007271D7">
        <w:t>, treating the categories as</w:t>
      </w:r>
      <w:r w:rsidR="00CF795A" w:rsidRPr="007271D7">
        <w:t xml:space="preserve"> </w:t>
      </w:r>
      <w:r w:rsidR="00CF795A" w:rsidRPr="007271D7">
        <w:lastRenderedPageBreak/>
        <w:t xml:space="preserve">mutually exclusive. </w:t>
      </w:r>
      <w:r w:rsidR="00A704CC" w:rsidRPr="007271D7">
        <w:t xml:space="preserve">Where there </w:t>
      </w:r>
      <w:r w:rsidR="00E91D97" w:rsidRPr="007271D7">
        <w:t>was</w:t>
      </w:r>
      <w:r w:rsidR="00A704CC" w:rsidRPr="007271D7">
        <w:t xml:space="preserve"> ambiguity</w:t>
      </w:r>
      <w:r w:rsidR="003A57FB" w:rsidRPr="007271D7">
        <w:t xml:space="preserve"> in categorisation</w:t>
      </w:r>
      <w:r w:rsidR="00A704CC" w:rsidRPr="007271D7">
        <w:t xml:space="preserve">, </w:t>
      </w:r>
      <w:r w:rsidR="00F27031" w:rsidRPr="007271D7">
        <w:t xml:space="preserve">advertising setting was categorised based on </w:t>
      </w:r>
      <w:r w:rsidR="003A57FB" w:rsidRPr="007271D7">
        <w:rPr>
          <w:i/>
        </w:rPr>
        <w:t>where</w:t>
      </w:r>
      <w:r w:rsidR="003A57FB" w:rsidRPr="007271D7">
        <w:t xml:space="preserve"> the </w:t>
      </w:r>
      <w:r w:rsidR="00A704CC" w:rsidRPr="007271D7">
        <w:t>advertis</w:t>
      </w:r>
      <w:r w:rsidR="003A57FB" w:rsidRPr="007271D7">
        <w:t>ement</w:t>
      </w:r>
      <w:r w:rsidR="00A704CC" w:rsidRPr="007271D7">
        <w:t xml:space="preserve"> was </w:t>
      </w:r>
      <w:r w:rsidR="003A57FB" w:rsidRPr="007271D7">
        <w:t xml:space="preserve">seen or heard </w:t>
      </w:r>
      <w:r w:rsidR="001E1BD9" w:rsidRPr="007271D7">
        <w:t>rather than</w:t>
      </w:r>
      <w:r w:rsidR="00E91D97" w:rsidRPr="007271D7">
        <w:t xml:space="preserve"> what medium was used</w:t>
      </w:r>
      <w:r w:rsidR="00A704CC" w:rsidRPr="007271D7">
        <w:t xml:space="preserve">. For example, a digital advertisement </w:t>
      </w:r>
      <w:r w:rsidR="00A704CC" w:rsidRPr="007271D7">
        <w:rPr>
          <w:i/>
        </w:rPr>
        <w:t>at a bus stop</w:t>
      </w:r>
      <w:r w:rsidR="00A704CC" w:rsidRPr="007271D7">
        <w:t xml:space="preserve"> w</w:t>
      </w:r>
      <w:r w:rsidR="001E29A5" w:rsidRPr="007271D7">
        <w:t xml:space="preserve">as </w:t>
      </w:r>
      <w:r w:rsidR="00A704CC" w:rsidRPr="007271D7">
        <w:t xml:space="preserve">categorised as transport. </w:t>
      </w:r>
    </w:p>
    <w:p w14:paraId="502DB9E0" w14:textId="5F510876" w:rsidR="007F511F" w:rsidRPr="007271D7" w:rsidRDefault="007F511F" w:rsidP="002A0FEE">
      <w:pPr>
        <w:spacing w:line="480" w:lineRule="auto"/>
      </w:pPr>
    </w:p>
    <w:p w14:paraId="6F0B4B17" w14:textId="77777777" w:rsidR="007F2268" w:rsidRPr="007271D7" w:rsidRDefault="007F2268" w:rsidP="005D2E8A">
      <w:pPr>
        <w:widowControl w:val="0"/>
        <w:autoSpaceDE w:val="0"/>
        <w:autoSpaceDN w:val="0"/>
        <w:adjustRightInd w:val="0"/>
        <w:spacing w:line="360" w:lineRule="auto"/>
      </w:pPr>
      <w:r w:rsidRPr="007271D7">
        <w:rPr>
          <w:b/>
          <w:bCs/>
        </w:rPr>
        <w:t>Box 1.</w:t>
      </w:r>
      <w:r w:rsidRPr="007271D7">
        <w:t xml:space="preserve"> Categorisation of advertising setting</w:t>
      </w:r>
    </w:p>
    <w:tbl>
      <w:tblPr>
        <w:tblStyle w:val="TableGrid"/>
        <w:tblW w:w="8926" w:type="dxa"/>
        <w:tblLook w:val="04A0" w:firstRow="1" w:lastRow="0" w:firstColumn="1" w:lastColumn="0" w:noHBand="0" w:noVBand="1"/>
      </w:tblPr>
      <w:tblGrid>
        <w:gridCol w:w="1290"/>
        <w:gridCol w:w="3463"/>
        <w:gridCol w:w="4173"/>
      </w:tblGrid>
      <w:tr w:rsidR="007F2268" w:rsidRPr="007271D7" w14:paraId="6F023983" w14:textId="77777777" w:rsidTr="006507CD">
        <w:tc>
          <w:tcPr>
            <w:tcW w:w="1271" w:type="dxa"/>
          </w:tcPr>
          <w:p w14:paraId="1F4CB562" w14:textId="77777777" w:rsidR="007F2268" w:rsidRPr="007271D7" w:rsidRDefault="007F2268" w:rsidP="006507CD">
            <w:pPr>
              <w:spacing w:line="276" w:lineRule="auto"/>
              <w:rPr>
                <w:b/>
                <w:bCs/>
                <w:sz w:val="21"/>
                <w:szCs w:val="21"/>
              </w:rPr>
            </w:pPr>
            <w:r w:rsidRPr="007271D7">
              <w:rPr>
                <w:b/>
                <w:bCs/>
                <w:sz w:val="21"/>
                <w:szCs w:val="21"/>
              </w:rPr>
              <w:t>Advertising setting</w:t>
            </w:r>
          </w:p>
        </w:tc>
        <w:tc>
          <w:tcPr>
            <w:tcW w:w="3473" w:type="dxa"/>
          </w:tcPr>
          <w:p w14:paraId="5CD7262D" w14:textId="77777777" w:rsidR="007F2268" w:rsidRPr="007271D7" w:rsidRDefault="007F2268" w:rsidP="006507CD">
            <w:pPr>
              <w:spacing w:line="276" w:lineRule="auto"/>
              <w:rPr>
                <w:b/>
                <w:bCs/>
                <w:sz w:val="21"/>
                <w:szCs w:val="21"/>
              </w:rPr>
            </w:pPr>
            <w:r w:rsidRPr="007271D7">
              <w:rPr>
                <w:b/>
                <w:bCs/>
                <w:sz w:val="21"/>
                <w:szCs w:val="21"/>
              </w:rPr>
              <w:t>Description</w:t>
            </w:r>
          </w:p>
        </w:tc>
        <w:tc>
          <w:tcPr>
            <w:tcW w:w="4182" w:type="dxa"/>
          </w:tcPr>
          <w:p w14:paraId="44E06151" w14:textId="7D867A5E" w:rsidR="007F2268" w:rsidRPr="007271D7" w:rsidRDefault="007F2268" w:rsidP="006507CD">
            <w:pPr>
              <w:spacing w:line="276" w:lineRule="auto"/>
              <w:rPr>
                <w:b/>
                <w:bCs/>
                <w:sz w:val="21"/>
                <w:szCs w:val="21"/>
              </w:rPr>
            </w:pPr>
            <w:r w:rsidRPr="007271D7">
              <w:rPr>
                <w:b/>
                <w:bCs/>
                <w:sz w:val="21"/>
                <w:szCs w:val="21"/>
              </w:rPr>
              <w:t>Included survey</w:t>
            </w:r>
            <w:r w:rsidR="00FF118E" w:rsidRPr="007271D7">
              <w:rPr>
                <w:b/>
                <w:bCs/>
                <w:sz w:val="21"/>
                <w:szCs w:val="21"/>
              </w:rPr>
              <w:t xml:space="preserve"> responses</w:t>
            </w:r>
            <w:r w:rsidRPr="007271D7">
              <w:rPr>
                <w:b/>
                <w:bCs/>
                <w:sz w:val="21"/>
                <w:szCs w:val="21"/>
              </w:rPr>
              <w:t xml:space="preserve"> </w:t>
            </w:r>
          </w:p>
        </w:tc>
      </w:tr>
      <w:tr w:rsidR="007F2268" w:rsidRPr="007271D7" w14:paraId="2ECED286" w14:textId="77777777" w:rsidTr="006507CD">
        <w:tc>
          <w:tcPr>
            <w:tcW w:w="1271" w:type="dxa"/>
          </w:tcPr>
          <w:p w14:paraId="436555AB" w14:textId="77777777" w:rsidR="007F2268" w:rsidRPr="007271D7" w:rsidRDefault="007F2268" w:rsidP="006507CD">
            <w:pPr>
              <w:spacing w:line="276" w:lineRule="auto"/>
              <w:rPr>
                <w:sz w:val="21"/>
                <w:szCs w:val="21"/>
              </w:rPr>
            </w:pPr>
            <w:r w:rsidRPr="007271D7">
              <w:rPr>
                <w:sz w:val="21"/>
                <w:szCs w:val="21"/>
              </w:rPr>
              <w:t>Traditional</w:t>
            </w:r>
          </w:p>
        </w:tc>
        <w:tc>
          <w:tcPr>
            <w:tcW w:w="3473" w:type="dxa"/>
          </w:tcPr>
          <w:p w14:paraId="21945D5C" w14:textId="1CF162E7" w:rsidR="007F2268" w:rsidRPr="007271D7" w:rsidRDefault="007F2268" w:rsidP="006507CD">
            <w:pPr>
              <w:spacing w:line="276" w:lineRule="auto"/>
              <w:rPr>
                <w:sz w:val="21"/>
                <w:szCs w:val="21"/>
              </w:rPr>
            </w:pPr>
            <w:r w:rsidRPr="007271D7">
              <w:rPr>
                <w:sz w:val="21"/>
                <w:szCs w:val="21"/>
              </w:rPr>
              <w:t>Physical</w:t>
            </w:r>
            <w:r w:rsidR="005D2E8A" w:rsidRPr="007271D7">
              <w:rPr>
                <w:sz w:val="21"/>
                <w:szCs w:val="21"/>
              </w:rPr>
              <w:t>,</w:t>
            </w:r>
            <w:r w:rsidRPr="007271D7">
              <w:rPr>
                <w:sz w:val="21"/>
                <w:szCs w:val="21"/>
              </w:rPr>
              <w:t xml:space="preserve"> non-digital text and radio media</w:t>
            </w:r>
            <w:r w:rsidR="005D2E8A" w:rsidRPr="007271D7">
              <w:rPr>
                <w:sz w:val="21"/>
                <w:szCs w:val="21"/>
              </w:rPr>
              <w:t xml:space="preserve"> and</w:t>
            </w:r>
            <w:r w:rsidR="00CA506D" w:rsidRPr="007271D7">
              <w:rPr>
                <w:sz w:val="21"/>
                <w:szCs w:val="21"/>
              </w:rPr>
              <w:t xml:space="preserve"> direct marketing</w:t>
            </w:r>
          </w:p>
        </w:tc>
        <w:tc>
          <w:tcPr>
            <w:tcW w:w="4182" w:type="dxa"/>
          </w:tcPr>
          <w:p w14:paraId="53CE5CE6" w14:textId="77777777" w:rsidR="007F2268" w:rsidRPr="007271D7" w:rsidRDefault="007F2268" w:rsidP="006507CD">
            <w:pPr>
              <w:spacing w:line="276" w:lineRule="auto"/>
              <w:rPr>
                <w:sz w:val="21"/>
                <w:szCs w:val="21"/>
              </w:rPr>
            </w:pPr>
            <w:r w:rsidRPr="007271D7">
              <w:rPr>
                <w:sz w:val="21"/>
                <w:szCs w:val="21"/>
              </w:rPr>
              <w:t>Television, radio, text message, newspaper/magazine, email and leaflet</w:t>
            </w:r>
          </w:p>
        </w:tc>
      </w:tr>
      <w:tr w:rsidR="007F2268" w:rsidRPr="007271D7" w14:paraId="299DCF5D" w14:textId="77777777" w:rsidTr="006507CD">
        <w:tc>
          <w:tcPr>
            <w:tcW w:w="1271" w:type="dxa"/>
          </w:tcPr>
          <w:p w14:paraId="4F6F38E5" w14:textId="77777777" w:rsidR="007F2268" w:rsidRPr="007271D7" w:rsidRDefault="007F2268" w:rsidP="006507CD">
            <w:pPr>
              <w:spacing w:line="276" w:lineRule="auto"/>
              <w:rPr>
                <w:sz w:val="21"/>
                <w:szCs w:val="21"/>
              </w:rPr>
            </w:pPr>
            <w:r w:rsidRPr="007271D7">
              <w:rPr>
                <w:sz w:val="21"/>
                <w:szCs w:val="21"/>
              </w:rPr>
              <w:t xml:space="preserve">Digital </w:t>
            </w:r>
          </w:p>
        </w:tc>
        <w:tc>
          <w:tcPr>
            <w:tcW w:w="3473" w:type="dxa"/>
          </w:tcPr>
          <w:p w14:paraId="78E67757" w14:textId="77777777" w:rsidR="007F2268" w:rsidRPr="007271D7" w:rsidRDefault="007F2268" w:rsidP="006507CD">
            <w:pPr>
              <w:spacing w:line="276" w:lineRule="auto"/>
              <w:rPr>
                <w:sz w:val="21"/>
                <w:szCs w:val="21"/>
              </w:rPr>
            </w:pPr>
            <w:r w:rsidRPr="007271D7">
              <w:rPr>
                <w:sz w:val="21"/>
                <w:szCs w:val="21"/>
              </w:rPr>
              <w:t xml:space="preserve">Advertising seen or heard through digital platforms and social media </w:t>
            </w:r>
          </w:p>
        </w:tc>
        <w:tc>
          <w:tcPr>
            <w:tcW w:w="4182" w:type="dxa"/>
          </w:tcPr>
          <w:p w14:paraId="3C7D2FC1" w14:textId="77777777" w:rsidR="007F2268" w:rsidRPr="007271D7" w:rsidRDefault="007F2268" w:rsidP="006507CD">
            <w:pPr>
              <w:spacing w:line="276" w:lineRule="auto"/>
              <w:rPr>
                <w:sz w:val="21"/>
                <w:szCs w:val="21"/>
              </w:rPr>
            </w:pPr>
            <w:r w:rsidRPr="007271D7">
              <w:rPr>
                <w:sz w:val="21"/>
                <w:szCs w:val="21"/>
              </w:rPr>
              <w:t>Online/internet, mobile app, video game and social media</w:t>
            </w:r>
          </w:p>
        </w:tc>
      </w:tr>
      <w:tr w:rsidR="007F2268" w:rsidRPr="007271D7" w14:paraId="4490EAAB" w14:textId="77777777" w:rsidTr="006507CD">
        <w:tc>
          <w:tcPr>
            <w:tcW w:w="1271" w:type="dxa"/>
          </w:tcPr>
          <w:p w14:paraId="2628EADE" w14:textId="77777777" w:rsidR="007F2268" w:rsidRPr="007271D7" w:rsidRDefault="007F2268" w:rsidP="006507CD">
            <w:pPr>
              <w:spacing w:line="276" w:lineRule="auto"/>
              <w:rPr>
                <w:sz w:val="21"/>
                <w:szCs w:val="21"/>
              </w:rPr>
            </w:pPr>
            <w:r w:rsidRPr="007271D7">
              <w:rPr>
                <w:sz w:val="21"/>
                <w:szCs w:val="21"/>
              </w:rPr>
              <w:t xml:space="preserve">Recreational </w:t>
            </w:r>
          </w:p>
        </w:tc>
        <w:tc>
          <w:tcPr>
            <w:tcW w:w="3473" w:type="dxa"/>
          </w:tcPr>
          <w:p w14:paraId="0AC71673" w14:textId="77777777" w:rsidR="007F2268" w:rsidRPr="007271D7" w:rsidRDefault="007F2268" w:rsidP="006507CD">
            <w:pPr>
              <w:spacing w:line="276" w:lineRule="auto"/>
              <w:rPr>
                <w:sz w:val="21"/>
                <w:szCs w:val="21"/>
              </w:rPr>
            </w:pPr>
            <w:r w:rsidRPr="007271D7">
              <w:rPr>
                <w:sz w:val="21"/>
                <w:szCs w:val="21"/>
              </w:rPr>
              <w:t xml:space="preserve">Advertising placed in environments that people interact with for enjoyment and leisure purposes </w:t>
            </w:r>
          </w:p>
        </w:tc>
        <w:tc>
          <w:tcPr>
            <w:tcW w:w="4182" w:type="dxa"/>
          </w:tcPr>
          <w:p w14:paraId="12B4FE6A" w14:textId="77777777" w:rsidR="007F2268" w:rsidRPr="007271D7" w:rsidRDefault="007F2268" w:rsidP="006507CD">
            <w:pPr>
              <w:spacing w:line="276" w:lineRule="auto"/>
              <w:rPr>
                <w:sz w:val="21"/>
                <w:szCs w:val="21"/>
              </w:rPr>
            </w:pPr>
            <w:r w:rsidRPr="007271D7">
              <w:rPr>
                <w:sz w:val="21"/>
                <w:szCs w:val="21"/>
              </w:rPr>
              <w:t>Film/cinema, leisure centre/gym/community centre, sports event/concert/community event, giveaway/sample/special offer and pub</w:t>
            </w:r>
          </w:p>
        </w:tc>
      </w:tr>
      <w:tr w:rsidR="007F2268" w:rsidRPr="007271D7" w14:paraId="13BF2FC2" w14:textId="77777777" w:rsidTr="006507CD">
        <w:tc>
          <w:tcPr>
            <w:tcW w:w="1271" w:type="dxa"/>
          </w:tcPr>
          <w:p w14:paraId="06878AE0" w14:textId="77777777" w:rsidR="007F2268" w:rsidRPr="007271D7" w:rsidRDefault="007F2268" w:rsidP="006507CD">
            <w:pPr>
              <w:spacing w:line="276" w:lineRule="auto"/>
              <w:rPr>
                <w:sz w:val="21"/>
                <w:szCs w:val="21"/>
              </w:rPr>
            </w:pPr>
            <w:r w:rsidRPr="007271D7">
              <w:rPr>
                <w:sz w:val="21"/>
                <w:szCs w:val="21"/>
              </w:rPr>
              <w:t>Functional</w:t>
            </w:r>
          </w:p>
        </w:tc>
        <w:tc>
          <w:tcPr>
            <w:tcW w:w="3473" w:type="dxa"/>
          </w:tcPr>
          <w:p w14:paraId="18E7644E" w14:textId="5AB7DC65" w:rsidR="007F2268" w:rsidRPr="007271D7" w:rsidRDefault="007F2268" w:rsidP="006507CD">
            <w:pPr>
              <w:spacing w:line="276" w:lineRule="auto"/>
              <w:rPr>
                <w:sz w:val="21"/>
                <w:szCs w:val="21"/>
              </w:rPr>
            </w:pPr>
            <w:r w:rsidRPr="007271D7">
              <w:rPr>
                <w:sz w:val="21"/>
                <w:szCs w:val="21"/>
              </w:rPr>
              <w:t>Advertising placed in environments that people visit for a specific purpose and to complete a specific task (</w:t>
            </w:r>
            <w:proofErr w:type="gramStart"/>
            <w:r w:rsidRPr="007271D7">
              <w:rPr>
                <w:sz w:val="21"/>
                <w:szCs w:val="21"/>
              </w:rPr>
              <w:t>e.g.</w:t>
            </w:r>
            <w:proofErr w:type="gramEnd"/>
            <w:r w:rsidRPr="007271D7">
              <w:rPr>
                <w:sz w:val="21"/>
                <w:szCs w:val="21"/>
              </w:rPr>
              <w:t xml:space="preserve"> school, work and shops) </w:t>
            </w:r>
          </w:p>
        </w:tc>
        <w:tc>
          <w:tcPr>
            <w:tcW w:w="4182" w:type="dxa"/>
          </w:tcPr>
          <w:p w14:paraId="7FFFCF43" w14:textId="77777777" w:rsidR="007F2268" w:rsidRPr="007271D7" w:rsidRDefault="007F2268" w:rsidP="006507CD">
            <w:pPr>
              <w:spacing w:line="276" w:lineRule="auto"/>
              <w:rPr>
                <w:sz w:val="21"/>
                <w:szCs w:val="21"/>
              </w:rPr>
            </w:pPr>
            <w:r w:rsidRPr="007271D7">
              <w:rPr>
                <w:sz w:val="21"/>
                <w:szCs w:val="21"/>
              </w:rPr>
              <w:t>Billboard/outdoor signs, telephone boxes, school/college/university, signs or displays in supermarket/convenience stores/restaurants, delivery drivers, doctor’s surgery, shopping centre and motorway services</w:t>
            </w:r>
          </w:p>
        </w:tc>
      </w:tr>
      <w:tr w:rsidR="007F2268" w:rsidRPr="007271D7" w14:paraId="6FC9FE7C" w14:textId="77777777" w:rsidTr="006507CD">
        <w:tc>
          <w:tcPr>
            <w:tcW w:w="1271" w:type="dxa"/>
          </w:tcPr>
          <w:p w14:paraId="2897E70A" w14:textId="77777777" w:rsidR="007F2268" w:rsidRPr="007271D7" w:rsidRDefault="007F2268" w:rsidP="006507CD">
            <w:pPr>
              <w:spacing w:line="276" w:lineRule="auto"/>
              <w:rPr>
                <w:sz w:val="21"/>
                <w:szCs w:val="21"/>
              </w:rPr>
            </w:pPr>
            <w:r w:rsidRPr="007271D7">
              <w:rPr>
                <w:sz w:val="21"/>
                <w:szCs w:val="21"/>
              </w:rPr>
              <w:t xml:space="preserve">Transport </w:t>
            </w:r>
          </w:p>
        </w:tc>
        <w:tc>
          <w:tcPr>
            <w:tcW w:w="3473" w:type="dxa"/>
          </w:tcPr>
          <w:p w14:paraId="668741FF" w14:textId="77777777" w:rsidR="007F2268" w:rsidRPr="007271D7" w:rsidRDefault="007F2268" w:rsidP="006507CD">
            <w:pPr>
              <w:spacing w:line="276" w:lineRule="auto"/>
              <w:rPr>
                <w:sz w:val="21"/>
                <w:szCs w:val="21"/>
              </w:rPr>
            </w:pPr>
            <w:r w:rsidRPr="007271D7">
              <w:rPr>
                <w:sz w:val="21"/>
                <w:szCs w:val="21"/>
              </w:rPr>
              <w:t xml:space="preserve">Advertising placed in environments related to transport </w:t>
            </w:r>
          </w:p>
        </w:tc>
        <w:tc>
          <w:tcPr>
            <w:tcW w:w="4182" w:type="dxa"/>
          </w:tcPr>
          <w:p w14:paraId="6DFBCBE5" w14:textId="77777777" w:rsidR="007F2268" w:rsidRPr="007271D7" w:rsidRDefault="007F2268" w:rsidP="006507CD">
            <w:pPr>
              <w:spacing w:line="276" w:lineRule="auto"/>
              <w:rPr>
                <w:sz w:val="21"/>
                <w:szCs w:val="21"/>
              </w:rPr>
            </w:pPr>
            <w:r w:rsidRPr="007271D7">
              <w:rPr>
                <w:sz w:val="21"/>
                <w:szCs w:val="21"/>
              </w:rPr>
              <w:t>Outside/inside buses, outside/inside tube, tram or train, outside/inside of tube or train station, bus stop, taxi and back of bus ticket</w:t>
            </w:r>
          </w:p>
        </w:tc>
      </w:tr>
    </w:tbl>
    <w:p w14:paraId="23296C48" w14:textId="77777777" w:rsidR="0051183F" w:rsidRPr="007271D7" w:rsidRDefault="0051183F" w:rsidP="002A0FEE">
      <w:pPr>
        <w:spacing w:line="480" w:lineRule="auto"/>
      </w:pPr>
    </w:p>
    <w:p w14:paraId="136D4FA2" w14:textId="47DDB0BD" w:rsidR="0051183F" w:rsidRPr="007271D7" w:rsidRDefault="0051183F" w:rsidP="0051183F">
      <w:pPr>
        <w:spacing w:line="480" w:lineRule="auto"/>
      </w:pPr>
      <w:r w:rsidRPr="007271D7">
        <w:t>We coded advertising exposure into two categories</w:t>
      </w:r>
      <w:r w:rsidR="00E7424D" w:rsidRPr="007271D7">
        <w:t xml:space="preserve">: </w:t>
      </w:r>
      <w:r w:rsidRPr="007271D7">
        <w:t>exposed or not. For overall exposure,</w:t>
      </w:r>
      <w:r w:rsidR="007F511F" w:rsidRPr="007271D7">
        <w:t xml:space="preserve"> </w:t>
      </w:r>
      <w:r w:rsidRPr="007271D7">
        <w:t xml:space="preserve">participants </w:t>
      </w:r>
      <w:r w:rsidR="00E7424D" w:rsidRPr="007271D7">
        <w:t>who reported seeing or hearing advertisements for</w:t>
      </w:r>
      <w:r w:rsidRPr="007271D7">
        <w:t xml:space="preserve"> any of the six </w:t>
      </w:r>
      <w:r w:rsidR="00E7424D" w:rsidRPr="007271D7">
        <w:t xml:space="preserve">product/service categories (processed HFSS foods; sugary drinks; sugary cereals; sweet snacks; fast food and digital food delivery services) </w:t>
      </w:r>
      <w:r w:rsidR="007F511F" w:rsidRPr="007271D7">
        <w:t>were classified as</w:t>
      </w:r>
      <w:r w:rsidRPr="007271D7">
        <w:t xml:space="preserve"> exposed. </w:t>
      </w:r>
    </w:p>
    <w:p w14:paraId="624941BE" w14:textId="77777777" w:rsidR="005608A2" w:rsidRPr="007271D7" w:rsidRDefault="005608A2" w:rsidP="002A0FEE">
      <w:pPr>
        <w:pStyle w:val="NormalWeb"/>
        <w:spacing w:before="0" w:beforeAutospacing="0" w:after="0" w:afterAutospacing="0" w:line="480" w:lineRule="auto"/>
        <w:textAlignment w:val="baseline"/>
        <w:rPr>
          <w:rFonts w:ascii="Calibri" w:eastAsiaTheme="minorEastAsia" w:hAnsi="Calibri" w:cs="Calibri"/>
          <w:b/>
          <w:bCs/>
        </w:rPr>
      </w:pPr>
    </w:p>
    <w:p w14:paraId="0AAFCD56" w14:textId="35276061" w:rsidR="00E64098" w:rsidRPr="007271D7" w:rsidRDefault="00E85DF0" w:rsidP="002A0FEE">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BMI</w:t>
      </w:r>
      <w:r w:rsidR="000B1A91" w:rsidRPr="007271D7">
        <w:rPr>
          <w:rFonts w:ascii="Calibri" w:eastAsiaTheme="minorEastAsia" w:hAnsi="Calibri" w:cs="Calibri"/>
          <w:b/>
          <w:bCs/>
        </w:rPr>
        <w:t xml:space="preserve"> </w:t>
      </w:r>
      <w:r w:rsidR="00C0623A" w:rsidRPr="007271D7">
        <w:rPr>
          <w:rFonts w:ascii="Calibri" w:eastAsiaTheme="minorEastAsia" w:hAnsi="Calibri" w:cs="Calibri"/>
          <w:b/>
          <w:bCs/>
        </w:rPr>
        <w:t>and weight status</w:t>
      </w:r>
    </w:p>
    <w:p w14:paraId="46E77D2E" w14:textId="488F9FCA" w:rsidR="00E64098" w:rsidRPr="007271D7" w:rsidRDefault="00E64098" w:rsidP="002A0FEE">
      <w:pPr>
        <w:pStyle w:val="NormalWeb"/>
        <w:spacing w:before="0" w:beforeAutospacing="0" w:after="0" w:afterAutospacing="0" w:line="480" w:lineRule="auto"/>
        <w:textAlignment w:val="baseline"/>
        <w:rPr>
          <w:rFonts w:ascii="Calibri" w:eastAsiaTheme="minorEastAsia" w:hAnsi="Calibri" w:cs="Calibri"/>
        </w:rPr>
      </w:pPr>
      <w:r w:rsidRPr="007271D7">
        <w:rPr>
          <w:rFonts w:ascii="Calibri" w:eastAsiaTheme="minorEastAsia" w:hAnsi="Calibri" w:cs="Calibri"/>
        </w:rPr>
        <w:t>BMI</w:t>
      </w:r>
      <w:r w:rsidR="00E85DF0" w:rsidRPr="007271D7">
        <w:rPr>
          <w:rFonts w:ascii="Calibri" w:eastAsiaTheme="minorEastAsia" w:hAnsi="Calibri" w:cs="Calibri"/>
        </w:rPr>
        <w:t xml:space="preserve"> (</w:t>
      </w:r>
      <w:r w:rsidR="00C84F5A" w:rsidRPr="007271D7">
        <w:rPr>
          <w:rFonts w:ascii="Calibri" w:eastAsiaTheme="minorEastAsia" w:hAnsi="Calibri" w:cs="Calibri"/>
        </w:rPr>
        <w:t>weight/height</w:t>
      </w:r>
      <w:r w:rsidR="00C84F5A" w:rsidRPr="007271D7">
        <w:rPr>
          <w:rFonts w:ascii="Calibri" w:eastAsiaTheme="minorEastAsia" w:hAnsi="Calibri" w:cs="Calibri"/>
          <w:vertAlign w:val="superscript"/>
        </w:rPr>
        <w:t>2</w:t>
      </w:r>
      <w:r w:rsidR="00C84F5A" w:rsidRPr="007271D7">
        <w:rPr>
          <w:rFonts w:ascii="Calibri" w:eastAsiaTheme="minorEastAsia" w:hAnsi="Calibri" w:cs="Calibri"/>
        </w:rPr>
        <w:t xml:space="preserve">) </w:t>
      </w:r>
      <w:r w:rsidRPr="007271D7">
        <w:rPr>
          <w:rFonts w:ascii="Calibri" w:eastAsiaTheme="minorEastAsia" w:hAnsi="Calibri" w:cs="Calibri"/>
        </w:rPr>
        <w:t>was calculated using self-reported height</w:t>
      </w:r>
      <w:r w:rsidR="00CA11F1" w:rsidRPr="007271D7">
        <w:rPr>
          <w:rFonts w:ascii="Calibri" w:eastAsiaTheme="minorEastAsia" w:hAnsi="Calibri" w:cs="Calibri"/>
        </w:rPr>
        <w:t xml:space="preserve"> </w:t>
      </w:r>
      <w:r w:rsidRPr="007271D7">
        <w:rPr>
          <w:rFonts w:ascii="Calibri" w:eastAsiaTheme="minorEastAsia" w:hAnsi="Calibri" w:cs="Calibri"/>
        </w:rPr>
        <w:t>and weight</w:t>
      </w:r>
      <w:r w:rsidR="00CA11F1" w:rsidRPr="007271D7">
        <w:rPr>
          <w:rFonts w:ascii="Calibri" w:eastAsiaTheme="minorEastAsia" w:hAnsi="Calibri" w:cs="Calibri"/>
        </w:rPr>
        <w:t xml:space="preserve"> </w:t>
      </w:r>
      <w:r w:rsidRPr="007271D7">
        <w:rPr>
          <w:rFonts w:ascii="Calibri" w:eastAsiaTheme="minorEastAsia" w:hAnsi="Calibri" w:cs="Calibri"/>
        </w:rPr>
        <w:t xml:space="preserve">data. </w:t>
      </w:r>
      <w:r w:rsidR="001E0465" w:rsidRPr="007271D7">
        <w:rPr>
          <w:rFonts w:ascii="Calibri" w:eastAsiaTheme="minorEastAsia" w:hAnsi="Calibri" w:cs="Calibri"/>
        </w:rPr>
        <w:t>BMI</w:t>
      </w:r>
      <w:r w:rsidR="009870C0" w:rsidRPr="007271D7">
        <w:rPr>
          <w:rFonts w:ascii="Calibri" w:eastAsiaTheme="minorEastAsia" w:hAnsi="Calibri" w:cs="Calibri"/>
        </w:rPr>
        <w:t xml:space="preserve"> w</w:t>
      </w:r>
      <w:r w:rsidR="000F5F12" w:rsidRPr="007271D7">
        <w:rPr>
          <w:rFonts w:ascii="Calibri" w:eastAsiaTheme="minorEastAsia" w:hAnsi="Calibri" w:cs="Calibri"/>
        </w:rPr>
        <w:t>as</w:t>
      </w:r>
      <w:r w:rsidR="009870C0" w:rsidRPr="007271D7">
        <w:rPr>
          <w:rFonts w:ascii="Calibri" w:eastAsiaTheme="minorEastAsia" w:hAnsi="Calibri" w:cs="Calibri"/>
        </w:rPr>
        <w:t xml:space="preserve"> available for 8</w:t>
      </w:r>
      <w:r w:rsidR="009C1FDA" w:rsidRPr="007271D7">
        <w:rPr>
          <w:rFonts w:ascii="Calibri" w:eastAsiaTheme="minorEastAsia" w:hAnsi="Calibri" w:cs="Calibri"/>
        </w:rPr>
        <w:t>1.7</w:t>
      </w:r>
      <w:r w:rsidR="009870C0" w:rsidRPr="007271D7">
        <w:rPr>
          <w:rFonts w:ascii="Calibri" w:eastAsiaTheme="minorEastAsia" w:hAnsi="Calibri" w:cs="Calibri"/>
        </w:rPr>
        <w:t xml:space="preserve">% of participants </w:t>
      </w:r>
      <w:r w:rsidR="00A062AA" w:rsidRPr="007271D7">
        <w:rPr>
          <w:rFonts w:ascii="Calibri" w:eastAsiaTheme="minorEastAsia" w:hAnsi="Calibri" w:cs="Calibri"/>
        </w:rPr>
        <w:t>(</w:t>
      </w:r>
      <w:r w:rsidR="00A062AA" w:rsidRPr="007271D7">
        <w:rPr>
          <w:rFonts w:ascii="Calibri" w:eastAsiaTheme="minorEastAsia" w:hAnsi="Calibri" w:cs="Calibri"/>
          <w:i/>
          <w:iCs/>
        </w:rPr>
        <w:t>n</w:t>
      </w:r>
      <w:r w:rsidR="00A062AA" w:rsidRPr="007271D7">
        <w:rPr>
          <w:rFonts w:ascii="Calibri" w:eastAsiaTheme="minorEastAsia" w:hAnsi="Calibri" w:cs="Calibri"/>
        </w:rPr>
        <w:t>=</w:t>
      </w:r>
      <w:r w:rsidR="00A062AA" w:rsidRPr="007271D7">
        <w:rPr>
          <w:rFonts w:ascii="Calibri" w:hAnsi="Calibri" w:cs="Calibri"/>
        </w:rPr>
        <w:t>1268)</w:t>
      </w:r>
      <w:r w:rsidR="001E0465" w:rsidRPr="007271D7">
        <w:rPr>
          <w:rFonts w:ascii="Calibri" w:eastAsiaTheme="minorEastAsia" w:hAnsi="Calibri" w:cs="Calibri"/>
        </w:rPr>
        <w:t>, who</w:t>
      </w:r>
      <w:r w:rsidR="00C84F5A" w:rsidRPr="007271D7">
        <w:rPr>
          <w:rFonts w:ascii="Calibri" w:eastAsiaTheme="minorEastAsia" w:hAnsi="Calibri" w:cs="Calibri"/>
        </w:rPr>
        <w:t xml:space="preserve"> were </w:t>
      </w:r>
      <w:r w:rsidR="001E0465" w:rsidRPr="007271D7">
        <w:rPr>
          <w:rFonts w:ascii="Calibri" w:eastAsiaTheme="minorEastAsia" w:hAnsi="Calibri" w:cs="Calibri"/>
        </w:rPr>
        <w:t xml:space="preserve">then </w:t>
      </w:r>
      <w:r w:rsidR="00C84F5A" w:rsidRPr="007271D7">
        <w:rPr>
          <w:rFonts w:ascii="Calibri" w:eastAsiaTheme="minorEastAsia" w:hAnsi="Calibri" w:cs="Calibri"/>
        </w:rPr>
        <w:t xml:space="preserve">classified </w:t>
      </w:r>
      <w:r w:rsidR="007C28EB" w:rsidRPr="007271D7">
        <w:rPr>
          <w:rFonts w:ascii="Calibri" w:eastAsiaTheme="minorEastAsia" w:hAnsi="Calibri" w:cs="Calibri"/>
        </w:rPr>
        <w:t xml:space="preserve">into </w:t>
      </w:r>
      <w:r w:rsidR="00491365" w:rsidRPr="007271D7">
        <w:rPr>
          <w:rFonts w:ascii="Calibri" w:eastAsiaTheme="minorEastAsia" w:hAnsi="Calibri" w:cs="Calibri"/>
        </w:rPr>
        <w:t xml:space="preserve">four </w:t>
      </w:r>
      <w:r w:rsidR="007C28EB" w:rsidRPr="007271D7">
        <w:rPr>
          <w:rFonts w:ascii="Calibri" w:eastAsiaTheme="minorEastAsia" w:hAnsi="Calibri" w:cs="Calibri"/>
        </w:rPr>
        <w:t>categories:</w:t>
      </w:r>
      <w:r w:rsidR="00491365" w:rsidRPr="007271D7">
        <w:rPr>
          <w:rFonts w:ascii="Calibri" w:eastAsiaTheme="minorEastAsia" w:hAnsi="Calibri" w:cs="Calibri"/>
        </w:rPr>
        <w:t xml:space="preserve"> </w:t>
      </w:r>
      <w:r w:rsidR="00491365" w:rsidRPr="007271D7">
        <w:rPr>
          <w:rFonts w:ascii="Calibri" w:eastAsiaTheme="minorEastAsia" w:hAnsi="Calibri" w:cs="Calibri"/>
        </w:rPr>
        <w:lastRenderedPageBreak/>
        <w:t>underweight (BMI&lt;18.5),</w:t>
      </w:r>
      <w:r w:rsidR="007C28EB" w:rsidRPr="007271D7">
        <w:rPr>
          <w:rFonts w:ascii="Calibri" w:eastAsiaTheme="minorEastAsia" w:hAnsi="Calibri" w:cs="Calibri"/>
        </w:rPr>
        <w:t xml:space="preserve"> normal (BMI 18.5-25), overweight</w:t>
      </w:r>
      <w:r w:rsidR="00C84F5A" w:rsidRPr="007271D7">
        <w:rPr>
          <w:rFonts w:ascii="Calibri" w:eastAsiaTheme="minorEastAsia" w:hAnsi="Calibri" w:cs="Calibri"/>
        </w:rPr>
        <w:t xml:space="preserve"> (BMI</w:t>
      </w:r>
      <w:r w:rsidR="007C28EB" w:rsidRPr="007271D7">
        <w:rPr>
          <w:rFonts w:ascii="Calibri" w:eastAsiaTheme="minorEastAsia" w:hAnsi="Calibri" w:cs="Calibri"/>
        </w:rPr>
        <w:t xml:space="preserve"> 25-30</w:t>
      </w:r>
      <w:r w:rsidR="00C84F5A" w:rsidRPr="007271D7">
        <w:rPr>
          <w:rFonts w:ascii="Calibri" w:eastAsiaTheme="minorEastAsia" w:hAnsi="Calibri" w:cs="Calibri"/>
        </w:rPr>
        <w:t xml:space="preserve">) </w:t>
      </w:r>
      <w:r w:rsidR="007C28EB" w:rsidRPr="007271D7">
        <w:rPr>
          <w:rFonts w:ascii="Calibri" w:eastAsiaTheme="minorEastAsia" w:hAnsi="Calibri" w:cs="Calibri"/>
        </w:rPr>
        <w:t xml:space="preserve">and obese (BMI </w:t>
      </w:r>
      <w:r w:rsidR="007C28EB" w:rsidRPr="007271D7">
        <w:rPr>
          <w:rFonts w:ascii="Calibri" w:eastAsiaTheme="minorEastAsia" w:hAnsi="Calibri" w:cs="Calibri"/>
        </w:rPr>
        <w:sym w:font="Symbol" w:char="F0B3"/>
      </w:r>
      <w:r w:rsidR="007C28EB" w:rsidRPr="007271D7">
        <w:rPr>
          <w:rFonts w:ascii="Calibri" w:eastAsiaTheme="minorEastAsia" w:hAnsi="Calibri" w:cs="Calibri"/>
        </w:rPr>
        <w:t xml:space="preserve">30). </w:t>
      </w:r>
      <w:r w:rsidR="00491365" w:rsidRPr="007271D7">
        <w:rPr>
          <w:rFonts w:ascii="Calibri" w:eastAsiaTheme="minorEastAsia" w:hAnsi="Calibri" w:cs="Calibri"/>
        </w:rPr>
        <w:t>A fifth category contained participants with missing BMI data (</w:t>
      </w:r>
      <w:r w:rsidR="00491365" w:rsidRPr="007271D7">
        <w:rPr>
          <w:rFonts w:ascii="Calibri" w:eastAsiaTheme="minorEastAsia" w:hAnsi="Calibri" w:cs="Calibri"/>
          <w:i/>
          <w:iCs/>
        </w:rPr>
        <w:t>n</w:t>
      </w:r>
      <w:r w:rsidR="00491365" w:rsidRPr="007271D7">
        <w:rPr>
          <w:rFonts w:ascii="Calibri" w:eastAsiaTheme="minorEastAsia" w:hAnsi="Calibri" w:cs="Calibri"/>
        </w:rPr>
        <w:t xml:space="preserve">=284). </w:t>
      </w:r>
    </w:p>
    <w:p w14:paraId="1DB7F429" w14:textId="47369A3D" w:rsidR="00B0773C" w:rsidRPr="007271D7" w:rsidRDefault="00B0773C" w:rsidP="002A0FEE">
      <w:pPr>
        <w:spacing w:line="480" w:lineRule="auto"/>
      </w:pPr>
    </w:p>
    <w:p w14:paraId="55E19B13" w14:textId="77777777" w:rsidR="00B0773C" w:rsidRPr="007271D7" w:rsidRDefault="00B0773C" w:rsidP="002A0FEE">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 xml:space="preserve">Statistical methods </w:t>
      </w:r>
    </w:p>
    <w:p w14:paraId="7B14793B" w14:textId="2654EDC0" w:rsidR="00B0773C" w:rsidRPr="007271D7" w:rsidRDefault="00B0773C" w:rsidP="002A0FEE">
      <w:pPr>
        <w:pStyle w:val="NormalWeb"/>
        <w:spacing w:before="0" w:beforeAutospacing="0" w:after="0" w:afterAutospacing="0" w:line="480" w:lineRule="auto"/>
        <w:textAlignment w:val="baseline"/>
        <w:rPr>
          <w:rFonts w:ascii="Calibri" w:eastAsiaTheme="minorEastAsia" w:hAnsi="Calibri" w:cs="Calibri"/>
        </w:rPr>
      </w:pPr>
      <w:r w:rsidRPr="007271D7">
        <w:rPr>
          <w:rFonts w:ascii="Calibri" w:eastAsiaTheme="minorEastAsia" w:hAnsi="Calibri" w:cs="Calibri"/>
        </w:rPr>
        <w:t xml:space="preserve">We calculated the number (%) of participants reporting exposure to </w:t>
      </w:r>
      <w:r w:rsidR="0029563E" w:rsidRPr="007271D7">
        <w:rPr>
          <w:rFonts w:ascii="Calibri" w:eastAsiaTheme="minorEastAsia" w:hAnsi="Calibri" w:cs="Calibri"/>
        </w:rPr>
        <w:t>less healthy food and drink</w:t>
      </w:r>
      <w:r w:rsidR="001E0465" w:rsidRPr="007271D7">
        <w:rPr>
          <w:rFonts w:ascii="Calibri" w:eastAsiaTheme="minorEastAsia" w:hAnsi="Calibri" w:cs="Calibri"/>
        </w:rPr>
        <w:t xml:space="preserve"> advertising</w:t>
      </w:r>
      <w:r w:rsidR="00E7036B" w:rsidRPr="007271D7">
        <w:rPr>
          <w:rFonts w:ascii="Calibri" w:eastAsiaTheme="minorEastAsia" w:hAnsi="Calibri" w:cs="Calibri"/>
        </w:rPr>
        <w:t xml:space="preserve"> (including digital food delivery services) </w:t>
      </w:r>
      <w:r w:rsidRPr="007271D7">
        <w:rPr>
          <w:rFonts w:ascii="Calibri" w:eastAsiaTheme="minorEastAsia" w:hAnsi="Calibri" w:cs="Calibri"/>
        </w:rPr>
        <w:t>in the past 7 days</w:t>
      </w:r>
      <w:r w:rsidR="00E7036B" w:rsidRPr="007271D7">
        <w:rPr>
          <w:rFonts w:ascii="Calibri" w:eastAsiaTheme="minorEastAsia" w:hAnsi="Calibri" w:cs="Calibri"/>
        </w:rPr>
        <w:t>,</w:t>
      </w:r>
      <w:r w:rsidR="000F5F12" w:rsidRPr="007271D7">
        <w:rPr>
          <w:rFonts w:ascii="Calibri" w:eastAsiaTheme="minorEastAsia" w:hAnsi="Calibri" w:cs="Calibri"/>
        </w:rPr>
        <w:t xml:space="preserve"> </w:t>
      </w:r>
      <w:r w:rsidRPr="007271D7">
        <w:rPr>
          <w:rFonts w:ascii="Calibri" w:eastAsiaTheme="minorEastAsia" w:hAnsi="Calibri" w:cs="Calibri"/>
        </w:rPr>
        <w:t>overall</w:t>
      </w:r>
      <w:r w:rsidR="00CF795A" w:rsidRPr="007271D7">
        <w:rPr>
          <w:rFonts w:ascii="Calibri" w:eastAsiaTheme="minorEastAsia" w:hAnsi="Calibri" w:cs="Calibri"/>
        </w:rPr>
        <w:t xml:space="preserve"> and stratified </w:t>
      </w:r>
      <w:r w:rsidRPr="007271D7">
        <w:rPr>
          <w:rFonts w:ascii="Calibri" w:eastAsiaTheme="minorEastAsia" w:hAnsi="Calibri" w:cs="Calibri"/>
        </w:rPr>
        <w:t>by product category</w:t>
      </w:r>
      <w:r w:rsidR="00785AD8" w:rsidRPr="007271D7">
        <w:rPr>
          <w:rFonts w:ascii="Calibri" w:eastAsiaTheme="minorEastAsia" w:hAnsi="Calibri" w:cs="Calibri"/>
        </w:rPr>
        <w:t xml:space="preserve"> and </w:t>
      </w:r>
      <w:r w:rsidR="00EE0909" w:rsidRPr="007271D7">
        <w:rPr>
          <w:rFonts w:ascii="Calibri" w:eastAsiaTheme="minorEastAsia" w:hAnsi="Calibri" w:cs="Calibri"/>
        </w:rPr>
        <w:t>advertising setting</w:t>
      </w:r>
      <w:r w:rsidRPr="007271D7">
        <w:rPr>
          <w:rFonts w:ascii="Calibri" w:eastAsiaTheme="minorEastAsia" w:hAnsi="Calibri" w:cs="Calibri"/>
        </w:rPr>
        <w:t xml:space="preserve">. Using logistic regression </w:t>
      </w:r>
      <w:proofErr w:type="gramStart"/>
      <w:r w:rsidRPr="007271D7">
        <w:rPr>
          <w:rFonts w:ascii="Calibri" w:eastAsiaTheme="minorEastAsia" w:hAnsi="Calibri" w:cs="Calibri"/>
        </w:rPr>
        <w:t>models</w:t>
      </w:r>
      <w:proofErr w:type="gramEnd"/>
      <w:r w:rsidRPr="007271D7">
        <w:rPr>
          <w:rFonts w:ascii="Calibri" w:eastAsiaTheme="minorEastAsia" w:hAnsi="Calibri" w:cs="Calibri"/>
        </w:rPr>
        <w:t xml:space="preserve"> we </w:t>
      </w:r>
      <w:r w:rsidR="00774502" w:rsidRPr="007271D7">
        <w:rPr>
          <w:rFonts w:ascii="Calibri" w:eastAsiaTheme="minorEastAsia" w:hAnsi="Calibri" w:cs="Calibri"/>
        </w:rPr>
        <w:t>estimated</w:t>
      </w:r>
      <w:r w:rsidRPr="007271D7">
        <w:rPr>
          <w:rFonts w:ascii="Calibri" w:eastAsiaTheme="minorEastAsia" w:hAnsi="Calibri" w:cs="Calibri"/>
        </w:rPr>
        <w:t xml:space="preserve"> odds ratios</w:t>
      </w:r>
      <w:r w:rsidR="00413D16" w:rsidRPr="007271D7">
        <w:rPr>
          <w:rFonts w:ascii="Calibri" w:eastAsiaTheme="minorEastAsia" w:hAnsi="Calibri" w:cs="Calibri"/>
        </w:rPr>
        <w:t>,</w:t>
      </w:r>
      <w:r w:rsidR="0008776B" w:rsidRPr="007271D7">
        <w:rPr>
          <w:rFonts w:ascii="Calibri" w:eastAsiaTheme="minorEastAsia" w:hAnsi="Calibri" w:cs="Calibri"/>
        </w:rPr>
        <w:t xml:space="preserve"> with</w:t>
      </w:r>
      <w:r w:rsidR="00413D16" w:rsidRPr="007271D7">
        <w:rPr>
          <w:rFonts w:ascii="Calibri" w:eastAsiaTheme="minorEastAsia" w:hAnsi="Calibri" w:cs="Calibri"/>
        </w:rPr>
        <w:t xml:space="preserve"> </w:t>
      </w:r>
      <w:r w:rsidRPr="007271D7">
        <w:rPr>
          <w:rFonts w:ascii="Calibri" w:eastAsiaTheme="minorEastAsia" w:hAnsi="Calibri" w:cs="Calibri"/>
        </w:rPr>
        <w:t>95% confidence intervals</w:t>
      </w:r>
      <w:r w:rsidR="00321CAD" w:rsidRPr="007271D7">
        <w:rPr>
          <w:rFonts w:ascii="Calibri" w:eastAsiaTheme="minorEastAsia" w:hAnsi="Calibri" w:cs="Calibri"/>
        </w:rPr>
        <w:t xml:space="preserve"> </w:t>
      </w:r>
      <w:r w:rsidR="0008776B" w:rsidRPr="007271D7">
        <w:rPr>
          <w:rFonts w:ascii="Calibri" w:eastAsiaTheme="minorEastAsia" w:hAnsi="Calibri" w:cs="Calibri"/>
        </w:rPr>
        <w:t>(</w:t>
      </w:r>
      <w:r w:rsidR="00321CAD" w:rsidRPr="007271D7">
        <w:rPr>
          <w:rFonts w:ascii="Calibri" w:eastAsiaTheme="minorEastAsia" w:hAnsi="Calibri" w:cs="Calibri"/>
        </w:rPr>
        <w:t>CIs</w:t>
      </w:r>
      <w:r w:rsidR="0008776B" w:rsidRPr="007271D7">
        <w:rPr>
          <w:rFonts w:ascii="Calibri" w:eastAsiaTheme="minorEastAsia" w:hAnsi="Calibri" w:cs="Calibri"/>
        </w:rPr>
        <w:t>),</w:t>
      </w:r>
      <w:r w:rsidRPr="007271D7">
        <w:rPr>
          <w:rFonts w:ascii="Calibri" w:eastAsiaTheme="minorEastAsia" w:hAnsi="Calibri" w:cs="Calibri"/>
        </w:rPr>
        <w:t xml:space="preserve"> </w:t>
      </w:r>
      <w:r w:rsidR="00CF795A" w:rsidRPr="007271D7">
        <w:rPr>
          <w:rFonts w:ascii="Calibri" w:eastAsiaTheme="minorEastAsia" w:hAnsi="Calibri" w:cs="Calibri"/>
        </w:rPr>
        <w:t>for the association between</w:t>
      </w:r>
      <w:r w:rsidR="001E0465" w:rsidRPr="007271D7">
        <w:rPr>
          <w:rFonts w:ascii="Calibri" w:eastAsiaTheme="minorEastAsia" w:hAnsi="Calibri" w:cs="Calibri"/>
        </w:rPr>
        <w:t xml:space="preserve"> sociodemographic characteristics and</w:t>
      </w:r>
      <w:r w:rsidRPr="007271D7">
        <w:rPr>
          <w:rFonts w:ascii="Calibri" w:eastAsiaTheme="minorEastAsia" w:hAnsi="Calibri" w:cs="Calibri"/>
        </w:rPr>
        <w:t xml:space="preserve"> advertising</w:t>
      </w:r>
      <w:r w:rsidR="00CF795A" w:rsidRPr="007271D7">
        <w:rPr>
          <w:rFonts w:ascii="Calibri" w:eastAsiaTheme="minorEastAsia" w:hAnsi="Calibri" w:cs="Calibri"/>
        </w:rPr>
        <w:t xml:space="preserve"> </w:t>
      </w:r>
      <w:r w:rsidR="001E0465" w:rsidRPr="007271D7">
        <w:rPr>
          <w:rFonts w:ascii="Calibri" w:eastAsiaTheme="minorEastAsia" w:hAnsi="Calibri" w:cs="Calibri"/>
        </w:rPr>
        <w:t>exposure</w:t>
      </w:r>
      <w:r w:rsidRPr="007271D7">
        <w:rPr>
          <w:rFonts w:ascii="Calibri" w:eastAsiaTheme="minorEastAsia" w:hAnsi="Calibri" w:cs="Calibri"/>
        </w:rPr>
        <w:t>.</w:t>
      </w:r>
      <w:r w:rsidR="00203BD3" w:rsidRPr="007271D7">
        <w:rPr>
          <w:rFonts w:ascii="Calibri" w:eastAsiaTheme="minorEastAsia" w:hAnsi="Calibri" w:cs="Calibri"/>
        </w:rPr>
        <w:t xml:space="preserve"> </w:t>
      </w:r>
      <w:r w:rsidR="008961B6" w:rsidRPr="007271D7">
        <w:rPr>
          <w:rFonts w:ascii="Calibri" w:eastAsiaTheme="minorEastAsia" w:hAnsi="Calibri" w:cs="Calibri"/>
        </w:rPr>
        <w:t>As advertising exposure may be influenced by social and environmental factors, ind</w:t>
      </w:r>
      <w:r w:rsidR="00FA6B8A" w:rsidRPr="007271D7">
        <w:rPr>
          <w:rFonts w:ascii="Calibri" w:eastAsiaTheme="minorEastAsia" w:hAnsi="Calibri" w:cs="Calibri"/>
        </w:rPr>
        <w:t>ependently</w:t>
      </w:r>
      <w:r w:rsidR="008961B6" w:rsidRPr="007271D7">
        <w:rPr>
          <w:rFonts w:ascii="Calibri" w:eastAsiaTheme="minorEastAsia" w:hAnsi="Calibri" w:cs="Calibri"/>
        </w:rPr>
        <w:t xml:space="preserve"> or in combination, we </w:t>
      </w:r>
      <w:r w:rsidRPr="007271D7">
        <w:rPr>
          <w:rFonts w:ascii="Calibri" w:eastAsiaTheme="minorEastAsia" w:hAnsi="Calibri" w:cs="Calibri"/>
        </w:rPr>
        <w:t>tested for interactions between sociodemographic characteristics and region</w:t>
      </w:r>
      <w:r w:rsidR="007C39EB" w:rsidRPr="007271D7">
        <w:rPr>
          <w:rFonts w:ascii="Calibri" w:eastAsiaTheme="minorEastAsia" w:hAnsi="Calibri" w:cs="Calibri"/>
        </w:rPr>
        <w:t xml:space="preserve"> (London or the North of England)</w:t>
      </w:r>
      <w:r w:rsidR="001E0465" w:rsidRPr="007271D7">
        <w:rPr>
          <w:rFonts w:ascii="Calibri" w:eastAsiaTheme="minorEastAsia" w:hAnsi="Calibri" w:cs="Calibri"/>
        </w:rPr>
        <w:t>.</w:t>
      </w:r>
      <w:r w:rsidRPr="007271D7">
        <w:rPr>
          <w:rFonts w:ascii="Calibri" w:eastAsiaTheme="minorEastAsia" w:hAnsi="Calibri" w:cs="Calibri"/>
        </w:rPr>
        <w:t xml:space="preserve"> </w:t>
      </w:r>
      <w:r w:rsidR="00E85DF0" w:rsidRPr="007271D7">
        <w:rPr>
          <w:rFonts w:ascii="Calibri" w:eastAsiaTheme="minorEastAsia" w:hAnsi="Calibri" w:cs="Calibri"/>
        </w:rPr>
        <w:t>Separate models were used to look at overall advertising exposure, advertising exposure stratified by product category, exposure to advertising for digital food delivery services and exposure</w:t>
      </w:r>
      <w:r w:rsidR="00152288" w:rsidRPr="007271D7">
        <w:rPr>
          <w:rFonts w:ascii="Calibri" w:eastAsiaTheme="minorEastAsia" w:hAnsi="Calibri" w:cs="Calibri"/>
        </w:rPr>
        <w:t xml:space="preserve"> stratified</w:t>
      </w:r>
      <w:r w:rsidR="00E85DF0" w:rsidRPr="007271D7">
        <w:rPr>
          <w:rFonts w:ascii="Calibri" w:eastAsiaTheme="minorEastAsia" w:hAnsi="Calibri" w:cs="Calibri"/>
        </w:rPr>
        <w:t xml:space="preserve"> by advertising setting. </w:t>
      </w:r>
      <w:r w:rsidR="00203BD3" w:rsidRPr="007271D7">
        <w:rPr>
          <w:rFonts w:ascii="Calibri" w:eastAsiaTheme="minorEastAsia" w:hAnsi="Calibri" w:cs="Calibri"/>
        </w:rPr>
        <w:t xml:space="preserve">We </w:t>
      </w:r>
      <w:r w:rsidR="00E85DF0" w:rsidRPr="007271D7">
        <w:rPr>
          <w:rFonts w:ascii="Calibri" w:eastAsiaTheme="minorEastAsia" w:hAnsi="Calibri" w:cs="Calibri"/>
        </w:rPr>
        <w:t xml:space="preserve">also </w:t>
      </w:r>
      <w:r w:rsidR="00203BD3" w:rsidRPr="007271D7">
        <w:rPr>
          <w:rFonts w:ascii="Calibri" w:eastAsiaTheme="minorEastAsia" w:hAnsi="Calibri" w:cs="Calibri"/>
        </w:rPr>
        <w:t xml:space="preserve">used logistic regression models to investigate the association between </w:t>
      </w:r>
      <w:r w:rsidR="000276D8" w:rsidRPr="007271D7">
        <w:rPr>
          <w:rFonts w:ascii="Calibri" w:eastAsiaTheme="minorEastAsia" w:hAnsi="Calibri" w:cs="Calibri"/>
        </w:rPr>
        <w:t xml:space="preserve">self-reported </w:t>
      </w:r>
      <w:r w:rsidR="00203BD3" w:rsidRPr="007271D7">
        <w:rPr>
          <w:rFonts w:ascii="Calibri" w:eastAsiaTheme="minorEastAsia" w:hAnsi="Calibri" w:cs="Calibri"/>
        </w:rPr>
        <w:t>advertising exposure and odds of</w:t>
      </w:r>
      <w:r w:rsidR="00ED37E0" w:rsidRPr="007271D7">
        <w:rPr>
          <w:rFonts w:ascii="Calibri" w:eastAsiaTheme="minorEastAsia" w:hAnsi="Calibri" w:cs="Calibri"/>
        </w:rPr>
        <w:t xml:space="preserve"> </w:t>
      </w:r>
      <w:r w:rsidR="00921AF8" w:rsidRPr="007271D7">
        <w:rPr>
          <w:rFonts w:ascii="Calibri" w:eastAsiaTheme="minorEastAsia" w:hAnsi="Calibri" w:cs="Calibri"/>
        </w:rPr>
        <w:t xml:space="preserve">living with </w:t>
      </w:r>
      <w:r w:rsidR="00203BD3" w:rsidRPr="007271D7">
        <w:rPr>
          <w:rFonts w:ascii="Calibri" w:eastAsiaTheme="minorEastAsia" w:hAnsi="Calibri" w:cs="Calibri"/>
        </w:rPr>
        <w:t>overweight</w:t>
      </w:r>
      <w:r w:rsidR="00921AF8" w:rsidRPr="007271D7">
        <w:rPr>
          <w:rFonts w:ascii="Calibri" w:eastAsiaTheme="minorEastAsia" w:hAnsi="Calibri" w:cs="Calibri"/>
        </w:rPr>
        <w:t xml:space="preserve"> or obesity</w:t>
      </w:r>
      <w:r w:rsidR="00203BD3" w:rsidRPr="007271D7">
        <w:rPr>
          <w:rFonts w:ascii="Calibri" w:eastAsiaTheme="minorEastAsia" w:hAnsi="Calibri" w:cs="Calibri"/>
        </w:rPr>
        <w:t>. All regression models were mutually adjusted for sex, age group, soci</w:t>
      </w:r>
      <w:r w:rsidR="003F721E" w:rsidRPr="007271D7">
        <w:rPr>
          <w:rFonts w:ascii="Calibri" w:hAnsi="Calibri" w:cs="Calibri"/>
        </w:rPr>
        <w:t>oeconomic position</w:t>
      </w:r>
      <w:r w:rsidR="00203BD3" w:rsidRPr="007271D7">
        <w:rPr>
          <w:rFonts w:ascii="Calibri" w:eastAsiaTheme="minorEastAsia" w:hAnsi="Calibri" w:cs="Calibri"/>
        </w:rPr>
        <w:t>, children in the household</w:t>
      </w:r>
      <w:r w:rsidR="001164DF" w:rsidRPr="007271D7">
        <w:rPr>
          <w:rFonts w:ascii="Calibri" w:eastAsiaTheme="minorEastAsia" w:hAnsi="Calibri" w:cs="Calibri"/>
        </w:rPr>
        <w:t xml:space="preserve">, </w:t>
      </w:r>
      <w:r w:rsidR="00203BD3" w:rsidRPr="007271D7">
        <w:rPr>
          <w:rFonts w:ascii="Calibri" w:eastAsiaTheme="minorEastAsia" w:hAnsi="Calibri" w:cs="Calibri"/>
        </w:rPr>
        <w:t>working status</w:t>
      </w:r>
      <w:r w:rsidR="001164DF" w:rsidRPr="007271D7">
        <w:rPr>
          <w:rFonts w:ascii="Calibri" w:eastAsiaTheme="minorEastAsia" w:hAnsi="Calibri" w:cs="Calibri"/>
        </w:rPr>
        <w:t xml:space="preserve"> and region</w:t>
      </w:r>
      <w:r w:rsidR="00203BD3" w:rsidRPr="007271D7">
        <w:rPr>
          <w:rFonts w:ascii="Calibri" w:eastAsiaTheme="minorEastAsia" w:hAnsi="Calibri" w:cs="Calibri"/>
        </w:rPr>
        <w:t>. A</w:t>
      </w:r>
      <w:r w:rsidR="00ED37E0" w:rsidRPr="007271D7">
        <w:rPr>
          <w:rFonts w:ascii="Calibri" w:eastAsiaTheme="minorEastAsia" w:hAnsi="Calibri" w:cs="Calibri"/>
        </w:rPr>
        <w:t>ll a</w:t>
      </w:r>
      <w:r w:rsidR="00203BD3" w:rsidRPr="007271D7">
        <w:rPr>
          <w:rFonts w:ascii="Calibri" w:eastAsiaTheme="minorEastAsia" w:hAnsi="Calibri" w:cs="Calibri"/>
        </w:rPr>
        <w:t>nalyses were conducted in Stata IC version 16</w:t>
      </w:r>
      <w:r w:rsidR="00AF507D" w:rsidRPr="007271D7">
        <w:rPr>
          <w:rFonts w:ascii="Calibri" w:eastAsiaTheme="minorEastAsia" w:hAnsi="Calibri" w:cs="Calibri"/>
        </w:rPr>
        <w:t xml:space="preserve"> and </w:t>
      </w:r>
      <w:r w:rsidR="001E0465" w:rsidRPr="007271D7">
        <w:rPr>
          <w:rFonts w:ascii="Calibri" w:eastAsiaTheme="minorEastAsia" w:hAnsi="Calibri" w:cs="Calibri"/>
        </w:rPr>
        <w:t xml:space="preserve">completed in </w:t>
      </w:r>
      <w:r w:rsidR="00AF507D" w:rsidRPr="007271D7">
        <w:rPr>
          <w:rFonts w:ascii="Calibri" w:eastAsiaTheme="minorEastAsia" w:hAnsi="Calibri" w:cs="Calibri"/>
        </w:rPr>
        <w:t>September 2020.</w:t>
      </w:r>
      <w:r w:rsidR="00203BD3" w:rsidRPr="007271D7">
        <w:rPr>
          <w:rFonts w:ascii="Calibri" w:eastAsiaTheme="minorEastAsia" w:hAnsi="Calibri" w:cs="Calibri"/>
        </w:rPr>
        <w:t xml:space="preserve"> </w:t>
      </w:r>
    </w:p>
    <w:p w14:paraId="3BF87083" w14:textId="24546D44" w:rsidR="00CF301B" w:rsidRPr="007271D7" w:rsidRDefault="00CF301B" w:rsidP="002A0FEE">
      <w:pPr>
        <w:pStyle w:val="NormalWeb"/>
        <w:spacing w:before="0" w:beforeAutospacing="0" w:after="0" w:afterAutospacing="0" w:line="480" w:lineRule="auto"/>
        <w:textAlignment w:val="baseline"/>
        <w:rPr>
          <w:rFonts w:ascii="Calibri" w:eastAsiaTheme="minorEastAsia" w:hAnsi="Calibri" w:cs="Calibri"/>
          <w:b/>
          <w:bCs/>
        </w:rPr>
      </w:pPr>
    </w:p>
    <w:p w14:paraId="55F09993" w14:textId="3A8A039B" w:rsidR="002A38D0" w:rsidRPr="007271D7" w:rsidRDefault="002A38D0" w:rsidP="002A0FEE">
      <w:pPr>
        <w:pStyle w:val="NormalWeb"/>
        <w:spacing w:before="0" w:beforeAutospacing="0" w:after="0" w:afterAutospacing="0" w:line="480" w:lineRule="auto"/>
        <w:textAlignment w:val="baseline"/>
        <w:rPr>
          <w:rFonts w:ascii="Calibri" w:eastAsiaTheme="minorEastAsia" w:hAnsi="Calibri" w:cs="Calibri"/>
          <w:b/>
          <w:bCs/>
        </w:rPr>
      </w:pPr>
      <w:r w:rsidRPr="007271D7">
        <w:rPr>
          <w:rFonts w:ascii="Calibri" w:eastAsiaTheme="minorEastAsia" w:hAnsi="Calibri" w:cs="Calibri"/>
          <w:b/>
          <w:bCs/>
        </w:rPr>
        <w:t xml:space="preserve">Patient and public involvement </w:t>
      </w:r>
    </w:p>
    <w:p w14:paraId="55FE447C" w14:textId="12701252" w:rsidR="002A38D0" w:rsidRPr="007271D7" w:rsidRDefault="002A38D0" w:rsidP="002A0FEE">
      <w:pPr>
        <w:pStyle w:val="NormalWeb"/>
        <w:spacing w:before="0" w:beforeAutospacing="0" w:after="0" w:afterAutospacing="0" w:line="480" w:lineRule="auto"/>
        <w:textAlignment w:val="baseline"/>
        <w:rPr>
          <w:rFonts w:ascii="Calibri" w:eastAsiaTheme="minorEastAsia" w:hAnsi="Calibri" w:cs="Calibri"/>
        </w:rPr>
      </w:pPr>
      <w:r w:rsidRPr="007271D7">
        <w:rPr>
          <w:rFonts w:ascii="Calibri" w:eastAsiaTheme="minorEastAsia" w:hAnsi="Calibri" w:cs="Calibri"/>
        </w:rPr>
        <w:t xml:space="preserve">Patients and the public were not involved in the design, or conduct, or reporting, or dissemination plans of our research. </w:t>
      </w:r>
    </w:p>
    <w:p w14:paraId="118081D0" w14:textId="77777777" w:rsidR="002A38D0" w:rsidRPr="007271D7" w:rsidRDefault="002A38D0" w:rsidP="002A0FEE">
      <w:pPr>
        <w:pStyle w:val="NormalWeb"/>
        <w:spacing w:before="0" w:beforeAutospacing="0" w:after="0" w:afterAutospacing="0" w:line="480" w:lineRule="auto"/>
        <w:textAlignment w:val="baseline"/>
        <w:rPr>
          <w:rFonts w:ascii="Calibri" w:eastAsiaTheme="minorEastAsia" w:hAnsi="Calibri" w:cs="Calibri"/>
          <w:b/>
          <w:bCs/>
        </w:rPr>
      </w:pPr>
    </w:p>
    <w:p w14:paraId="25248FC7" w14:textId="3178BE22" w:rsidR="006B3E77" w:rsidRPr="007271D7" w:rsidRDefault="006B3E77" w:rsidP="002A0FEE">
      <w:pPr>
        <w:spacing w:line="480" w:lineRule="auto"/>
        <w:rPr>
          <w:b/>
          <w:bCs/>
        </w:rPr>
      </w:pPr>
      <w:r w:rsidRPr="007271D7">
        <w:rPr>
          <w:b/>
          <w:bCs/>
        </w:rPr>
        <w:t>RESULTS</w:t>
      </w:r>
    </w:p>
    <w:p w14:paraId="502EC720" w14:textId="4F49829B" w:rsidR="00E64098" w:rsidRPr="007271D7" w:rsidRDefault="00E64098" w:rsidP="002A0FEE">
      <w:pPr>
        <w:spacing w:line="480" w:lineRule="auto"/>
      </w:pPr>
      <w:r w:rsidRPr="007271D7">
        <w:lastRenderedPageBreak/>
        <w:t>Overall, 1552 participants were included in this study</w:t>
      </w:r>
      <w:r w:rsidR="00DD084E" w:rsidRPr="007271D7">
        <w:t xml:space="preserve"> (</w:t>
      </w:r>
      <w:r w:rsidR="00DD084E" w:rsidRPr="007271D7">
        <w:rPr>
          <w:b/>
          <w:bCs/>
        </w:rPr>
        <w:t>Table 1</w:t>
      </w:r>
      <w:r w:rsidR="00DD084E" w:rsidRPr="007271D7">
        <w:t>)</w:t>
      </w:r>
      <w:r w:rsidR="00083F0F" w:rsidRPr="007271D7">
        <w:t xml:space="preserve"> with 45.4% of participants living in London and 54.6% in the North of England</w:t>
      </w:r>
      <w:r w:rsidRPr="007271D7">
        <w:t xml:space="preserve">. </w:t>
      </w:r>
      <w:r w:rsidR="00014561" w:rsidRPr="007271D7">
        <w:t xml:space="preserve">The majority of </w:t>
      </w:r>
      <w:r w:rsidRPr="007271D7">
        <w:t>participants were female (71.6%)</w:t>
      </w:r>
      <w:r w:rsidR="00912306" w:rsidRPr="007271D7">
        <w:t>,</w:t>
      </w:r>
      <w:r w:rsidR="00A8214C" w:rsidRPr="007271D7">
        <w:t xml:space="preserve"> </w:t>
      </w:r>
      <w:r w:rsidR="001E0465" w:rsidRPr="007271D7">
        <w:t xml:space="preserve">in </w:t>
      </w:r>
      <w:r w:rsidR="00152288" w:rsidRPr="007271D7">
        <w:t xml:space="preserve">the </w:t>
      </w:r>
      <w:r w:rsidR="00321CAD" w:rsidRPr="007271D7">
        <w:t xml:space="preserve">middle </w:t>
      </w:r>
      <w:r w:rsidR="001E0465" w:rsidRPr="007271D7">
        <w:t>soci</w:t>
      </w:r>
      <w:r w:rsidR="007C39EB" w:rsidRPr="007271D7">
        <w:t>oeconomic</w:t>
      </w:r>
      <w:r w:rsidR="001E0465" w:rsidRPr="007271D7">
        <w:t xml:space="preserve"> </w:t>
      </w:r>
      <w:r w:rsidR="00321CAD" w:rsidRPr="007271D7">
        <w:t>group (</w:t>
      </w:r>
      <w:r w:rsidR="001E0465" w:rsidRPr="007271D7">
        <w:t>C1C2</w:t>
      </w:r>
      <w:r w:rsidR="00321CAD" w:rsidRPr="007271D7">
        <w:t>)</w:t>
      </w:r>
      <w:r w:rsidR="001E0465" w:rsidRPr="007271D7">
        <w:t xml:space="preserve"> </w:t>
      </w:r>
      <w:r w:rsidR="002F6CD3" w:rsidRPr="007271D7">
        <w:t>(59.7%)</w:t>
      </w:r>
      <w:r w:rsidR="00FE13CD" w:rsidRPr="007271D7">
        <w:t>,</w:t>
      </w:r>
      <w:r w:rsidR="00785AD8" w:rsidRPr="007271D7">
        <w:t xml:space="preserve"> </w:t>
      </w:r>
      <w:r w:rsidR="00321CAD" w:rsidRPr="007271D7">
        <w:t xml:space="preserve">had </w:t>
      </w:r>
      <w:r w:rsidR="00083F0F" w:rsidRPr="007271D7">
        <w:t xml:space="preserve">no </w:t>
      </w:r>
      <w:r w:rsidR="002F6CD3" w:rsidRPr="007271D7">
        <w:t>children</w:t>
      </w:r>
      <w:r w:rsidR="00083F0F" w:rsidRPr="007271D7">
        <w:t xml:space="preserve"> &lt;16</w:t>
      </w:r>
      <w:r w:rsidR="00321CAD" w:rsidRPr="007271D7">
        <w:t xml:space="preserve"> years</w:t>
      </w:r>
      <w:r w:rsidR="002F6CD3" w:rsidRPr="007271D7">
        <w:t xml:space="preserve"> in the household (71.5%)</w:t>
      </w:r>
      <w:r w:rsidR="00FE13CD" w:rsidRPr="007271D7">
        <w:t xml:space="preserve"> and </w:t>
      </w:r>
      <w:r w:rsidR="002F6CD3" w:rsidRPr="007271D7">
        <w:t xml:space="preserve">were </w:t>
      </w:r>
      <w:r w:rsidR="00083F0F" w:rsidRPr="007271D7">
        <w:t>in work</w:t>
      </w:r>
      <w:r w:rsidR="002F6CD3" w:rsidRPr="007271D7">
        <w:t xml:space="preserve"> (64.1%)</w:t>
      </w:r>
      <w:r w:rsidR="00FE13CD" w:rsidRPr="007271D7">
        <w:t>.</w:t>
      </w:r>
    </w:p>
    <w:p w14:paraId="4633EC53" w14:textId="77777777" w:rsidR="00107806" w:rsidRPr="007271D7" w:rsidRDefault="00107806" w:rsidP="002A0FEE">
      <w:pPr>
        <w:spacing w:line="480" w:lineRule="auto"/>
      </w:pPr>
    </w:p>
    <w:p w14:paraId="14DA97D0" w14:textId="7F9D4FA7" w:rsidR="00E64098" w:rsidRPr="007271D7" w:rsidRDefault="00E64098" w:rsidP="002A0FEE">
      <w:pPr>
        <w:spacing w:line="480" w:lineRule="auto"/>
        <w:rPr>
          <w:b/>
          <w:bCs/>
        </w:rPr>
      </w:pPr>
      <w:r w:rsidRPr="007271D7">
        <w:rPr>
          <w:b/>
          <w:bCs/>
        </w:rPr>
        <w:t xml:space="preserve">Self-reported exposure </w:t>
      </w:r>
      <w:r w:rsidR="001352EF" w:rsidRPr="007271D7">
        <w:rPr>
          <w:b/>
          <w:bCs/>
        </w:rPr>
        <w:t xml:space="preserve">to </w:t>
      </w:r>
      <w:r w:rsidRPr="007271D7">
        <w:rPr>
          <w:b/>
          <w:bCs/>
        </w:rPr>
        <w:t xml:space="preserve">advertising </w:t>
      </w:r>
    </w:p>
    <w:p w14:paraId="5FF15D28" w14:textId="4EE44FD6" w:rsidR="007D6C3D" w:rsidRPr="007271D7" w:rsidRDefault="00E85DF0" w:rsidP="002A0FEE">
      <w:pPr>
        <w:spacing w:line="480" w:lineRule="auto"/>
        <w:rPr>
          <w:rFonts w:ascii="Calibri" w:hAnsi="Calibri" w:cs="Calibri"/>
        </w:rPr>
      </w:pPr>
      <w:r w:rsidRPr="007271D7">
        <w:rPr>
          <w:rFonts w:ascii="Calibri" w:hAnsi="Calibri" w:cs="Calibri"/>
        </w:rPr>
        <w:t>Overall,</w:t>
      </w:r>
      <w:r w:rsidR="00E64098" w:rsidRPr="007271D7">
        <w:rPr>
          <w:rFonts w:ascii="Calibri" w:hAnsi="Calibri" w:cs="Calibri"/>
        </w:rPr>
        <w:t xml:space="preserve"> 8</w:t>
      </w:r>
      <w:r w:rsidRPr="007271D7">
        <w:rPr>
          <w:rFonts w:ascii="Calibri" w:hAnsi="Calibri" w:cs="Calibri"/>
        </w:rPr>
        <w:t>4.7</w:t>
      </w:r>
      <w:r w:rsidR="00E64098" w:rsidRPr="007271D7">
        <w:rPr>
          <w:rFonts w:ascii="Calibri" w:hAnsi="Calibri" w:cs="Calibri"/>
        </w:rPr>
        <w:t>% of participants reported seeing</w:t>
      </w:r>
      <w:r w:rsidR="0051212A" w:rsidRPr="007271D7">
        <w:rPr>
          <w:rFonts w:ascii="Calibri" w:hAnsi="Calibri" w:cs="Calibri"/>
        </w:rPr>
        <w:t xml:space="preserve"> or </w:t>
      </w:r>
      <w:r w:rsidR="00E64098" w:rsidRPr="007271D7">
        <w:rPr>
          <w:rFonts w:ascii="Calibri" w:hAnsi="Calibri" w:cs="Calibri"/>
        </w:rPr>
        <w:t>hearing</w:t>
      </w:r>
      <w:r w:rsidR="0095491E" w:rsidRPr="007271D7">
        <w:rPr>
          <w:rFonts w:ascii="Calibri" w:hAnsi="Calibri" w:cs="Calibri"/>
        </w:rPr>
        <w:t xml:space="preserve"> </w:t>
      </w:r>
      <w:r w:rsidR="00E64098" w:rsidRPr="007271D7">
        <w:rPr>
          <w:rFonts w:ascii="Calibri" w:hAnsi="Calibri" w:cs="Calibri"/>
        </w:rPr>
        <w:t>advertising</w:t>
      </w:r>
      <w:r w:rsidR="001352EF" w:rsidRPr="007271D7">
        <w:rPr>
          <w:rFonts w:ascii="Calibri" w:hAnsi="Calibri" w:cs="Calibri"/>
        </w:rPr>
        <w:t xml:space="preserve"> for less healthy foods and drinks </w:t>
      </w:r>
      <w:r w:rsidR="00F16799" w:rsidRPr="007271D7">
        <w:rPr>
          <w:rFonts w:ascii="Calibri" w:hAnsi="Calibri" w:cs="Calibri"/>
        </w:rPr>
        <w:t>and/</w:t>
      </w:r>
      <w:r w:rsidR="001352EF" w:rsidRPr="007271D7">
        <w:rPr>
          <w:rFonts w:ascii="Calibri" w:hAnsi="Calibri" w:cs="Calibri"/>
        </w:rPr>
        <w:t xml:space="preserve">or </w:t>
      </w:r>
      <w:r w:rsidR="004B0CBB" w:rsidRPr="007271D7">
        <w:rPr>
          <w:rFonts w:ascii="Calibri" w:hAnsi="Calibri" w:cs="Calibri"/>
        </w:rPr>
        <w:t xml:space="preserve">digital </w:t>
      </w:r>
      <w:r w:rsidR="00083F0F" w:rsidRPr="007271D7">
        <w:rPr>
          <w:rFonts w:ascii="Calibri" w:hAnsi="Calibri" w:cs="Calibri"/>
        </w:rPr>
        <w:t xml:space="preserve">food </w:t>
      </w:r>
      <w:r w:rsidR="001352EF" w:rsidRPr="007271D7">
        <w:rPr>
          <w:rFonts w:ascii="Calibri" w:hAnsi="Calibri" w:cs="Calibri"/>
        </w:rPr>
        <w:t xml:space="preserve">delivery </w:t>
      </w:r>
      <w:r w:rsidR="00083F0F" w:rsidRPr="007271D7">
        <w:rPr>
          <w:rFonts w:ascii="Calibri" w:hAnsi="Calibri" w:cs="Calibri"/>
        </w:rPr>
        <w:t>services</w:t>
      </w:r>
      <w:r w:rsidR="00E64098" w:rsidRPr="007271D7">
        <w:rPr>
          <w:rFonts w:ascii="Calibri" w:hAnsi="Calibri" w:cs="Calibri"/>
        </w:rPr>
        <w:t xml:space="preserve"> in the past 7 days</w:t>
      </w:r>
      <w:r w:rsidR="00E80E25" w:rsidRPr="007271D7">
        <w:rPr>
          <w:rFonts w:ascii="Calibri" w:hAnsi="Calibri" w:cs="Calibri"/>
        </w:rPr>
        <w:t xml:space="preserve"> (see </w:t>
      </w:r>
      <w:r w:rsidR="00E80E25" w:rsidRPr="007271D7">
        <w:rPr>
          <w:rFonts w:ascii="Calibri" w:hAnsi="Calibri" w:cs="Calibri"/>
          <w:b/>
          <w:bCs/>
        </w:rPr>
        <w:t xml:space="preserve">Supplementary Table </w:t>
      </w:r>
      <w:r w:rsidR="00997F89" w:rsidRPr="007271D7">
        <w:rPr>
          <w:rFonts w:ascii="Calibri" w:hAnsi="Calibri" w:cs="Calibri"/>
          <w:b/>
          <w:bCs/>
        </w:rPr>
        <w:t>S</w:t>
      </w:r>
      <w:r w:rsidR="008D7527" w:rsidRPr="007271D7">
        <w:rPr>
          <w:rFonts w:ascii="Calibri" w:hAnsi="Calibri" w:cs="Calibri"/>
          <w:b/>
          <w:bCs/>
        </w:rPr>
        <w:t>2</w:t>
      </w:r>
      <w:r w:rsidR="00E80E25" w:rsidRPr="007271D7">
        <w:rPr>
          <w:rFonts w:ascii="Calibri" w:hAnsi="Calibri" w:cs="Calibri"/>
        </w:rPr>
        <w:t>)</w:t>
      </w:r>
      <w:r w:rsidR="00E64098" w:rsidRPr="007271D7">
        <w:rPr>
          <w:rFonts w:ascii="Calibri" w:hAnsi="Calibri" w:cs="Calibri"/>
        </w:rPr>
        <w:t>.</w:t>
      </w:r>
      <w:r w:rsidR="00E80E25" w:rsidRPr="007271D7">
        <w:rPr>
          <w:rFonts w:ascii="Calibri" w:hAnsi="Calibri" w:cs="Calibri"/>
          <w:b/>
          <w:bCs/>
        </w:rPr>
        <w:t xml:space="preserve"> </w:t>
      </w:r>
      <w:r w:rsidR="00E64098" w:rsidRPr="007271D7">
        <w:rPr>
          <w:rFonts w:ascii="Calibri" w:hAnsi="Calibri" w:cs="Calibri"/>
        </w:rPr>
        <w:t>The proportion of participants reporting exposure to advertising differed according to product category</w:t>
      </w:r>
      <w:r w:rsidR="002F6CD3" w:rsidRPr="007271D7">
        <w:rPr>
          <w:rFonts w:ascii="Calibri" w:hAnsi="Calibri" w:cs="Calibri"/>
        </w:rPr>
        <w:t>:</w:t>
      </w:r>
      <w:r w:rsidR="00E64098" w:rsidRPr="007271D7">
        <w:rPr>
          <w:rFonts w:ascii="Calibri" w:hAnsi="Calibri" w:cs="Calibri"/>
        </w:rPr>
        <w:t xml:space="preserve"> 68</w:t>
      </w:r>
      <w:r w:rsidR="00793884" w:rsidRPr="007271D7">
        <w:rPr>
          <w:rFonts w:ascii="Calibri" w:hAnsi="Calibri" w:cs="Calibri"/>
        </w:rPr>
        <w:t>.2</w:t>
      </w:r>
      <w:r w:rsidR="00E64098" w:rsidRPr="007271D7">
        <w:rPr>
          <w:rFonts w:ascii="Calibri" w:hAnsi="Calibri" w:cs="Calibri"/>
        </w:rPr>
        <w:t>% for processed HFSS food</w:t>
      </w:r>
      <w:r w:rsidR="00850B0B" w:rsidRPr="007271D7">
        <w:rPr>
          <w:rFonts w:ascii="Calibri" w:hAnsi="Calibri" w:cs="Calibri"/>
        </w:rPr>
        <w:t>s</w:t>
      </w:r>
      <w:r w:rsidR="00E64098" w:rsidRPr="007271D7">
        <w:rPr>
          <w:rFonts w:ascii="Calibri" w:hAnsi="Calibri" w:cs="Calibri"/>
        </w:rPr>
        <w:t>, 52</w:t>
      </w:r>
      <w:r w:rsidR="00793884" w:rsidRPr="007271D7">
        <w:rPr>
          <w:rFonts w:ascii="Calibri" w:hAnsi="Calibri" w:cs="Calibri"/>
        </w:rPr>
        <w:t>.4</w:t>
      </w:r>
      <w:r w:rsidR="00E64098" w:rsidRPr="007271D7">
        <w:rPr>
          <w:rFonts w:ascii="Calibri" w:hAnsi="Calibri" w:cs="Calibri"/>
        </w:rPr>
        <w:t>% for sugary drinks, 42</w:t>
      </w:r>
      <w:r w:rsidR="00793884" w:rsidRPr="007271D7">
        <w:rPr>
          <w:rFonts w:ascii="Calibri" w:hAnsi="Calibri" w:cs="Calibri"/>
        </w:rPr>
        <w:t>.1</w:t>
      </w:r>
      <w:r w:rsidR="00E64098" w:rsidRPr="007271D7">
        <w:rPr>
          <w:rFonts w:ascii="Calibri" w:hAnsi="Calibri" w:cs="Calibri"/>
        </w:rPr>
        <w:t>% for sugary cereals, 55</w:t>
      </w:r>
      <w:r w:rsidR="00793884" w:rsidRPr="007271D7">
        <w:rPr>
          <w:rFonts w:ascii="Calibri" w:hAnsi="Calibri" w:cs="Calibri"/>
        </w:rPr>
        <w:t>.0</w:t>
      </w:r>
      <w:r w:rsidR="00E64098" w:rsidRPr="007271D7">
        <w:rPr>
          <w:rFonts w:ascii="Calibri" w:hAnsi="Calibri" w:cs="Calibri"/>
        </w:rPr>
        <w:t>% for sweet snacks, 71</w:t>
      </w:r>
      <w:r w:rsidR="00793884" w:rsidRPr="007271D7">
        <w:rPr>
          <w:rFonts w:ascii="Calibri" w:hAnsi="Calibri" w:cs="Calibri"/>
        </w:rPr>
        <w:t>.3</w:t>
      </w:r>
      <w:r w:rsidR="00E64098" w:rsidRPr="007271D7">
        <w:rPr>
          <w:rFonts w:ascii="Calibri" w:hAnsi="Calibri" w:cs="Calibri"/>
        </w:rPr>
        <w:t>% for fast food and 5</w:t>
      </w:r>
      <w:r w:rsidR="00793884" w:rsidRPr="007271D7">
        <w:rPr>
          <w:rFonts w:ascii="Calibri" w:hAnsi="Calibri" w:cs="Calibri"/>
        </w:rPr>
        <w:t>4.9</w:t>
      </w:r>
      <w:r w:rsidR="00E64098" w:rsidRPr="007271D7">
        <w:rPr>
          <w:rFonts w:ascii="Calibri" w:hAnsi="Calibri" w:cs="Calibri"/>
        </w:rPr>
        <w:t xml:space="preserve">% for </w:t>
      </w:r>
      <w:r w:rsidR="002841EB" w:rsidRPr="007271D7">
        <w:rPr>
          <w:rFonts w:ascii="Calibri" w:hAnsi="Calibri" w:cs="Calibri"/>
        </w:rPr>
        <w:t>digital food delivery service</w:t>
      </w:r>
      <w:r w:rsidR="00E64098" w:rsidRPr="007271D7">
        <w:rPr>
          <w:rFonts w:ascii="Calibri" w:hAnsi="Calibri" w:cs="Calibri"/>
        </w:rPr>
        <w:t xml:space="preserve">s. </w:t>
      </w:r>
      <w:r w:rsidR="002F6CD3" w:rsidRPr="007271D7">
        <w:rPr>
          <w:rFonts w:ascii="Calibri" w:hAnsi="Calibri" w:cs="Calibri"/>
        </w:rPr>
        <w:t>R</w:t>
      </w:r>
      <w:r w:rsidR="00E64098" w:rsidRPr="007271D7">
        <w:rPr>
          <w:rFonts w:ascii="Calibri" w:hAnsi="Calibri" w:cs="Calibri"/>
        </w:rPr>
        <w:t>eport</w:t>
      </w:r>
      <w:r w:rsidR="002F6CD3" w:rsidRPr="007271D7">
        <w:rPr>
          <w:rFonts w:ascii="Calibri" w:hAnsi="Calibri" w:cs="Calibri"/>
        </w:rPr>
        <w:t>ed</w:t>
      </w:r>
      <w:r w:rsidR="00E64098" w:rsidRPr="007271D7">
        <w:rPr>
          <w:rFonts w:ascii="Calibri" w:hAnsi="Calibri" w:cs="Calibri"/>
        </w:rPr>
        <w:t xml:space="preserve"> exposure </w:t>
      </w:r>
      <w:r w:rsidR="002F6CD3" w:rsidRPr="007271D7">
        <w:rPr>
          <w:rFonts w:ascii="Calibri" w:hAnsi="Calibri" w:cs="Calibri"/>
        </w:rPr>
        <w:t>also</w:t>
      </w:r>
      <w:r w:rsidR="00E64098" w:rsidRPr="007271D7">
        <w:rPr>
          <w:rFonts w:ascii="Calibri" w:hAnsi="Calibri" w:cs="Calibri"/>
        </w:rPr>
        <w:t xml:space="preserve"> varied according to </w:t>
      </w:r>
      <w:r w:rsidR="00EE0909" w:rsidRPr="007271D7">
        <w:rPr>
          <w:rFonts w:ascii="Calibri" w:hAnsi="Calibri" w:cs="Calibri"/>
        </w:rPr>
        <w:t>advertising setting</w:t>
      </w:r>
      <w:r w:rsidR="002F6CD3" w:rsidRPr="007271D7">
        <w:rPr>
          <w:rFonts w:ascii="Calibri" w:hAnsi="Calibri" w:cs="Calibri"/>
        </w:rPr>
        <w:t>:</w:t>
      </w:r>
      <w:r w:rsidR="00E64098" w:rsidRPr="007271D7">
        <w:rPr>
          <w:rFonts w:ascii="Calibri" w:hAnsi="Calibri" w:cs="Calibri"/>
        </w:rPr>
        <w:t xml:space="preserve"> 74</w:t>
      </w:r>
      <w:r w:rsidR="00793884" w:rsidRPr="007271D7">
        <w:rPr>
          <w:rFonts w:ascii="Calibri" w:hAnsi="Calibri" w:cs="Calibri"/>
        </w:rPr>
        <w:t>.0</w:t>
      </w:r>
      <w:r w:rsidR="00E64098" w:rsidRPr="007271D7">
        <w:rPr>
          <w:rFonts w:ascii="Calibri" w:hAnsi="Calibri" w:cs="Calibri"/>
        </w:rPr>
        <w:t>% of participants reported seeing</w:t>
      </w:r>
      <w:r w:rsidR="0051212A" w:rsidRPr="007271D7">
        <w:rPr>
          <w:rFonts w:ascii="Calibri" w:hAnsi="Calibri" w:cs="Calibri"/>
        </w:rPr>
        <w:t xml:space="preserve"> or </w:t>
      </w:r>
      <w:r w:rsidR="00E64098" w:rsidRPr="007271D7">
        <w:rPr>
          <w:rFonts w:ascii="Calibri" w:hAnsi="Calibri" w:cs="Calibri"/>
        </w:rPr>
        <w:t xml:space="preserve">hearing </w:t>
      </w:r>
      <w:r w:rsidR="002F6CD3" w:rsidRPr="007271D7">
        <w:rPr>
          <w:rFonts w:ascii="Calibri" w:hAnsi="Calibri" w:cs="Calibri"/>
        </w:rPr>
        <w:t>traditional advertising</w:t>
      </w:r>
      <w:r w:rsidR="00E64098" w:rsidRPr="007271D7">
        <w:rPr>
          <w:rFonts w:ascii="Calibri" w:hAnsi="Calibri" w:cs="Calibri"/>
        </w:rPr>
        <w:t>, 3</w:t>
      </w:r>
      <w:r w:rsidR="00793884" w:rsidRPr="007271D7">
        <w:rPr>
          <w:rFonts w:ascii="Calibri" w:hAnsi="Calibri" w:cs="Calibri"/>
        </w:rPr>
        <w:t>8.7</w:t>
      </w:r>
      <w:r w:rsidR="00E64098" w:rsidRPr="007271D7">
        <w:rPr>
          <w:rFonts w:ascii="Calibri" w:hAnsi="Calibri" w:cs="Calibri"/>
        </w:rPr>
        <w:t xml:space="preserve">% digital </w:t>
      </w:r>
      <w:r w:rsidR="002F6CD3" w:rsidRPr="007271D7">
        <w:rPr>
          <w:rFonts w:ascii="Calibri" w:hAnsi="Calibri" w:cs="Calibri"/>
        </w:rPr>
        <w:t>advertising</w:t>
      </w:r>
      <w:r w:rsidR="00E64098" w:rsidRPr="007271D7">
        <w:rPr>
          <w:rFonts w:ascii="Calibri" w:hAnsi="Calibri" w:cs="Calibri"/>
        </w:rPr>
        <w:t>, 1</w:t>
      </w:r>
      <w:r w:rsidR="00793884" w:rsidRPr="007271D7">
        <w:rPr>
          <w:rFonts w:ascii="Calibri" w:hAnsi="Calibri" w:cs="Calibri"/>
        </w:rPr>
        <w:t>8.8</w:t>
      </w:r>
      <w:r w:rsidR="00E64098" w:rsidRPr="007271D7">
        <w:rPr>
          <w:rFonts w:ascii="Calibri" w:hAnsi="Calibri" w:cs="Calibri"/>
        </w:rPr>
        <w:t xml:space="preserve">% </w:t>
      </w:r>
      <w:r w:rsidR="002F6CD3" w:rsidRPr="007271D7">
        <w:rPr>
          <w:rFonts w:ascii="Calibri" w:hAnsi="Calibri" w:cs="Calibri"/>
        </w:rPr>
        <w:t xml:space="preserve">advertising in </w:t>
      </w:r>
      <w:r w:rsidR="00E64098" w:rsidRPr="007271D7">
        <w:rPr>
          <w:rFonts w:ascii="Calibri" w:hAnsi="Calibri" w:cs="Calibri"/>
        </w:rPr>
        <w:t xml:space="preserve">recreational environments, </w:t>
      </w:r>
      <w:r w:rsidR="00793884" w:rsidRPr="007271D7">
        <w:rPr>
          <w:rFonts w:ascii="Calibri" w:hAnsi="Calibri" w:cs="Calibri"/>
        </w:rPr>
        <w:t>51.5</w:t>
      </w:r>
      <w:r w:rsidR="00E64098" w:rsidRPr="007271D7">
        <w:rPr>
          <w:rFonts w:ascii="Calibri" w:hAnsi="Calibri" w:cs="Calibri"/>
        </w:rPr>
        <w:t xml:space="preserve">% </w:t>
      </w:r>
      <w:r w:rsidR="002F6CD3" w:rsidRPr="007271D7">
        <w:rPr>
          <w:rFonts w:ascii="Calibri" w:hAnsi="Calibri" w:cs="Calibri"/>
        </w:rPr>
        <w:t>advertising in</w:t>
      </w:r>
      <w:r w:rsidR="00E64098" w:rsidRPr="007271D7">
        <w:rPr>
          <w:rFonts w:ascii="Calibri" w:hAnsi="Calibri" w:cs="Calibri"/>
        </w:rPr>
        <w:t xml:space="preserve"> functional environments and 36</w:t>
      </w:r>
      <w:r w:rsidR="00793884" w:rsidRPr="007271D7">
        <w:rPr>
          <w:rFonts w:ascii="Calibri" w:hAnsi="Calibri" w:cs="Calibri"/>
        </w:rPr>
        <w:t>.4</w:t>
      </w:r>
      <w:r w:rsidR="00E64098" w:rsidRPr="007271D7">
        <w:rPr>
          <w:rFonts w:ascii="Calibri" w:hAnsi="Calibri" w:cs="Calibri"/>
        </w:rPr>
        <w:t xml:space="preserve">% </w:t>
      </w:r>
      <w:r w:rsidR="002F6CD3" w:rsidRPr="007271D7">
        <w:rPr>
          <w:rFonts w:ascii="Calibri" w:hAnsi="Calibri" w:cs="Calibri"/>
        </w:rPr>
        <w:t xml:space="preserve">advertising </w:t>
      </w:r>
      <w:r w:rsidR="00C0023D" w:rsidRPr="007271D7">
        <w:rPr>
          <w:rFonts w:ascii="Calibri" w:hAnsi="Calibri" w:cs="Calibri"/>
        </w:rPr>
        <w:t>across</w:t>
      </w:r>
      <w:r w:rsidR="002F6CD3" w:rsidRPr="007271D7">
        <w:rPr>
          <w:rFonts w:ascii="Calibri" w:hAnsi="Calibri" w:cs="Calibri"/>
        </w:rPr>
        <w:t xml:space="preserve"> </w:t>
      </w:r>
      <w:r w:rsidR="00E64098" w:rsidRPr="007271D7">
        <w:rPr>
          <w:rFonts w:ascii="Calibri" w:hAnsi="Calibri" w:cs="Calibri"/>
        </w:rPr>
        <w:t xml:space="preserve">transport </w:t>
      </w:r>
      <w:r w:rsidR="00C0023D" w:rsidRPr="007271D7">
        <w:rPr>
          <w:rFonts w:ascii="Calibri" w:hAnsi="Calibri" w:cs="Calibri"/>
        </w:rPr>
        <w:t>networks</w:t>
      </w:r>
      <w:r w:rsidR="00E64098" w:rsidRPr="007271D7">
        <w:rPr>
          <w:rFonts w:ascii="Calibri" w:hAnsi="Calibri" w:cs="Calibri"/>
        </w:rPr>
        <w:t xml:space="preserve"> (see </w:t>
      </w:r>
      <w:r w:rsidR="00E64098" w:rsidRPr="007271D7">
        <w:rPr>
          <w:rFonts w:ascii="Calibri" w:hAnsi="Calibri" w:cs="Calibri"/>
          <w:b/>
          <w:bCs/>
        </w:rPr>
        <w:t xml:space="preserve">Supplementary Table </w:t>
      </w:r>
      <w:r w:rsidR="00EF5E3C" w:rsidRPr="007271D7">
        <w:rPr>
          <w:rFonts w:ascii="Calibri" w:hAnsi="Calibri" w:cs="Calibri"/>
          <w:b/>
          <w:bCs/>
        </w:rPr>
        <w:t>S</w:t>
      </w:r>
      <w:r w:rsidR="008D7527" w:rsidRPr="007271D7">
        <w:rPr>
          <w:rFonts w:ascii="Calibri" w:hAnsi="Calibri" w:cs="Calibri"/>
          <w:b/>
          <w:bCs/>
        </w:rPr>
        <w:t>3</w:t>
      </w:r>
      <w:r w:rsidR="00E64098" w:rsidRPr="007271D7">
        <w:rPr>
          <w:rFonts w:ascii="Calibri" w:hAnsi="Calibri" w:cs="Calibri"/>
        </w:rPr>
        <w:t xml:space="preserve">). </w:t>
      </w:r>
      <w:r w:rsidR="00062BAD" w:rsidRPr="007271D7">
        <w:rPr>
          <w:rFonts w:ascii="Calibri" w:hAnsi="Calibri" w:cs="Calibri"/>
        </w:rPr>
        <w:t xml:space="preserve">For most product categories, reported exposure was most common through traditional advertising, followed by advertising in functional environments, digital advertising, advertising across transport networks, and lastly advertising in recreational environments. However, for </w:t>
      </w:r>
      <w:r w:rsidRPr="007271D7">
        <w:rPr>
          <w:rFonts w:ascii="Calibri" w:hAnsi="Calibri" w:cs="Calibri"/>
        </w:rPr>
        <w:t>digital</w:t>
      </w:r>
      <w:r w:rsidR="00062BAD" w:rsidRPr="007271D7">
        <w:rPr>
          <w:rFonts w:ascii="Calibri" w:hAnsi="Calibri" w:cs="Calibri"/>
        </w:rPr>
        <w:t xml:space="preserve"> food delivery services, digital was the second highest reported setting after traditional. </w:t>
      </w:r>
      <w:r w:rsidR="00EE428A" w:rsidRPr="007271D7">
        <w:rPr>
          <w:rFonts w:ascii="Calibri" w:hAnsi="Calibri" w:cs="Calibri"/>
        </w:rPr>
        <w:t xml:space="preserve">Self-reported exposure to advertising was higher in London </w:t>
      </w:r>
      <w:r w:rsidR="00462509" w:rsidRPr="007271D7">
        <w:rPr>
          <w:rFonts w:ascii="Calibri" w:hAnsi="Calibri" w:cs="Calibri"/>
        </w:rPr>
        <w:t>than</w:t>
      </w:r>
      <w:r w:rsidR="00EE428A" w:rsidRPr="007271D7">
        <w:rPr>
          <w:rFonts w:ascii="Calibri" w:hAnsi="Calibri" w:cs="Calibri"/>
        </w:rPr>
        <w:t xml:space="preserve"> the North of England for sugary drinks (55.3% vs 49.9%, P=0.0</w:t>
      </w:r>
      <w:r w:rsidR="0072574F" w:rsidRPr="007271D7">
        <w:rPr>
          <w:rFonts w:ascii="Calibri" w:hAnsi="Calibri" w:cs="Calibri"/>
        </w:rPr>
        <w:t>35</w:t>
      </w:r>
      <w:r w:rsidR="00EE428A" w:rsidRPr="007271D7">
        <w:rPr>
          <w:rFonts w:ascii="Calibri" w:hAnsi="Calibri" w:cs="Calibri"/>
        </w:rPr>
        <w:t xml:space="preserve">), digital food delivery services (59.0% vs 51.5%, P=0.003) and advertising across transport networks (45.5% vs 28.8%, P&lt;0.001) (see </w:t>
      </w:r>
      <w:r w:rsidR="00EE428A" w:rsidRPr="007271D7">
        <w:rPr>
          <w:rFonts w:ascii="Calibri" w:hAnsi="Calibri" w:cs="Calibri"/>
          <w:b/>
          <w:bCs/>
        </w:rPr>
        <w:t>Supplementary Table S4)</w:t>
      </w:r>
      <w:r w:rsidR="00EE428A" w:rsidRPr="007271D7">
        <w:rPr>
          <w:rFonts w:ascii="Calibri" w:hAnsi="Calibri" w:cs="Calibri"/>
        </w:rPr>
        <w:t xml:space="preserve">. After adjustments, participants living in London had higher odds of self-reported exposure for sugary drinks (OR 1.27; 95% CI 1.03-1.56), digital food </w:t>
      </w:r>
      <w:r w:rsidR="00EE428A" w:rsidRPr="007271D7">
        <w:rPr>
          <w:rFonts w:ascii="Calibri" w:hAnsi="Calibri" w:cs="Calibri"/>
        </w:rPr>
        <w:lastRenderedPageBreak/>
        <w:t>delivery services (OR 1.39; 95% 1.13-1.71) and advertising across transport networks (OR 2.05; 95% CI 1.65-2.54) compared to those living in the North of England (</w:t>
      </w:r>
      <w:r w:rsidR="00EE428A" w:rsidRPr="007271D7">
        <w:rPr>
          <w:rFonts w:ascii="Calibri" w:hAnsi="Calibri" w:cs="Calibri"/>
          <w:b/>
          <w:bCs/>
        </w:rPr>
        <w:t>Table 2-3</w:t>
      </w:r>
      <w:r w:rsidR="00EE428A" w:rsidRPr="007271D7">
        <w:rPr>
          <w:rFonts w:ascii="Calibri" w:hAnsi="Calibri" w:cs="Calibri"/>
        </w:rPr>
        <w:t xml:space="preserve">). </w:t>
      </w:r>
    </w:p>
    <w:p w14:paraId="7D4AC29A" w14:textId="77777777" w:rsidR="00CC7CFD" w:rsidRPr="007271D7" w:rsidRDefault="00CC7CFD" w:rsidP="002A0FEE">
      <w:pPr>
        <w:spacing w:line="480" w:lineRule="auto"/>
        <w:rPr>
          <w:rFonts w:ascii="Calibri" w:hAnsi="Calibri" w:cs="Calibri"/>
          <w:sz w:val="22"/>
          <w:szCs w:val="22"/>
        </w:rPr>
      </w:pPr>
    </w:p>
    <w:p w14:paraId="223E25AA" w14:textId="727BA8DC" w:rsidR="00E64098" w:rsidRPr="007271D7" w:rsidRDefault="00E64098" w:rsidP="002A0FEE">
      <w:pPr>
        <w:spacing w:line="480" w:lineRule="auto"/>
        <w:rPr>
          <w:b/>
          <w:bCs/>
        </w:rPr>
      </w:pPr>
      <w:r w:rsidRPr="007271D7">
        <w:rPr>
          <w:b/>
          <w:bCs/>
        </w:rPr>
        <w:t>Sociodemographic difference</w:t>
      </w:r>
      <w:r w:rsidR="007855CC" w:rsidRPr="007271D7">
        <w:rPr>
          <w:b/>
          <w:bCs/>
        </w:rPr>
        <w:t>s</w:t>
      </w:r>
      <w:r w:rsidRPr="007271D7">
        <w:rPr>
          <w:b/>
          <w:bCs/>
        </w:rPr>
        <w:t xml:space="preserve"> in self-reported exposure to advertising</w:t>
      </w:r>
      <w:r w:rsidR="00A94275" w:rsidRPr="007271D7">
        <w:rPr>
          <w:b/>
          <w:bCs/>
        </w:rPr>
        <w:t xml:space="preserve"> for less healthy foods and drinks</w:t>
      </w:r>
    </w:p>
    <w:p w14:paraId="1E367FBC" w14:textId="6EC665F4" w:rsidR="00E604A2" w:rsidRPr="007271D7" w:rsidRDefault="00E64098" w:rsidP="002A0FEE">
      <w:pPr>
        <w:spacing w:line="480" w:lineRule="auto"/>
        <w:rPr>
          <w:rFonts w:ascii="Calibri" w:hAnsi="Calibri" w:cs="Calibri"/>
        </w:rPr>
      </w:pPr>
      <w:r w:rsidRPr="007271D7">
        <w:rPr>
          <w:rFonts w:ascii="Calibri" w:hAnsi="Calibri" w:cs="Calibri"/>
        </w:rPr>
        <w:t xml:space="preserve">The </w:t>
      </w:r>
      <w:r w:rsidR="00031828" w:rsidRPr="007271D7">
        <w:rPr>
          <w:rFonts w:ascii="Calibri" w:hAnsi="Calibri" w:cs="Calibri"/>
        </w:rPr>
        <w:t xml:space="preserve">adjusted </w:t>
      </w:r>
      <w:r w:rsidRPr="007271D7">
        <w:rPr>
          <w:rFonts w:ascii="Calibri" w:hAnsi="Calibri" w:cs="Calibri"/>
        </w:rPr>
        <w:t xml:space="preserve">odds of </w:t>
      </w:r>
      <w:r w:rsidR="00A9614C" w:rsidRPr="007271D7">
        <w:t>self-reported</w:t>
      </w:r>
      <w:r w:rsidRPr="007271D7">
        <w:rPr>
          <w:rFonts w:ascii="Calibri" w:hAnsi="Calibri" w:cs="Calibri"/>
        </w:rPr>
        <w:t xml:space="preserve"> exposure to advertising </w:t>
      </w:r>
      <w:r w:rsidR="00346ACE" w:rsidRPr="007271D7">
        <w:rPr>
          <w:rFonts w:ascii="Calibri" w:hAnsi="Calibri" w:cs="Calibri"/>
        </w:rPr>
        <w:t xml:space="preserve">overall </w:t>
      </w:r>
      <w:r w:rsidRPr="007271D7">
        <w:rPr>
          <w:rFonts w:ascii="Calibri" w:hAnsi="Calibri" w:cs="Calibri"/>
        </w:rPr>
        <w:t xml:space="preserve">were higher </w:t>
      </w:r>
      <w:r w:rsidR="007855CC" w:rsidRPr="007271D7">
        <w:rPr>
          <w:rFonts w:ascii="Calibri" w:hAnsi="Calibri" w:cs="Calibri"/>
        </w:rPr>
        <w:t xml:space="preserve">in the </w:t>
      </w:r>
      <w:r w:rsidR="003F721E" w:rsidRPr="007271D7">
        <w:rPr>
          <w:rFonts w:ascii="Calibri" w:hAnsi="Calibri" w:cs="Calibri"/>
        </w:rPr>
        <w:t xml:space="preserve">middle socioeconomic group </w:t>
      </w:r>
      <w:r w:rsidR="00E62BF9" w:rsidRPr="007271D7">
        <w:rPr>
          <w:rFonts w:ascii="Calibri" w:hAnsi="Calibri" w:cs="Calibri"/>
        </w:rPr>
        <w:t>(</w:t>
      </w:r>
      <w:r w:rsidR="003F721E" w:rsidRPr="007271D7">
        <w:rPr>
          <w:rFonts w:ascii="Calibri" w:hAnsi="Calibri" w:cs="Calibri"/>
        </w:rPr>
        <w:t>C1C2</w:t>
      </w:r>
      <w:r w:rsidR="00E62BF9" w:rsidRPr="007271D7">
        <w:rPr>
          <w:rFonts w:ascii="Calibri" w:hAnsi="Calibri" w:cs="Calibri"/>
        </w:rPr>
        <w:t>)</w:t>
      </w:r>
      <w:r w:rsidRPr="007271D7">
        <w:rPr>
          <w:rFonts w:ascii="Calibri" w:hAnsi="Calibri" w:cs="Calibri"/>
        </w:rPr>
        <w:t xml:space="preserve"> compared to </w:t>
      </w:r>
      <w:r w:rsidR="007855CC" w:rsidRPr="007271D7">
        <w:rPr>
          <w:rFonts w:ascii="Calibri" w:hAnsi="Calibri" w:cs="Calibri"/>
        </w:rPr>
        <w:t xml:space="preserve">the </w:t>
      </w:r>
      <w:r w:rsidR="003F721E" w:rsidRPr="007271D7">
        <w:rPr>
          <w:rFonts w:ascii="Calibri" w:hAnsi="Calibri" w:cs="Calibri"/>
        </w:rPr>
        <w:t>high socioeconomic group</w:t>
      </w:r>
      <w:r w:rsidR="00E62BF9" w:rsidRPr="007271D7">
        <w:rPr>
          <w:rFonts w:ascii="Calibri" w:hAnsi="Calibri" w:cs="Calibri"/>
        </w:rPr>
        <w:t xml:space="preserve"> (</w:t>
      </w:r>
      <w:r w:rsidR="003F721E" w:rsidRPr="007271D7">
        <w:rPr>
          <w:rFonts w:ascii="Calibri" w:hAnsi="Calibri" w:cs="Calibri"/>
        </w:rPr>
        <w:t>AB</w:t>
      </w:r>
      <w:r w:rsidR="00E62BF9" w:rsidRPr="007271D7">
        <w:rPr>
          <w:rFonts w:ascii="Calibri" w:hAnsi="Calibri" w:cs="Calibri"/>
        </w:rPr>
        <w:t>)</w:t>
      </w:r>
      <w:r w:rsidR="00DD4B19" w:rsidRPr="007271D7">
        <w:rPr>
          <w:rFonts w:ascii="Calibri" w:hAnsi="Calibri" w:cs="Calibri"/>
        </w:rPr>
        <w:t xml:space="preserve"> (</w:t>
      </w:r>
      <w:r w:rsidR="00A94967" w:rsidRPr="007271D7">
        <w:rPr>
          <w:rFonts w:ascii="Calibri" w:hAnsi="Calibri" w:cs="Calibri"/>
        </w:rPr>
        <w:t>OR 1.4</w:t>
      </w:r>
      <w:r w:rsidR="002C41AE" w:rsidRPr="007271D7">
        <w:rPr>
          <w:rFonts w:ascii="Calibri" w:hAnsi="Calibri" w:cs="Calibri"/>
        </w:rPr>
        <w:t>8</w:t>
      </w:r>
      <w:r w:rsidR="00DD4B19" w:rsidRPr="007271D7">
        <w:rPr>
          <w:rFonts w:ascii="Calibri" w:hAnsi="Calibri" w:cs="Calibri"/>
        </w:rPr>
        <w:t xml:space="preserve">; </w:t>
      </w:r>
      <w:r w:rsidR="00A94967" w:rsidRPr="007271D7">
        <w:rPr>
          <w:rFonts w:ascii="Calibri" w:hAnsi="Calibri" w:cs="Calibri"/>
        </w:rPr>
        <w:t>95% CI 1.0</w:t>
      </w:r>
      <w:r w:rsidR="002C41AE" w:rsidRPr="007271D7">
        <w:rPr>
          <w:rFonts w:ascii="Calibri" w:hAnsi="Calibri" w:cs="Calibri"/>
        </w:rPr>
        <w:t>6</w:t>
      </w:r>
      <w:r w:rsidR="00A94967" w:rsidRPr="007271D7">
        <w:rPr>
          <w:rFonts w:ascii="Calibri" w:hAnsi="Calibri" w:cs="Calibri"/>
        </w:rPr>
        <w:t>-2.0</w:t>
      </w:r>
      <w:r w:rsidR="002C41AE" w:rsidRPr="007271D7">
        <w:rPr>
          <w:rFonts w:ascii="Calibri" w:hAnsi="Calibri" w:cs="Calibri"/>
        </w:rPr>
        <w:t>7</w:t>
      </w:r>
      <w:r w:rsidR="00A94967" w:rsidRPr="007271D7">
        <w:rPr>
          <w:rFonts w:ascii="Calibri" w:hAnsi="Calibri" w:cs="Calibri"/>
        </w:rPr>
        <w:t>)</w:t>
      </w:r>
      <w:r w:rsidRPr="007271D7">
        <w:rPr>
          <w:rFonts w:ascii="Calibri" w:hAnsi="Calibri" w:cs="Calibri"/>
        </w:rPr>
        <w:t xml:space="preserve"> (</w:t>
      </w:r>
      <w:r w:rsidRPr="007271D7">
        <w:rPr>
          <w:rFonts w:ascii="Calibri" w:hAnsi="Calibri" w:cs="Calibri"/>
          <w:b/>
          <w:bCs/>
        </w:rPr>
        <w:t>Table 2</w:t>
      </w:r>
      <w:r w:rsidRPr="007271D7">
        <w:rPr>
          <w:rFonts w:ascii="Calibri" w:hAnsi="Calibri" w:cs="Calibri"/>
        </w:rPr>
        <w:t>).</w:t>
      </w:r>
      <w:r w:rsidR="00031828" w:rsidRPr="007271D7">
        <w:rPr>
          <w:rFonts w:ascii="Calibri" w:hAnsi="Calibri" w:cs="Calibri"/>
        </w:rPr>
        <w:t xml:space="preserve"> When stratified</w:t>
      </w:r>
      <w:r w:rsidR="00DD4B19" w:rsidRPr="007271D7">
        <w:rPr>
          <w:rFonts w:ascii="Calibri" w:hAnsi="Calibri" w:cs="Calibri"/>
        </w:rPr>
        <w:t xml:space="preserve"> by product category</w:t>
      </w:r>
      <w:r w:rsidR="00031828" w:rsidRPr="007271D7">
        <w:rPr>
          <w:rFonts w:ascii="Calibri" w:hAnsi="Calibri" w:cs="Calibri"/>
        </w:rPr>
        <w:t>, s</w:t>
      </w:r>
      <w:r w:rsidR="00D2555D" w:rsidRPr="007271D7">
        <w:rPr>
          <w:rFonts w:ascii="Calibri" w:hAnsi="Calibri" w:cs="Calibri"/>
        </w:rPr>
        <w:t>ociodemographic difference</w:t>
      </w:r>
      <w:r w:rsidR="00375770" w:rsidRPr="007271D7">
        <w:rPr>
          <w:rFonts w:ascii="Calibri" w:hAnsi="Calibri" w:cs="Calibri"/>
        </w:rPr>
        <w:t>s</w:t>
      </w:r>
      <w:r w:rsidR="00D2555D" w:rsidRPr="007271D7">
        <w:rPr>
          <w:rFonts w:ascii="Calibri" w:hAnsi="Calibri" w:cs="Calibri"/>
        </w:rPr>
        <w:t xml:space="preserve"> in </w:t>
      </w:r>
      <w:r w:rsidR="00A9614C" w:rsidRPr="007271D7">
        <w:t xml:space="preserve">self-reported </w:t>
      </w:r>
      <w:r w:rsidR="00D2555D" w:rsidRPr="007271D7">
        <w:rPr>
          <w:rFonts w:ascii="Calibri" w:hAnsi="Calibri" w:cs="Calibri"/>
        </w:rPr>
        <w:t>exposure to advertising w</w:t>
      </w:r>
      <w:r w:rsidR="00A72F78" w:rsidRPr="007271D7">
        <w:rPr>
          <w:rFonts w:ascii="Calibri" w:hAnsi="Calibri" w:cs="Calibri"/>
        </w:rPr>
        <w:t>ere</w:t>
      </w:r>
      <w:r w:rsidR="00D2555D" w:rsidRPr="007271D7">
        <w:rPr>
          <w:rFonts w:ascii="Calibri" w:hAnsi="Calibri" w:cs="Calibri"/>
        </w:rPr>
        <w:t xml:space="preserve"> found in</w:t>
      </w:r>
      <w:r w:rsidR="00BE274A" w:rsidRPr="007271D7">
        <w:rPr>
          <w:rFonts w:ascii="Calibri" w:hAnsi="Calibri" w:cs="Calibri"/>
        </w:rPr>
        <w:t xml:space="preserve"> three</w:t>
      </w:r>
      <w:r w:rsidR="00D2555D" w:rsidRPr="007271D7">
        <w:rPr>
          <w:rFonts w:ascii="Calibri" w:hAnsi="Calibri" w:cs="Calibri"/>
        </w:rPr>
        <w:t xml:space="preserve"> of the </w:t>
      </w:r>
      <w:r w:rsidR="00BE274A" w:rsidRPr="007271D7">
        <w:rPr>
          <w:rFonts w:ascii="Calibri" w:hAnsi="Calibri" w:cs="Calibri"/>
        </w:rPr>
        <w:t xml:space="preserve">five </w:t>
      </w:r>
      <w:r w:rsidR="00D2555D" w:rsidRPr="007271D7">
        <w:rPr>
          <w:rFonts w:ascii="Calibri" w:hAnsi="Calibri" w:cs="Calibri"/>
        </w:rPr>
        <w:t>categories studied</w:t>
      </w:r>
      <w:r w:rsidR="00856041" w:rsidRPr="007271D7">
        <w:rPr>
          <w:rFonts w:ascii="Calibri" w:hAnsi="Calibri" w:cs="Calibri"/>
        </w:rPr>
        <w:t xml:space="preserve"> (processed HFSS food</w:t>
      </w:r>
      <w:r w:rsidR="00850B0B" w:rsidRPr="007271D7">
        <w:rPr>
          <w:rFonts w:ascii="Calibri" w:hAnsi="Calibri" w:cs="Calibri"/>
        </w:rPr>
        <w:t>s</w:t>
      </w:r>
      <w:r w:rsidR="00856041" w:rsidRPr="007271D7">
        <w:rPr>
          <w:rFonts w:ascii="Calibri" w:hAnsi="Calibri" w:cs="Calibri"/>
        </w:rPr>
        <w:t>, sugary cereals</w:t>
      </w:r>
      <w:r w:rsidR="00BE274A" w:rsidRPr="007271D7">
        <w:rPr>
          <w:rFonts w:ascii="Calibri" w:hAnsi="Calibri" w:cs="Calibri"/>
        </w:rPr>
        <w:t xml:space="preserve"> and</w:t>
      </w:r>
      <w:r w:rsidR="00856041" w:rsidRPr="007271D7">
        <w:rPr>
          <w:rFonts w:ascii="Calibri" w:hAnsi="Calibri" w:cs="Calibri"/>
        </w:rPr>
        <w:t xml:space="preserve"> sweet snacks)</w:t>
      </w:r>
      <w:r w:rsidR="00D2555D" w:rsidRPr="007271D7">
        <w:rPr>
          <w:rFonts w:ascii="Calibri" w:hAnsi="Calibri" w:cs="Calibri"/>
        </w:rPr>
        <w:t xml:space="preserve">. </w:t>
      </w:r>
      <w:r w:rsidR="008E090F" w:rsidRPr="007271D7">
        <w:rPr>
          <w:rFonts w:ascii="Calibri" w:hAnsi="Calibri" w:cs="Calibri"/>
        </w:rPr>
        <w:t>Socioeconomic differences</w:t>
      </w:r>
      <w:r w:rsidR="00D2555D" w:rsidRPr="007271D7">
        <w:rPr>
          <w:rFonts w:ascii="Calibri" w:hAnsi="Calibri" w:cs="Calibri"/>
        </w:rPr>
        <w:t xml:space="preserve"> </w:t>
      </w:r>
      <w:r w:rsidR="008E090F" w:rsidRPr="007271D7">
        <w:rPr>
          <w:rFonts w:ascii="Calibri" w:hAnsi="Calibri" w:cs="Calibri"/>
        </w:rPr>
        <w:t xml:space="preserve">were </w:t>
      </w:r>
      <w:r w:rsidR="00D2555D" w:rsidRPr="007271D7">
        <w:rPr>
          <w:rFonts w:ascii="Calibri" w:hAnsi="Calibri" w:cs="Calibri"/>
        </w:rPr>
        <w:t xml:space="preserve">observed </w:t>
      </w:r>
      <w:r w:rsidR="00DD4B19" w:rsidRPr="007271D7">
        <w:rPr>
          <w:rFonts w:ascii="Calibri" w:hAnsi="Calibri" w:cs="Calibri"/>
        </w:rPr>
        <w:t xml:space="preserve">for </w:t>
      </w:r>
      <w:r w:rsidR="002F4D81" w:rsidRPr="007271D7">
        <w:rPr>
          <w:rFonts w:ascii="Calibri" w:hAnsi="Calibri" w:cs="Calibri"/>
        </w:rPr>
        <w:t>these</w:t>
      </w:r>
      <w:r w:rsidR="00D2555D" w:rsidRPr="007271D7">
        <w:rPr>
          <w:rFonts w:ascii="Calibri" w:hAnsi="Calibri" w:cs="Calibri"/>
        </w:rPr>
        <w:t xml:space="preserve"> </w:t>
      </w:r>
      <w:r w:rsidR="007D47B2" w:rsidRPr="007271D7">
        <w:rPr>
          <w:rFonts w:ascii="Calibri" w:hAnsi="Calibri" w:cs="Calibri"/>
        </w:rPr>
        <w:t xml:space="preserve">three </w:t>
      </w:r>
      <w:r w:rsidR="00D2555D" w:rsidRPr="007271D7">
        <w:rPr>
          <w:rFonts w:ascii="Calibri" w:hAnsi="Calibri" w:cs="Calibri"/>
        </w:rPr>
        <w:t>product categories</w:t>
      </w:r>
      <w:r w:rsidR="00BD341A" w:rsidRPr="007271D7">
        <w:rPr>
          <w:rFonts w:ascii="Calibri" w:hAnsi="Calibri" w:cs="Calibri"/>
        </w:rPr>
        <w:t>, with l</w:t>
      </w:r>
      <w:r w:rsidR="007855CC" w:rsidRPr="007271D7">
        <w:rPr>
          <w:rFonts w:ascii="Calibri" w:hAnsi="Calibri" w:cs="Calibri"/>
        </w:rPr>
        <w:t>ower soci</w:t>
      </w:r>
      <w:r w:rsidR="006A4C17" w:rsidRPr="007271D7">
        <w:rPr>
          <w:rFonts w:ascii="Calibri" w:hAnsi="Calibri" w:cs="Calibri"/>
        </w:rPr>
        <w:t xml:space="preserve">oeconomic position </w:t>
      </w:r>
      <w:r w:rsidR="004369B8" w:rsidRPr="007271D7">
        <w:rPr>
          <w:rFonts w:ascii="Calibri" w:hAnsi="Calibri" w:cs="Calibri"/>
        </w:rPr>
        <w:t>associated with</w:t>
      </w:r>
      <w:r w:rsidR="007855CC" w:rsidRPr="007271D7">
        <w:rPr>
          <w:rFonts w:ascii="Calibri" w:hAnsi="Calibri" w:cs="Calibri"/>
        </w:rPr>
        <w:t xml:space="preserve"> higher adjusted odds of </w:t>
      </w:r>
      <w:r w:rsidR="00A9614C" w:rsidRPr="007271D7">
        <w:t xml:space="preserve">self-reported </w:t>
      </w:r>
      <w:r w:rsidR="007855CC" w:rsidRPr="007271D7">
        <w:rPr>
          <w:rFonts w:ascii="Calibri" w:hAnsi="Calibri" w:cs="Calibri"/>
        </w:rPr>
        <w:t>exposure</w:t>
      </w:r>
      <w:r w:rsidR="00BD341A" w:rsidRPr="007271D7">
        <w:rPr>
          <w:rFonts w:ascii="Calibri" w:hAnsi="Calibri" w:cs="Calibri"/>
        </w:rPr>
        <w:t xml:space="preserve"> </w:t>
      </w:r>
      <w:r w:rsidR="007855CC" w:rsidRPr="007271D7">
        <w:rPr>
          <w:rFonts w:ascii="Calibri" w:hAnsi="Calibri" w:cs="Calibri"/>
        </w:rPr>
        <w:t>(ORs ranging from 1.</w:t>
      </w:r>
      <w:r w:rsidR="004369B8" w:rsidRPr="007271D7">
        <w:rPr>
          <w:rFonts w:ascii="Calibri" w:hAnsi="Calibri" w:cs="Calibri"/>
        </w:rPr>
        <w:t>4</w:t>
      </w:r>
      <w:r w:rsidR="007855CC" w:rsidRPr="007271D7">
        <w:rPr>
          <w:rFonts w:ascii="Calibri" w:hAnsi="Calibri" w:cs="Calibri"/>
        </w:rPr>
        <w:t>1 to 1.6</w:t>
      </w:r>
      <w:r w:rsidR="004369B8" w:rsidRPr="007271D7">
        <w:rPr>
          <w:rFonts w:ascii="Calibri" w:hAnsi="Calibri" w:cs="Calibri"/>
        </w:rPr>
        <w:t>7</w:t>
      </w:r>
      <w:r w:rsidR="00BE274A" w:rsidRPr="007271D7">
        <w:rPr>
          <w:rFonts w:ascii="Calibri" w:hAnsi="Calibri" w:cs="Calibri"/>
        </w:rPr>
        <w:t xml:space="preserve"> for </w:t>
      </w:r>
      <w:r w:rsidR="007D47B2" w:rsidRPr="007271D7">
        <w:rPr>
          <w:rFonts w:ascii="Calibri" w:hAnsi="Calibri" w:cs="Calibri"/>
        </w:rPr>
        <w:t>low</w:t>
      </w:r>
      <w:r w:rsidR="00BE274A" w:rsidRPr="007271D7">
        <w:rPr>
          <w:rFonts w:ascii="Calibri" w:hAnsi="Calibri" w:cs="Calibri"/>
        </w:rPr>
        <w:t xml:space="preserve"> compared to </w:t>
      </w:r>
      <w:r w:rsidR="007D47B2" w:rsidRPr="007271D7">
        <w:rPr>
          <w:rFonts w:ascii="Calibri" w:hAnsi="Calibri" w:cs="Calibri"/>
        </w:rPr>
        <w:t>high</w:t>
      </w:r>
      <w:r w:rsidR="007855CC" w:rsidRPr="007271D7">
        <w:rPr>
          <w:rFonts w:ascii="Calibri" w:hAnsi="Calibri" w:cs="Calibri"/>
        </w:rPr>
        <w:t>)</w:t>
      </w:r>
      <w:r w:rsidR="00D2555D" w:rsidRPr="007271D7">
        <w:rPr>
          <w:rFonts w:ascii="Calibri" w:hAnsi="Calibri" w:cs="Calibri"/>
        </w:rPr>
        <w:t xml:space="preserve">. </w:t>
      </w:r>
      <w:r w:rsidR="008E090F" w:rsidRPr="007271D7">
        <w:rPr>
          <w:rFonts w:ascii="Calibri" w:hAnsi="Calibri" w:cs="Calibri"/>
        </w:rPr>
        <w:t xml:space="preserve">There was indication of a </w:t>
      </w:r>
      <w:r w:rsidR="00346ACE" w:rsidRPr="007271D7">
        <w:rPr>
          <w:rFonts w:ascii="Calibri" w:hAnsi="Calibri" w:cs="Calibri"/>
        </w:rPr>
        <w:t xml:space="preserve">socioeconomic </w:t>
      </w:r>
      <w:r w:rsidR="008E090F" w:rsidRPr="007271D7">
        <w:rPr>
          <w:rFonts w:ascii="Calibri" w:hAnsi="Calibri" w:cs="Calibri"/>
        </w:rPr>
        <w:t xml:space="preserve">gradient for all </w:t>
      </w:r>
      <w:r w:rsidR="00BE274A" w:rsidRPr="007271D7">
        <w:rPr>
          <w:rFonts w:ascii="Calibri" w:hAnsi="Calibri" w:cs="Calibri"/>
        </w:rPr>
        <w:t>three</w:t>
      </w:r>
      <w:r w:rsidR="008E090F" w:rsidRPr="007271D7">
        <w:rPr>
          <w:rFonts w:ascii="Calibri" w:hAnsi="Calibri" w:cs="Calibri"/>
        </w:rPr>
        <w:t xml:space="preserve"> product categories, although the CIs for the middle and low socioeconomic groups overlapped. </w:t>
      </w:r>
      <w:r w:rsidR="00D2555D" w:rsidRPr="007271D7">
        <w:rPr>
          <w:rFonts w:ascii="Calibri" w:hAnsi="Calibri" w:cs="Calibri"/>
        </w:rPr>
        <w:t>Gender differences were</w:t>
      </w:r>
      <w:r w:rsidR="009312C3" w:rsidRPr="007271D7">
        <w:rPr>
          <w:rFonts w:ascii="Calibri" w:hAnsi="Calibri" w:cs="Calibri"/>
        </w:rPr>
        <w:t xml:space="preserve"> also</w:t>
      </w:r>
      <w:r w:rsidR="00D2555D" w:rsidRPr="007271D7">
        <w:rPr>
          <w:rFonts w:ascii="Calibri" w:hAnsi="Calibri" w:cs="Calibri"/>
        </w:rPr>
        <w:t xml:space="preserve"> observed for processed HFSS foods</w:t>
      </w:r>
      <w:r w:rsidR="007855CC" w:rsidRPr="007271D7">
        <w:rPr>
          <w:rFonts w:ascii="Calibri" w:hAnsi="Calibri" w:cs="Calibri"/>
        </w:rPr>
        <w:t xml:space="preserve">, with higher </w:t>
      </w:r>
      <w:r w:rsidR="009312C3" w:rsidRPr="007271D7">
        <w:rPr>
          <w:rFonts w:ascii="Calibri" w:hAnsi="Calibri" w:cs="Calibri"/>
        </w:rPr>
        <w:t xml:space="preserve">adjusted </w:t>
      </w:r>
      <w:r w:rsidR="007855CC" w:rsidRPr="007271D7">
        <w:rPr>
          <w:rFonts w:ascii="Calibri" w:hAnsi="Calibri" w:cs="Calibri"/>
        </w:rPr>
        <w:t xml:space="preserve">odds </w:t>
      </w:r>
      <w:r w:rsidR="0008776B" w:rsidRPr="007271D7">
        <w:rPr>
          <w:rFonts w:ascii="Calibri" w:hAnsi="Calibri" w:cs="Calibri"/>
        </w:rPr>
        <w:t xml:space="preserve">for </w:t>
      </w:r>
      <w:r w:rsidR="007855CC" w:rsidRPr="007271D7">
        <w:rPr>
          <w:rFonts w:ascii="Calibri" w:hAnsi="Calibri" w:cs="Calibri"/>
        </w:rPr>
        <w:t>women compared to men</w:t>
      </w:r>
      <w:r w:rsidR="00DD4B19" w:rsidRPr="007271D7">
        <w:rPr>
          <w:rFonts w:ascii="Calibri" w:hAnsi="Calibri" w:cs="Calibri"/>
        </w:rPr>
        <w:t xml:space="preserve"> (</w:t>
      </w:r>
      <w:r w:rsidR="007855CC" w:rsidRPr="007271D7">
        <w:rPr>
          <w:rFonts w:ascii="Calibri" w:hAnsi="Calibri" w:cs="Calibri"/>
        </w:rPr>
        <w:t>OR 1.</w:t>
      </w:r>
      <w:r w:rsidR="004369B8" w:rsidRPr="007271D7">
        <w:rPr>
          <w:rFonts w:ascii="Calibri" w:hAnsi="Calibri" w:cs="Calibri"/>
        </w:rPr>
        <w:t>44</w:t>
      </w:r>
      <w:r w:rsidR="00DD4B19" w:rsidRPr="007271D7">
        <w:rPr>
          <w:rFonts w:ascii="Calibri" w:hAnsi="Calibri" w:cs="Calibri"/>
        </w:rPr>
        <w:t xml:space="preserve">; </w:t>
      </w:r>
      <w:r w:rsidR="007855CC" w:rsidRPr="007271D7">
        <w:rPr>
          <w:rFonts w:ascii="Calibri" w:hAnsi="Calibri" w:cs="Calibri"/>
        </w:rPr>
        <w:t>95% CI 1.</w:t>
      </w:r>
      <w:r w:rsidR="004369B8" w:rsidRPr="007271D7">
        <w:rPr>
          <w:rFonts w:ascii="Calibri" w:hAnsi="Calibri" w:cs="Calibri"/>
        </w:rPr>
        <w:t>13</w:t>
      </w:r>
      <w:r w:rsidR="007855CC" w:rsidRPr="007271D7">
        <w:rPr>
          <w:rFonts w:ascii="Calibri" w:hAnsi="Calibri" w:cs="Calibri"/>
        </w:rPr>
        <w:t>-1.</w:t>
      </w:r>
      <w:r w:rsidR="004369B8" w:rsidRPr="007271D7">
        <w:rPr>
          <w:rFonts w:ascii="Calibri" w:hAnsi="Calibri" w:cs="Calibri"/>
        </w:rPr>
        <w:t>84</w:t>
      </w:r>
      <w:r w:rsidR="007855CC" w:rsidRPr="007271D7">
        <w:rPr>
          <w:rFonts w:ascii="Calibri" w:hAnsi="Calibri" w:cs="Calibri"/>
        </w:rPr>
        <w:t>)</w:t>
      </w:r>
      <w:r w:rsidR="00D2555D" w:rsidRPr="007271D7">
        <w:rPr>
          <w:rFonts w:ascii="Calibri" w:hAnsi="Calibri" w:cs="Calibri"/>
        </w:rPr>
        <w:t xml:space="preserve">. </w:t>
      </w:r>
      <w:r w:rsidR="000F09B1" w:rsidRPr="007271D7">
        <w:rPr>
          <w:rFonts w:ascii="Calibri" w:hAnsi="Calibri" w:cs="Calibri"/>
        </w:rPr>
        <w:t xml:space="preserve">For sweet snacks, participants who were </w:t>
      </w:r>
      <w:r w:rsidR="00850B0B" w:rsidRPr="007271D7">
        <w:rPr>
          <w:rFonts w:ascii="Calibri" w:hAnsi="Calibri" w:cs="Calibri"/>
        </w:rPr>
        <w:t>full-time employe</w:t>
      </w:r>
      <w:r w:rsidR="009312C3" w:rsidRPr="007271D7">
        <w:rPr>
          <w:rFonts w:ascii="Calibri" w:hAnsi="Calibri" w:cs="Calibri"/>
        </w:rPr>
        <w:t>es</w:t>
      </w:r>
      <w:r w:rsidR="000F09B1" w:rsidRPr="007271D7">
        <w:rPr>
          <w:rFonts w:ascii="Calibri" w:hAnsi="Calibri" w:cs="Calibri"/>
        </w:rPr>
        <w:t xml:space="preserve"> had marginally </w:t>
      </w:r>
      <w:r w:rsidR="00850B0B" w:rsidRPr="007271D7">
        <w:rPr>
          <w:rFonts w:ascii="Calibri" w:hAnsi="Calibri" w:cs="Calibri"/>
        </w:rPr>
        <w:t xml:space="preserve">higher adjusted </w:t>
      </w:r>
      <w:r w:rsidR="000F09B1" w:rsidRPr="007271D7">
        <w:rPr>
          <w:rFonts w:ascii="Calibri" w:hAnsi="Calibri" w:cs="Calibri"/>
        </w:rPr>
        <w:t xml:space="preserve">odds of </w:t>
      </w:r>
      <w:r w:rsidR="0008776B" w:rsidRPr="007271D7">
        <w:rPr>
          <w:rFonts w:ascii="Calibri" w:hAnsi="Calibri" w:cs="Calibri"/>
        </w:rPr>
        <w:t xml:space="preserve">reporting </w:t>
      </w:r>
      <w:r w:rsidR="000F09B1" w:rsidRPr="007271D7">
        <w:rPr>
          <w:rFonts w:ascii="Calibri" w:hAnsi="Calibri" w:cs="Calibri"/>
        </w:rPr>
        <w:t>advertising exposure</w:t>
      </w:r>
      <w:r w:rsidR="002A214B" w:rsidRPr="007271D7">
        <w:rPr>
          <w:rFonts w:ascii="Calibri" w:hAnsi="Calibri" w:cs="Calibri"/>
        </w:rPr>
        <w:t xml:space="preserve"> compared to participants who were </w:t>
      </w:r>
      <w:r w:rsidR="002F71A3" w:rsidRPr="007271D7">
        <w:rPr>
          <w:rFonts w:ascii="Calibri" w:hAnsi="Calibri" w:cs="Calibri"/>
        </w:rPr>
        <w:t>not looking for work or unable to work</w:t>
      </w:r>
      <w:r w:rsidR="00D21C23" w:rsidRPr="007271D7">
        <w:rPr>
          <w:rFonts w:ascii="Calibri" w:hAnsi="Calibri" w:cs="Calibri"/>
        </w:rPr>
        <w:t xml:space="preserve"> (</w:t>
      </w:r>
      <w:r w:rsidR="000F09B1" w:rsidRPr="007271D7">
        <w:rPr>
          <w:rFonts w:ascii="Calibri" w:hAnsi="Calibri" w:cs="Calibri"/>
        </w:rPr>
        <w:t xml:space="preserve">OR </w:t>
      </w:r>
      <w:r w:rsidR="00850B0B" w:rsidRPr="007271D7">
        <w:rPr>
          <w:rFonts w:ascii="Calibri" w:hAnsi="Calibri" w:cs="Calibri"/>
        </w:rPr>
        <w:t>1.40</w:t>
      </w:r>
      <w:r w:rsidR="00D21C23" w:rsidRPr="007271D7">
        <w:rPr>
          <w:rFonts w:ascii="Calibri" w:hAnsi="Calibri" w:cs="Calibri"/>
        </w:rPr>
        <w:t xml:space="preserve">; </w:t>
      </w:r>
      <w:r w:rsidR="000F09B1" w:rsidRPr="007271D7">
        <w:rPr>
          <w:rFonts w:ascii="Calibri" w:hAnsi="Calibri" w:cs="Calibri"/>
        </w:rPr>
        <w:t>95% CI 1.00</w:t>
      </w:r>
      <w:r w:rsidR="00850B0B" w:rsidRPr="007271D7">
        <w:rPr>
          <w:rFonts w:ascii="Calibri" w:hAnsi="Calibri" w:cs="Calibri"/>
        </w:rPr>
        <w:t>-1.97</w:t>
      </w:r>
      <w:r w:rsidR="000F09B1" w:rsidRPr="007271D7">
        <w:rPr>
          <w:rFonts w:ascii="Calibri" w:hAnsi="Calibri" w:cs="Calibri"/>
        </w:rPr>
        <w:t xml:space="preserve">). </w:t>
      </w:r>
      <w:r w:rsidR="00D2555D" w:rsidRPr="007271D7">
        <w:rPr>
          <w:rFonts w:ascii="Calibri" w:hAnsi="Calibri" w:cs="Calibri"/>
        </w:rPr>
        <w:t xml:space="preserve">There were no </w:t>
      </w:r>
      <w:r w:rsidR="00AC3709" w:rsidRPr="007271D7">
        <w:rPr>
          <w:rFonts w:ascii="Calibri" w:hAnsi="Calibri" w:cs="Calibri"/>
        </w:rPr>
        <w:t xml:space="preserve">observed </w:t>
      </w:r>
      <w:r w:rsidR="00D2555D" w:rsidRPr="007271D7">
        <w:rPr>
          <w:rFonts w:ascii="Calibri" w:hAnsi="Calibri" w:cs="Calibri"/>
        </w:rPr>
        <w:t xml:space="preserve">associations between sociodemographic characteristics and self-reported exposure to </w:t>
      </w:r>
      <w:r w:rsidR="004369B8" w:rsidRPr="007271D7">
        <w:rPr>
          <w:rFonts w:ascii="Calibri" w:hAnsi="Calibri" w:cs="Calibri"/>
        </w:rPr>
        <w:t>advertising</w:t>
      </w:r>
      <w:r w:rsidR="009312C3" w:rsidRPr="007271D7">
        <w:rPr>
          <w:rFonts w:ascii="Calibri" w:hAnsi="Calibri" w:cs="Calibri"/>
        </w:rPr>
        <w:t xml:space="preserve"> </w:t>
      </w:r>
      <w:r w:rsidR="00346ACE" w:rsidRPr="007271D7">
        <w:rPr>
          <w:rFonts w:ascii="Calibri" w:hAnsi="Calibri" w:cs="Calibri"/>
        </w:rPr>
        <w:t>for</w:t>
      </w:r>
      <w:r w:rsidR="009312C3" w:rsidRPr="007271D7">
        <w:rPr>
          <w:rFonts w:ascii="Calibri" w:hAnsi="Calibri" w:cs="Calibri"/>
        </w:rPr>
        <w:t xml:space="preserve"> fast food or sugary drinks</w:t>
      </w:r>
      <w:r w:rsidR="00D2555D" w:rsidRPr="007271D7">
        <w:rPr>
          <w:rFonts w:ascii="Calibri" w:hAnsi="Calibri" w:cs="Calibri"/>
        </w:rPr>
        <w:t>.</w:t>
      </w:r>
      <w:r w:rsidR="002F4D81" w:rsidRPr="007271D7">
        <w:rPr>
          <w:rFonts w:ascii="Calibri" w:hAnsi="Calibri" w:cs="Calibri"/>
        </w:rPr>
        <w:t xml:space="preserve"> There were some interactions between sociodemographic characteristics and region on their influence on self-report advertising exposure (see </w:t>
      </w:r>
      <w:r w:rsidR="002F4D81" w:rsidRPr="007271D7">
        <w:rPr>
          <w:rFonts w:ascii="Calibri" w:hAnsi="Calibri" w:cs="Calibri"/>
          <w:b/>
          <w:bCs/>
        </w:rPr>
        <w:t>Supplementary Table S5</w:t>
      </w:r>
      <w:r w:rsidR="002F4D81" w:rsidRPr="007271D7">
        <w:rPr>
          <w:rFonts w:ascii="Calibri" w:hAnsi="Calibri" w:cs="Calibri"/>
        </w:rPr>
        <w:t xml:space="preserve">). Results stratified by region are presented in </w:t>
      </w:r>
      <w:r w:rsidR="002F4D81" w:rsidRPr="007271D7">
        <w:rPr>
          <w:rFonts w:ascii="Calibri" w:hAnsi="Calibri" w:cs="Calibri"/>
          <w:b/>
          <w:bCs/>
        </w:rPr>
        <w:t xml:space="preserve">Supplementary Tables S6 and S7 </w:t>
      </w:r>
      <w:r w:rsidR="002F4D81" w:rsidRPr="007271D7">
        <w:rPr>
          <w:rFonts w:ascii="Calibri" w:hAnsi="Calibri" w:cs="Calibri"/>
        </w:rPr>
        <w:t>where significant.</w:t>
      </w:r>
    </w:p>
    <w:p w14:paraId="3F6DDA51" w14:textId="0C0E7D12" w:rsidR="00E604A2" w:rsidRPr="007271D7" w:rsidRDefault="00E604A2" w:rsidP="002A0FEE">
      <w:pPr>
        <w:spacing w:line="480" w:lineRule="auto"/>
        <w:rPr>
          <w:rFonts w:ascii="Calibri" w:hAnsi="Calibri" w:cs="Calibri"/>
        </w:rPr>
      </w:pPr>
    </w:p>
    <w:p w14:paraId="22AA7466" w14:textId="7B4D39D6" w:rsidR="00BE274A" w:rsidRPr="007271D7" w:rsidRDefault="00BE274A" w:rsidP="00BE274A">
      <w:pPr>
        <w:spacing w:line="480" w:lineRule="auto"/>
        <w:rPr>
          <w:rFonts w:ascii="Calibri" w:hAnsi="Calibri" w:cs="Calibri"/>
          <w:b/>
          <w:bCs/>
        </w:rPr>
      </w:pPr>
      <w:r w:rsidRPr="007271D7">
        <w:rPr>
          <w:rFonts w:ascii="Calibri" w:hAnsi="Calibri" w:cs="Calibri"/>
          <w:b/>
          <w:bCs/>
        </w:rPr>
        <w:lastRenderedPageBreak/>
        <w:t>Sociodemographic differences in exposure to advertising for</w:t>
      </w:r>
      <w:r w:rsidR="00EA403A" w:rsidRPr="007271D7">
        <w:rPr>
          <w:rFonts w:ascii="Calibri" w:hAnsi="Calibri" w:cs="Calibri"/>
          <w:b/>
          <w:bCs/>
        </w:rPr>
        <w:t xml:space="preserve"> digital</w:t>
      </w:r>
      <w:r w:rsidRPr="007271D7">
        <w:rPr>
          <w:rFonts w:ascii="Calibri" w:hAnsi="Calibri" w:cs="Calibri"/>
          <w:b/>
          <w:bCs/>
        </w:rPr>
        <w:t xml:space="preserve"> </w:t>
      </w:r>
      <w:r w:rsidR="00EA403A" w:rsidRPr="007271D7">
        <w:rPr>
          <w:rFonts w:ascii="Calibri" w:hAnsi="Calibri" w:cs="Calibri"/>
          <w:b/>
          <w:bCs/>
        </w:rPr>
        <w:t xml:space="preserve">food </w:t>
      </w:r>
      <w:r w:rsidRPr="007271D7">
        <w:rPr>
          <w:rFonts w:ascii="Calibri" w:hAnsi="Calibri" w:cs="Calibri"/>
          <w:b/>
          <w:bCs/>
        </w:rPr>
        <w:t xml:space="preserve">delivery </w:t>
      </w:r>
      <w:r w:rsidR="00EA403A" w:rsidRPr="007271D7">
        <w:rPr>
          <w:rFonts w:ascii="Calibri" w:hAnsi="Calibri" w:cs="Calibri"/>
          <w:b/>
          <w:bCs/>
        </w:rPr>
        <w:t>services</w:t>
      </w:r>
      <w:r w:rsidRPr="007271D7">
        <w:rPr>
          <w:rFonts w:ascii="Calibri" w:hAnsi="Calibri" w:cs="Calibri"/>
          <w:b/>
          <w:bCs/>
        </w:rPr>
        <w:t xml:space="preserve"> </w:t>
      </w:r>
    </w:p>
    <w:p w14:paraId="249DD745" w14:textId="5D5B1F1A" w:rsidR="00EE428A" w:rsidRPr="007271D7" w:rsidRDefault="006D56AA" w:rsidP="002A0FEE">
      <w:pPr>
        <w:spacing w:line="480" w:lineRule="auto"/>
        <w:rPr>
          <w:rFonts w:ascii="Calibri" w:hAnsi="Calibri" w:cs="Calibri"/>
        </w:rPr>
      </w:pPr>
      <w:r w:rsidRPr="007271D7">
        <w:rPr>
          <w:rFonts w:ascii="Calibri" w:hAnsi="Calibri" w:cs="Calibri"/>
        </w:rPr>
        <w:t xml:space="preserve">Higher adjusted odds of </w:t>
      </w:r>
      <w:r w:rsidR="005E2DC2" w:rsidRPr="007271D7">
        <w:rPr>
          <w:rFonts w:ascii="Calibri" w:hAnsi="Calibri" w:cs="Calibri"/>
        </w:rPr>
        <w:t xml:space="preserve">reporting </w:t>
      </w:r>
      <w:r w:rsidRPr="007271D7">
        <w:rPr>
          <w:rFonts w:ascii="Calibri" w:hAnsi="Calibri" w:cs="Calibri"/>
        </w:rPr>
        <w:t>exposure to advertising</w:t>
      </w:r>
      <w:r w:rsidR="005E2DC2" w:rsidRPr="007271D7">
        <w:rPr>
          <w:rFonts w:ascii="Calibri" w:hAnsi="Calibri" w:cs="Calibri"/>
        </w:rPr>
        <w:t xml:space="preserve"> for </w:t>
      </w:r>
      <w:r w:rsidR="002841EB" w:rsidRPr="007271D7">
        <w:rPr>
          <w:rFonts w:ascii="Calibri" w:hAnsi="Calibri" w:cs="Calibri"/>
        </w:rPr>
        <w:t>digital food delivery service</w:t>
      </w:r>
      <w:r w:rsidR="005E2DC2" w:rsidRPr="007271D7">
        <w:rPr>
          <w:rFonts w:ascii="Calibri" w:hAnsi="Calibri" w:cs="Calibri"/>
        </w:rPr>
        <w:t>s</w:t>
      </w:r>
      <w:r w:rsidRPr="007271D7">
        <w:rPr>
          <w:rFonts w:ascii="Calibri" w:hAnsi="Calibri" w:cs="Calibri"/>
        </w:rPr>
        <w:t xml:space="preserve"> were observed in</w:t>
      </w:r>
      <w:r w:rsidR="00C15488" w:rsidRPr="007271D7">
        <w:rPr>
          <w:rFonts w:ascii="Calibri" w:hAnsi="Calibri" w:cs="Calibri"/>
        </w:rPr>
        <w:t xml:space="preserve"> the</w:t>
      </w:r>
      <w:r w:rsidRPr="007271D7">
        <w:rPr>
          <w:rFonts w:ascii="Calibri" w:hAnsi="Calibri" w:cs="Calibri"/>
        </w:rPr>
        <w:t xml:space="preserve"> lower</w:t>
      </w:r>
      <w:r w:rsidR="005E2DC2" w:rsidRPr="007271D7">
        <w:rPr>
          <w:rFonts w:ascii="Calibri" w:hAnsi="Calibri" w:cs="Calibri"/>
        </w:rPr>
        <w:t xml:space="preserve"> socioeconomic groups</w:t>
      </w:r>
      <w:r w:rsidRPr="007271D7">
        <w:rPr>
          <w:rFonts w:ascii="Calibri" w:hAnsi="Calibri" w:cs="Calibri"/>
        </w:rPr>
        <w:t xml:space="preserve"> compared to </w:t>
      </w:r>
      <w:r w:rsidR="005E2DC2" w:rsidRPr="007271D7">
        <w:rPr>
          <w:rFonts w:ascii="Calibri" w:hAnsi="Calibri" w:cs="Calibri"/>
        </w:rPr>
        <w:t>the highest</w:t>
      </w:r>
      <w:r w:rsidRPr="007271D7">
        <w:rPr>
          <w:rFonts w:ascii="Calibri" w:hAnsi="Calibri" w:cs="Calibri"/>
        </w:rPr>
        <w:t xml:space="preserve">: </w:t>
      </w:r>
      <w:r w:rsidR="007D47B2" w:rsidRPr="007271D7">
        <w:rPr>
          <w:rFonts w:ascii="Calibri" w:hAnsi="Calibri" w:cs="Calibri"/>
        </w:rPr>
        <w:t xml:space="preserve">low </w:t>
      </w:r>
      <w:r w:rsidRPr="007271D7">
        <w:rPr>
          <w:rFonts w:ascii="Calibri" w:hAnsi="Calibri" w:cs="Calibri"/>
        </w:rPr>
        <w:t xml:space="preserve">(OR 1.47; 95% CI 1.05-2.05) and </w:t>
      </w:r>
      <w:r w:rsidR="007D47B2" w:rsidRPr="007271D7">
        <w:rPr>
          <w:rFonts w:ascii="Calibri" w:hAnsi="Calibri" w:cs="Calibri"/>
        </w:rPr>
        <w:t>middle</w:t>
      </w:r>
      <w:r w:rsidRPr="007271D7">
        <w:rPr>
          <w:rFonts w:ascii="Calibri" w:hAnsi="Calibri" w:cs="Calibri"/>
        </w:rPr>
        <w:t xml:space="preserve"> (OR 1.39; 95% CI 1.08-1.80). </w:t>
      </w:r>
      <w:r w:rsidR="00BE274A" w:rsidRPr="007271D7">
        <w:rPr>
          <w:rFonts w:ascii="Calibri" w:hAnsi="Calibri" w:cs="Calibri"/>
        </w:rPr>
        <w:t xml:space="preserve">The </w:t>
      </w:r>
      <w:r w:rsidR="000C4959" w:rsidRPr="007271D7">
        <w:rPr>
          <w:rFonts w:ascii="Calibri" w:hAnsi="Calibri" w:cs="Calibri"/>
        </w:rPr>
        <w:t xml:space="preserve">adjusted </w:t>
      </w:r>
      <w:r w:rsidR="00BE274A" w:rsidRPr="007271D7">
        <w:rPr>
          <w:rFonts w:ascii="Calibri" w:hAnsi="Calibri" w:cs="Calibri"/>
        </w:rPr>
        <w:t xml:space="preserve">odds were </w:t>
      </w:r>
      <w:r w:rsidR="000C4959" w:rsidRPr="007271D7">
        <w:rPr>
          <w:rFonts w:ascii="Calibri" w:hAnsi="Calibri" w:cs="Calibri"/>
        </w:rPr>
        <w:t xml:space="preserve">also </w:t>
      </w:r>
      <w:r w:rsidR="00BE274A" w:rsidRPr="007271D7">
        <w:rPr>
          <w:rFonts w:ascii="Calibri" w:hAnsi="Calibri" w:cs="Calibri"/>
        </w:rPr>
        <w:t>higher among participants aged 18-34 years (OR 2.08; 95% CI 1.20-3.59), 35-44 years (OR 1.93; 95% CI 1.15-3.36) and 55-64 years (OR 1.53; 95% CI 1.00-2.35) compared to those aged ≥65 years.</w:t>
      </w:r>
      <w:r w:rsidR="008961B6" w:rsidRPr="007271D7">
        <w:rPr>
          <w:rFonts w:ascii="Calibri" w:hAnsi="Calibri" w:cs="Calibri"/>
        </w:rPr>
        <w:t xml:space="preserve"> </w:t>
      </w:r>
    </w:p>
    <w:p w14:paraId="38796A49" w14:textId="77777777" w:rsidR="00BE274A" w:rsidRPr="007271D7" w:rsidRDefault="00BE274A" w:rsidP="002A0FEE">
      <w:pPr>
        <w:spacing w:line="480" w:lineRule="auto"/>
        <w:rPr>
          <w:rFonts w:ascii="Calibri" w:hAnsi="Calibri" w:cs="Calibri"/>
        </w:rPr>
      </w:pPr>
    </w:p>
    <w:p w14:paraId="3FDC3AA3" w14:textId="2D759426" w:rsidR="00E64098" w:rsidRPr="007271D7" w:rsidRDefault="00E64098" w:rsidP="002A0FEE">
      <w:pPr>
        <w:spacing w:line="480" w:lineRule="auto"/>
        <w:rPr>
          <w:rFonts w:ascii="Calibri" w:hAnsi="Calibri" w:cs="Calibri"/>
          <w:b/>
          <w:bCs/>
        </w:rPr>
      </w:pPr>
      <w:r w:rsidRPr="007271D7">
        <w:rPr>
          <w:rFonts w:ascii="Calibri" w:hAnsi="Calibri" w:cs="Calibri"/>
          <w:b/>
          <w:bCs/>
        </w:rPr>
        <w:t xml:space="preserve">Sociodemographic differences in exposure to </w:t>
      </w:r>
      <w:proofErr w:type="gramStart"/>
      <w:r w:rsidRPr="007271D7">
        <w:rPr>
          <w:rFonts w:ascii="Calibri" w:hAnsi="Calibri" w:cs="Calibri"/>
          <w:b/>
          <w:bCs/>
        </w:rPr>
        <w:t xml:space="preserve">advertising by </w:t>
      </w:r>
      <w:r w:rsidR="00EE0909" w:rsidRPr="007271D7">
        <w:rPr>
          <w:rFonts w:ascii="Calibri" w:hAnsi="Calibri" w:cs="Calibri"/>
          <w:b/>
          <w:bCs/>
        </w:rPr>
        <w:t>advertising</w:t>
      </w:r>
      <w:proofErr w:type="gramEnd"/>
      <w:r w:rsidR="00EE0909" w:rsidRPr="007271D7">
        <w:rPr>
          <w:rFonts w:ascii="Calibri" w:hAnsi="Calibri" w:cs="Calibri"/>
          <w:b/>
          <w:bCs/>
        </w:rPr>
        <w:t xml:space="preserve"> setting</w:t>
      </w:r>
      <w:r w:rsidRPr="007271D7">
        <w:rPr>
          <w:rFonts w:ascii="Calibri" w:hAnsi="Calibri" w:cs="Calibri"/>
          <w:b/>
          <w:bCs/>
        </w:rPr>
        <w:t xml:space="preserve"> </w:t>
      </w:r>
    </w:p>
    <w:p w14:paraId="50C9D30A" w14:textId="4B662E90" w:rsidR="00E604A2" w:rsidRPr="007271D7" w:rsidRDefault="00D2555D" w:rsidP="002A0FEE">
      <w:pPr>
        <w:spacing w:line="480" w:lineRule="auto"/>
        <w:rPr>
          <w:rFonts w:ascii="Calibri" w:hAnsi="Calibri" w:cs="Calibri"/>
        </w:rPr>
      </w:pPr>
      <w:r w:rsidRPr="007271D7">
        <w:rPr>
          <w:rFonts w:ascii="Calibri" w:hAnsi="Calibri" w:cs="Calibri"/>
        </w:rPr>
        <w:t xml:space="preserve">Sociodemographic differences in </w:t>
      </w:r>
      <w:r w:rsidR="003F27C4" w:rsidRPr="007271D7">
        <w:rPr>
          <w:rFonts w:ascii="Calibri" w:hAnsi="Calibri" w:cs="Calibri"/>
        </w:rPr>
        <w:t xml:space="preserve">self-reported </w:t>
      </w:r>
      <w:r w:rsidRPr="007271D7">
        <w:rPr>
          <w:rFonts w:ascii="Calibri" w:hAnsi="Calibri" w:cs="Calibri"/>
        </w:rPr>
        <w:t xml:space="preserve">exposure were found </w:t>
      </w:r>
      <w:r w:rsidR="006D56AA" w:rsidRPr="007271D7">
        <w:rPr>
          <w:rFonts w:ascii="Calibri" w:hAnsi="Calibri" w:cs="Calibri"/>
        </w:rPr>
        <w:t>for</w:t>
      </w:r>
      <w:r w:rsidR="00CF41EA" w:rsidRPr="007271D7">
        <w:rPr>
          <w:rFonts w:ascii="Calibri" w:hAnsi="Calibri" w:cs="Calibri"/>
        </w:rPr>
        <w:t xml:space="preserve"> </w:t>
      </w:r>
      <w:r w:rsidR="006D56AA" w:rsidRPr="007271D7">
        <w:rPr>
          <w:rFonts w:ascii="Calibri" w:hAnsi="Calibri" w:cs="Calibri"/>
        </w:rPr>
        <w:t>traditional advertising, digital advertising</w:t>
      </w:r>
      <w:r w:rsidR="00DD084E" w:rsidRPr="007271D7">
        <w:rPr>
          <w:rFonts w:ascii="Calibri" w:hAnsi="Calibri" w:cs="Calibri"/>
        </w:rPr>
        <w:t xml:space="preserve"> </w:t>
      </w:r>
      <w:r w:rsidR="006D56AA" w:rsidRPr="007271D7">
        <w:rPr>
          <w:rFonts w:ascii="Calibri" w:hAnsi="Calibri" w:cs="Calibri"/>
        </w:rPr>
        <w:t xml:space="preserve">and advertising across transport networks </w:t>
      </w:r>
      <w:r w:rsidR="00DD084E" w:rsidRPr="007271D7">
        <w:rPr>
          <w:rFonts w:ascii="Calibri" w:hAnsi="Calibri" w:cs="Calibri"/>
        </w:rPr>
        <w:t>(</w:t>
      </w:r>
      <w:r w:rsidR="00DD084E" w:rsidRPr="007271D7">
        <w:rPr>
          <w:rFonts w:ascii="Calibri" w:hAnsi="Calibri" w:cs="Calibri"/>
          <w:b/>
          <w:bCs/>
        </w:rPr>
        <w:t>Table 3</w:t>
      </w:r>
      <w:r w:rsidR="00DD084E" w:rsidRPr="007271D7">
        <w:rPr>
          <w:rFonts w:ascii="Calibri" w:hAnsi="Calibri" w:cs="Calibri"/>
        </w:rPr>
        <w:t>)</w:t>
      </w:r>
      <w:r w:rsidRPr="007271D7">
        <w:rPr>
          <w:rFonts w:ascii="Calibri" w:hAnsi="Calibri" w:cs="Calibri"/>
        </w:rPr>
        <w:t xml:space="preserve">. </w:t>
      </w:r>
      <w:r w:rsidR="006A4655" w:rsidRPr="007271D7">
        <w:rPr>
          <w:rFonts w:ascii="Calibri" w:hAnsi="Calibri" w:cs="Calibri"/>
        </w:rPr>
        <w:t xml:space="preserve">Adjusted odds of self-reported exposure were higher in the lower socioeconomic groups compared to the high socioeconomic group for traditional advertising: low (OR 1.44; 95% CI 1.00-2.08) and middle (OR 1.52; 95% CI 1.15-2.00). </w:t>
      </w:r>
      <w:r w:rsidR="00C84F5A" w:rsidRPr="007271D7">
        <w:rPr>
          <w:rFonts w:ascii="Calibri" w:hAnsi="Calibri" w:cs="Calibri"/>
        </w:rPr>
        <w:t>Adjusted</w:t>
      </w:r>
      <w:r w:rsidR="00792287" w:rsidRPr="007271D7">
        <w:rPr>
          <w:rFonts w:ascii="Calibri" w:hAnsi="Calibri" w:cs="Calibri"/>
        </w:rPr>
        <w:t xml:space="preserve"> odds of self-report</w:t>
      </w:r>
      <w:r w:rsidR="00CF41EA" w:rsidRPr="007271D7">
        <w:rPr>
          <w:rFonts w:ascii="Calibri" w:hAnsi="Calibri" w:cs="Calibri"/>
        </w:rPr>
        <w:t>ed</w:t>
      </w:r>
      <w:r w:rsidR="00792287" w:rsidRPr="007271D7">
        <w:rPr>
          <w:rFonts w:ascii="Calibri" w:hAnsi="Calibri" w:cs="Calibri"/>
        </w:rPr>
        <w:t xml:space="preserve"> exposure to digital </w:t>
      </w:r>
      <w:r w:rsidR="00C15488" w:rsidRPr="007271D7">
        <w:rPr>
          <w:rFonts w:ascii="Calibri" w:hAnsi="Calibri" w:cs="Calibri"/>
        </w:rPr>
        <w:t xml:space="preserve">advertising </w:t>
      </w:r>
      <w:r w:rsidR="006A4655" w:rsidRPr="007271D7">
        <w:rPr>
          <w:rFonts w:ascii="Calibri" w:hAnsi="Calibri" w:cs="Calibri"/>
        </w:rPr>
        <w:t xml:space="preserve">were higher in the low compared to high socioeconomic group </w:t>
      </w:r>
      <w:r w:rsidR="003B264B" w:rsidRPr="007271D7">
        <w:rPr>
          <w:rFonts w:ascii="Calibri" w:hAnsi="Calibri" w:cs="Calibri"/>
        </w:rPr>
        <w:t>(OR 1.50; 95% CI 1.06-2.14)</w:t>
      </w:r>
      <w:r w:rsidR="00792287" w:rsidRPr="007271D7">
        <w:rPr>
          <w:rFonts w:ascii="Calibri" w:hAnsi="Calibri" w:cs="Calibri"/>
        </w:rPr>
        <w:t>,</w:t>
      </w:r>
      <w:r w:rsidR="006A4655" w:rsidRPr="007271D7">
        <w:rPr>
          <w:rFonts w:ascii="Calibri" w:hAnsi="Calibri" w:cs="Calibri"/>
        </w:rPr>
        <w:t xml:space="preserve"> and younger age</w:t>
      </w:r>
      <w:r w:rsidR="00792287" w:rsidRPr="007271D7">
        <w:rPr>
          <w:rFonts w:ascii="Calibri" w:hAnsi="Calibri" w:cs="Calibri"/>
        </w:rPr>
        <w:t xml:space="preserve"> </w:t>
      </w:r>
      <w:r w:rsidR="006A4655" w:rsidRPr="007271D7">
        <w:rPr>
          <w:rFonts w:ascii="Calibri" w:hAnsi="Calibri" w:cs="Calibri"/>
        </w:rPr>
        <w:t>groups compared to ≥65 years</w:t>
      </w:r>
      <w:r w:rsidR="003B264B" w:rsidRPr="007271D7">
        <w:rPr>
          <w:rFonts w:ascii="Calibri" w:hAnsi="Calibri" w:cs="Calibri"/>
        </w:rPr>
        <w:t>:</w:t>
      </w:r>
      <w:r w:rsidR="00792287" w:rsidRPr="007271D7">
        <w:rPr>
          <w:rFonts w:ascii="Calibri" w:hAnsi="Calibri" w:cs="Calibri"/>
        </w:rPr>
        <w:t xml:space="preserve"> </w:t>
      </w:r>
      <w:r w:rsidR="008E1C64" w:rsidRPr="007271D7">
        <w:rPr>
          <w:rFonts w:ascii="Calibri" w:hAnsi="Calibri" w:cs="Calibri"/>
        </w:rPr>
        <w:t xml:space="preserve">18-34 years </w:t>
      </w:r>
      <w:r w:rsidR="003B264B" w:rsidRPr="007271D7">
        <w:rPr>
          <w:rFonts w:ascii="Calibri" w:hAnsi="Calibri" w:cs="Calibri"/>
        </w:rPr>
        <w:t xml:space="preserve">(OR 3.93, 95% CI 2.18-2.07) </w:t>
      </w:r>
      <w:r w:rsidR="008E1C64" w:rsidRPr="007271D7">
        <w:rPr>
          <w:rFonts w:ascii="Calibri" w:hAnsi="Calibri" w:cs="Calibri"/>
        </w:rPr>
        <w:t xml:space="preserve">and 35-44 years </w:t>
      </w:r>
      <w:r w:rsidR="003B264B" w:rsidRPr="007271D7">
        <w:rPr>
          <w:rFonts w:ascii="Calibri" w:hAnsi="Calibri" w:cs="Calibri"/>
        </w:rPr>
        <w:t>(OR 3.06; 95% CI 1.74-5.40)</w:t>
      </w:r>
      <w:r w:rsidR="00792287" w:rsidRPr="007271D7">
        <w:rPr>
          <w:rFonts w:ascii="Calibri" w:hAnsi="Calibri" w:cs="Calibri"/>
        </w:rPr>
        <w:t xml:space="preserve">. </w:t>
      </w:r>
      <w:r w:rsidR="00C84F5A" w:rsidRPr="007271D7">
        <w:rPr>
          <w:rFonts w:ascii="Calibri" w:hAnsi="Calibri" w:cs="Calibri"/>
        </w:rPr>
        <w:t>The</w:t>
      </w:r>
      <w:r w:rsidR="003F27C4" w:rsidRPr="007271D7">
        <w:rPr>
          <w:rFonts w:ascii="Calibri" w:hAnsi="Calibri" w:cs="Calibri"/>
        </w:rPr>
        <w:t xml:space="preserve"> adjusted</w:t>
      </w:r>
      <w:r w:rsidR="00C84F5A" w:rsidRPr="007271D7">
        <w:rPr>
          <w:rFonts w:ascii="Calibri" w:hAnsi="Calibri" w:cs="Calibri"/>
        </w:rPr>
        <w:t xml:space="preserve"> odds of reporting exposure to advertising </w:t>
      </w:r>
      <w:r w:rsidR="00EE30BF" w:rsidRPr="007271D7">
        <w:rPr>
          <w:rFonts w:ascii="Calibri" w:hAnsi="Calibri" w:cs="Calibri"/>
        </w:rPr>
        <w:t xml:space="preserve">across transport networks </w:t>
      </w:r>
      <w:r w:rsidR="00C84F5A" w:rsidRPr="007271D7">
        <w:rPr>
          <w:rFonts w:ascii="Calibri" w:hAnsi="Calibri" w:cs="Calibri"/>
        </w:rPr>
        <w:t xml:space="preserve">were </w:t>
      </w:r>
      <w:r w:rsidR="003819A0" w:rsidRPr="007271D7">
        <w:rPr>
          <w:rFonts w:ascii="Calibri" w:hAnsi="Calibri" w:cs="Calibri"/>
        </w:rPr>
        <w:t xml:space="preserve">higher </w:t>
      </w:r>
      <w:r w:rsidR="00C15488" w:rsidRPr="007271D7">
        <w:rPr>
          <w:rFonts w:ascii="Calibri" w:hAnsi="Calibri" w:cs="Calibri"/>
        </w:rPr>
        <w:t>among</w:t>
      </w:r>
      <w:r w:rsidR="00C84F5A" w:rsidRPr="007271D7">
        <w:rPr>
          <w:rFonts w:ascii="Calibri" w:hAnsi="Calibri" w:cs="Calibri"/>
        </w:rPr>
        <w:t xml:space="preserve"> </w:t>
      </w:r>
      <w:r w:rsidR="003819A0" w:rsidRPr="007271D7">
        <w:rPr>
          <w:rFonts w:ascii="Calibri" w:hAnsi="Calibri" w:cs="Calibri"/>
        </w:rPr>
        <w:t xml:space="preserve">participants aged 18-34 years compared to ≥65 years (OR </w:t>
      </w:r>
      <w:r w:rsidR="0020243C" w:rsidRPr="007271D7">
        <w:rPr>
          <w:rFonts w:ascii="Calibri" w:hAnsi="Calibri" w:cs="Calibri"/>
        </w:rPr>
        <w:t>1.96; 95% CI 1.11-3.48</w:t>
      </w:r>
      <w:r w:rsidR="00EE30BF" w:rsidRPr="007271D7">
        <w:rPr>
          <w:rFonts w:ascii="Calibri" w:hAnsi="Calibri" w:cs="Calibri"/>
        </w:rPr>
        <w:t>), and</w:t>
      </w:r>
      <w:r w:rsidR="00C84F5A" w:rsidRPr="007271D7">
        <w:rPr>
          <w:rFonts w:ascii="Calibri" w:hAnsi="Calibri" w:cs="Calibri"/>
        </w:rPr>
        <w:t xml:space="preserve"> participants </w:t>
      </w:r>
      <w:r w:rsidR="00CC7CFD" w:rsidRPr="007271D7">
        <w:rPr>
          <w:rFonts w:ascii="Calibri" w:hAnsi="Calibri" w:cs="Calibri"/>
        </w:rPr>
        <w:t xml:space="preserve">who were </w:t>
      </w:r>
      <w:r w:rsidR="00907188" w:rsidRPr="007271D7">
        <w:rPr>
          <w:rFonts w:ascii="Calibri" w:hAnsi="Calibri" w:cs="Calibri"/>
        </w:rPr>
        <w:t>full-time employees</w:t>
      </w:r>
      <w:r w:rsidR="00CC7CFD" w:rsidRPr="007271D7">
        <w:rPr>
          <w:rFonts w:ascii="Calibri" w:hAnsi="Calibri" w:cs="Calibri"/>
        </w:rPr>
        <w:t xml:space="preserve"> compared to</w:t>
      </w:r>
      <w:r w:rsidR="00C15488" w:rsidRPr="007271D7">
        <w:rPr>
          <w:rFonts w:ascii="Calibri" w:hAnsi="Calibri" w:cs="Calibri"/>
        </w:rPr>
        <w:t xml:space="preserve"> those</w:t>
      </w:r>
      <w:r w:rsidR="00CC7CFD" w:rsidRPr="007271D7">
        <w:rPr>
          <w:rFonts w:ascii="Calibri" w:hAnsi="Calibri" w:cs="Calibri"/>
        </w:rPr>
        <w:t xml:space="preserve"> </w:t>
      </w:r>
      <w:r w:rsidR="002F71A3" w:rsidRPr="007271D7">
        <w:rPr>
          <w:rFonts w:ascii="Calibri" w:hAnsi="Calibri" w:cs="Calibri"/>
        </w:rPr>
        <w:t>not looking for work or unable to work</w:t>
      </w:r>
      <w:r w:rsidR="002F71A3" w:rsidRPr="007271D7" w:rsidDel="002F71A3">
        <w:rPr>
          <w:rFonts w:ascii="Calibri" w:hAnsi="Calibri" w:cs="Calibri"/>
        </w:rPr>
        <w:t xml:space="preserve"> </w:t>
      </w:r>
      <w:r w:rsidR="00907188" w:rsidRPr="007271D7">
        <w:rPr>
          <w:rFonts w:ascii="Calibri" w:hAnsi="Calibri" w:cs="Calibri"/>
        </w:rPr>
        <w:t>(</w:t>
      </w:r>
      <w:r w:rsidR="00CC7CFD" w:rsidRPr="007271D7">
        <w:rPr>
          <w:rFonts w:ascii="Calibri" w:hAnsi="Calibri" w:cs="Calibri"/>
        </w:rPr>
        <w:t xml:space="preserve">OR </w:t>
      </w:r>
      <w:r w:rsidR="00907188" w:rsidRPr="007271D7">
        <w:rPr>
          <w:rFonts w:ascii="Calibri" w:hAnsi="Calibri" w:cs="Calibri"/>
        </w:rPr>
        <w:t>1.50;</w:t>
      </w:r>
      <w:r w:rsidR="00CC7CFD" w:rsidRPr="007271D7">
        <w:rPr>
          <w:rFonts w:ascii="Calibri" w:hAnsi="Calibri" w:cs="Calibri"/>
        </w:rPr>
        <w:t xml:space="preserve"> 95% CI </w:t>
      </w:r>
      <w:r w:rsidR="00907188" w:rsidRPr="007271D7">
        <w:rPr>
          <w:rFonts w:ascii="Calibri" w:hAnsi="Calibri" w:cs="Calibri"/>
        </w:rPr>
        <w:t>1.04-2.17</w:t>
      </w:r>
      <w:r w:rsidR="00CC7CFD" w:rsidRPr="007271D7">
        <w:rPr>
          <w:rFonts w:ascii="Calibri" w:hAnsi="Calibri" w:cs="Calibri"/>
        </w:rPr>
        <w:t>)</w:t>
      </w:r>
      <w:r w:rsidR="00C84F5A" w:rsidRPr="007271D7">
        <w:rPr>
          <w:rFonts w:ascii="Calibri" w:hAnsi="Calibri" w:cs="Calibri"/>
        </w:rPr>
        <w:t>.</w:t>
      </w:r>
      <w:r w:rsidR="00CC7CFD" w:rsidRPr="007271D7">
        <w:rPr>
          <w:rFonts w:ascii="Calibri" w:hAnsi="Calibri" w:cs="Calibri"/>
        </w:rPr>
        <w:t xml:space="preserve"> </w:t>
      </w:r>
    </w:p>
    <w:p w14:paraId="39AA72B4" w14:textId="77777777" w:rsidR="00D17FB1" w:rsidRPr="007271D7" w:rsidRDefault="00D17FB1" w:rsidP="002A0FEE">
      <w:pPr>
        <w:spacing w:line="480" w:lineRule="auto"/>
        <w:rPr>
          <w:rFonts w:ascii="Calibri" w:hAnsi="Calibri" w:cs="Calibri"/>
        </w:rPr>
      </w:pPr>
    </w:p>
    <w:p w14:paraId="38026A9B" w14:textId="46B6D3F0" w:rsidR="00E64098" w:rsidRPr="007271D7" w:rsidRDefault="00E64098" w:rsidP="002A0FEE">
      <w:pPr>
        <w:spacing w:line="480" w:lineRule="auto"/>
        <w:rPr>
          <w:rFonts w:ascii="Calibri" w:hAnsi="Calibri" w:cs="Calibri"/>
          <w:b/>
          <w:bCs/>
        </w:rPr>
      </w:pPr>
      <w:r w:rsidRPr="007271D7">
        <w:rPr>
          <w:rFonts w:ascii="Calibri" w:hAnsi="Calibri" w:cs="Calibri"/>
          <w:b/>
          <w:bCs/>
        </w:rPr>
        <w:t>Association between advertising</w:t>
      </w:r>
      <w:r w:rsidR="00C93722" w:rsidRPr="007271D7">
        <w:rPr>
          <w:rFonts w:ascii="Calibri" w:hAnsi="Calibri" w:cs="Calibri"/>
          <w:b/>
          <w:bCs/>
        </w:rPr>
        <w:t xml:space="preserve"> exposure</w:t>
      </w:r>
      <w:r w:rsidRPr="007271D7">
        <w:rPr>
          <w:rFonts w:ascii="Calibri" w:hAnsi="Calibri" w:cs="Calibri"/>
          <w:b/>
          <w:bCs/>
        </w:rPr>
        <w:t xml:space="preserve"> and BMI</w:t>
      </w:r>
    </w:p>
    <w:p w14:paraId="151F6362" w14:textId="77C13898" w:rsidR="006B3E77" w:rsidRPr="007271D7" w:rsidRDefault="00545F9B" w:rsidP="002A0FEE">
      <w:pPr>
        <w:spacing w:line="480" w:lineRule="auto"/>
        <w:rPr>
          <w:rFonts w:ascii="Calibri" w:hAnsi="Calibri" w:cs="Calibri"/>
        </w:rPr>
      </w:pPr>
      <w:r w:rsidRPr="007271D7">
        <w:rPr>
          <w:rFonts w:ascii="Calibri" w:hAnsi="Calibri" w:cs="Calibri"/>
        </w:rPr>
        <w:lastRenderedPageBreak/>
        <w:t>Overall s</w:t>
      </w:r>
      <w:r w:rsidR="004B0CBB" w:rsidRPr="007271D7">
        <w:rPr>
          <w:rFonts w:ascii="Calibri" w:hAnsi="Calibri" w:cs="Calibri"/>
        </w:rPr>
        <w:t xml:space="preserve">elf-reported exposure </w:t>
      </w:r>
      <w:r w:rsidR="003339FD" w:rsidRPr="007271D7">
        <w:rPr>
          <w:rFonts w:ascii="Calibri" w:hAnsi="Calibri" w:cs="Calibri"/>
        </w:rPr>
        <w:t xml:space="preserve">to </w:t>
      </w:r>
      <w:r w:rsidR="00E84B99" w:rsidRPr="007271D7">
        <w:rPr>
          <w:rFonts w:ascii="Calibri" w:hAnsi="Calibri" w:cs="Calibri"/>
        </w:rPr>
        <w:t>less healthy food and drink</w:t>
      </w:r>
      <w:r w:rsidR="00012596" w:rsidRPr="007271D7">
        <w:rPr>
          <w:rFonts w:ascii="Calibri" w:hAnsi="Calibri" w:cs="Calibri"/>
        </w:rPr>
        <w:t xml:space="preserve"> advertising</w:t>
      </w:r>
      <w:r w:rsidR="00E84B99" w:rsidRPr="007271D7">
        <w:rPr>
          <w:rFonts w:ascii="Calibri" w:hAnsi="Calibri" w:cs="Calibri"/>
        </w:rPr>
        <w:t xml:space="preserve"> </w:t>
      </w:r>
      <w:r w:rsidR="001376BA" w:rsidRPr="007271D7">
        <w:rPr>
          <w:rFonts w:ascii="Calibri" w:hAnsi="Calibri" w:cs="Calibri"/>
        </w:rPr>
        <w:t>was not associated with BMI</w:t>
      </w:r>
      <w:r w:rsidR="00192653" w:rsidRPr="007271D7">
        <w:rPr>
          <w:rFonts w:ascii="Calibri" w:hAnsi="Calibri" w:cs="Calibri"/>
        </w:rPr>
        <w:t xml:space="preserve"> category</w:t>
      </w:r>
      <w:r w:rsidR="00907A53" w:rsidRPr="007271D7">
        <w:rPr>
          <w:rFonts w:ascii="Calibri" w:hAnsi="Calibri" w:cs="Calibri"/>
        </w:rPr>
        <w:t xml:space="preserve"> (</w:t>
      </w:r>
      <w:r w:rsidR="00907A53" w:rsidRPr="007271D7">
        <w:rPr>
          <w:rFonts w:ascii="Calibri" w:hAnsi="Calibri" w:cs="Calibri"/>
          <w:b/>
          <w:bCs/>
        </w:rPr>
        <w:t>Table 4</w:t>
      </w:r>
      <w:r w:rsidR="00907A53" w:rsidRPr="007271D7">
        <w:rPr>
          <w:rFonts w:ascii="Calibri" w:hAnsi="Calibri" w:cs="Calibri"/>
        </w:rPr>
        <w:t>)</w:t>
      </w:r>
      <w:r w:rsidR="001376BA" w:rsidRPr="007271D7">
        <w:rPr>
          <w:rFonts w:ascii="Calibri" w:hAnsi="Calibri" w:cs="Calibri"/>
        </w:rPr>
        <w:t xml:space="preserve">. </w:t>
      </w:r>
      <w:r w:rsidR="00192653" w:rsidRPr="007271D7">
        <w:rPr>
          <w:rFonts w:ascii="Calibri" w:hAnsi="Calibri" w:cs="Calibri"/>
        </w:rPr>
        <w:t xml:space="preserve">However, </w:t>
      </w:r>
      <w:r w:rsidRPr="007271D7">
        <w:rPr>
          <w:rFonts w:ascii="Calibri" w:hAnsi="Calibri" w:cs="Calibri"/>
        </w:rPr>
        <w:t xml:space="preserve">higher adjusted odds of living with obesity were observed among participants who reported </w:t>
      </w:r>
      <w:r w:rsidR="00192653" w:rsidRPr="007271D7">
        <w:rPr>
          <w:rFonts w:ascii="Calibri" w:hAnsi="Calibri" w:cs="Calibri"/>
        </w:rPr>
        <w:t>e</w:t>
      </w:r>
      <w:r w:rsidR="002C51AF" w:rsidRPr="007271D7">
        <w:rPr>
          <w:rFonts w:ascii="Calibri" w:hAnsi="Calibri" w:cs="Calibri"/>
        </w:rPr>
        <w:t>xposure to advertising</w:t>
      </w:r>
      <w:r w:rsidR="00004F0E" w:rsidRPr="007271D7">
        <w:rPr>
          <w:rFonts w:ascii="Calibri" w:hAnsi="Calibri" w:cs="Calibri"/>
        </w:rPr>
        <w:t xml:space="preserve"> for d</w:t>
      </w:r>
      <w:r w:rsidR="00012596" w:rsidRPr="007271D7">
        <w:rPr>
          <w:rFonts w:ascii="Calibri" w:hAnsi="Calibri" w:cs="Calibri"/>
        </w:rPr>
        <w:t>igital food delivery services</w:t>
      </w:r>
      <w:r w:rsidR="00192653" w:rsidRPr="007271D7">
        <w:rPr>
          <w:rFonts w:ascii="Calibri" w:hAnsi="Calibri" w:cs="Calibri"/>
        </w:rPr>
        <w:t xml:space="preserve"> </w:t>
      </w:r>
      <w:r w:rsidR="00EB7890" w:rsidRPr="007271D7">
        <w:rPr>
          <w:rFonts w:ascii="Calibri" w:hAnsi="Calibri" w:cs="Calibri"/>
        </w:rPr>
        <w:t>(OR 1.</w:t>
      </w:r>
      <w:r w:rsidR="007C4F16" w:rsidRPr="007271D7">
        <w:rPr>
          <w:rFonts w:ascii="Calibri" w:hAnsi="Calibri" w:cs="Calibri"/>
        </w:rPr>
        <w:t>40;</w:t>
      </w:r>
      <w:r w:rsidR="00EB7890" w:rsidRPr="007271D7">
        <w:rPr>
          <w:rFonts w:ascii="Calibri" w:hAnsi="Calibri" w:cs="Calibri"/>
        </w:rPr>
        <w:t xml:space="preserve"> 95% CI 1.0</w:t>
      </w:r>
      <w:r w:rsidR="007C4F16" w:rsidRPr="007271D7">
        <w:rPr>
          <w:rFonts w:ascii="Calibri" w:hAnsi="Calibri" w:cs="Calibri"/>
        </w:rPr>
        <w:t>5</w:t>
      </w:r>
      <w:r w:rsidR="00EB7890" w:rsidRPr="007271D7">
        <w:rPr>
          <w:rFonts w:ascii="Calibri" w:hAnsi="Calibri" w:cs="Calibri"/>
        </w:rPr>
        <w:t>-1.</w:t>
      </w:r>
      <w:r w:rsidR="007C4F16" w:rsidRPr="007271D7">
        <w:rPr>
          <w:rFonts w:ascii="Calibri" w:hAnsi="Calibri" w:cs="Calibri"/>
        </w:rPr>
        <w:t>88</w:t>
      </w:r>
      <w:r w:rsidR="00EB7890" w:rsidRPr="007271D7">
        <w:rPr>
          <w:rFonts w:ascii="Calibri" w:hAnsi="Calibri" w:cs="Calibri"/>
        </w:rPr>
        <w:t>)</w:t>
      </w:r>
      <w:r w:rsidRPr="007271D7">
        <w:rPr>
          <w:rFonts w:ascii="Calibri" w:hAnsi="Calibri" w:cs="Calibri"/>
        </w:rPr>
        <w:t>,</w:t>
      </w:r>
      <w:r w:rsidR="00EB7890" w:rsidRPr="007271D7">
        <w:rPr>
          <w:rFonts w:ascii="Calibri" w:hAnsi="Calibri" w:cs="Calibri"/>
        </w:rPr>
        <w:t xml:space="preserve"> </w:t>
      </w:r>
      <w:r w:rsidRPr="007271D7">
        <w:rPr>
          <w:rFonts w:ascii="Calibri" w:hAnsi="Calibri" w:cs="Calibri"/>
        </w:rPr>
        <w:t>digital advertising (OR 1.80; 95% CI 1.33-2.44) and advertising in recreational environments (OR 1.46; 95% CI 1.02-2.09)</w:t>
      </w:r>
      <w:r w:rsidR="003F27C4" w:rsidRPr="007271D7">
        <w:rPr>
          <w:rFonts w:ascii="Calibri" w:hAnsi="Calibri" w:cs="Calibri"/>
        </w:rPr>
        <w:t xml:space="preserve">. </w:t>
      </w:r>
      <w:r w:rsidR="001F2B0C" w:rsidRPr="007271D7" w:rsidDel="001F2B0C">
        <w:rPr>
          <w:rFonts w:ascii="Calibri" w:hAnsi="Calibri" w:cs="Calibri"/>
        </w:rPr>
        <w:t xml:space="preserve"> </w:t>
      </w:r>
    </w:p>
    <w:p w14:paraId="11E88BFD" w14:textId="77777777" w:rsidR="00E64098" w:rsidRPr="007271D7" w:rsidRDefault="00E64098" w:rsidP="002A0FEE">
      <w:pPr>
        <w:spacing w:line="480" w:lineRule="auto"/>
      </w:pPr>
    </w:p>
    <w:p w14:paraId="24D21308" w14:textId="6AE3C85A" w:rsidR="006B3E77" w:rsidRPr="007271D7" w:rsidRDefault="006B3E77" w:rsidP="002A0FEE">
      <w:pPr>
        <w:spacing w:line="480" w:lineRule="auto"/>
        <w:rPr>
          <w:b/>
          <w:bCs/>
        </w:rPr>
      </w:pPr>
      <w:r w:rsidRPr="007271D7">
        <w:rPr>
          <w:b/>
          <w:bCs/>
        </w:rPr>
        <w:t xml:space="preserve">DISCUSSION </w:t>
      </w:r>
    </w:p>
    <w:p w14:paraId="3F8A1C22" w14:textId="3E076DB2" w:rsidR="006B3E77" w:rsidRPr="007271D7" w:rsidRDefault="0035596E" w:rsidP="002A0FEE">
      <w:pPr>
        <w:spacing w:line="480" w:lineRule="auto"/>
        <w:rPr>
          <w:b/>
          <w:bCs/>
        </w:rPr>
      </w:pPr>
      <w:r w:rsidRPr="007271D7">
        <w:rPr>
          <w:b/>
          <w:bCs/>
        </w:rPr>
        <w:t xml:space="preserve">Summary of findings </w:t>
      </w:r>
    </w:p>
    <w:p w14:paraId="377C23E8" w14:textId="63238C53" w:rsidR="006F69A2" w:rsidRPr="007271D7" w:rsidRDefault="0080615A" w:rsidP="002A0FEE">
      <w:pPr>
        <w:spacing w:line="480" w:lineRule="auto"/>
      </w:pPr>
      <w:r w:rsidRPr="007271D7">
        <w:t>This is one of the few studies to investigate</w:t>
      </w:r>
      <w:r w:rsidR="00425306" w:rsidRPr="007271D7">
        <w:t xml:space="preserve"> </w:t>
      </w:r>
      <w:r w:rsidR="008E453D" w:rsidRPr="007271D7">
        <w:t>sociodemographic correlates</w:t>
      </w:r>
      <w:r w:rsidR="00425306" w:rsidRPr="007271D7">
        <w:t xml:space="preserve"> of</w:t>
      </w:r>
      <w:r w:rsidRPr="007271D7">
        <w:t xml:space="preserve"> exposure to </w:t>
      </w:r>
      <w:r w:rsidR="008E453D" w:rsidRPr="007271D7">
        <w:t>less healthy food and drink</w:t>
      </w:r>
      <w:r w:rsidR="000200A9" w:rsidRPr="007271D7">
        <w:t xml:space="preserve"> advertising</w:t>
      </w:r>
      <w:r w:rsidRPr="007271D7">
        <w:t xml:space="preserve"> in </w:t>
      </w:r>
      <w:r w:rsidR="008E453D" w:rsidRPr="007271D7">
        <w:t xml:space="preserve">UK </w:t>
      </w:r>
      <w:r w:rsidRPr="007271D7">
        <w:t xml:space="preserve">adults. </w:t>
      </w:r>
      <w:r w:rsidR="00425306" w:rsidRPr="007271D7">
        <w:t xml:space="preserve">Overall, </w:t>
      </w:r>
      <w:r w:rsidR="00D821F5" w:rsidRPr="007271D7">
        <w:t>exposure was high, with 8</w:t>
      </w:r>
      <w:r w:rsidR="009C1FDA" w:rsidRPr="007271D7">
        <w:t>4.7</w:t>
      </w:r>
      <w:r w:rsidR="00D821F5" w:rsidRPr="007271D7">
        <w:t>% of participants reporting seeing</w:t>
      </w:r>
      <w:r w:rsidR="009B468F" w:rsidRPr="007271D7">
        <w:t xml:space="preserve"> or </w:t>
      </w:r>
      <w:r w:rsidR="00D821F5" w:rsidRPr="007271D7">
        <w:t>hearing adverti</w:t>
      </w:r>
      <w:r w:rsidR="00C3644E" w:rsidRPr="007271D7">
        <w:t>s</w:t>
      </w:r>
      <w:r w:rsidR="009C1FDA" w:rsidRPr="007271D7">
        <w:t>ing</w:t>
      </w:r>
      <w:r w:rsidR="008E453D" w:rsidRPr="007271D7">
        <w:t xml:space="preserve"> for less healthy foods and drinks</w:t>
      </w:r>
      <w:r w:rsidR="003C6396" w:rsidRPr="007271D7">
        <w:t xml:space="preserve"> </w:t>
      </w:r>
      <w:r w:rsidR="00062BAD" w:rsidRPr="007271D7">
        <w:t>and/</w:t>
      </w:r>
      <w:r w:rsidR="003C6396" w:rsidRPr="007271D7">
        <w:t>or digital food delivery services</w:t>
      </w:r>
      <w:r w:rsidR="00D821F5" w:rsidRPr="007271D7">
        <w:t xml:space="preserve"> in the past 7 days.</w:t>
      </w:r>
      <w:r w:rsidR="00C3644E" w:rsidRPr="007271D7">
        <w:t xml:space="preserve"> </w:t>
      </w:r>
      <w:r w:rsidR="00111910" w:rsidRPr="007271D7">
        <w:t>L</w:t>
      </w:r>
      <w:r w:rsidR="00C3644E" w:rsidRPr="007271D7">
        <w:t xml:space="preserve">ower socioeconomic </w:t>
      </w:r>
      <w:r w:rsidR="003C6396" w:rsidRPr="007271D7">
        <w:t>position</w:t>
      </w:r>
      <w:r w:rsidR="00C3644E" w:rsidRPr="007271D7">
        <w:t xml:space="preserve"> was associated with increased odds of </w:t>
      </w:r>
      <w:r w:rsidR="003C6396" w:rsidRPr="007271D7">
        <w:t xml:space="preserve">advertising </w:t>
      </w:r>
      <w:r w:rsidR="00C3644E" w:rsidRPr="007271D7">
        <w:t>exposure</w:t>
      </w:r>
      <w:r w:rsidR="008F6FF7" w:rsidRPr="007271D7">
        <w:t xml:space="preserve">. </w:t>
      </w:r>
      <w:r w:rsidR="00274EC7" w:rsidRPr="007271D7">
        <w:t>O</w:t>
      </w:r>
      <w:r w:rsidR="008F6FF7" w:rsidRPr="007271D7">
        <w:t>verall</w:t>
      </w:r>
      <w:r w:rsidR="00C3644E" w:rsidRPr="007271D7">
        <w:t>,</w:t>
      </w:r>
      <w:r w:rsidR="00111E2C" w:rsidRPr="007271D7">
        <w:t xml:space="preserve"> </w:t>
      </w:r>
      <w:r w:rsidR="00C3644E" w:rsidRPr="007271D7">
        <w:t xml:space="preserve">the </w:t>
      </w:r>
      <w:r w:rsidR="003F721E" w:rsidRPr="007271D7">
        <w:t>middle</w:t>
      </w:r>
      <w:r w:rsidR="004333F9" w:rsidRPr="007271D7">
        <w:t xml:space="preserve"> (C1C2) </w:t>
      </w:r>
      <w:r w:rsidR="003F721E" w:rsidRPr="007271D7">
        <w:t>socioeconomic</w:t>
      </w:r>
      <w:r w:rsidR="002C51AF" w:rsidRPr="007271D7">
        <w:t xml:space="preserve"> group</w:t>
      </w:r>
      <w:r w:rsidR="00C3644E" w:rsidRPr="007271D7">
        <w:t xml:space="preserve"> </w:t>
      </w:r>
      <w:r w:rsidR="008F6FF7" w:rsidRPr="007271D7">
        <w:t>had</w:t>
      </w:r>
      <w:r w:rsidR="00C3644E" w:rsidRPr="007271D7">
        <w:t xml:space="preserve"> </w:t>
      </w:r>
      <w:r w:rsidR="008F6FF7" w:rsidRPr="007271D7">
        <w:t xml:space="preserve">higher </w:t>
      </w:r>
      <w:r w:rsidR="00C3644E" w:rsidRPr="007271D7">
        <w:t>odds of exposure</w:t>
      </w:r>
      <w:r w:rsidR="008F6FF7" w:rsidRPr="007271D7">
        <w:t xml:space="preserve"> compared to the most affluent group</w:t>
      </w:r>
      <w:r w:rsidR="00111910" w:rsidRPr="007271D7">
        <w:t xml:space="preserve"> (AB)</w:t>
      </w:r>
      <w:r w:rsidR="003504B2" w:rsidRPr="007271D7">
        <w:t xml:space="preserve">. </w:t>
      </w:r>
      <w:r w:rsidR="008F6FF7" w:rsidRPr="007271D7">
        <w:t xml:space="preserve">For three of the five </w:t>
      </w:r>
      <w:r w:rsidR="00452FD0" w:rsidRPr="007271D7">
        <w:t xml:space="preserve">food and drink </w:t>
      </w:r>
      <w:r w:rsidR="008F6FF7" w:rsidRPr="007271D7">
        <w:t>product categories (processed HFSS foods, sugary cereals and sweet snacks) and digital food delivery services</w:t>
      </w:r>
      <w:r w:rsidR="0096388F" w:rsidRPr="007271D7">
        <w:t xml:space="preserve">, </w:t>
      </w:r>
      <w:r w:rsidR="00201659" w:rsidRPr="007271D7">
        <w:t xml:space="preserve">increased </w:t>
      </w:r>
      <w:r w:rsidR="00C3644E" w:rsidRPr="007271D7">
        <w:t>odds of</w:t>
      </w:r>
      <w:r w:rsidR="008E453D" w:rsidRPr="007271D7">
        <w:t xml:space="preserve"> </w:t>
      </w:r>
      <w:r w:rsidR="008F1E7F" w:rsidRPr="007271D7">
        <w:t xml:space="preserve">self-reported </w:t>
      </w:r>
      <w:r w:rsidR="008E453D" w:rsidRPr="007271D7">
        <w:t>exposure</w:t>
      </w:r>
      <w:r w:rsidR="003504B2" w:rsidRPr="007271D7">
        <w:t xml:space="preserve"> </w:t>
      </w:r>
      <w:r w:rsidR="00201659" w:rsidRPr="007271D7">
        <w:t>to advertis</w:t>
      </w:r>
      <w:r w:rsidR="009C1FDA" w:rsidRPr="007271D7">
        <w:t>ing</w:t>
      </w:r>
      <w:r w:rsidR="0096388F" w:rsidRPr="007271D7">
        <w:t xml:space="preserve"> w</w:t>
      </w:r>
      <w:r w:rsidR="00111910" w:rsidRPr="007271D7">
        <w:t>ere</w:t>
      </w:r>
      <w:r w:rsidR="0096388F" w:rsidRPr="007271D7">
        <w:t xml:space="preserve"> observed for lower socioeconomic groups (DE and C1C2 compared to AB).</w:t>
      </w:r>
      <w:r w:rsidR="00D56454" w:rsidRPr="007271D7">
        <w:t xml:space="preserve"> When stratified by advertising setting, h</w:t>
      </w:r>
      <w:r w:rsidR="009E0F4D" w:rsidRPr="007271D7">
        <w:t xml:space="preserve">igher odds of </w:t>
      </w:r>
      <w:r w:rsidR="008F1E7F" w:rsidRPr="007271D7">
        <w:t xml:space="preserve">reporting </w:t>
      </w:r>
      <w:r w:rsidR="009E0F4D" w:rsidRPr="007271D7">
        <w:t>exposure among lower soci</w:t>
      </w:r>
      <w:r w:rsidR="003F721E" w:rsidRPr="007271D7">
        <w:t xml:space="preserve">oeconomic </w:t>
      </w:r>
      <w:r w:rsidR="009E0F4D" w:rsidRPr="007271D7">
        <w:t>groups</w:t>
      </w:r>
      <w:r w:rsidR="00DC311C" w:rsidRPr="007271D7">
        <w:t xml:space="preserve"> were observed</w:t>
      </w:r>
      <w:r w:rsidR="000B1BB9" w:rsidRPr="007271D7">
        <w:t xml:space="preserve"> </w:t>
      </w:r>
      <w:r w:rsidR="00DC311C" w:rsidRPr="007271D7">
        <w:t>for traditional</w:t>
      </w:r>
      <w:r w:rsidR="000B1BB9" w:rsidRPr="007271D7">
        <w:t xml:space="preserve"> (C1C2 and DE) </w:t>
      </w:r>
      <w:r w:rsidR="00DC311C" w:rsidRPr="007271D7">
        <w:t>and digital advertising</w:t>
      </w:r>
      <w:r w:rsidR="00342729" w:rsidRPr="007271D7">
        <w:t xml:space="preserve"> (DE only)</w:t>
      </w:r>
      <w:r w:rsidR="00DC311C" w:rsidRPr="007271D7">
        <w:t>.</w:t>
      </w:r>
      <w:r w:rsidR="00342729" w:rsidRPr="007271D7" w:rsidDel="00342729">
        <w:t xml:space="preserve"> </w:t>
      </w:r>
      <w:r w:rsidR="005919CC" w:rsidRPr="007271D7">
        <w:t>Younger participants</w:t>
      </w:r>
      <w:r w:rsidR="0019560E" w:rsidRPr="007271D7">
        <w:t xml:space="preserve"> </w:t>
      </w:r>
      <w:r w:rsidR="006F1C87" w:rsidRPr="007271D7">
        <w:rPr>
          <w:rFonts w:ascii="Calibri" w:hAnsi="Calibri" w:cs="Calibri"/>
        </w:rPr>
        <w:t xml:space="preserve">had </w:t>
      </w:r>
      <w:r w:rsidR="005919CC" w:rsidRPr="007271D7">
        <w:rPr>
          <w:rFonts w:ascii="Calibri" w:hAnsi="Calibri" w:cs="Calibri"/>
        </w:rPr>
        <w:t xml:space="preserve">higher </w:t>
      </w:r>
      <w:r w:rsidR="006F1C87" w:rsidRPr="007271D7">
        <w:rPr>
          <w:rFonts w:ascii="Calibri" w:hAnsi="Calibri" w:cs="Calibri"/>
        </w:rPr>
        <w:t xml:space="preserve">odds of self-reported exposure to advertising for </w:t>
      </w:r>
      <w:r w:rsidR="00A03A01" w:rsidRPr="007271D7">
        <w:rPr>
          <w:rFonts w:ascii="Calibri" w:hAnsi="Calibri" w:cs="Calibri"/>
        </w:rPr>
        <w:t xml:space="preserve">digital </w:t>
      </w:r>
      <w:r w:rsidR="000B1BB9" w:rsidRPr="007271D7">
        <w:rPr>
          <w:rFonts w:ascii="Calibri" w:hAnsi="Calibri" w:cs="Calibri"/>
        </w:rPr>
        <w:t xml:space="preserve">food </w:t>
      </w:r>
      <w:r w:rsidR="006F1C87" w:rsidRPr="007271D7">
        <w:rPr>
          <w:rFonts w:ascii="Calibri" w:hAnsi="Calibri" w:cs="Calibri"/>
        </w:rPr>
        <w:t>delivery</w:t>
      </w:r>
      <w:r w:rsidR="000B1BB9" w:rsidRPr="007271D7">
        <w:rPr>
          <w:rFonts w:ascii="Calibri" w:hAnsi="Calibri" w:cs="Calibri"/>
        </w:rPr>
        <w:t xml:space="preserve"> services</w:t>
      </w:r>
      <w:r w:rsidR="00C5797F" w:rsidRPr="007271D7">
        <w:rPr>
          <w:rFonts w:ascii="Calibri" w:hAnsi="Calibri" w:cs="Calibri"/>
        </w:rPr>
        <w:t xml:space="preserve"> compared to participants aged </w:t>
      </w:r>
      <w:r w:rsidR="00362730" w:rsidRPr="007271D7">
        <w:rPr>
          <w:rFonts w:ascii="Calibri" w:hAnsi="Calibri" w:cs="Calibri"/>
        </w:rPr>
        <w:t xml:space="preserve">≥65 </w:t>
      </w:r>
      <w:r w:rsidR="00C5797F" w:rsidRPr="007271D7">
        <w:rPr>
          <w:rFonts w:ascii="Calibri" w:hAnsi="Calibri" w:cs="Calibri"/>
        </w:rPr>
        <w:t>year</w:t>
      </w:r>
      <w:r w:rsidR="00864EB8" w:rsidRPr="007271D7">
        <w:rPr>
          <w:rFonts w:ascii="Calibri" w:hAnsi="Calibri" w:cs="Calibri"/>
        </w:rPr>
        <w:t>s</w:t>
      </w:r>
      <w:r w:rsidR="00864EB8" w:rsidRPr="007271D7">
        <w:t>, except those aged 45-54 years</w:t>
      </w:r>
      <w:r w:rsidR="006F1C87" w:rsidRPr="007271D7">
        <w:rPr>
          <w:rFonts w:ascii="Calibri" w:hAnsi="Calibri" w:cs="Calibri"/>
        </w:rPr>
        <w:t>.</w:t>
      </w:r>
      <w:r w:rsidR="006F1C87" w:rsidRPr="007271D7">
        <w:rPr>
          <w:rFonts w:ascii="Calibri" w:hAnsi="Calibri" w:cs="Calibri"/>
          <w:sz w:val="22"/>
          <w:szCs w:val="22"/>
        </w:rPr>
        <w:t xml:space="preserve"> </w:t>
      </w:r>
      <w:r w:rsidR="00342729" w:rsidRPr="007271D7">
        <w:t>Younger participants were also more likely to report</w:t>
      </w:r>
      <w:r w:rsidR="006F1C87" w:rsidRPr="007271D7">
        <w:t xml:space="preserve"> exposure to digital advertising</w:t>
      </w:r>
      <w:r w:rsidR="00342729" w:rsidRPr="007271D7">
        <w:t xml:space="preserve"> (18-34 and 35-44 </w:t>
      </w:r>
      <w:r w:rsidR="000B1BB9" w:rsidRPr="007271D7">
        <w:rPr>
          <w:rFonts w:ascii="Calibri" w:hAnsi="Calibri" w:cs="Calibri"/>
        </w:rPr>
        <w:t>age groups</w:t>
      </w:r>
      <w:r w:rsidR="00342729" w:rsidRPr="007271D7">
        <w:t>)</w:t>
      </w:r>
      <w:r w:rsidR="006F1C87" w:rsidRPr="007271D7">
        <w:t xml:space="preserve"> and advertising </w:t>
      </w:r>
      <w:r w:rsidR="00342729" w:rsidRPr="007271D7">
        <w:t xml:space="preserve">across </w:t>
      </w:r>
      <w:r w:rsidR="006F1C87" w:rsidRPr="007271D7">
        <w:t xml:space="preserve">transport </w:t>
      </w:r>
      <w:r w:rsidR="00342729" w:rsidRPr="007271D7">
        <w:t>networks (18-34</w:t>
      </w:r>
      <w:r w:rsidR="000B1BB9" w:rsidRPr="007271D7">
        <w:t xml:space="preserve"> age group)</w:t>
      </w:r>
      <w:r w:rsidR="006F1C87" w:rsidRPr="007271D7">
        <w:t xml:space="preserve">. </w:t>
      </w:r>
      <w:r w:rsidR="00502F76" w:rsidRPr="007271D7">
        <w:t xml:space="preserve">Participants who were </w:t>
      </w:r>
      <w:r w:rsidR="00342729" w:rsidRPr="007271D7">
        <w:t>full-time employees</w:t>
      </w:r>
      <w:r w:rsidR="004333F9" w:rsidRPr="007271D7">
        <w:t xml:space="preserve"> </w:t>
      </w:r>
      <w:r w:rsidR="00F770C7" w:rsidRPr="007271D7">
        <w:t xml:space="preserve">had </w:t>
      </w:r>
      <w:r w:rsidR="00342729" w:rsidRPr="007271D7">
        <w:lastRenderedPageBreak/>
        <w:t>higher</w:t>
      </w:r>
      <w:r w:rsidR="00864EB8" w:rsidRPr="007271D7">
        <w:t xml:space="preserve"> </w:t>
      </w:r>
      <w:r w:rsidR="007B56CB" w:rsidRPr="007271D7">
        <w:t xml:space="preserve">self-reported </w:t>
      </w:r>
      <w:r w:rsidR="00F770C7" w:rsidRPr="007271D7">
        <w:t xml:space="preserve">odds of exposure to </w:t>
      </w:r>
      <w:r w:rsidR="00DC311C" w:rsidRPr="007271D7">
        <w:t xml:space="preserve">advertising for sweet snacks and </w:t>
      </w:r>
      <w:r w:rsidR="00F770C7" w:rsidRPr="007271D7">
        <w:t>advertising</w:t>
      </w:r>
      <w:r w:rsidR="00342729" w:rsidRPr="007271D7">
        <w:t xml:space="preserve"> across transport networks</w:t>
      </w:r>
      <w:r w:rsidR="00F770C7" w:rsidRPr="007271D7">
        <w:t>.</w:t>
      </w:r>
      <w:r w:rsidR="00DC311C" w:rsidRPr="007271D7">
        <w:t xml:space="preserve"> Women had higher odds of reporting exposure to advertising for processed HFSS food</w:t>
      </w:r>
      <w:r w:rsidR="00850B0B" w:rsidRPr="007271D7">
        <w:t>s</w:t>
      </w:r>
      <w:r w:rsidR="00DC311C" w:rsidRPr="007271D7">
        <w:t xml:space="preserve"> than men. </w:t>
      </w:r>
      <w:r w:rsidR="00A03A01" w:rsidRPr="007271D7">
        <w:t>Exposure to advertising for digital food delivery services</w:t>
      </w:r>
      <w:r w:rsidR="0096388F" w:rsidRPr="007271D7">
        <w:t>, digital advertising and advertising in recreational environments</w:t>
      </w:r>
      <w:r w:rsidR="00A03A01" w:rsidRPr="007271D7">
        <w:t xml:space="preserve"> w</w:t>
      </w:r>
      <w:r w:rsidR="0096388F" w:rsidRPr="007271D7">
        <w:t>ere</w:t>
      </w:r>
      <w:r w:rsidR="00A03A01" w:rsidRPr="007271D7">
        <w:t xml:space="preserve"> associated with obesity.</w:t>
      </w:r>
    </w:p>
    <w:p w14:paraId="7696471C" w14:textId="28A27A0D" w:rsidR="00146E8C" w:rsidRPr="007271D7" w:rsidRDefault="00146E8C" w:rsidP="002A0FEE">
      <w:pPr>
        <w:spacing w:line="480" w:lineRule="auto"/>
      </w:pPr>
    </w:p>
    <w:p w14:paraId="7D785AF2" w14:textId="77777777" w:rsidR="00A9614C" w:rsidRPr="007271D7" w:rsidRDefault="00A9614C" w:rsidP="00A9614C">
      <w:pPr>
        <w:spacing w:line="480" w:lineRule="auto"/>
        <w:rPr>
          <w:b/>
          <w:bCs/>
        </w:rPr>
      </w:pPr>
      <w:r w:rsidRPr="007271D7">
        <w:rPr>
          <w:b/>
          <w:bCs/>
        </w:rPr>
        <w:t>Strengths &amp; limitations</w:t>
      </w:r>
    </w:p>
    <w:p w14:paraId="4D701875" w14:textId="264A57C3" w:rsidR="001258D4" w:rsidRPr="007271D7" w:rsidRDefault="00D3571A" w:rsidP="00A9614C">
      <w:pPr>
        <w:spacing w:line="480" w:lineRule="auto"/>
      </w:pPr>
      <w:r w:rsidRPr="007271D7">
        <w:t xml:space="preserve">Whilst most of the existing </w:t>
      </w:r>
      <w:r w:rsidR="0074797B" w:rsidRPr="007271D7">
        <w:t>research</w:t>
      </w:r>
      <w:r w:rsidRPr="007271D7">
        <w:t xml:space="preserve"> </w:t>
      </w:r>
      <w:r w:rsidR="00B70655" w:rsidRPr="007271D7">
        <w:t>on less healthy food and drink</w:t>
      </w:r>
      <w:r w:rsidRPr="007271D7">
        <w:t xml:space="preserve"> advertising focuses on children, this study adds to the evidence for sociodemographic</w:t>
      </w:r>
      <w:r w:rsidR="004333F9" w:rsidRPr="007271D7">
        <w:t xml:space="preserve"> </w:t>
      </w:r>
      <w:r w:rsidRPr="007271D7">
        <w:t xml:space="preserve">differences in </w:t>
      </w:r>
      <w:r w:rsidR="0019560E" w:rsidRPr="007271D7">
        <w:t>advertising exposure</w:t>
      </w:r>
      <w:r w:rsidR="008F1E7F" w:rsidRPr="007271D7">
        <w:t xml:space="preserve"> in adults</w:t>
      </w:r>
      <w:r w:rsidRPr="007271D7">
        <w:t>.</w:t>
      </w:r>
      <w:r w:rsidR="00004F0E" w:rsidRPr="007271D7">
        <w:t xml:space="preserve"> </w:t>
      </w:r>
      <w:r w:rsidR="004333F9" w:rsidRPr="007271D7">
        <w:t>There are s</w:t>
      </w:r>
      <w:r w:rsidR="00004F0E" w:rsidRPr="007271D7">
        <w:t xml:space="preserve">ome strengths and limitations of this study </w:t>
      </w:r>
      <w:r w:rsidR="004333F9" w:rsidRPr="007271D7">
        <w:t xml:space="preserve">that </w:t>
      </w:r>
      <w:r w:rsidR="00A54756" w:rsidRPr="007271D7">
        <w:t xml:space="preserve">should </w:t>
      </w:r>
      <w:r w:rsidR="00004F0E" w:rsidRPr="007271D7">
        <w:t xml:space="preserve">be noted. </w:t>
      </w:r>
      <w:r w:rsidR="00A9614C" w:rsidRPr="007271D7">
        <w:t>There is no standard method for measuring advertising exposure. The questions used in this study were informed by those used in the International Food Policy Study.</w:t>
      </w:r>
      <w:r w:rsidR="00A9614C" w:rsidRPr="007271D7">
        <w:fldChar w:fldCharType="begin" w:fldLock="1"/>
      </w:r>
      <w:r w:rsidR="003E3C11" w:rsidRPr="007271D7">
        <w:instrText>ADDIN CSL_CITATION {"citationItems":[{"id":"ITEM-1","itemData":{"DOI":"10.3390/nu11123047","ISSN":"20726643","PMID":"31847203","abstract":"Sugar-sweetened beverage (SSB) consumption is independently associated with several non-communicable diseases, so policymakers are increasingly implementing measures, such as marketing regulation, to reduce intake. To help understand how such measures work, this study examined the association between SSB consumption and self-reported exposure to SSB promotions, both overall and by type of promotion, and whether these relationships vary between the UK, USA, Canada, Mexico, and Australia. Cross-sectional analysis of the online 2017 International Food Policy Study was performed (n = 15,515). Participants were grouped into 5265 (34%) non-, 5117 (33%) low-, and 5133 (33%) high-SSB consumers. Multinomial logistic regression models examined whether SSB consumption varied by exposure to total SSB promotion and by type: traditional, digital, recreational environment, and functional environment. Multiplicative interactions were included to investigate international variations. An additional unit of total self-reported SSB promotion exposure increased the likelihood of participants being low SSB consumers (relative risk ratio (RRR) = 1.08, 95% confidence interval (CI) = 1.06–1.10) and high SSB consumers (RRR = 1.13, 95% CI = 1.11–1.16). Only exposure to traditional and digital promotion increased the likelihood of participants being SSB consumers, though this may be explained by degree of exposure, which was not measured in this study. Some evidence illustrated international variation in these relationships.","author":[{"dropping-particle":"","family":"Forde","given":"Hannah","non-dropping-particle":"","parse-names":false,"suffix":""},{"dropping-particle":"","family":"White","given":"Martin","non-dropping-particle":"","parse-names":false,"suffix":""},{"dropping-particle":"","family":"Levy","given":"Louis","non-dropping-particle":"","parse-names":false,"suffix":""},{"dropping-particle":"","family":"Greaves","given":"Felix","non-dropping-particle":"","parse-names":false,"suffix":""},{"dropping-particle":"","family":"Hammond","given":"David","non-dropping-particle":"","parse-names":false,"suffix":""},{"dropping-particle":"","family":"Vanderlee","given":"Lana","non-dropping-particle":"","parse-names":false,"suffix":""},{"dropping-particle":"","family":"Sharp","given":"Stephen","non-dropping-particle":"","parse-names":false,"suffix":""},{"dropping-particle":"","family":"Adams","given":"Jean","non-dropping-particle":"","parse-names":false,"suffix":""}],"container-title":"Nutrients","id":"ITEM-1","issued":{"date-parts":[["2019"]]},"page":"3047","title":"The relationship between self-reported exposure to sugar-sweetened beverage promotions and intake: Cross-sectional analysis of the 2017 international food policy study","type":"article-journal","volume":"11"},"uris":["http://www.mendeley.com/documents/?uuid=f5d8bf8d-cfc8-441f-96d2-7424c6978d1e"]}],"mendeley":{"formattedCitation":"[12]","plainTextFormattedCitation":"[12]","previouslyFormattedCitation":"[12]"},"properties":{"noteIndex":0},"schema":"https://github.com/citation-style-language/schema/raw/master/csl-citation.json"}</w:instrText>
      </w:r>
      <w:r w:rsidR="00A9614C" w:rsidRPr="007271D7">
        <w:fldChar w:fldCharType="separate"/>
      </w:r>
      <w:r w:rsidR="003E3C11" w:rsidRPr="007271D7">
        <w:rPr>
          <w:noProof/>
        </w:rPr>
        <w:t>[12]</w:t>
      </w:r>
      <w:r w:rsidR="00A9614C" w:rsidRPr="007271D7">
        <w:fldChar w:fldCharType="end"/>
      </w:r>
      <w:r w:rsidR="00A9614C" w:rsidRPr="007271D7">
        <w:t xml:space="preserve"> The survey questions asked about the products advertised and the advertising setting, giving us the opportunity to explore</w:t>
      </w:r>
      <w:r w:rsidR="00AA7478" w:rsidRPr="007271D7">
        <w:t xml:space="preserve"> </w:t>
      </w:r>
      <w:r w:rsidR="00111910" w:rsidRPr="007271D7">
        <w:t xml:space="preserve">what was </w:t>
      </w:r>
      <w:r w:rsidR="00A9614C" w:rsidRPr="007271D7">
        <w:t xml:space="preserve">advertised </w:t>
      </w:r>
      <w:r w:rsidR="00AA7478" w:rsidRPr="007271D7">
        <w:t xml:space="preserve">and </w:t>
      </w:r>
      <w:r w:rsidR="00111910" w:rsidRPr="007271D7">
        <w:t>where</w:t>
      </w:r>
      <w:r w:rsidR="00A9614C" w:rsidRPr="007271D7">
        <w:t>. This provided a broad</w:t>
      </w:r>
      <w:r w:rsidR="00DF0C8C" w:rsidRPr="007271D7">
        <w:t>er</w:t>
      </w:r>
      <w:r w:rsidR="00A9614C" w:rsidRPr="007271D7">
        <w:t xml:space="preserve"> perspective relative to studies focusing on one form of advertising.</w:t>
      </w:r>
      <w:r w:rsidR="00A9614C" w:rsidRPr="007271D7">
        <w:fldChar w:fldCharType="begin" w:fldLock="1"/>
      </w:r>
      <w:r w:rsidR="00ED179C" w:rsidRPr="007271D7">
        <w:instrText>ADDIN CSL_CITATION {"citationItems":[{"id":"ITEM-1","itemData":{"DOI":"10.1017/S1368980011001686","abstract":"Objective: To document socioeconomic differences in exposure to food advertising , including advertisements for foods high in fat, salt and sugar (HFSS) as defined by the UK Food Standards Agency's Nutrient Profiling Model. Design: A cross-sectional survey. Information (including product advertised and viewing figures) on all advertisements broadcast in one UK region over one week (6-12 July 2009) was obtained. Food advertisements were identified and linked to nutritional information on the content of advertised foods. Setting: UK Tyne-Tees television region. Subjects: Data were sourced from a UK-wide television viewing panel. Results: Eleven per cent of advertising seen was for food and 63 % of food advertising seen was for HFSS foods. The proportion of all advertising seen that was for food was smaller among viewers in the least v. most affluent social grade (OR 5 0?98, 99 % CI 0","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J","non-dropping-particle":"","parse-names":false,"suffix":""},{"dropping-particle":"","family":"White","given":"Martin","non-dropping-particle":"","parse-names":false,"suffix":""}],"container-title":"Public Health Nutrition","id":"ITEM-1","issue":"3","issued":{"date-parts":[["2011"]]},"page":"487-494","title":"Socio-economic differences in exposure to television food advertisements in the UK: a cross-sectional study of advertisements broadcast in one television region","type":"article-journal","volume":"15"},"uris":["http://www.mendeley.com/documents/?uuid=f381c81b-f9df-3780-aa15-fe71660c18b4"]},{"id":"ITEM-2","itemData":{"DOI":"10.1017/S1368980010003332","ISSN":"1368-9800","abstract":"&lt;div class=\"abstract\" data-abstract-type=\"normal\"&gt;&lt;div class='sec'&gt;&lt;span class=\"bold\"&gt;Objective&lt;/span&gt;&lt;p&gt;To explore differences in the prevalence of outdoor food advertising, and the type and nutritional content of advertised foods, according to an area-based marker of socio-economic position (SEP) in a city in Northern England.&lt;/p&gt;&lt;/div&gt;&lt;div class='sec'&gt;&lt;span class=\"bold\"&gt;Design&lt;/span&gt;&lt;p&gt;All outdoor advertisements in the city were identified during October–December 2009, their size (in m&lt;span class='sup'&gt;2&lt;/span&gt;) estimated and their location determined using a global positioning system device. Advertisements were classified as food or non-food. Food advertisements were classified into one of six food categories. Information on the nutritional content of advertised foods was obtained from packaging and manufacturer's websites. An area-based marker of SEP was assigned using the location of each advertisement, grouped into three affluence tertiles for analysis.&lt;/p&gt;&lt;/div&gt;&lt;div class='sec'&gt;&lt;span class=\"bold\"&gt;Setting&lt;/span&gt;&lt;p&gt;A city in Northern England.&lt;/p&gt;&lt;/div&gt;&lt;div class='sec'&gt;&lt;span class=\"bold\"&gt;Subjects&lt;/span&gt;&lt;p&gt;None.&lt;/p&gt;&lt;/div&gt;&lt;div class='sec'&gt;&lt;span class=\"bold\"&gt;Results&lt;/span&gt;&lt;p&gt;In all, 1371 advertisements were identified; 211 (15 %) of these were for food. The advertisements covered 6765 m&lt;span class='sup'&gt;2&lt;/span&gt;, of which 1326 m&lt;span class='sup'&gt;2&lt;/span&gt; (20 %) was for food. Total advertising and food advertising space was largest in the least affluent tertile. There was little evidence of socio-economic trends in the type or nutritional content of advertised foods.&lt;/p&gt;&lt;/div&gt;&lt;div class='sec'&gt;&lt;span class=\"bold\"&gt;Conclusions&lt;/span&gt;&lt;p&gt;Despite an absence of socio-economic differences in the type and nutritional content of advertised foods, there were socio-economic differences in food advertising space. There may also be socio-economic differences in exposure to outdoor food advertising.&lt;/p&gt;&lt;/div&gt;&lt;/div&gt;","author":[{"dropping-particle":"","family":"Adams","given":"Jean","non-dropping-particle":"","parse-names":false,"suffix":""},{"dropping-particle":"","family":"Ganiti","given":"Ellie","non-dropping-particle":"","parse-names":false,"suffix":""},{"dropping-particle":"","family":"White","given":"Martin","non-dropping-particle":"","parse-names":false,"suffix":""}],"container-title":"Public Health Nutrition","id":"ITEM-2","issue":"6","issued":{"date-parts":[["2011","6","4"]]},"page":"945-950","publisher":"Cambridge University Press","title":"Socio-economic differences in outdoor food advertising in a city in Northern England","type":"article-journal","volume":"14"},"uris":["http://www.mendeley.com/documents/?uuid=57d9587e-8254-32b3-91d0-cfafc0288030"]}],"mendeley":{"formattedCitation":"[18,19]","plainTextFormattedCitation":"[18,19]","previouslyFormattedCitation":"[18,19]"},"properties":{"noteIndex":0},"schema":"https://github.com/citation-style-language/schema/raw/master/csl-citation.json"}</w:instrText>
      </w:r>
      <w:r w:rsidR="00A9614C" w:rsidRPr="007271D7">
        <w:fldChar w:fldCharType="separate"/>
      </w:r>
      <w:r w:rsidR="00412B46" w:rsidRPr="007271D7">
        <w:rPr>
          <w:noProof/>
        </w:rPr>
        <w:t>[18,19]</w:t>
      </w:r>
      <w:r w:rsidR="00A9614C" w:rsidRPr="007271D7">
        <w:fldChar w:fldCharType="end"/>
      </w:r>
      <w:r w:rsidR="00A9614C" w:rsidRPr="007271D7">
        <w:t xml:space="preserve"> </w:t>
      </w:r>
      <w:r w:rsidR="00AA7478" w:rsidRPr="007271D7">
        <w:t xml:space="preserve">The inclusion of </w:t>
      </w:r>
      <w:r w:rsidR="00D86ABE" w:rsidRPr="007271D7">
        <w:t xml:space="preserve">digital food </w:t>
      </w:r>
      <w:r w:rsidR="00AA7478" w:rsidRPr="007271D7">
        <w:t xml:space="preserve">delivery </w:t>
      </w:r>
      <w:r w:rsidR="00D86ABE" w:rsidRPr="007271D7">
        <w:t>services</w:t>
      </w:r>
      <w:r w:rsidR="00AA7478" w:rsidRPr="007271D7">
        <w:t xml:space="preserve"> in the survey</w:t>
      </w:r>
      <w:r w:rsidR="00D56454" w:rsidRPr="007271D7">
        <w:t xml:space="preserve"> </w:t>
      </w:r>
      <w:r w:rsidR="00452FD0" w:rsidRPr="007271D7">
        <w:t xml:space="preserve">also </w:t>
      </w:r>
      <w:r w:rsidR="00AA7478" w:rsidRPr="007271D7">
        <w:t>provide</w:t>
      </w:r>
      <w:r w:rsidR="00111910" w:rsidRPr="007271D7">
        <w:t>d</w:t>
      </w:r>
      <w:r w:rsidR="00AA7478" w:rsidRPr="007271D7">
        <w:t xml:space="preserve"> insight into a fast-growing and understudied </w:t>
      </w:r>
      <w:r w:rsidR="0019560E" w:rsidRPr="007271D7">
        <w:t>channel for purchasing less healthy foods and drinks</w:t>
      </w:r>
      <w:r w:rsidR="00AA7478" w:rsidRPr="007271D7">
        <w:t xml:space="preserve">. </w:t>
      </w:r>
    </w:p>
    <w:p w14:paraId="1F56BD8A" w14:textId="77777777" w:rsidR="00D26040" w:rsidRPr="007271D7" w:rsidRDefault="00D26040" w:rsidP="00A9614C">
      <w:pPr>
        <w:spacing w:line="480" w:lineRule="auto"/>
      </w:pPr>
    </w:p>
    <w:p w14:paraId="28B2E2B8" w14:textId="66240E42" w:rsidR="00D26040" w:rsidRPr="007271D7" w:rsidRDefault="00841F0B" w:rsidP="00D26040">
      <w:pPr>
        <w:spacing w:line="480" w:lineRule="auto"/>
      </w:pPr>
      <w:r w:rsidRPr="007271D7">
        <w:t>T</w:t>
      </w:r>
      <w:r w:rsidR="00A9614C" w:rsidRPr="007271D7">
        <w:t xml:space="preserve">he cross-sectional nature of this study and short recall period may mean that exposure as measured is not representative of typical exposure, for example due to </w:t>
      </w:r>
      <w:r w:rsidR="003574AF" w:rsidRPr="007271D7">
        <w:t xml:space="preserve">the </w:t>
      </w:r>
      <w:r w:rsidR="00A9614C" w:rsidRPr="007271D7">
        <w:t>seasonality of advertising.</w:t>
      </w:r>
      <w:r w:rsidR="00A9614C" w:rsidRPr="007271D7">
        <w:fldChar w:fldCharType="begin" w:fldLock="1"/>
      </w:r>
      <w:r w:rsidR="00F647C5" w:rsidRPr="007271D7">
        <w:instrText>ADDIN CSL_CITATION {"citationItems":[{"id":"ITEM-1","itemData":{"DOI":"10.1186/1471-2458-11-368","ISSN":"14712458","PMID":"21605388","abstract":"Background: Overweight and obesity are recognised nationally and internationally as key public health challenges. Food and drink advertising is one of the array of factors that influence both diet and physical activity choices and, hence, body weight and obesity. Little previous work has focused on food and drink advertising in magazines. We studied food and drink advertising in a wide range of popular UK monthly women's magazines published over a full year. We explored differences in the prevalence of food and drink advertising and the type of food and drinks advertised according to season, magazine type and socio-economic profile of readers. Methods. All advertisements in all issues of 18 popular UK monthly women's magazines published over 12 months were identified. For each food or drink advertisement, branded food and drinks were noted and categorised into one of seven food groups. All analyses were at the level of the individual advertisement. Results: A total of 35 053 advertisements were identified; 1380 (3.9%) of these were for food or drink. The most common food group represented was 'food and drinks high in fat and/or sugar' (28.0% of food advertisements), the least common group was 'fruits &amp; vegetables' (2.0% of food advertisements). Advertisements for alcohol accounted for 10.1% of all food advertisements. Food and drink advertisements were most common in summer, general interest magazines, and those with the most affluent readerships. There were some differences in the type of food and drink advertised across season, magazine type and socio-economic profile of readers. Conclusions: Food and drink advertisements represented only a small proportion of advertisements in UK women's monthly magazines. Food and drink advertisements in these magazines feature a high proportion of 'less healthy' foods. There were a number of differences across season, magazine type and according to the socio-economic profile of readers in the prevalence of food and drink advertisements. Fewer differences were seen in the type of food and drinks advertised. © 2011 Adams et al; licensee BioMed Central Ltd.","author":[{"dropping-particle":"","family":"Adams","given":"Jean","non-dropping-particle":"","parse-names":false,"suffix":""},{"dropping-particle":"","family":"Simpson","given":"Emma","non-dropping-particle":"","parse-names":false,"suffix":""},{"dropping-particle":"","family":"White","given":"Martin","non-dropping-particle":"","parse-names":false,"suffix":""}],"container-title":"BMC Public Health","id":"ITEM-1","issued":{"date-parts":[["2011"]]},"page":"368","title":"Variations in food and drink advertising in UK monthly women's magazines according to season, magazine type and socio-economic profile of readers: A descriptive study of publications over 12 months","type":"article-journal","volume":"11"},"uris":["http://www.mendeley.com/documents/?uuid=a0f3186f-808f-4024-a331-d21769de0606"]}],"mendeley":{"formattedCitation":"[46]","plainTextFormattedCitation":"[46]","previouslyFormattedCitation":"[46]"},"properties":{"noteIndex":0},"schema":"https://github.com/citation-style-language/schema/raw/master/csl-citation.json"}</w:instrText>
      </w:r>
      <w:r w:rsidR="00A9614C" w:rsidRPr="007271D7">
        <w:fldChar w:fldCharType="separate"/>
      </w:r>
      <w:r w:rsidR="00F647C5" w:rsidRPr="007271D7">
        <w:rPr>
          <w:noProof/>
        </w:rPr>
        <w:t>[46]</w:t>
      </w:r>
      <w:r w:rsidR="00A9614C" w:rsidRPr="007271D7">
        <w:fldChar w:fldCharType="end"/>
      </w:r>
      <w:r w:rsidR="00A9614C" w:rsidRPr="007271D7">
        <w:t xml:space="preserve"> </w:t>
      </w:r>
      <w:r w:rsidR="00390A42" w:rsidRPr="007271D7">
        <w:t>Furthermore, we</w:t>
      </w:r>
      <w:r w:rsidR="00A9614C" w:rsidRPr="007271D7">
        <w:t xml:space="preserve"> did not account for the</w:t>
      </w:r>
      <w:r w:rsidR="00DB7DD1" w:rsidRPr="007271D7">
        <w:t xml:space="preserve"> </w:t>
      </w:r>
      <w:r w:rsidR="00D26040" w:rsidRPr="007271D7">
        <w:t>intensity of exposure</w:t>
      </w:r>
      <w:r w:rsidR="00A9614C" w:rsidRPr="007271D7">
        <w:t xml:space="preserve">, as we </w:t>
      </w:r>
      <w:r w:rsidR="00DB7DD1" w:rsidRPr="007271D7">
        <w:t xml:space="preserve">only categorised participants as exposed or not, and </w:t>
      </w:r>
      <w:r w:rsidR="00A9614C" w:rsidRPr="007271D7">
        <w:t xml:space="preserve">did not measure how many advertisements participants saw or heard. </w:t>
      </w:r>
      <w:r w:rsidR="008F1CC5" w:rsidRPr="007271D7">
        <w:t>The cross-sectional nature of this study also limits our ability to establish causality and reverse causation could explain some of the associations observed.</w:t>
      </w:r>
    </w:p>
    <w:p w14:paraId="02738806" w14:textId="052006F2" w:rsidR="001258D4" w:rsidRPr="007271D7" w:rsidRDefault="001258D4" w:rsidP="00D26040">
      <w:pPr>
        <w:spacing w:line="480" w:lineRule="auto"/>
      </w:pPr>
    </w:p>
    <w:p w14:paraId="0A17D40B" w14:textId="122EDB98" w:rsidR="00EB1F12" w:rsidRPr="007271D7" w:rsidRDefault="008F1CC5" w:rsidP="00D26040">
      <w:pPr>
        <w:spacing w:line="480" w:lineRule="auto"/>
      </w:pPr>
      <w:r w:rsidRPr="007271D7">
        <w:t>Self-reported information is subject to misreporting</w:t>
      </w:r>
      <w:r w:rsidR="003900B0" w:rsidRPr="007271D7">
        <w:t>.</w:t>
      </w:r>
      <w:r w:rsidR="00E94AFD" w:rsidRPr="007271D7">
        <w:t xml:space="preserve"> For example, height is often over-reported and weight under-reported, leading to inaccuracies in BMI.</w:t>
      </w:r>
      <w:r w:rsidR="00E94AFD" w:rsidRPr="007271D7">
        <w:fldChar w:fldCharType="begin" w:fldLock="1"/>
      </w:r>
      <w:r w:rsidR="00F73FD9" w:rsidRPr="007271D7">
        <w:instrText>ADDIN CSL_CITATION {"citationItems":[{"id":"ITEM-1","itemData":{"DOI":"10.1016/j.ssmph.2019.100405","ISSN":"23528273","abstract":"Self-reported anthropometrics are often used as proxies for measured anthropometrics, but research has shown that heights and weights are often misreported. Using the Study on global AGEing and adult health, I analyze misreporting patterns of height, weight, and BMI in China, India, Russia, and South Africa. Adjustments of self-reported heights and weights using demographic, social, and anthropometric characteristics are evaluated and found to be useful in studying the distribution of anthropometrics within a population. Measured, self-reported, and adjusted BMI are then compared in logistic regression models on the reporting of health outcomes, as well as the resulting accuracy of individual prediction. When BMI is used as a continuous variable in models of health outcomes, measured, self-reported, and adjusted BMI produce similar coefficient estimates, and so self-reported data would be a natural choice because of its accessibility and convenience. In other applications, such as models using categorical BMI and individual prediction using either continuous or categorical BMI, self-reported data in lieu of measured data might not be accurate enough, but adjustments could serve as a potential compromise.","author":[{"dropping-particle":"","family":"Ng","given":"Carmen D.","non-dropping-particle":"","parse-names":false,"suffix":""}],"container-title":"SSM - Population Health","id":"ITEM-1","issued":{"date-parts":[["2019"]]},"page":"100405","publisher":"Elsevier","title":"Biases in self-reported height and weight measurements and their effects on modeling health outcomes","type":"article-journal","volume":"7"},"uris":["http://www.mendeley.com/documents/?uuid=174d3175-4021-4ea5-b02b-1af9e8ac6f99"]}],"mendeley":{"formattedCitation":"[47]","plainTextFormattedCitation":"[47]","previouslyFormattedCitation":"[47]"},"properties":{"noteIndex":0},"schema":"https://github.com/citation-style-language/schema/raw/master/csl-citation.json"}</w:instrText>
      </w:r>
      <w:r w:rsidR="00E94AFD" w:rsidRPr="007271D7">
        <w:fldChar w:fldCharType="separate"/>
      </w:r>
      <w:r w:rsidR="00E94AFD" w:rsidRPr="007271D7">
        <w:rPr>
          <w:noProof/>
        </w:rPr>
        <w:t>[47]</w:t>
      </w:r>
      <w:r w:rsidR="00E94AFD" w:rsidRPr="007271D7">
        <w:fldChar w:fldCharType="end"/>
      </w:r>
      <w:r w:rsidR="003900B0" w:rsidRPr="007271D7">
        <w:t xml:space="preserve"> </w:t>
      </w:r>
      <w:r w:rsidR="000E4E72" w:rsidRPr="007271D7">
        <w:t>Therefore, our interpretation</w:t>
      </w:r>
      <w:r w:rsidR="00862FD7" w:rsidRPr="007271D7">
        <w:t xml:space="preserve"> of </w:t>
      </w:r>
      <w:r w:rsidR="00AC7B2E" w:rsidRPr="007271D7">
        <w:t>the</w:t>
      </w:r>
      <w:r w:rsidR="00862FD7" w:rsidRPr="007271D7">
        <w:t xml:space="preserve"> associations</w:t>
      </w:r>
      <w:r w:rsidR="00AC7B2E" w:rsidRPr="007271D7">
        <w:t xml:space="preserve"> found in this study</w:t>
      </w:r>
      <w:r w:rsidR="000E4E72" w:rsidRPr="007271D7">
        <w:t xml:space="preserve"> should be cautious</w:t>
      </w:r>
      <w:r w:rsidR="00BF5011" w:rsidRPr="007271D7">
        <w:t>.</w:t>
      </w:r>
      <w:r w:rsidR="000E4E72" w:rsidRPr="007271D7">
        <w:t xml:space="preserve"> </w:t>
      </w:r>
      <w:r w:rsidR="00E94AFD" w:rsidRPr="007271D7">
        <w:t>We also only use</w:t>
      </w:r>
      <w:r w:rsidR="00AC7B2E" w:rsidRPr="007271D7">
        <w:t>d</w:t>
      </w:r>
      <w:r w:rsidR="00E94AFD" w:rsidRPr="007271D7">
        <w:t xml:space="preserve"> one proxy measure of socioeconomic position and therefore may not have fully captured socioeconomic variation in advertising exposure. </w:t>
      </w:r>
      <w:r w:rsidR="00BF5011" w:rsidRPr="007271D7">
        <w:t>F</w:t>
      </w:r>
      <w:r w:rsidR="000E4E72" w:rsidRPr="007271D7">
        <w:t xml:space="preserve">urther studies using </w:t>
      </w:r>
      <w:r w:rsidR="0033541A" w:rsidRPr="007271D7">
        <w:t>objectively</w:t>
      </w:r>
      <w:r w:rsidR="00AC7B2E" w:rsidRPr="007271D7">
        <w:t xml:space="preserve"> </w:t>
      </w:r>
      <w:r w:rsidR="000E4E72" w:rsidRPr="007271D7">
        <w:t>measured BMI</w:t>
      </w:r>
      <w:r w:rsidR="00AC7B2E" w:rsidRPr="007271D7">
        <w:t xml:space="preserve"> and advertising exposure,</w:t>
      </w:r>
      <w:r w:rsidR="000E4E72" w:rsidRPr="007271D7">
        <w:t xml:space="preserve"> and other prox</w:t>
      </w:r>
      <w:r w:rsidR="00AC7B2E" w:rsidRPr="007271D7">
        <w:t>y measures</w:t>
      </w:r>
      <w:r w:rsidR="000E4E72" w:rsidRPr="007271D7">
        <w:t xml:space="preserve"> of socioeconomic position</w:t>
      </w:r>
      <w:r w:rsidR="00BF5011" w:rsidRPr="007271D7">
        <w:t xml:space="preserve"> such as educational level,</w:t>
      </w:r>
      <w:r w:rsidR="000E4E72" w:rsidRPr="007271D7">
        <w:t xml:space="preserve"> </w:t>
      </w:r>
      <w:r w:rsidRPr="007271D7">
        <w:t>sho</w:t>
      </w:r>
      <w:r w:rsidR="000E4E72" w:rsidRPr="007271D7">
        <w:t xml:space="preserve">uld be conducted </w:t>
      </w:r>
      <w:r w:rsidRPr="007271D7">
        <w:t>to confirm our findings</w:t>
      </w:r>
      <w:r w:rsidR="000E4E72" w:rsidRPr="007271D7">
        <w:t>.</w:t>
      </w:r>
      <w:r w:rsidR="00BF5011" w:rsidRPr="007271D7">
        <w:t xml:space="preserve"> </w:t>
      </w:r>
      <w:r w:rsidR="00390A42" w:rsidRPr="007271D7">
        <w:t>O</w:t>
      </w:r>
      <w:r w:rsidR="00980842" w:rsidRPr="007271D7">
        <w:t xml:space="preserve">ther sociodemographic characteristics not </w:t>
      </w:r>
      <w:r w:rsidR="00E94AFD" w:rsidRPr="007271D7">
        <w:t>available</w:t>
      </w:r>
      <w:r w:rsidR="00980842" w:rsidRPr="007271D7">
        <w:t xml:space="preserve"> in our study</w:t>
      </w:r>
      <w:r w:rsidR="00390A42" w:rsidRPr="007271D7">
        <w:t>, such as ethnicity,</w:t>
      </w:r>
      <w:r w:rsidR="00980842" w:rsidRPr="007271D7">
        <w:t xml:space="preserve"> may also be associated with advertising exposure</w:t>
      </w:r>
      <w:r w:rsidR="00862FD7" w:rsidRPr="007271D7">
        <w:t xml:space="preserve"> and warrant study in future</w:t>
      </w:r>
      <w:r w:rsidR="00980842" w:rsidRPr="007271D7">
        <w:t>.</w:t>
      </w:r>
      <w:r w:rsidR="007B659F" w:rsidRPr="007271D7">
        <w:t xml:space="preserve"> </w:t>
      </w:r>
    </w:p>
    <w:p w14:paraId="50E2C481" w14:textId="46FAFB29" w:rsidR="00A9614C" w:rsidRPr="007271D7" w:rsidRDefault="00A9614C" w:rsidP="00A9614C">
      <w:pPr>
        <w:spacing w:line="480" w:lineRule="auto"/>
      </w:pPr>
    </w:p>
    <w:p w14:paraId="258222CC" w14:textId="65BBA156" w:rsidR="00E51139" w:rsidRPr="007271D7" w:rsidRDefault="00E51139" w:rsidP="00A9614C">
      <w:pPr>
        <w:spacing w:line="480" w:lineRule="auto"/>
        <w:rPr>
          <w:b/>
          <w:bCs/>
        </w:rPr>
      </w:pPr>
      <w:r w:rsidRPr="007271D7">
        <w:rPr>
          <w:b/>
          <w:bCs/>
        </w:rPr>
        <w:t xml:space="preserve">Generalisability </w:t>
      </w:r>
    </w:p>
    <w:p w14:paraId="3EA4E041" w14:textId="5D88638E" w:rsidR="00AC156B" w:rsidRPr="007271D7" w:rsidRDefault="00582DF5" w:rsidP="00A9614C">
      <w:pPr>
        <w:spacing w:line="480" w:lineRule="auto"/>
      </w:pPr>
      <w:r w:rsidRPr="007271D7">
        <w:t>Our study sample was likely representative of populations in London and the North of England, as Kantar assesses representativeness of their panel</w:t>
      </w:r>
      <w:r w:rsidR="0074797B" w:rsidRPr="007271D7">
        <w:t>s</w:t>
      </w:r>
      <w:r w:rsidRPr="007271D7">
        <w:t xml:space="preserve"> every four weeks.</w:t>
      </w:r>
      <w:r w:rsidR="00405ADC" w:rsidRPr="007271D7">
        <w:rPr>
          <w:rFonts w:ascii="Calibri" w:hAnsi="Calibri" w:cs="Calibri"/>
        </w:rPr>
        <w:fldChar w:fldCharType="begin" w:fldLock="1"/>
      </w:r>
      <w:r w:rsidR="00F647C5" w:rsidRPr="007271D7">
        <w:rPr>
          <w:rFonts w:ascii="Calibri" w:hAnsi="Calibri" w:cs="Calibri"/>
        </w:rPr>
        <w:instrText>ADDIN CSL_CITATION {"citationItems":[{"id":"ITEM-1","itemData":{"DOI":"10.1016/j.socscimed.2019.112361","ISSN":"18735347","PMID":"31262504","abstract":"While most food is consumed at home, food eaten out-of-home plays an important role in diets and it has been associated with higher energy intake and higher body weight. Beyond prepared meals, there is limited understanding of what foods people buy out-of-home and where they buy them from. This study analyses out-of-home food purchases by food groups and food outlet types, and estimates socio-economic differences in these expenditure patterns. We used a nationally representative product-level dataset of expenditures (n=2,734,987) on foods and non-alcoholic beverages for out-of-home consumption for 9,704 respondents in Great Britain (June 2015-December 2017). Population weighted estimates of per capita weekly expenditures and shares of expenditure were derived for four outlet types and eight food groups. We used linear multi-level modelling to determine differences in expenditure patterns by socio-economic status (SES) characterised via occupational social grade. Out-of-home purchases make up 25-39% of total food and beverage expenditures. Mid- and high-SES respondents spent nearly twice as much (£17.76 and £15.11 weekly), compared to low-SES respondents (£9.69) for out-ofhome food consumption. A third of expenditures across SES (36-37%) were spent in venues other than restaurants or fast-food and takeaway outlets. Meals accounted for 60% of expenditures, but a third was spent on beverages (10-12% non-alcoholic cold beverages, 17-18% hot beverages) and 9-10% on snacks. Mid- and low-SES respondents had a greater share of expenditure in takeaway and fast-food outlets, supermarkets and convenience stores, and on cold non-alcoholic beverages. Overall, low-SES respondents spent less on out-of-home foods but the share of this expenditure across different foods or outlets varied less. While restaurants, fast-food and takeaway outlets were a major source of out-of-home purchases, a significant proportion was spent in other outlets. Policies targeting out-of-home consumption should therefore consider the full range of foods as well as the diversity of places where they are sold.","author":[{"dropping-particle":"","family":"Cornelsen","given":"L.","non-dropping-particle":"","parse-names":false,"suffix":""},{"dropping-particle":"","family":"Berger","given":"Nicolas","non-dropping-particle":"","parse-names":false,"suffix":""},{"dropping-particle":"","family":"Cummins","given":"Steven","non-dropping-particle":"","parse-names":false,"suffix":""},{"dropping-particle":"","family":"Smith","given":"Richard D.","non-dropping-particle":"","parse-names":false,"suffix":""}],"container-title":"Social Science and Medicine","id":"ITEM-1","issue":"June","issued":{"date-parts":[["2019"]]},"page":"112361","publisher":"Elsevier","title":"Socio-economic patterning of expenditures on ‘out-of-home’ food and non-alcoholic beverages by product and place of purchase in Britain","type":"article-journal","volume":"235"},"uris":["http://www.mendeley.com/documents/?uuid=6426479f-6318-4709-9588-99c66998c191"]}],"mendeley":{"formattedCitation":"[42]","plainTextFormattedCitation":"[42]","previouslyFormattedCitation":"[42]"},"properties":{"noteIndex":0},"schema":"https://github.com/citation-style-language/schema/raw/master/csl-citation.json"}</w:instrText>
      </w:r>
      <w:r w:rsidR="00405ADC" w:rsidRPr="007271D7">
        <w:rPr>
          <w:rFonts w:ascii="Calibri" w:hAnsi="Calibri" w:cs="Calibri"/>
        </w:rPr>
        <w:fldChar w:fldCharType="separate"/>
      </w:r>
      <w:r w:rsidR="00F647C5" w:rsidRPr="007271D7">
        <w:rPr>
          <w:rFonts w:ascii="Calibri" w:hAnsi="Calibri" w:cs="Calibri"/>
          <w:noProof/>
        </w:rPr>
        <w:t>[42]</w:t>
      </w:r>
      <w:r w:rsidR="00405ADC" w:rsidRPr="007271D7">
        <w:rPr>
          <w:rFonts w:ascii="Calibri" w:hAnsi="Calibri" w:cs="Calibri"/>
        </w:rPr>
        <w:fldChar w:fldCharType="end"/>
      </w:r>
      <w:r w:rsidR="00405ADC" w:rsidRPr="007271D7">
        <w:rPr>
          <w:rFonts w:ascii="Calibri" w:hAnsi="Calibri" w:cs="Calibri"/>
        </w:rPr>
        <w:t xml:space="preserve"> </w:t>
      </w:r>
      <w:r w:rsidRPr="007271D7">
        <w:t xml:space="preserve"> However, o</w:t>
      </w:r>
      <w:r w:rsidR="00A9614C" w:rsidRPr="007271D7">
        <w:t xml:space="preserve">ur study sample </w:t>
      </w:r>
      <w:r w:rsidR="0074797B" w:rsidRPr="007271D7">
        <w:t>was</w:t>
      </w:r>
      <w:r w:rsidR="00A9614C" w:rsidRPr="007271D7">
        <w:t xml:space="preserve"> not representative of the UK</w:t>
      </w:r>
      <w:r w:rsidR="0074797B" w:rsidRPr="007271D7">
        <w:t xml:space="preserve"> as a whole</w:t>
      </w:r>
      <w:r w:rsidR="00A9614C" w:rsidRPr="007271D7">
        <w:t>.</w:t>
      </w:r>
      <w:r w:rsidR="008E72D5" w:rsidRPr="007271D7">
        <w:t xml:space="preserve"> </w:t>
      </w:r>
      <w:r w:rsidR="0074797B" w:rsidRPr="007271D7">
        <w:t>Nonetheless</w:t>
      </w:r>
      <w:r w:rsidR="00E51139" w:rsidRPr="007271D7">
        <w:t xml:space="preserve">, </w:t>
      </w:r>
      <w:r w:rsidR="0074797B" w:rsidRPr="007271D7">
        <w:t>our study</w:t>
      </w:r>
      <w:r w:rsidR="00E51139" w:rsidRPr="007271D7">
        <w:t xml:space="preserve"> sample appear</w:t>
      </w:r>
      <w:r w:rsidR="0074797B" w:rsidRPr="007271D7">
        <w:t>s</w:t>
      </w:r>
      <w:r w:rsidR="00E51139" w:rsidRPr="007271D7">
        <w:t xml:space="preserve"> similar to national samples and the general population in terms of</w:t>
      </w:r>
      <w:r w:rsidR="003574AF" w:rsidRPr="007271D7">
        <w:t xml:space="preserve"> </w:t>
      </w:r>
      <w:r w:rsidR="00E51139" w:rsidRPr="007271D7">
        <w:t xml:space="preserve">distribution of most sociodemographic characteristics. </w:t>
      </w:r>
      <w:r w:rsidR="00772524" w:rsidRPr="007271D7">
        <w:t>M</w:t>
      </w:r>
      <w:r w:rsidR="00A9614C" w:rsidRPr="007271D7">
        <w:t xml:space="preserve">ost </w:t>
      </w:r>
      <w:r w:rsidR="00B47AAF" w:rsidRPr="007271D7">
        <w:t>participant</w:t>
      </w:r>
      <w:r w:rsidR="00A9614C" w:rsidRPr="007271D7">
        <w:t xml:space="preserve">s </w:t>
      </w:r>
      <w:r w:rsidR="00772524" w:rsidRPr="007271D7">
        <w:t xml:space="preserve">(71.6%) </w:t>
      </w:r>
      <w:r w:rsidR="00A9614C" w:rsidRPr="007271D7">
        <w:t xml:space="preserve">were female, which is likely due to </w:t>
      </w:r>
      <w:r w:rsidR="00490A0A" w:rsidRPr="007271D7">
        <w:t xml:space="preserve">more </w:t>
      </w:r>
      <w:r w:rsidR="00A9614C" w:rsidRPr="007271D7">
        <w:t>women being the main food shopper</w:t>
      </w:r>
      <w:r w:rsidR="00490A0A" w:rsidRPr="007271D7">
        <w:t xml:space="preserve"> </w:t>
      </w:r>
      <w:r w:rsidR="002B44A8" w:rsidRPr="007271D7">
        <w:t>within</w:t>
      </w:r>
      <w:r w:rsidR="00490A0A" w:rsidRPr="007271D7">
        <w:t xml:space="preserve"> a household</w:t>
      </w:r>
      <w:r w:rsidR="00C800BF" w:rsidRPr="007271D7">
        <w:t xml:space="preserve"> than men</w:t>
      </w:r>
      <w:r w:rsidR="00A9614C" w:rsidRPr="007271D7">
        <w:t>.</w:t>
      </w:r>
      <w:r w:rsidR="00772524" w:rsidRPr="007271D7">
        <w:t xml:space="preserve"> A similar proportion of </w:t>
      </w:r>
      <w:r w:rsidR="008527AB" w:rsidRPr="007271D7">
        <w:t xml:space="preserve">main food providers </w:t>
      </w:r>
      <w:r w:rsidR="00772524" w:rsidRPr="007271D7">
        <w:t xml:space="preserve">were women (73.3%) </w:t>
      </w:r>
      <w:r w:rsidR="008527AB" w:rsidRPr="007271D7">
        <w:t>in</w:t>
      </w:r>
      <w:r w:rsidR="00297AFD" w:rsidRPr="007271D7">
        <w:t xml:space="preserve"> latest wave</w:t>
      </w:r>
      <w:r w:rsidR="00772524" w:rsidRPr="007271D7">
        <w:t xml:space="preserve"> (2014/15 to 2016/17)</w:t>
      </w:r>
      <w:r w:rsidR="00297AFD" w:rsidRPr="007271D7">
        <w:t xml:space="preserve"> of</w:t>
      </w:r>
      <w:r w:rsidR="008527AB" w:rsidRPr="007271D7">
        <w:t xml:space="preserve"> the National Diet and Nutrition Survey</w:t>
      </w:r>
      <w:r w:rsidR="00297AFD" w:rsidRPr="007271D7">
        <w:t xml:space="preserve"> </w:t>
      </w:r>
      <w:r w:rsidR="00772524" w:rsidRPr="007271D7">
        <w:t xml:space="preserve">(NDNS), </w:t>
      </w:r>
      <w:r w:rsidR="00D26040" w:rsidRPr="007271D7">
        <w:t>which aims to be representative of the UK population</w:t>
      </w:r>
      <w:r w:rsidR="00772524" w:rsidRPr="007271D7">
        <w:t>.</w:t>
      </w:r>
      <w:r w:rsidR="00510B52" w:rsidRPr="007271D7">
        <w:fldChar w:fldCharType="begin" w:fldLock="1"/>
      </w:r>
      <w:r w:rsidR="00F73FD9" w:rsidRPr="007271D7">
        <w:instrText>ADDIN CSL_CITATION {"citationItems":[{"id":"ITEM-1","itemData":{"author":[{"dropping-particle":"","family":"NatCen Social Research. MRC Elsie Widdowson Laboratory","given":"","non-dropping-particle":"","parse-names":false,"suffix":""}],"id":"ITEM-1","issued":{"date-parts":[["2019"]]},"publisher-place":"[data collection]. 15th Edition","title":"National Diet and Nutrition Survey Years 1-9, 2008/09-2016/17. [data collection]. 15th Edition.","type":"report"},"uris":["http://www.mendeley.com/documents/?uuid=f14e370a-1c0f-4724-9ee9-07035d9bc9d7"]}],"mendeley":{"formattedCitation":"[48]","plainTextFormattedCitation":"[48]","previouslyFormattedCitation":"[48]"},"properties":{"noteIndex":0},"schema":"https://github.com/citation-style-language/schema/raw/master/csl-citation.json"}</w:instrText>
      </w:r>
      <w:r w:rsidR="00510B52" w:rsidRPr="007271D7">
        <w:fldChar w:fldCharType="separate"/>
      </w:r>
      <w:r w:rsidR="00E94AFD" w:rsidRPr="007271D7">
        <w:rPr>
          <w:noProof/>
        </w:rPr>
        <w:t>[48]</w:t>
      </w:r>
      <w:r w:rsidR="00510B52" w:rsidRPr="007271D7">
        <w:fldChar w:fldCharType="end"/>
      </w:r>
      <w:r w:rsidR="00772524" w:rsidRPr="007271D7">
        <w:t xml:space="preserve"> </w:t>
      </w:r>
      <w:r w:rsidR="00C800BF" w:rsidRPr="007271D7">
        <w:t xml:space="preserve">A similar proportion of participants </w:t>
      </w:r>
      <w:r w:rsidR="00CC731D" w:rsidRPr="007271D7">
        <w:t xml:space="preserve">also reported not having children in the household in our sample (71.5%) as in the NDNS </w:t>
      </w:r>
      <w:r w:rsidR="00C800BF" w:rsidRPr="007271D7">
        <w:t>(69.8%)</w:t>
      </w:r>
      <w:r w:rsidR="00CC731D" w:rsidRPr="007271D7">
        <w:t xml:space="preserve">, </w:t>
      </w:r>
      <w:r w:rsidR="00E51139" w:rsidRPr="007271D7">
        <w:t>but this</w:t>
      </w:r>
      <w:r w:rsidR="00CC731D" w:rsidRPr="007271D7">
        <w:t xml:space="preserve"> is higher than in the</w:t>
      </w:r>
      <w:r w:rsidR="00BA5B14" w:rsidRPr="007271D7">
        <w:t xml:space="preserve"> general population</w:t>
      </w:r>
      <w:r w:rsidR="00CC731D" w:rsidRPr="007271D7">
        <w:t xml:space="preserve"> (</w:t>
      </w:r>
      <w:r w:rsidR="00BA5B14" w:rsidRPr="007271D7">
        <w:t>58.0%</w:t>
      </w:r>
      <w:r w:rsidR="00CC731D" w:rsidRPr="007271D7">
        <w:t>)</w:t>
      </w:r>
      <w:r w:rsidR="00BA5B14" w:rsidRPr="007271D7">
        <w:t>.</w:t>
      </w:r>
      <w:r w:rsidR="00BA5B14" w:rsidRPr="007271D7">
        <w:fldChar w:fldCharType="begin" w:fldLock="1"/>
      </w:r>
      <w:r w:rsidR="00F73FD9" w:rsidRPr="007271D7">
        <w:instrText>ADDIN CSL_CITATION {"citationItems":[{"id":"ITEM-1","itemData":{"ISSN":"0011-8265","author":[{"dropping-particle":"","family":"Office for National Statistics","given":"","non-dropping-particle":"","parse-names":false,"suffix":""}],"id":"ITEM-1","issued":{"date-parts":[["2019"]]},"publisher":"ONS","publisher-place":"Southampton","title":"Families and households in the UK: 2019","type":"book"},"uris":["http://www.mendeley.com/documents/?uuid=6f6c2a10-58ad-4b81-9e7f-74c9ab4843fe"]}],"mendeley":{"formattedCitation":"[49]","plainTextFormattedCitation":"[49]","previouslyFormattedCitation":"[49]"},"properties":{"noteIndex":0},"schema":"https://github.com/citation-style-language/schema/raw/master/csl-citation.json"}</w:instrText>
      </w:r>
      <w:r w:rsidR="00BA5B14" w:rsidRPr="007271D7">
        <w:fldChar w:fldCharType="separate"/>
      </w:r>
      <w:r w:rsidR="00E94AFD" w:rsidRPr="007271D7">
        <w:rPr>
          <w:noProof/>
        </w:rPr>
        <w:t>[49]</w:t>
      </w:r>
      <w:r w:rsidR="00BA5B14" w:rsidRPr="007271D7">
        <w:fldChar w:fldCharType="end"/>
      </w:r>
      <w:r w:rsidR="00C800BF" w:rsidRPr="007271D7">
        <w:t xml:space="preserve"> </w:t>
      </w:r>
      <w:r w:rsidR="00E326E9" w:rsidRPr="007271D7">
        <w:t xml:space="preserve">Having children </w:t>
      </w:r>
      <w:r w:rsidR="00B47AAF" w:rsidRPr="007271D7">
        <w:t xml:space="preserve">may </w:t>
      </w:r>
      <w:r w:rsidR="00E326E9" w:rsidRPr="007271D7">
        <w:t>impact on adverti</w:t>
      </w:r>
      <w:r w:rsidR="002B44A8" w:rsidRPr="007271D7">
        <w:t>sing</w:t>
      </w:r>
      <w:r w:rsidR="00E326E9" w:rsidRPr="007271D7">
        <w:t xml:space="preserve"> exposure </w:t>
      </w:r>
      <w:r w:rsidR="00B47AAF" w:rsidRPr="007271D7">
        <w:t>(</w:t>
      </w:r>
      <w:r w:rsidR="00E326E9" w:rsidRPr="007271D7">
        <w:t xml:space="preserve">e.g. through different advertisements shown around children’s </w:t>
      </w:r>
      <w:r w:rsidR="00E326E9" w:rsidRPr="007271D7">
        <w:lastRenderedPageBreak/>
        <w:t>television programmes</w:t>
      </w:r>
      <w:r w:rsidR="00B47AAF" w:rsidRPr="007271D7">
        <w:t>) or</w:t>
      </w:r>
      <w:r w:rsidR="00E326E9" w:rsidRPr="007271D7">
        <w:t xml:space="preserve"> </w:t>
      </w:r>
      <w:r w:rsidR="00B47AAF" w:rsidRPr="007271D7">
        <w:t xml:space="preserve">recall of advertising exposure (e.g. through </w:t>
      </w:r>
      <w:r w:rsidR="00E326E9" w:rsidRPr="007271D7">
        <w:t>‘pester power’</w:t>
      </w:r>
      <w:r w:rsidR="00B47AAF" w:rsidRPr="007271D7">
        <w:t>)</w:t>
      </w:r>
      <w:r w:rsidR="00E326E9" w:rsidRPr="007271D7">
        <w:t>.</w:t>
      </w:r>
      <w:r w:rsidR="00BD7C84" w:rsidRPr="007271D7">
        <w:fldChar w:fldCharType="begin" w:fldLock="1"/>
      </w:r>
      <w:r w:rsidR="002542A3">
        <w:instrText>ADDIN CSL_CITATION {"citationItems":[{"id":"ITEM-1","itemData":{"DOI":"10.1017/S136898001600135X","ISSN":"14752727","PMID":"27297518","abstract":"Objective Children may influence household spending through 'pester power'. The present study examined pestering through parent-child food shopping behaviours in relation to children's diet and weight status. Design Cross-sectional and prospective analyses drawn from the IDEFICS study, a cohort study of parents and their children. Children's height and weight were measured and their recent diets were reported by parental proxy based on the Children's Eating Habits Questionnaire-FFQ at baseline and 2-year follow-up. Parents also completed questionnaires at both time points about pestering, including whether the child goes grocery shopping with them, asks for items seen on television and is bought requested food items. Setting Participants were recruited from eight European countries for the IDEFICS study (non-nationally representative sample). Subjects Study participants were children aged 2-9 years at enrolment and their parents. A total of 13 217 parent-child dyads were included at baseline. Two years later, 7820 of the children were re-examined. Results Most parents (63 %) at baseline reported 'sometimes' acquiescing to their children's requests to purchase specific foods. Pestering was modestly associated with weight and diet. At baseline, children whose parents 'often' complied consumed more high-sugar and high-fat foods. Children who 'often' asked for items seen on television were likely to become overweight after 2 years (OR=1·31), whereas 'never' asking protected against overweight (OR=0·72). Conclusions Pestering was modestly related to diet and weight in cross-sectional, but not longitudinal analyses. Asking for items seen on television had the most robust relationships across child outcomes and over time.","author":[{"dropping-particle":"","family":"Huang","given":"Christina Y.","non-dropping-particle":"","parse-names":false,"suffix":""},{"dropping-particle":"","family":"Reisch","given":"Lucia A.","non-dropping-particle":"","parse-names":false,"suffix":""},{"dropping-particle":"","family":"Gwozdz","given":"Wencke","non-dropping-particle":"","parse-names":false,"suffix":""},{"dropping-particle":"","family":"Molnár","given":"Dénes","non-dropping-particle":"","parse-names":false,"suffix":""},{"dropping-particle":"","family":"Konstabel","given":"Kenn","non-dropping-particle":"","parse-names":false,"suffix":""},{"dropping-particle":"","family":"Michels","given":"Nathalie","non-dropping-particle":"","parse-names":false,"suffix":""},{"dropping-particle":"","family":"Tornaritis","given":"Michalis","non-dropping-particle":"","parse-names":false,"suffix":""},{"dropping-particle":"","family":"Eiben","given":"Gabriele","non-dropping-particle":"","parse-names":false,"suffix":""},{"dropping-particle":"","family":"Siani","given":"Alfonso","non-dropping-particle":"","parse-names":false,"suffix":""},{"dropping-particle":"","family":"Fernández-Alvira","given":"Juan M.","non-dropping-particle":"","parse-names":false,"suffix":""},{"dropping-particle":"","family":"Ahrens","given":"Wolfgang","non-dropping-particle":"","parse-names":false,"suffix":""},{"dropping-particle":"","family":"Pigeot","given":"Iris","non-dropping-particle":"","parse-names":false,"suffix":""},{"dropping-particle":"","family":"Lissner","given":"Lauren","non-dropping-particle":"","parse-names":false,"suffix":""}],"container-title":"Public Health Nutrition","id":"ITEM-1","issue":"13","issued":{"date-parts":[["2016"]]},"page":"2393-2403","title":"Pester power and its consequences: Do European children's food purchasing requests relate to diet and weight outcomes?","type":"article-journal","volume":"19"},"uris":["http://www.mendeley.com/documents/?uuid=867e05d8-4626-4617-8258-f5a2863fab4c"]},{"id":"ITEM-2","itemData":{"DOI":"10.3390/ijerph15030560","ISSN":"16604601","PMID":"29558457","abstract":"Monitoring the creative content within food marketing to children is strongly advocated by public health authorities, but few studies address the prevalence of health-related messaging in television adverts. Food and beverage adverts (n = 18,888 in 2008, n = 6664 in 2010) from UK television channels popular with children were coded and analyzed. Physical-activity depiction displayed an 18.8 percentage point increase from 2008 (4.4%) to 2010 (23.2%). Of the food adverts containing physical-activity depiction in 2010, 81.1% were for non-core foods. The appearance of health claims in food adverts in 2010 increased 4.1 percentage points from 2008 levels (20.7% to 24.8%) where the majority of food adverts featuring health and nutrition claims were for non-core foods (58.3%). Health-related (e.g., health/nutrition, weight loss/diet) appeals were used in 17.1% of food adverts during peak child-viewing times, rising to 33.0% of adverts shown on dedicated children’s channels in 2010. Implicit (physical activity) and explicit (health claims) health messages are increasingly prevalent in UK television food advertising viewed by children, and are frequently used to promote unhealthy foods. Policy makers in the UK should consider amendments to the existing statutory approach in order to address this issue.","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International Journal of Environmental Research and Public Health","id":"ITEM-2","issue":"3","issued":{"date-parts":[["2018"]]},"page":"560","title":"The health halo trend in UK television food advertising viewed by children: The rise of implicit and explicit health messaging in the promotion of unhealthy foods","type":"article-journal","volume":"15"},"uris":["http://www.mendeley.com/documents/?uuid=82e299d8-db47-41bd-ab5b-eb2285f7cce7"]}],"mendeley":{"formattedCitation":"[50,51]","plainTextFormattedCitation":"[50,51]","previouslyFormattedCitation":"[50,51]"},"properties":{"noteIndex":0},"schema":"https://github.com/citation-style-language/schema/raw/master/csl-citation.json"}</w:instrText>
      </w:r>
      <w:r w:rsidR="00BD7C84" w:rsidRPr="007271D7">
        <w:fldChar w:fldCharType="separate"/>
      </w:r>
      <w:r w:rsidR="00E94AFD" w:rsidRPr="007271D7">
        <w:rPr>
          <w:noProof/>
        </w:rPr>
        <w:t>[50,51]</w:t>
      </w:r>
      <w:r w:rsidR="00BD7C84" w:rsidRPr="007271D7">
        <w:fldChar w:fldCharType="end"/>
      </w:r>
      <w:r w:rsidR="00E326E9" w:rsidRPr="007271D7">
        <w:t xml:space="preserve"> </w:t>
      </w:r>
      <w:r w:rsidR="00BA5B14" w:rsidRPr="007271D7">
        <w:t>A</w:t>
      </w:r>
      <w:r w:rsidR="00C800BF" w:rsidRPr="007271D7">
        <w:t xml:space="preserve"> greater proportion of</w:t>
      </w:r>
      <w:r w:rsidR="00772524" w:rsidRPr="007271D7">
        <w:t xml:space="preserve"> participants in </w:t>
      </w:r>
      <w:r w:rsidR="008527AB" w:rsidRPr="007271D7">
        <w:t xml:space="preserve">our sample </w:t>
      </w:r>
      <w:r w:rsidR="00CC731D" w:rsidRPr="007271D7">
        <w:t>reported</w:t>
      </w:r>
      <w:r w:rsidR="008527AB" w:rsidRPr="007271D7">
        <w:t xml:space="preserve"> </w:t>
      </w:r>
      <w:r w:rsidR="00BF52C9" w:rsidRPr="007271D7">
        <w:t>being</w:t>
      </w:r>
      <w:r w:rsidR="008527AB" w:rsidRPr="007271D7">
        <w:t xml:space="preserve"> </w:t>
      </w:r>
      <w:r w:rsidR="00772524" w:rsidRPr="007271D7">
        <w:t>in work</w:t>
      </w:r>
      <w:r w:rsidR="00C800BF" w:rsidRPr="007271D7">
        <w:t xml:space="preserve"> (62.2%)</w:t>
      </w:r>
      <w:r w:rsidR="00772524" w:rsidRPr="007271D7">
        <w:t xml:space="preserve"> than in </w:t>
      </w:r>
      <w:r w:rsidR="00B47AAF" w:rsidRPr="007271D7">
        <w:t xml:space="preserve">the </w:t>
      </w:r>
      <w:r w:rsidR="00772524" w:rsidRPr="007271D7">
        <w:t>NDNS</w:t>
      </w:r>
      <w:r w:rsidR="00C800BF" w:rsidRPr="007271D7">
        <w:t xml:space="preserve"> (56.2%)</w:t>
      </w:r>
      <w:r w:rsidR="008527AB" w:rsidRPr="007271D7">
        <w:t xml:space="preserve">. </w:t>
      </w:r>
      <w:r w:rsidR="00AC156B" w:rsidRPr="007271D7">
        <w:t xml:space="preserve">Discounting those with missing BMIs, the proportion of participants </w:t>
      </w:r>
      <w:r w:rsidR="00CC731D" w:rsidRPr="007271D7">
        <w:t xml:space="preserve">in each BMI category </w:t>
      </w:r>
      <w:r w:rsidR="00AC156B" w:rsidRPr="007271D7">
        <w:t>in this study was similar to that found in the Health Survey for England 201</w:t>
      </w:r>
      <w:r w:rsidR="00510B52" w:rsidRPr="007271D7">
        <w:t>8</w:t>
      </w:r>
      <w:r w:rsidR="00AC156B" w:rsidRPr="007271D7">
        <w:t>.</w:t>
      </w:r>
      <w:r w:rsidR="00510B52" w:rsidRPr="007271D7">
        <w:fldChar w:fldCharType="begin" w:fldLock="1"/>
      </w:r>
      <w:r w:rsidR="00ED179C" w:rsidRPr="007271D7">
        <w:instrText>ADDIN CSL_CITATION {"citationItems":[{"id":"ITEM-1","itemData":{"author":[{"dropping-particle":"","family":"NHS Digital","given":"","non-dropping-particle":"","parse-names":false,"suffix":""}],"id":"ITEM-1","issued":{"date-parts":[["2019"]]},"title":"Health Survey for England 2018: Data tables","type":"webpage"},"uris":["http://www.mendeley.com/documents/?uuid=e6873bac-f75c-4f71-a3e8-c7017e1477a2"]}],"mendeley":{"formattedCitation":"[21]","plainTextFormattedCitation":"[21]","previouslyFormattedCitation":"[21]"},"properties":{"noteIndex":0},"schema":"https://github.com/citation-style-language/schema/raw/master/csl-citation.json"}</w:instrText>
      </w:r>
      <w:r w:rsidR="00510B52" w:rsidRPr="007271D7">
        <w:fldChar w:fldCharType="separate"/>
      </w:r>
      <w:r w:rsidR="00412B46" w:rsidRPr="007271D7">
        <w:rPr>
          <w:noProof/>
        </w:rPr>
        <w:t>[21]</w:t>
      </w:r>
      <w:r w:rsidR="00510B52" w:rsidRPr="007271D7">
        <w:fldChar w:fldCharType="end"/>
      </w:r>
      <w:r w:rsidR="00490A0A" w:rsidRPr="007271D7">
        <w:t xml:space="preserve"> </w:t>
      </w:r>
      <w:r w:rsidR="0074797B" w:rsidRPr="007271D7">
        <w:t>However</w:t>
      </w:r>
      <w:r w:rsidR="0095269C" w:rsidRPr="007271D7">
        <w:t xml:space="preserve">, the number of participants in the underweight category was too small for any statistically meaningful interpretations to be drawn for </w:t>
      </w:r>
      <w:r w:rsidR="00985B1B" w:rsidRPr="007271D7">
        <w:t>th</w:t>
      </w:r>
      <w:r w:rsidR="00E21212" w:rsidRPr="007271D7">
        <w:t>is</w:t>
      </w:r>
      <w:r w:rsidR="00985B1B" w:rsidRPr="007271D7">
        <w:t xml:space="preserve"> group</w:t>
      </w:r>
      <w:r w:rsidR="00BF52C9" w:rsidRPr="007271D7">
        <w:t xml:space="preserve"> in our study</w:t>
      </w:r>
      <w:r w:rsidR="0095269C" w:rsidRPr="007271D7">
        <w:t xml:space="preserve">. </w:t>
      </w:r>
    </w:p>
    <w:p w14:paraId="78633BEA" w14:textId="77777777" w:rsidR="00A9614C" w:rsidRPr="007271D7" w:rsidRDefault="00A9614C" w:rsidP="00A9614C">
      <w:pPr>
        <w:spacing w:line="480" w:lineRule="auto"/>
      </w:pPr>
    </w:p>
    <w:p w14:paraId="19633990" w14:textId="7B80E94A" w:rsidR="0035596E" w:rsidRPr="007271D7" w:rsidRDefault="0035596E" w:rsidP="002A0FEE">
      <w:pPr>
        <w:spacing w:line="480" w:lineRule="auto"/>
      </w:pPr>
      <w:r w:rsidRPr="007271D7">
        <w:rPr>
          <w:b/>
          <w:bCs/>
        </w:rPr>
        <w:t>Interpretation</w:t>
      </w:r>
    </w:p>
    <w:p w14:paraId="4EF352B0" w14:textId="2C3174AB" w:rsidR="006670F0" w:rsidRPr="007271D7" w:rsidRDefault="006D73E7" w:rsidP="00481B65">
      <w:pPr>
        <w:spacing w:line="480" w:lineRule="auto"/>
      </w:pPr>
      <w:r w:rsidRPr="007271D7">
        <w:t>Soci</w:t>
      </w:r>
      <w:r w:rsidR="00273DFD" w:rsidRPr="007271D7">
        <w:t xml:space="preserve">oeconomic </w:t>
      </w:r>
      <w:r w:rsidRPr="007271D7">
        <w:t xml:space="preserve">differences in </w:t>
      </w:r>
      <w:r w:rsidR="00476A0E" w:rsidRPr="007271D7">
        <w:t xml:space="preserve">self-reported </w:t>
      </w:r>
      <w:r w:rsidRPr="007271D7">
        <w:t>advertising exposure were observed</w:t>
      </w:r>
      <w:r w:rsidR="006E412E" w:rsidRPr="007271D7">
        <w:t xml:space="preserve"> across various</w:t>
      </w:r>
      <w:r w:rsidR="00D86ABE" w:rsidRPr="007271D7">
        <w:t xml:space="preserve"> </w:t>
      </w:r>
      <w:r w:rsidR="006E412E" w:rsidRPr="007271D7">
        <w:t>product categories and advertising settings</w:t>
      </w:r>
      <w:r w:rsidR="00693D08" w:rsidRPr="007271D7">
        <w:t xml:space="preserve">, with more disadvantaged groups </w:t>
      </w:r>
      <w:r w:rsidR="008F1E7F" w:rsidRPr="007271D7">
        <w:t xml:space="preserve">more likely to </w:t>
      </w:r>
      <w:r w:rsidR="00693D08" w:rsidRPr="007271D7">
        <w:t>report exposure than the least disadvantaged group</w:t>
      </w:r>
      <w:r w:rsidR="00BA5B14" w:rsidRPr="007271D7">
        <w:t xml:space="preserve">. These findings are consistent with previous studies that documented socioeconomic differences in exposure to </w:t>
      </w:r>
      <w:r w:rsidR="00693D08" w:rsidRPr="007271D7">
        <w:t>less healthy</w:t>
      </w:r>
      <w:r w:rsidR="00BA5B14" w:rsidRPr="007271D7">
        <w:t xml:space="preserve"> food and drink advertising in the UK using more objective measures of exposure</w:t>
      </w:r>
      <w:r w:rsidR="008953E6" w:rsidRPr="007271D7">
        <w:t>.</w:t>
      </w:r>
      <w:r w:rsidR="00BA5B14" w:rsidRPr="007271D7">
        <w:fldChar w:fldCharType="begin" w:fldLock="1"/>
      </w:r>
      <w:r w:rsidR="00ED179C" w:rsidRPr="007271D7">
        <w:instrText>ADDIN CSL_CITATION {"citationItems":[{"id":"ITEM-1","itemData":{"DOI":"10.1017/S1368980011001686","abstract":"Objective: To document socioeconomic differences in exposure to food advertising , including advertisements for foods high in fat, salt and sugar (HFSS) as defined by the UK Food Standards Agency's Nutrient Profiling Model. Design: A cross-sectional survey. Information (including product advertised and viewing figures) on all advertisements broadcast in one UK region over one week (6-12 July 2009) was obtained. Food advertisements were identified and linked to nutritional information on the content of advertised foods. Setting: UK Tyne-Tees television region. Subjects: Data were sourced from a UK-wide television viewing panel. Results: Eleven per cent of advertising seen was for food and 63 % of food advertising seen was for HFSS foods. The proportion of all advertising seen that was for food was smaller among viewers in the least v. most affluent social grade (OR 5 0?98, 99 % CI 0","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J","non-dropping-particle":"","parse-names":false,"suffix":""},{"dropping-particle":"","family":"White","given":"Martin","non-dropping-particle":"","parse-names":false,"suffix":""}],"container-title":"Public Health Nutrition","id":"ITEM-1","issue":"3","issued":{"date-parts":[["2011"]]},"page":"487-494","title":"Socio-economic differences in exposure to television food advertisements in the UK: a cross-sectional study of advertisements broadcast in one television region","type":"article-journal","volume":"15"},"uris":["http://www.mendeley.com/documents/?uuid=f381c81b-f9df-3780-aa15-fe71660c18b4"]},{"id":"ITEM-2","itemData":{"DOI":"10.1017/S1368980010003332","ISSN":"1368-9800","abstract":"&lt;div class=\"abstract\" data-abstract-type=\"normal\"&gt;&lt;div class='sec'&gt;&lt;span class=\"bold\"&gt;Objective&lt;/span&gt;&lt;p&gt;To explore differences in the prevalence of outdoor food advertising, and the type and nutritional content of advertised foods, according to an area-based marker of socio-economic position (SEP) in a city in Northern England.&lt;/p&gt;&lt;/div&gt;&lt;div class='sec'&gt;&lt;span class=\"bold\"&gt;Design&lt;/span&gt;&lt;p&gt;All outdoor advertisements in the city were identified during October–December 2009, their size (in m&lt;span class='sup'&gt;2&lt;/span&gt;) estimated and their location determined using a global positioning system device. Advertisements were classified as food or non-food. Food advertisements were classified into one of six food categories. Information on the nutritional content of advertised foods was obtained from packaging and manufacturer's websites. An area-based marker of SEP was assigned using the location of each advertisement, grouped into three affluence tertiles for analysis.&lt;/p&gt;&lt;/div&gt;&lt;div class='sec'&gt;&lt;span class=\"bold\"&gt;Setting&lt;/span&gt;&lt;p&gt;A city in Northern England.&lt;/p&gt;&lt;/div&gt;&lt;div class='sec'&gt;&lt;span class=\"bold\"&gt;Subjects&lt;/span&gt;&lt;p&gt;None.&lt;/p&gt;&lt;/div&gt;&lt;div class='sec'&gt;&lt;span class=\"bold\"&gt;Results&lt;/span&gt;&lt;p&gt;In all, 1371 advertisements were identified; 211 (15 %) of these were for food. The advertisements covered 6765 m&lt;span class='sup'&gt;2&lt;/span&gt;, of which 1326 m&lt;span class='sup'&gt;2&lt;/span&gt; (20 %) was for food. Total advertising and food advertising space was largest in the least affluent tertile. There was little evidence of socio-economic trends in the type or nutritional content of advertised foods.&lt;/p&gt;&lt;/div&gt;&lt;div class='sec'&gt;&lt;span class=\"bold\"&gt;Conclusions&lt;/span&gt;&lt;p&gt;Despite an absence of socio-economic differences in the type and nutritional content of advertised foods, there were socio-economic differences in food advertising space. There may also be socio-economic differences in exposure to outdoor food advertising.&lt;/p&gt;&lt;/div&gt;&lt;/div&gt;","author":[{"dropping-particle":"","family":"Adams","given":"Jean","non-dropping-particle":"","parse-names":false,"suffix":""},{"dropping-particle":"","family":"Ganiti","given":"Ellie","non-dropping-particle":"","parse-names":false,"suffix":""},{"dropping-particle":"","family":"White","given":"Martin","non-dropping-particle":"","parse-names":false,"suffix":""}],"container-title":"Public Health Nutrition","id":"ITEM-2","issue":"6","issued":{"date-parts":[["2011","6","4"]]},"page":"945-950","publisher":"Cambridge University Press","title":"Socio-economic differences in outdoor food advertising in a city in Northern England","type":"article-journal","volume":"14"},"uris":["http://www.mendeley.com/documents/?uuid=57d9587e-8254-32b3-91d0-cfafc0288030"]}],"mendeley":{"formattedCitation":"[18,19]","plainTextFormattedCitation":"[18,19]","previouslyFormattedCitation":"[18,19]"},"properties":{"noteIndex":0},"schema":"https://github.com/citation-style-language/schema/raw/master/csl-citation.json"}</w:instrText>
      </w:r>
      <w:r w:rsidR="00BA5B14" w:rsidRPr="007271D7">
        <w:fldChar w:fldCharType="separate"/>
      </w:r>
      <w:r w:rsidR="00412B46" w:rsidRPr="007271D7">
        <w:rPr>
          <w:noProof/>
        </w:rPr>
        <w:t>[18,19]</w:t>
      </w:r>
      <w:r w:rsidR="00BA5B14" w:rsidRPr="007271D7">
        <w:fldChar w:fldCharType="end"/>
      </w:r>
      <w:r w:rsidR="00BA5B14" w:rsidRPr="007271D7">
        <w:t xml:space="preserve"> The alignment between objective and self-reported measures suggests that self-reported measures </w:t>
      </w:r>
      <w:r w:rsidR="00693D08" w:rsidRPr="007271D7">
        <w:t>may</w:t>
      </w:r>
      <w:r w:rsidR="00BA5B14" w:rsidRPr="007271D7">
        <w:t xml:space="preserve"> be </w:t>
      </w:r>
      <w:r w:rsidR="007D0973" w:rsidRPr="007271D7">
        <w:t xml:space="preserve">appropriate </w:t>
      </w:r>
      <w:r w:rsidR="001C03FF" w:rsidRPr="007271D7">
        <w:t>proxies</w:t>
      </w:r>
      <w:r w:rsidR="007D0973" w:rsidRPr="007271D7">
        <w:t xml:space="preserve"> for advertising exposure</w:t>
      </w:r>
      <w:r w:rsidR="00BA5B14" w:rsidRPr="007271D7">
        <w:t>.</w:t>
      </w:r>
      <w:r w:rsidR="00693D08" w:rsidRPr="007271D7">
        <w:t xml:space="preserve"> </w:t>
      </w:r>
      <w:r w:rsidR="008953E6" w:rsidRPr="007271D7">
        <w:t>Further, our findings are consistent with those in the wider international literature.</w:t>
      </w:r>
      <w:r w:rsidR="007307A0" w:rsidRPr="007271D7">
        <w:fldChar w:fldCharType="begin" w:fldLock="1"/>
      </w:r>
      <w:r w:rsidR="002542A3">
        <w:instrText>ADDIN CSL_CITATION {"citationItems":[{"id":"ITEM-1","itemData":{"DOI":"10.1353/foc.2006.0005","ISSN":"10548289","PMID":"16532664","abstract":"Although rates of childhood obesity among the general population are alarmingly high, they are higher still in ethnic minority and low-income communities. The disparities pose a major challenge for policymakers and practitioners planning strategies for obesity prevention. In this article Shiriki Kumanyika and Sonya Grier summarize differences in childhood obesity prevalence by race and ethnicity and by socioeconomic status. They show how various environmental factors can have larger effects on disadvantaged and minority children than on their advantaged white peers - and thus contribute to disparities in obesity rates. The authors show, for example, that low-income and minority children watch more television than white, non-poor children and are potentially exposed to more commercials advertising high-calorie, low-nutrient food during an average hour of TV programming. They note that neighborhoods where low-income and minority children live typically have more fast-food restaurants and fewer vendors of healthful foods than do wealthier or predominantly white neighborhoods. They cite such obstacles to physical activity as unsafe streets, dilapidated parks, and lack of facilities. In the schools that low-income and minority children attend, however, they see opportunities to lead the way to effective obesity prevention. Finally, the authors examine several aspects of the home environment - breast-feeding, television viewing, and parental behaviors - that may contribute to childhood obesity but be amenable to change through targeted intervention. Kumanyika and Grier point out that policymakers aiming to prevent obesity can use many existing policy levers to reach ethnic minority and low-income children and families: Medicaid, the State Child Health Insurance Program, and federal nutrition \"safety net\" programs. Ultimately, winning the fight against childhood obesity in minority and low-income communities will depend on the nation's will to change the social and physical environments in which these communities exist.","author":[{"dropping-particle":"","family":"Kumanyika","given":"Shiriki","non-dropping-particle":"","parse-names":false,"suffix":""},{"dropping-particle":"","family":"Grier","given":"Sonya","non-dropping-particle":"","parse-names":false,"suffix":""}],"container-title":"Future of Children","id":"ITEM-1","issue":"1","issued":{"date-parts":[["2006"]]},"page":"187-207","title":"Targeting interventions for ethnic minority and low-income populations","type":"article-journal","volume":"16"},"uris":["http://www.mendeley.com/documents/?uuid=9daf1be4-8c58-4a27-816e-20629b9edbe2"]},{"id":"ITEM-2","itemData":{"DOI":"10.1007/s11524-016-0127-9","ISSN":"14682869","PMID":"28271237","abstract":"Unhealthful food-and-beverage advertising often targets vulnerable groups. The extent of such advertising in subway stations has not been reported and it is not clear how ad placement may relate to subway ridership or community demographics, or what the implications might be for diets and diet-related health in surrounding communities. Riding all subway lines (n = 7) in the Bronx, NY, USA, investigators systematically assessed all print ads (n = 1586) in all stations (n = 68) in 2012. Data about subway ridership came from the Metropolitan Transportation Authority. Demographic data on surrounding residential areas came from the U.S. Census Bureau. Data on dietary intake and diet-related conditions came from a city health-department survey. There were no ads promoting “more-healthful” food-or-beverage items (i.e., fruits, vegetables, whole grains, nuts, water or milk). There were many ads for “less-healthful” items (e.g., candies, chips, sugary cereals, frozen pizzas, “energy” drinks, coffee confections, hard alcohol, and beer). Ad placement did not relate to the number of riders entering at stations. Instead, exposure to food-or-beverage ads generally, and to “less-healthful” ads particularly (specifically ads in Spanish, directed at youth, and/or featuring minorities), was directly correlated with poverty, lower high-school graduation rates, higher percentages of Hispanics, and/or higher percentages of children in surrounding residential areas. Correlations were robust to sensitivity analyses. Additional analyses suggested correlations between ad exposures and sugary-drink consumption, fruit-and-vegetable intake, and diabetes, hypertension, and high-cholesterol rates. Subway-station ads for “less-healthful” items were located disproportionately in areas home to vulnerable populations facing diet and diet-related-health challenges. The fact that uneven ad placement did not relate to total rider counts suggests ads were not directed at the largest possible audiences but rather targeted to specific groups.","author":[{"dropping-particle":"","family":"Lucan","given":"Sean C.","non-dropping-particle":"","parse-names":false,"suffix":""},{"dropping-particle":"","family":"Maroko","given":"Andrew R.","non-dropping-particle":"","parse-names":false,"suffix":""},{"dropping-particle":"","family":"Sanon","given":"Omar C.","non-dropping-particle":"","parse-names":false,"suffix":""},{"dropping-particle":"","family":"Schechter","given":"Clyde B.","non-dropping-particle":"","parse-names":false,"suffix":""}],"container-title":"Journal of Urban Health","id":"ITEM-2","issued":{"date-parts":[["2017"]]},"page":"220-232","publisher":"Journal of Urban Health","title":"Unhealthful Food-and-Beverage Advertising in Subway Stations: Targeted Marketing, Vulnerable Groups, Dietary Intake, and Poor Health","type":"article-journal","volume":"94"},"uris":["http://www.mendeley.com/documents/?uuid=b437baf6-54a8-4239-a0d0-1471a30ba219"]},{"id":"ITEM-3","itemData":{"DOI":"10.1111/obr.13144","ISSN":"1467789X","abstract":"Children's exposure to advertising of unhealthy food and nonalcoholic beverages that are high in saturated fats, salt and/or sugar is extensive and increases children's preferences for, and intake of, targeted products. This systematic review examines the differential potential exposure and impact of unhealthy food advertising to children according to socio-economic position (SEP) and/or ethnicity. Nine databases (health, business, marketing) and grey literature were searched in November 2019 using terms relating to ‘food or drink’, ‘advertising’ and ‘socioeconomic position or ethnicity’. Studies published since 2007 were included. Article screening and data extraction were conducted by two independent reviewers. Quality of studies was assessed using the Newcastle-Ottawa quality scale. Of the 25 articles included, 14 focused on exposure to unhealthy food advertising via television, nine via outdoor mediums and two via multiple mediums. Most studies (n = 19) revealed a higher potential exposure or a greater potential impact of unhealthy food advertising among ethnic minority or lower SEP children. Few studies reported no difference (n = 3) or mixed findings (n = 3). Children from minority and socio-economically disadvantaged backgrounds are disproportionately exposed to unhealthy food advertising. Regulations to restrict unhealthy food advertising to children should be implemented to improve children's diets and reduce inequities in dietary intake.","author":[{"dropping-particle":"","family":"Backholer","given":"Kathryn","non-dropping-particle":"","parse-names":false,"suffix":""},{"dropping-particle":"","family":"Gupta","given":"Adyya","non-dropping-particle":"","parse-names":false,"suffix":""},{"dropping-particle":"","family":"Zorbas","given":"Christina","non-dropping-particle":"","parse-names":false,"suffix":""},{"dropping-particle":"","family":"Bennett","given":"Rebecca","non-dropping-particle":"","parse-names":false,"suffix":""},{"dropping-particle":"","family":"Huse","given":"Oliver","non-dropping-particle":"","parse-names":false,"suffix":""},{"dropping-particle":"","family":"Chung","given":"Alexandra","non-dropping-particle":"","parse-names":false,"suffix":""},{"dropping-particle":"","family":"Isaacs","given":"Anna","non-dropping-particle":"","parse-names":false,"suffix":""},{"dropping-particle":"","family":"Golds","given":"Gabby","non-dropping-particle":"","parse-names":false,"suffix":""},{"dropping-particle":"","family":"Kelly","given":"Bridget","non-dropping-particle":"","parse-names":false,"suffix":""},{"dropping-particle":"","family":"Peeters","given":"Anna","non-dropping-particle":"","parse-names":false,"suffix":""}],"container-title":"Obesity Reviews","id":"ITEM-3","issued":{"date-parts":[["2021"]]},"page":"e13144","title":"Differential exposure to, and potential impact of, unhealthy advertising to children by socio-economic and ethnic groups: A systematic review of the evidence","type":"article-journal","volume":"22"},"uris":["http://www.mendeley.com/documents/?uuid=72822df4-71a5-45bb-a294-62079b4bbfe7"]}],"mendeley":{"formattedCitation":"[17,52,53]","plainTextFormattedCitation":"[17,52,53]","previouslyFormattedCitation":"[17,52,53]"},"properties":{"noteIndex":0},"schema":"https://github.com/citation-style-language/schema/raw/master/csl-citation.json"}</w:instrText>
      </w:r>
      <w:r w:rsidR="007307A0" w:rsidRPr="007271D7">
        <w:fldChar w:fldCharType="separate"/>
      </w:r>
      <w:r w:rsidR="00E94AFD" w:rsidRPr="007271D7">
        <w:rPr>
          <w:noProof/>
        </w:rPr>
        <w:t>[17,52,53]</w:t>
      </w:r>
      <w:r w:rsidR="007307A0" w:rsidRPr="007271D7">
        <w:fldChar w:fldCharType="end"/>
      </w:r>
      <w:r w:rsidR="00BE159D" w:rsidRPr="007271D7">
        <w:t xml:space="preserve"> </w:t>
      </w:r>
    </w:p>
    <w:p w14:paraId="4EDC2978" w14:textId="77777777" w:rsidR="006670F0" w:rsidRPr="007271D7" w:rsidRDefault="006670F0" w:rsidP="00481B65">
      <w:pPr>
        <w:spacing w:line="480" w:lineRule="auto"/>
      </w:pPr>
    </w:p>
    <w:p w14:paraId="3645C13E" w14:textId="133913BA" w:rsidR="003E3C11" w:rsidRPr="007271D7" w:rsidRDefault="006670F0" w:rsidP="006670F0">
      <w:pPr>
        <w:spacing w:line="480" w:lineRule="auto"/>
      </w:pPr>
      <w:r w:rsidRPr="007271D7">
        <w:t>There are various possible explanations for the associations between sociodemographic characteristics</w:t>
      </w:r>
      <w:r w:rsidR="00AE1787" w:rsidRPr="007271D7">
        <w:t xml:space="preserve"> </w:t>
      </w:r>
      <w:r w:rsidRPr="007271D7">
        <w:t xml:space="preserve">and </w:t>
      </w:r>
      <w:r w:rsidR="00E77546" w:rsidRPr="007271D7">
        <w:t>self-</w:t>
      </w:r>
      <w:r w:rsidRPr="007271D7">
        <w:t>reported advertising exposure observed in this study (</w:t>
      </w:r>
      <w:r w:rsidRPr="007271D7">
        <w:rPr>
          <w:b/>
          <w:bCs/>
        </w:rPr>
        <w:t>Figure 1</w:t>
      </w:r>
      <w:r w:rsidRPr="007271D7">
        <w:t xml:space="preserve">). </w:t>
      </w:r>
      <w:r w:rsidR="00DC40B0" w:rsidRPr="007271D7">
        <w:t>Low s</w:t>
      </w:r>
      <w:r w:rsidRPr="007271D7">
        <w:t>ocioeconomic position</w:t>
      </w:r>
      <w:r w:rsidR="00DC40B0" w:rsidRPr="007271D7">
        <w:t>, younger age, full-time working</w:t>
      </w:r>
      <w:r w:rsidR="00ED179C" w:rsidRPr="007271D7">
        <w:t xml:space="preserve"> </w:t>
      </w:r>
      <w:r w:rsidR="00DC40B0" w:rsidRPr="007271D7">
        <w:t xml:space="preserve">and being female </w:t>
      </w:r>
      <w:r w:rsidRPr="007271D7">
        <w:t xml:space="preserve">may </w:t>
      </w:r>
      <w:r w:rsidR="00DC40B0" w:rsidRPr="007271D7">
        <w:t>be driving higher</w:t>
      </w:r>
      <w:r w:rsidRPr="007271D7">
        <w:t xml:space="preserve"> exposure to less healthy advertising. </w:t>
      </w:r>
      <w:r w:rsidR="00DC40B0" w:rsidRPr="007271D7">
        <w:t>For example, for socioeconomic position, t</w:t>
      </w:r>
      <w:r w:rsidRPr="007271D7">
        <w:t xml:space="preserve">his could be through a greater concentration of advertising for less healthy products in more disadvantaged areas. Studies in the US </w:t>
      </w:r>
      <w:r w:rsidR="00D86ABE" w:rsidRPr="007271D7">
        <w:t xml:space="preserve">have </w:t>
      </w:r>
      <w:r w:rsidRPr="007271D7">
        <w:t xml:space="preserve">found that </w:t>
      </w:r>
      <w:r w:rsidR="00D86ABE" w:rsidRPr="007271D7">
        <w:t xml:space="preserve">advertising for </w:t>
      </w:r>
      <w:r w:rsidRPr="007271D7">
        <w:t>HFSS food</w:t>
      </w:r>
      <w:r w:rsidR="00A955AD" w:rsidRPr="007271D7">
        <w:t>s</w:t>
      </w:r>
      <w:r w:rsidRPr="007271D7">
        <w:t xml:space="preserve"> and </w:t>
      </w:r>
      <w:r w:rsidRPr="007271D7">
        <w:lastRenderedPageBreak/>
        <w:t>drink</w:t>
      </w:r>
      <w:r w:rsidR="00D86ABE" w:rsidRPr="007271D7">
        <w:t>s</w:t>
      </w:r>
      <w:r w:rsidRPr="007271D7">
        <w:t xml:space="preserve"> </w:t>
      </w:r>
      <w:r w:rsidR="00AE1787" w:rsidRPr="007271D7">
        <w:t>was more</w:t>
      </w:r>
      <w:r w:rsidRPr="007271D7">
        <w:t xml:space="preserve"> prevalen</w:t>
      </w:r>
      <w:r w:rsidR="00AE1787" w:rsidRPr="007271D7">
        <w:t>t</w:t>
      </w:r>
      <w:r w:rsidRPr="007271D7">
        <w:t xml:space="preserve"> in more deprived neighbourhoods,</w:t>
      </w:r>
      <w:r w:rsidRPr="007271D7">
        <w:fldChar w:fldCharType="begin" w:fldLock="1"/>
      </w:r>
      <w:r w:rsidR="00ED179C" w:rsidRPr="007271D7">
        <w:instrText>ADDIN CSL_CITATION {"citationItems":[{"id":"ITEM-1","itemData":{"DOI":"10.1017/S1368980010003332","ISSN":"1368-9800","abstract":"&lt;div class=\"abstract\" data-abstract-type=\"normal\"&gt;&lt;div class='sec'&gt;&lt;span class=\"bold\"&gt;Objective&lt;/span&gt;&lt;p&gt;To explore differences in the prevalence of outdoor food advertising, and the type and nutritional content of advertised foods, according to an area-based marker of socio-economic position (SEP) in a city in Northern England.&lt;/p&gt;&lt;/div&gt;&lt;div class='sec'&gt;&lt;span class=\"bold\"&gt;Design&lt;/span&gt;&lt;p&gt;All outdoor advertisements in the city were identified during October–December 2009, their size (in m&lt;span class='sup'&gt;2&lt;/span&gt;) estimated and their location determined using a global positioning system device. Advertisements were classified as food or non-food. Food advertisements were classified into one of six food categories. Information on the nutritional content of advertised foods was obtained from packaging and manufacturer's websites. An area-based marker of SEP was assigned using the location of each advertisement, grouped into three affluence tertiles for analysis.&lt;/p&gt;&lt;/div&gt;&lt;div class='sec'&gt;&lt;span class=\"bold\"&gt;Setting&lt;/span&gt;&lt;p&gt;A city in Northern England.&lt;/p&gt;&lt;/div&gt;&lt;div class='sec'&gt;&lt;span class=\"bold\"&gt;Subjects&lt;/span&gt;&lt;p&gt;None.&lt;/p&gt;&lt;/div&gt;&lt;div class='sec'&gt;&lt;span class=\"bold\"&gt;Results&lt;/span&gt;&lt;p&gt;In all, 1371 advertisements were identified; 211 (15 %) of these were for food. The advertisements covered 6765 m&lt;span class='sup'&gt;2&lt;/span&gt;, of which 1326 m&lt;span class='sup'&gt;2&lt;/span&gt; (20 %) was for food. Total advertising and food advertising space was largest in the least affluent tertile. There was little evidence of socio-economic trends in the type or nutritional content of advertised foods.&lt;/p&gt;&lt;/div&gt;&lt;div class='sec'&gt;&lt;span class=\"bold\"&gt;Conclusions&lt;/span&gt;&lt;p&gt;Despite an absence of socio-economic differences in the type and nutritional content of advertised foods, there were socio-economic differences in food advertising space. There may also be socio-economic differences in exposure to outdoor food advertising.&lt;/p&gt;&lt;/div&gt;&lt;/div&gt;","author":[{"dropping-particle":"","family":"Adams","given":"Jean","non-dropping-particle":"","parse-names":false,"suffix":""},{"dropping-particle":"","family":"Ganiti","given":"Ellie","non-dropping-particle":"","parse-names":false,"suffix":""},{"dropping-particle":"","family":"White","given":"Martin","non-dropping-particle":"","parse-names":false,"suffix":""}],"container-title":"Public Health Nutrition","id":"ITEM-1","issue":"6","issued":{"date-parts":[["2011","6","4"]]},"page":"945-950","publisher":"Cambridge University Press","title":"Socio-economic differences in outdoor food advertising in a city in Northern England","type":"article-journal","volume":"14"},"uris":["http://www.mendeley.com/documents/?uuid=57d9587e-8254-32b3-91d0-cfafc0288030"]}],"mendeley":{"formattedCitation":"[19]","plainTextFormattedCitation":"[19]","previouslyFormattedCitation":"[19]"},"properties":{"noteIndex":0},"schema":"https://github.com/citation-style-language/schema/raw/master/csl-citation.json"}</w:instrText>
      </w:r>
      <w:r w:rsidRPr="007271D7">
        <w:fldChar w:fldCharType="separate"/>
      </w:r>
      <w:r w:rsidR="00412B46" w:rsidRPr="007271D7">
        <w:rPr>
          <w:noProof/>
        </w:rPr>
        <w:t>[19]</w:t>
      </w:r>
      <w:r w:rsidRPr="007271D7">
        <w:fldChar w:fldCharType="end"/>
      </w:r>
      <w:r w:rsidRPr="007271D7">
        <w:t xml:space="preserve"> and that the types of products advertised also differ depending </w:t>
      </w:r>
      <w:r w:rsidR="00D86ABE" w:rsidRPr="007271D7">
        <w:t xml:space="preserve">on </w:t>
      </w:r>
      <w:r w:rsidRPr="007271D7">
        <w:t>neighbourhood demographics.</w:t>
      </w:r>
      <w:r w:rsidRPr="007271D7">
        <w:fldChar w:fldCharType="begin" w:fldLock="1"/>
      </w:r>
      <w:r w:rsidR="00F73FD9" w:rsidRPr="007271D7">
        <w:instrText>ADDIN CSL_CITATION {"citationItems":[{"id":"ITEM-1","itemData":{"DOI":"10.1111/j.1753-6405.2008.00303.x","ISSN":"13260200","PMID":"19076742","abstract":"Objective: Food marketing is linked to childhood obesity through its influence on children's food preferences, purchase requests and food consumption. We aimed to describe the volume and nature of outdoor food advertisements and factors associated with outdoor food advertising in the area surrounding Australian primary schools. Methods: Forty primary schools in Sydney and Wollongong were selected using random sampling within population density and socio-economic strata. The area within a 500m radius of each school was scanned and advertisements coded according to pre-defined criteria, including: food or non-food product advertisement, distance from the school, size and location. Food advertisements were further categorised as core foods, non-core foods and miscellaneous drinks (tea and coffee). Results: The number of advertisements identified was 9,151, of which 2,286 (25%) were for food. The number of non-core food advertisements was 1,834, this accounted for 80% of food advertisements. Soft drinks and alcoholic beverages were the food products most commonly advertised around primary schools (24% and 22% of food advertisements, respectively). Non-core food products were twice as likely to be advertised close to a primary school (95 non-core food advertisements per km2 within 250 m vs. 46 advertisements per km2 within 250-500 m). Conclusions: The density of non-core food advertisements within 500 m of primary schools, and the potential for repeated exposure of children to soft drink and alcoholic beverage advertisements in particular, highlights the need for outdoor food marketing policy intervention. Implications: Outdoor advertising is an important food marketing tool that should be considered in future debates on regulation of food marketing to children. © 2008 The Authors. Journal Compilation © 2008 Public Health Association of Australia.","author":[{"dropping-particle":"","family":"Kelly","given":"Bridget","non-dropping-particle":"","parse-names":false,"suffix":""},{"dropping-particle":"","family":"Cretikos","given":"Michelle","non-dropping-particle":"","parse-names":false,"suffix":""},{"dropping-particle":"","family":"Rogers","given":"Kris","non-dropping-particle":"","parse-names":false,"suffix":""},{"dropping-particle":"","family":"King","given":"Lesley","non-dropping-particle":"","parse-names":false,"suffix":""}],"container-title":"Australian and New Zealand Journal of Public Health","id":"ITEM-1","issued":{"date-parts":[["2008"]]},"page":"522-528","title":"The commercial food landscape: Outdoor food advertising around primary schools in Australia","type":"article-journal","volume":"32"},"uris":["http://www.mendeley.com/documents/?uuid=8ddb95b6-8123-459b-921e-166234f30536"]}],"mendeley":{"formattedCitation":"[54]","plainTextFormattedCitation":"[54]","previouslyFormattedCitation":"[54]"},"properties":{"noteIndex":0},"schema":"https://github.com/citation-style-language/schema/raw/master/csl-citation.json"}</w:instrText>
      </w:r>
      <w:r w:rsidRPr="007271D7">
        <w:fldChar w:fldCharType="separate"/>
      </w:r>
      <w:r w:rsidR="00E94AFD" w:rsidRPr="007271D7">
        <w:rPr>
          <w:noProof/>
        </w:rPr>
        <w:t>[54]</w:t>
      </w:r>
      <w:r w:rsidRPr="007271D7">
        <w:fldChar w:fldCharType="end"/>
      </w:r>
      <w:r w:rsidR="002F2A71" w:rsidRPr="007271D7">
        <w:t xml:space="preserve"> We did not capture the urbanicity of participants’ locations</w:t>
      </w:r>
      <w:r w:rsidR="00E21212" w:rsidRPr="007271D7">
        <w:t xml:space="preserve"> in this study</w:t>
      </w:r>
      <w:r w:rsidR="002F2A71" w:rsidRPr="007271D7">
        <w:t>, which may</w:t>
      </w:r>
      <w:r w:rsidR="001C03FF" w:rsidRPr="007271D7">
        <w:t xml:space="preserve"> also</w:t>
      </w:r>
      <w:r w:rsidR="002F2A71" w:rsidRPr="007271D7">
        <w:t xml:space="preserve"> influence the density and types of outdoor advertising present in the local neighbourhood.</w:t>
      </w:r>
      <w:r w:rsidR="002F2A71" w:rsidRPr="007271D7">
        <w:fldChar w:fldCharType="begin" w:fldLock="1"/>
      </w:r>
      <w:r w:rsidR="00F73FD9" w:rsidRPr="007271D7">
        <w:instrText>ADDIN CSL_CITATION {"citationItems":[{"id":"ITEM-1","itemData":{"DOI":"10.1111/j.1753-6405.2008.00303.x","ISSN":"13260200","PMID":"19076742","abstract":"Objective: Food marketing is linked to childhood obesity through its influence on children's food preferences, purchase requests and food consumption. We aimed to describe the volume and nature of outdoor food advertisements and factors associated with outdoor food advertising in the area surrounding Australian primary schools. Methods: Forty primary schools in Sydney and Wollongong were selected using random sampling within population density and socio-economic strata. The area within a 500m radius of each school was scanned and advertisements coded according to pre-defined criteria, including: food or non-food product advertisement, distance from the school, size and location. Food advertisements were further categorised as core foods, non-core foods and miscellaneous drinks (tea and coffee). Results: The number of advertisements identified was 9,151, of which 2,286 (25%) were for food. The number of non-core food advertisements was 1,834, this accounted for 80% of food advertisements. Soft drinks and alcoholic beverages were the food products most commonly advertised around primary schools (24% and 22% of food advertisements, respectively). Non-core food products were twice as likely to be advertised close to a primary school (95 non-core food advertisements per km2 within 250 m vs. 46 advertisements per km2 within 250-500 m). Conclusions: The density of non-core food advertisements within 500 m of primary schools, and the potential for repeated exposure of children to soft drink and alcoholic beverage advertisements in particular, highlights the need for outdoor food marketing policy intervention. Implications: Outdoor advertising is an important food marketing tool that should be considered in future debates on regulation of food marketing to children. © 2008 The Authors. Journal Compilation © 2008 Public Health Association of Australia.","author":[{"dropping-particle":"","family":"Kelly","given":"Bridget","non-dropping-particle":"","parse-names":false,"suffix":""},{"dropping-particle":"","family":"Cretikos","given":"Michelle","non-dropping-particle":"","parse-names":false,"suffix":""},{"dropping-particle":"","family":"Rogers","given":"Kris","non-dropping-particle":"","parse-names":false,"suffix":""},{"dropping-particle":"","family":"King","given":"Lesley","non-dropping-particle":"","parse-names":false,"suffix":""}],"container-title":"Australian and New Zealand Journal of Public Health","id":"ITEM-1","issued":{"date-parts":[["2008"]]},"page":"522-528","title":"The commercial food landscape: Outdoor food advertising around primary schools in Australia","type":"article-journal","volume":"32"},"uris":["http://www.mendeley.com/documents/?uuid=8ddb95b6-8123-459b-921e-166234f30536"]}],"mendeley":{"formattedCitation":"[54]","plainTextFormattedCitation":"[54]","previouslyFormattedCitation":"[54]"},"properties":{"noteIndex":0},"schema":"https://github.com/citation-style-language/schema/raw/master/csl-citation.json"}</w:instrText>
      </w:r>
      <w:r w:rsidR="002F2A71" w:rsidRPr="007271D7">
        <w:fldChar w:fldCharType="separate"/>
      </w:r>
      <w:r w:rsidR="00E94AFD" w:rsidRPr="007271D7">
        <w:rPr>
          <w:noProof/>
        </w:rPr>
        <w:t>[54]</w:t>
      </w:r>
      <w:r w:rsidR="002F2A71" w:rsidRPr="007271D7">
        <w:fldChar w:fldCharType="end"/>
      </w:r>
      <w:r w:rsidRPr="007271D7">
        <w:t xml:space="preserve"> </w:t>
      </w:r>
      <w:r w:rsidR="00652F0C" w:rsidRPr="007271D7">
        <w:t>Ano</w:t>
      </w:r>
      <w:r w:rsidRPr="007271D7">
        <w:t xml:space="preserve">ther </w:t>
      </w:r>
      <w:r w:rsidR="00652F0C" w:rsidRPr="007271D7">
        <w:t>potential influence on actual advertising exposure is</w:t>
      </w:r>
      <w:r w:rsidRPr="007271D7">
        <w:t xml:space="preserve"> differential use of public transport across population subgroups. </w:t>
      </w:r>
      <w:r w:rsidR="00DC40B0" w:rsidRPr="007271D7">
        <w:t>Participant</w:t>
      </w:r>
      <w:r w:rsidR="00D86ABE" w:rsidRPr="007271D7">
        <w:t>s</w:t>
      </w:r>
      <w:r w:rsidR="00DC40B0" w:rsidRPr="007271D7">
        <w:t xml:space="preserve"> who were full-time employees were more likely to report exposure to advertising across transport networks</w:t>
      </w:r>
      <w:r w:rsidR="001D3BFA" w:rsidRPr="007271D7">
        <w:t>, as were younger participants</w:t>
      </w:r>
      <w:r w:rsidR="00DC40B0" w:rsidRPr="007271D7">
        <w:t xml:space="preserve">. </w:t>
      </w:r>
      <w:r w:rsidR="001D3BFA" w:rsidRPr="007271D7">
        <w:t xml:space="preserve">These groups </w:t>
      </w:r>
      <w:r w:rsidR="00097DE9" w:rsidRPr="007271D7">
        <w:t>may have been</w:t>
      </w:r>
      <w:r w:rsidR="00DC40B0" w:rsidRPr="007271D7">
        <w:t xml:space="preserve"> more expos</w:t>
      </w:r>
      <w:r w:rsidR="00097DE9" w:rsidRPr="007271D7">
        <w:t>ed</w:t>
      </w:r>
      <w:r w:rsidR="00DC40B0" w:rsidRPr="007271D7">
        <w:t xml:space="preserve"> to advertising across transport networks due to </w:t>
      </w:r>
      <w:r w:rsidR="00A955AD" w:rsidRPr="007271D7">
        <w:t>more frequent</w:t>
      </w:r>
      <w:r w:rsidR="00DC40B0" w:rsidRPr="007271D7">
        <w:t xml:space="preserve"> public transport use.</w:t>
      </w:r>
      <w:r w:rsidR="003E3C11" w:rsidRPr="007271D7">
        <w:fldChar w:fldCharType="begin" w:fldLock="1"/>
      </w:r>
      <w:r w:rsidR="00F73FD9" w:rsidRPr="007271D7">
        <w:instrText>ADDIN CSL_CITATION {"citationItems":[{"id":"ITEM-1","itemData":{"abstract":"This report, produced with support from the Intergenerational Foundation, explores how changes in government funding will impact young people.","author":[{"dropping-particle":"","family":"Campaign for Better Transport","given":"","non-dropping-particle":"","parse-names":false,"suffix":""}],"id":"ITEM-1","issued":{"date-parts":[["2013"]]},"publisher-place":"London","title":"Why getting transport right matters to young people","type":"report"},"uris":["http://www.mendeley.com/documents/?uuid=c71b8c40-e17d-4285-91d9-126c9de11b15"]},{"id":"ITEM-2","itemData":{"author":[{"dropping-particle":"","family":"Transport for London","given":"","non-dropping-particle":"","parse-names":false,"suffix":""}],"id":"ITEM-2","issued":{"date-parts":[["2014"]]},"publisher-place":"London","title":"TfL Bus User Survey 2014","type":"report"},"uris":["http://www.mendeley.com/documents/?uuid=0204528f-50db-4fe3-b5e0-f3f19affb7e1"]}],"mendeley":{"formattedCitation":"[55,56]","plainTextFormattedCitation":"[55,56]","previouslyFormattedCitation":"[55,56]"},"properties":{"noteIndex":0},"schema":"https://github.com/citation-style-language/schema/raw/master/csl-citation.json"}</w:instrText>
      </w:r>
      <w:r w:rsidR="003E3C11" w:rsidRPr="007271D7">
        <w:fldChar w:fldCharType="separate"/>
      </w:r>
      <w:r w:rsidR="00E94AFD" w:rsidRPr="007271D7">
        <w:rPr>
          <w:noProof/>
        </w:rPr>
        <w:t>[55,56]</w:t>
      </w:r>
      <w:r w:rsidR="003E3C11" w:rsidRPr="007271D7">
        <w:fldChar w:fldCharType="end"/>
      </w:r>
      <w:r w:rsidR="001D3BFA" w:rsidRPr="007271D7">
        <w:t xml:space="preserve"> </w:t>
      </w:r>
      <w:r w:rsidR="003574AF" w:rsidRPr="007271D7">
        <w:t>D</w:t>
      </w:r>
      <w:r w:rsidRPr="007271D7">
        <w:t xml:space="preserve">ifferences in </w:t>
      </w:r>
      <w:r w:rsidR="00E21212" w:rsidRPr="007271D7">
        <w:t xml:space="preserve">advertising </w:t>
      </w:r>
      <w:r w:rsidRPr="007271D7">
        <w:t>exposure could also be associated with known sociodemographic differences in screen time and use of certain media, such as radio and social media.</w:t>
      </w:r>
      <w:r w:rsidRPr="007271D7">
        <w:fldChar w:fldCharType="begin" w:fldLock="1"/>
      </w:r>
      <w:r w:rsidR="002542A3">
        <w:instrText>ADDIN CSL_CITATION {"citationItems":[{"id":"ITEM-1","itemData":{"DOI":"10.1136/bmjopen-2014-006034","ISSN":"20446055","PMID":"25377012","abstract":"Objectives: To examine the associations between socioeconomic position (SEP) and multidomain selfreported and objectively-assessed sedentary time (ST). Design: Cross-sectional. Setting: General population households in England. Participants: 2289 adults aged 16-96 years who participated in the 2008 Health Survey for England. Outcomes: Accelerometer-measured ST, and selfreported television time, non-television leisure-time sitting and occupational sitting/standing. We examined multivariable associations between household income, social class, education, area deprivation for each SEP indicator (including a 5-point composite SEP score computed by aggregating individual SEP indicators) and each ST indicator using generalised linear models. Results: Accelerometry-measured total ST and occupational sitting/standing were positively associated with SEP score and most of its constituent SEP indicators, while television time was negatively associated with SEP score and education level. Arealevel deprivation was largely unrelated to ST. Those in the lowest composite SEP group spent 64 (95% CIs 52 to 76) and 72 (48 to 98), fewer minutes/day in total ST and occupational sitting/standing compared to those in the top SEP group, and an additional 48 (35-60) min/day watching television (p0.001 for linear trend). Stratified analyses showed that these associations between composite SEP score and total ST were evident only among participants who were in employment. Conclusions: Occupational sitting seems to drive the positive association between SEP and total ST. Lower SEP is linked to higher TV viewing times.","author":[{"dropping-particle":"","family":"Stamatakis","given":"Emmanuel","non-dropping-particle":"","parse-names":false,"suffix":""},{"dropping-particle":"","family":"Coombs","given":"Ngaire","non-dropping-particle":"","parse-names":false,"suffix":""},{"dropping-particle":"","family":"Rowlands","given":"Alex","non-dropping-particle":"","parse-names":false,"suffix":""},{"dropping-particle":"","family":"Shelton","given":"Nicola","non-dropping-particle":"","parse-names":false,"suffix":""},{"dropping-particle":"","family":"Hillsdon","given":"Melvyn","non-dropping-particle":"","parse-names":false,"suffix":""}],"container-title":"BMJ Open","id":"ITEM-1","issued":{"date-parts":[["2014"]]},"page":"e006034","title":"Objectively-assessed and self-reported sedentary time in relation to multiple socioeconomic status indicators among adults in England: A cross-sectional study","type":"article-journal","volume":"4"},"uris":["http://www.mendeley.com/documents/?uuid=8e5e3247-f65c-491f-9a46-89e73aacd7cb"]},{"id":"ITEM-2","itemData":{"abstract":"There has been a significant increase in the self-reported volume of internet use since 2011. Overall estimated weekly volume of use of the internet among users has increased to an average of just under 17 hours per week (16.8 vs. 15.1 hours in 2011). Over half (53%) of UK adults now use a mobile phone to go online, rising to 86% among smartphone users, and more than one in ten use a tablet computer (16%), games console/ player (16%), or a portable media player (12%), all significant increases since 2011. On average, UK adult internet users claim to visit 19 websites in a typical week. There are considerable differences between demographic groups; for example, those over 75 estimate that they visit on average seven websites and ‘narrow users’ 1 six. This compares to people in AB households, and men, who estimate that they visit on average 27 and 24 respectively. Some 22% UK adult internet users say they visit fewer than five websites in a typical week.","author":[{"dropping-particle":"","family":"Ofcom","given":"","non-dropping-particle":"","parse-names":false,"suffix":""}],"id":"ITEM-2","issued":{"date-parts":[["2019"]]},"publisher-place":"London","title":"Adults’ media use and attitudes report","type":"report"},"uris":["http://www.mendeley.com/documents/?uuid=710ab6af-43c0-4ab0-8547-aad3577043a2"]}],"mendeley":{"formattedCitation":"[57,58]","plainTextFormattedCitation":"[57,58]","previouslyFormattedCitation":"[57,58]"},"properties":{"noteIndex":0},"schema":"https://github.com/citation-style-language/schema/raw/master/csl-citation.json"}</w:instrText>
      </w:r>
      <w:r w:rsidRPr="007271D7">
        <w:fldChar w:fldCharType="separate"/>
      </w:r>
      <w:r w:rsidR="00E94AFD" w:rsidRPr="007271D7">
        <w:rPr>
          <w:noProof/>
        </w:rPr>
        <w:t>[57,58]</w:t>
      </w:r>
      <w:r w:rsidRPr="007271D7">
        <w:fldChar w:fldCharType="end"/>
      </w:r>
      <w:r w:rsidR="00DC40B0" w:rsidRPr="007271D7">
        <w:t xml:space="preserve"> </w:t>
      </w:r>
    </w:p>
    <w:p w14:paraId="3026A4C3" w14:textId="77777777" w:rsidR="003E3C11" w:rsidRPr="007271D7" w:rsidRDefault="003E3C11" w:rsidP="006670F0">
      <w:pPr>
        <w:spacing w:line="480" w:lineRule="auto"/>
      </w:pPr>
    </w:p>
    <w:p w14:paraId="26AA1DC6" w14:textId="07F6C616" w:rsidR="006670F0" w:rsidRPr="007271D7" w:rsidRDefault="006670F0" w:rsidP="006670F0">
      <w:pPr>
        <w:spacing w:line="480" w:lineRule="auto"/>
      </w:pPr>
      <w:r w:rsidRPr="007271D7">
        <w:t xml:space="preserve">Alternatively, </w:t>
      </w:r>
      <w:r w:rsidR="00A955AD" w:rsidRPr="007271D7">
        <w:t xml:space="preserve">the observed </w:t>
      </w:r>
      <w:r w:rsidR="00DC40B0" w:rsidRPr="007271D7">
        <w:t>differences may be due to differences</w:t>
      </w:r>
      <w:r w:rsidRPr="007271D7">
        <w:t xml:space="preserve"> </w:t>
      </w:r>
      <w:r w:rsidR="00DC40B0" w:rsidRPr="007271D7">
        <w:t>in</w:t>
      </w:r>
      <w:r w:rsidRPr="007271D7">
        <w:t xml:space="preserve"> recall rather than actual exposure. The content of advertisements may be designed to appeal to certain population groups resulting in different cognitive responses to advertisements</w:t>
      </w:r>
      <w:r w:rsidR="00016AF1" w:rsidRPr="007271D7">
        <w:t>. I</w:t>
      </w:r>
      <w:r w:rsidRPr="007271D7">
        <w:t>dentity salience</w:t>
      </w:r>
      <w:r w:rsidR="003574AF" w:rsidRPr="007271D7">
        <w:t xml:space="preserve"> (</w:t>
      </w:r>
      <w:r w:rsidRPr="007271D7">
        <w:t>defined as heightened sensitivity to identity-relevant stimuli</w:t>
      </w:r>
      <w:r w:rsidR="003574AF" w:rsidRPr="007271D7">
        <w:t>) may make advertisements more impactful</w:t>
      </w:r>
      <w:r w:rsidR="00E21212" w:rsidRPr="007271D7">
        <w:t xml:space="preserve"> to certain groups</w:t>
      </w:r>
      <w:r w:rsidRPr="007271D7">
        <w:t xml:space="preserve"> </w:t>
      </w:r>
      <w:r w:rsidR="007B56CB" w:rsidRPr="007271D7">
        <w:t>(</w:t>
      </w:r>
      <w:r w:rsidRPr="007271D7">
        <w:t xml:space="preserve">i.e. </w:t>
      </w:r>
      <w:r w:rsidR="003C49AF" w:rsidRPr="007271D7">
        <w:t>a</w:t>
      </w:r>
      <w:r w:rsidRPr="007271D7">
        <w:t>dvertisement</w:t>
      </w:r>
      <w:r w:rsidR="003C49AF" w:rsidRPr="007271D7">
        <w:t>s that</w:t>
      </w:r>
      <w:r w:rsidRPr="007271D7">
        <w:t xml:space="preserve"> feel relevant </w:t>
      </w:r>
      <w:r w:rsidR="003C49AF" w:rsidRPr="007271D7">
        <w:t>may be more impactful</w:t>
      </w:r>
      <w:r w:rsidR="007B56CB" w:rsidRPr="007271D7">
        <w:t>)</w:t>
      </w:r>
      <w:r w:rsidR="00097DE9" w:rsidRPr="007271D7">
        <w:t xml:space="preserve"> and therefore </w:t>
      </w:r>
      <w:r w:rsidR="00E21212" w:rsidRPr="007271D7">
        <w:t xml:space="preserve">more </w:t>
      </w:r>
      <w:r w:rsidR="00097DE9" w:rsidRPr="007271D7">
        <w:t>memorable</w:t>
      </w:r>
      <w:r w:rsidRPr="007271D7">
        <w:t>.</w:t>
      </w:r>
      <w:r w:rsidRPr="007271D7">
        <w:fldChar w:fldCharType="begin" w:fldLock="1"/>
      </w:r>
      <w:r w:rsidR="00F73FD9" w:rsidRPr="007271D7">
        <w:instrText>ADDIN CSL_CITATION {"citationItems":[{"id":"ITEM-1","itemData":{"DOI":"10.1037/0021-9010.87.6.1086","ISSN":"00219010","PMID":"12558216","abstract":"The authors examined how identity primes and social distinctiveness influence identity salience (i.e., the activation of a social identity within an individual's social self-schema) and subsequent responses to targeted advertising. Across 2 studies, individuals who were exposed to an identity prime (an ad element that directs attention to the individual's social identity) and who were socially distinctive (minorities in the immediate social context) expressed systematically different evaluations of spokespersons and the advertisements that featured them. Specifically, Asian (Caucasian) participants responded most positively (negatively) to Asian spokespeople and Asian-targeted advertising when the participants were both primed and socially distinctive. No main effects of identity primes or social distinctiveness were found. The implications of these findings for identity theory, advertising practice, and intervention communications are discussed. Copyright 2002 by the American Psychological Association, Inc.","author":[{"dropping-particle":"","family":"Forehand","given":"Mark R.","non-dropping-particle":"","parse-names":false,"suffix":""},{"dropping-particle":"","family":"Deshpandé","given":"Rohit","non-dropping-particle":"","parse-names":false,"suffix":""},{"dropping-particle":"","family":"Reed","given":"Americus","non-dropping-particle":"","parse-names":false,"suffix":""}],"container-title":"Journal of Applied Psychology","id":"ITEM-1","issue":"6","issued":{"date-parts":[["2002"]]},"page":"1086-1099","title":"Identity salience and the influence of differential activation of the social self-schema on advertising response","type":"article-journal","volume":"87"},"uris":["http://www.mendeley.com/documents/?uuid=d2176dcc-7d28-420c-b0e5-9c72ff5c627e"]}],"mendeley":{"formattedCitation":"[59]","plainTextFormattedCitation":"[59]","previouslyFormattedCitation":"[59]"},"properties":{"noteIndex":0},"schema":"https://github.com/citation-style-language/schema/raw/master/csl-citation.json"}</w:instrText>
      </w:r>
      <w:r w:rsidRPr="007271D7">
        <w:fldChar w:fldCharType="separate"/>
      </w:r>
      <w:r w:rsidR="00E94AFD" w:rsidRPr="007271D7">
        <w:rPr>
          <w:noProof/>
        </w:rPr>
        <w:t>[59]</w:t>
      </w:r>
      <w:r w:rsidRPr="007271D7">
        <w:fldChar w:fldCharType="end"/>
      </w:r>
      <w:r w:rsidRPr="007271D7">
        <w:t xml:space="preserve"> </w:t>
      </w:r>
      <w:r w:rsidR="00EE55FF" w:rsidRPr="007271D7">
        <w:t>Some</w:t>
      </w:r>
      <w:r w:rsidRPr="007271D7">
        <w:t xml:space="preserve"> groups</w:t>
      </w:r>
      <w:r w:rsidR="00EE55FF" w:rsidRPr="007271D7">
        <w:t xml:space="preserve"> may also be more receptive to advertising due to higher cognitive load</w:t>
      </w:r>
      <w:r w:rsidRPr="007271D7">
        <w:t>. One experiment showed greater effect of advertising on food choices when cognitive load was higher</w:t>
      </w:r>
      <w:r w:rsidR="00C86B45" w:rsidRPr="007271D7">
        <w:t>.</w:t>
      </w:r>
      <w:r w:rsidR="00C86B45" w:rsidRPr="007271D7">
        <w:fldChar w:fldCharType="begin" w:fldLock="1"/>
      </w:r>
      <w:r w:rsidR="00C86B45" w:rsidRPr="007271D7">
        <w:instrText>ADDIN CSL_CITATION {"citationItems":[{"id":"ITEM-1","itemData":{"DOI":"10.1186/1471-2458-14-342","ISSN":"14712458","PMID":"24721289","abstract":"Background: Advertising has been implicated in the declining quality of the American diet, but much of the research has been conducted with children rather than adults. This study tested the effects of televised food advertising on adult food choice. Methods. Participants (N = 351) were randomized into one of 4 experimental conditions: exposure to food advertising vs. exposure to non-food advertising, and within each of these groups, exposure to a task that was either cognitively demanding or not cognitively demanding. The number of unhealthy snacks chosen was subsequently measured, along with total calories of the snacks chosen. Results: Those exposed to food advertising chose 28% more unhealthy snacks than those exposed to non-food-advertising (95% CI: 7% - 53%), with a total caloric value that was 65 kcal higher (95% CI: 10-121). The effect of advertising was not significant among those assigned to the low-cognitive-load group, but was large and significant among those assigned to the high-cognitive-load group: 43% more unhealthy snacks (95% CI: 11% - 85%) and 94 more total calories (95% CI: 19-169). Conclusions: Televised food advertising has strong effects on individual food choice, and these effects are magnified when individuals are cognitively occupied by other tasks. © 2014 Zimmerman and Shimoga; licensee BioMed Central Ltd.","author":[{"dropping-particle":"","family":"Zimmerman","given":"Frederick J.","non-dropping-particle":"","parse-names":false,"suffix":""},{"dropping-particle":"V.","family":"Shimoga","given":"Sandhya","non-dropping-particle":"","parse-names":false,"suffix":""}],"container-title":"BMC Public Health","id":"ITEM-1","issued":{"date-parts":[["2014"]]},"page":"342","title":"The effects of food advertising and cognitive load on food choices","type":"article-journal","volume":"14"},"uris":["http://www.mendeley.com/documents/?uuid=926c933d-d8dc-498e-b413-31d06ae7b39a"]}],"mendeley":{"formattedCitation":"[11]","plainTextFormattedCitation":"[11]","previouslyFormattedCitation":"[11]"},"properties":{"noteIndex":0},"schema":"https://github.com/citation-style-language/schema/raw/master/csl-citation.json"}</w:instrText>
      </w:r>
      <w:r w:rsidR="00C86B45" w:rsidRPr="007271D7">
        <w:fldChar w:fldCharType="separate"/>
      </w:r>
      <w:r w:rsidR="00C86B45" w:rsidRPr="007271D7">
        <w:rPr>
          <w:noProof/>
        </w:rPr>
        <w:t>[11]</w:t>
      </w:r>
      <w:r w:rsidR="00C86B45" w:rsidRPr="007271D7">
        <w:fldChar w:fldCharType="end"/>
      </w:r>
      <w:r w:rsidRPr="007271D7">
        <w:t xml:space="preserve"> </w:t>
      </w:r>
      <w:r w:rsidR="00C86B45" w:rsidRPr="007271D7">
        <w:t>T</w:t>
      </w:r>
      <w:r w:rsidRPr="007271D7">
        <w:t>he authors argu</w:t>
      </w:r>
      <w:r w:rsidR="00C86B45" w:rsidRPr="007271D7">
        <w:t>ed</w:t>
      </w:r>
      <w:r w:rsidRPr="007271D7">
        <w:t xml:space="preserve"> that </w:t>
      </w:r>
      <w:r w:rsidR="00A21629" w:rsidRPr="007271D7">
        <w:t>the effect of advertising on food choices could</w:t>
      </w:r>
      <w:r w:rsidR="00C86B45" w:rsidRPr="007271D7">
        <w:t xml:space="preserve"> therefore</w:t>
      </w:r>
      <w:r w:rsidR="00A21629" w:rsidRPr="007271D7">
        <w:t xml:space="preserve"> be exacerba</w:t>
      </w:r>
      <w:r w:rsidRPr="007271D7">
        <w:t>t</w:t>
      </w:r>
      <w:r w:rsidR="00A21629" w:rsidRPr="007271D7">
        <w:t xml:space="preserve">ed </w:t>
      </w:r>
      <w:r w:rsidR="0060756F" w:rsidRPr="007271D7">
        <w:t xml:space="preserve">in low socioeconomic groups </w:t>
      </w:r>
      <w:r w:rsidR="00C86B45" w:rsidRPr="007271D7">
        <w:t>because of</w:t>
      </w:r>
      <w:r w:rsidR="00A21629" w:rsidRPr="007271D7">
        <w:t xml:space="preserve"> </w:t>
      </w:r>
      <w:r w:rsidR="00C86B45" w:rsidRPr="007271D7">
        <w:t xml:space="preserve">the </w:t>
      </w:r>
      <w:r w:rsidR="00A21629" w:rsidRPr="007271D7">
        <w:t>greater cognitive load of daily pressures</w:t>
      </w:r>
      <w:r w:rsidRPr="007271D7">
        <w:t xml:space="preserve">. </w:t>
      </w:r>
      <w:r w:rsidR="000D167A" w:rsidRPr="007271D7">
        <w:t xml:space="preserve">Receptiveness to advertising </w:t>
      </w:r>
      <w:r w:rsidR="0060756F" w:rsidRPr="007271D7">
        <w:t xml:space="preserve">may </w:t>
      </w:r>
      <w:r w:rsidR="000D167A" w:rsidRPr="007271D7">
        <w:t>also decrease with age.</w:t>
      </w:r>
      <w:r w:rsidR="000D167A" w:rsidRPr="007271D7">
        <w:fldChar w:fldCharType="begin" w:fldLock="1"/>
      </w:r>
      <w:r w:rsidR="007901E0" w:rsidRPr="007271D7">
        <w:instrText>ADDIN CSL_CITATION {"citationItems":[{"id":"ITEM-1","itemData":{"DOI":"10.1093/heapro/dav081","ISSN":"14602245","abstract":"Young adults are a highly desirable target population for energy-dense, nutrient-poor (EDNP) food and beverage marketing. But little research, resources, advocacy and policy action have been directed at this age group, despite the fact that young adults are gaining weight faster than previous generations and other population groups. Factors such as identity development and shifting interpersonal influences differentiate young adulthood from other life stages and influence the adoption of both healthy and unhealthy eating behaviours. EDNP food and beverage marketing campaigns use techniques to normalize brands within young adult culture, in particular through online social media. Young adults must be a priority population in future obesity prevention efforts. Stronger policies to protect young adults from EDNP food and beverage marketing may also increase the effectiveness of policies that are meant to protect younger children. Restrictions on EDNP food and beverage marketing should be extended to include Internet-based advertising and also aim to protect vulnerable young adults.","author":[{"dropping-particle":"","family":"Freeman","given":"Becky","non-dropping-particle":"","parse-names":false,"suffix":""},{"dropping-particle":"","family":"Kelly","given":"Bridget","non-dropping-particle":"","parse-names":false,"suffix":""},{"dropping-particle":"","family":"Vandevijvere","given":"Stefanie","non-dropping-particle":"","parse-names":false,"suffix":""},{"dropping-particle":"","family":"Baur","given":"Louise","non-dropping-particle":"","parse-names":false,"suffix":""}],"container-title":"Health Promotion International","id":"ITEM-1","issued":{"date-parts":[["2016"]]},"page":"954-961","title":"Young adults: Beloved by food and drink marketers and forgotten by public health?","type":"article-journal","volume":"31"},"uris":["http://www.mendeley.com/documents/?uuid=a64a0b56-c299-4968-aa95-44492319df3e"]}],"mendeley":{"formattedCitation":"[36]","plainTextFormattedCitation":"[36]","previouslyFormattedCitation":"[36]"},"properties":{"noteIndex":0},"schema":"https://github.com/citation-style-language/schema/raw/master/csl-citation.json"}</w:instrText>
      </w:r>
      <w:r w:rsidR="000D167A" w:rsidRPr="007271D7">
        <w:fldChar w:fldCharType="separate"/>
      </w:r>
      <w:r w:rsidR="00793BA2" w:rsidRPr="007271D7">
        <w:rPr>
          <w:noProof/>
        </w:rPr>
        <w:t>[36]</w:t>
      </w:r>
      <w:r w:rsidR="000D167A" w:rsidRPr="007271D7">
        <w:fldChar w:fldCharType="end"/>
      </w:r>
      <w:r w:rsidR="0060756F" w:rsidRPr="007271D7">
        <w:t xml:space="preserve"> </w:t>
      </w:r>
      <w:r w:rsidR="00C86B45" w:rsidRPr="007271D7">
        <w:t>Equally</w:t>
      </w:r>
      <w:r w:rsidR="0060756F" w:rsidRPr="007271D7">
        <w:t>, s</w:t>
      </w:r>
      <w:r w:rsidR="006C4774" w:rsidRPr="007271D7">
        <w:t xml:space="preserve">ociodemographic </w:t>
      </w:r>
      <w:r w:rsidR="006C4774" w:rsidRPr="007271D7">
        <w:lastRenderedPageBreak/>
        <w:t xml:space="preserve">differences in reporting </w:t>
      </w:r>
      <w:r w:rsidR="0060756F" w:rsidRPr="007271D7">
        <w:t xml:space="preserve">may </w:t>
      </w:r>
      <w:r w:rsidR="006C4774" w:rsidRPr="007271D7">
        <w:t xml:space="preserve">reflect differential social desirability bias across population groups. </w:t>
      </w:r>
    </w:p>
    <w:p w14:paraId="041EFAAF" w14:textId="77777777" w:rsidR="00E326E9" w:rsidRPr="007271D7" w:rsidRDefault="00E326E9" w:rsidP="00E326E9">
      <w:pPr>
        <w:spacing w:line="480" w:lineRule="auto"/>
      </w:pPr>
    </w:p>
    <w:p w14:paraId="17EB5153" w14:textId="2ABB4793" w:rsidR="00CF7670" w:rsidRPr="007271D7" w:rsidRDefault="00A36B25" w:rsidP="00CF7670">
      <w:pPr>
        <w:spacing w:line="480" w:lineRule="auto"/>
      </w:pPr>
      <w:r w:rsidRPr="007271D7">
        <w:t>D</w:t>
      </w:r>
      <w:r w:rsidR="00CF7670" w:rsidRPr="007271D7">
        <w:t>ifferences in reported exposure to advertising</w:t>
      </w:r>
      <w:r w:rsidR="00DF7763" w:rsidRPr="007271D7">
        <w:t xml:space="preserve"> across transport networks</w:t>
      </w:r>
      <w:r w:rsidRPr="007271D7">
        <w:t xml:space="preserve"> </w:t>
      </w:r>
      <w:r w:rsidR="00ED179C" w:rsidRPr="007271D7">
        <w:t xml:space="preserve">between London and the North of England </w:t>
      </w:r>
      <w:r w:rsidR="00CF7670" w:rsidRPr="007271D7">
        <w:t>may be partly explained by differences in</w:t>
      </w:r>
      <w:r w:rsidR="00DF7763" w:rsidRPr="007271D7">
        <w:t xml:space="preserve"> the</w:t>
      </w:r>
      <w:r w:rsidR="00CF7670" w:rsidRPr="007271D7">
        <w:t xml:space="preserve"> extent of public transport infrastructure</w:t>
      </w:r>
      <w:r w:rsidR="00862FD7" w:rsidRPr="007271D7">
        <w:t>, with London having the</w:t>
      </w:r>
      <w:r w:rsidRPr="007271D7">
        <w:t xml:space="preserve"> most</w:t>
      </w:r>
      <w:r w:rsidR="00DC40B0" w:rsidRPr="007271D7">
        <w:t xml:space="preserve"> extensive</w:t>
      </w:r>
      <w:r w:rsidR="00CF7670" w:rsidRPr="007271D7">
        <w:t xml:space="preserve"> transport network</w:t>
      </w:r>
      <w:r w:rsidRPr="007271D7">
        <w:t xml:space="preserve"> in the UK</w:t>
      </w:r>
      <w:r w:rsidR="00CF7670" w:rsidRPr="007271D7">
        <w:t>.</w:t>
      </w:r>
      <w:r w:rsidR="00CF7670" w:rsidRPr="007271D7">
        <w:fldChar w:fldCharType="begin" w:fldLock="1"/>
      </w:r>
      <w:r w:rsidR="0015598E" w:rsidRPr="007271D7">
        <w:instrText>ADDIN CSL_CITATION {"citationItems":[{"id":"ITEM-1","itemData":{"author":[{"dropping-particle":"","family":"Transport for London","given":"","non-dropping-particle":"","parse-names":false,"suffix":""}],"id":"ITEM-1","issued":{"date-parts":[["2018"]]},"publisher-place":"London","title":"Advertising Annual Report 2017/18","type":"report"},"uris":["http://www.mendeley.com/documents/?uuid=75b82883-60c4-4e28-b0b0-2d57c3fae6be"]}],"mendeley":{"formattedCitation":"[32]","plainTextFormattedCitation":"[32]","previouslyFormattedCitation":"[32]"},"properties":{"noteIndex":0},"schema":"https://github.com/citation-style-language/schema/raw/master/csl-citation.json"}</w:instrText>
      </w:r>
      <w:r w:rsidR="00CF7670" w:rsidRPr="007271D7">
        <w:fldChar w:fldCharType="separate"/>
      </w:r>
      <w:r w:rsidR="00154B6B" w:rsidRPr="007271D7">
        <w:rPr>
          <w:noProof/>
        </w:rPr>
        <w:t>[32]</w:t>
      </w:r>
      <w:r w:rsidR="00CF7670" w:rsidRPr="007271D7">
        <w:fldChar w:fldCharType="end"/>
      </w:r>
      <w:r w:rsidR="00CF7670" w:rsidRPr="007271D7">
        <w:t xml:space="preserve"> Participants living in London also reported greater exposure to advertising for </w:t>
      </w:r>
      <w:r w:rsidR="002841EB" w:rsidRPr="007271D7">
        <w:t>digital food delivery service</w:t>
      </w:r>
      <w:r w:rsidR="00CF7670" w:rsidRPr="007271D7">
        <w:t xml:space="preserve">s. This is </w:t>
      </w:r>
      <w:r w:rsidRPr="007271D7">
        <w:t>may</w:t>
      </w:r>
      <w:r w:rsidR="00CF7670" w:rsidRPr="007271D7">
        <w:t xml:space="preserve"> </w:t>
      </w:r>
      <w:r w:rsidRPr="007271D7">
        <w:t xml:space="preserve">be </w:t>
      </w:r>
      <w:r w:rsidR="00CF7670" w:rsidRPr="007271D7">
        <w:t xml:space="preserve">due to </w:t>
      </w:r>
      <w:r w:rsidRPr="007271D7">
        <w:t xml:space="preserve">the </w:t>
      </w:r>
      <w:r w:rsidR="00CF7670" w:rsidRPr="007271D7">
        <w:t xml:space="preserve">greater </w:t>
      </w:r>
      <w:r w:rsidRPr="007271D7">
        <w:t>penetration of</w:t>
      </w:r>
      <w:r w:rsidR="00CF7670" w:rsidRPr="007271D7">
        <w:t xml:space="preserve"> </w:t>
      </w:r>
      <w:r w:rsidRPr="007271D7">
        <w:t>digital</w:t>
      </w:r>
      <w:r w:rsidR="00CF7670" w:rsidRPr="007271D7">
        <w:t xml:space="preserve"> </w:t>
      </w:r>
      <w:r w:rsidRPr="007271D7">
        <w:t xml:space="preserve">food </w:t>
      </w:r>
      <w:r w:rsidR="00CF7670" w:rsidRPr="007271D7">
        <w:t>delivery</w:t>
      </w:r>
      <w:r w:rsidRPr="007271D7">
        <w:t xml:space="preserve"> services</w:t>
      </w:r>
      <w:r w:rsidR="00CF7670" w:rsidRPr="007271D7">
        <w:t xml:space="preserve"> in London</w:t>
      </w:r>
      <w:r w:rsidRPr="007271D7">
        <w:t xml:space="preserve"> while these services are continuing to expand</w:t>
      </w:r>
      <w:r w:rsidR="00CF7670" w:rsidRPr="007271D7">
        <w:t>.</w:t>
      </w:r>
      <w:r w:rsidR="00CF7670" w:rsidRPr="007271D7">
        <w:fldChar w:fldCharType="begin" w:fldLock="1"/>
      </w:r>
      <w:r w:rsidR="00F73FD9" w:rsidRPr="007271D7">
        <w:instrText>ADDIN CSL_CITATION {"citationItems":[{"id":"ITEM-1","itemData":{"author":[{"dropping-particle":"","family":"Just Eat Group","given":"","non-dropping-particle":"","parse-names":false,"suffix":""}],"id":"ITEM-1","issued":{"date-parts":[["2018"]]},"publisher-place":"London","title":"2018 Capital Markets Day","type":"report"},"uris":["http://www.mendeley.com/documents/?uuid=2c0094cb-3441-4a16-ba32-508d04a02489"]}],"mendeley":{"formattedCitation":"[60]","plainTextFormattedCitation":"[60]","previouslyFormattedCitation":"[60]"},"properties":{"noteIndex":0},"schema":"https://github.com/citation-style-language/schema/raw/master/csl-citation.json"}</w:instrText>
      </w:r>
      <w:r w:rsidR="00CF7670" w:rsidRPr="007271D7">
        <w:fldChar w:fldCharType="separate"/>
      </w:r>
      <w:r w:rsidR="00E94AFD" w:rsidRPr="007271D7">
        <w:rPr>
          <w:noProof/>
        </w:rPr>
        <w:t>[60]</w:t>
      </w:r>
      <w:r w:rsidR="00CF7670" w:rsidRPr="007271D7">
        <w:fldChar w:fldCharType="end"/>
      </w:r>
      <w:r w:rsidR="00CF7670" w:rsidRPr="007271D7">
        <w:t xml:space="preserve"> </w:t>
      </w:r>
      <w:r w:rsidR="00690BDC" w:rsidRPr="007271D7">
        <w:t xml:space="preserve"> </w:t>
      </w:r>
    </w:p>
    <w:p w14:paraId="29CF039D" w14:textId="58B570E4" w:rsidR="00CF7670" w:rsidRPr="007271D7" w:rsidRDefault="00CF7670" w:rsidP="002A0FEE">
      <w:pPr>
        <w:spacing w:line="480" w:lineRule="auto"/>
      </w:pPr>
    </w:p>
    <w:p w14:paraId="511B5AA9" w14:textId="2C6026B7" w:rsidR="00CF7670" w:rsidRPr="007271D7" w:rsidRDefault="00853C64" w:rsidP="00CF7670">
      <w:pPr>
        <w:spacing w:line="480" w:lineRule="auto"/>
      </w:pPr>
      <w:r w:rsidRPr="007271D7">
        <w:t>Self-reported e</w:t>
      </w:r>
      <w:r w:rsidR="00CF7670" w:rsidRPr="007271D7">
        <w:t xml:space="preserve">xposure to </w:t>
      </w:r>
      <w:r w:rsidRPr="007271D7">
        <w:t>advertising for digital food delivery services,</w:t>
      </w:r>
      <w:r w:rsidR="00CF7670" w:rsidRPr="007271D7">
        <w:t xml:space="preserve"> digital advertising</w:t>
      </w:r>
      <w:r w:rsidRPr="007271D7">
        <w:t xml:space="preserve"> and advertising in recreational environments</w:t>
      </w:r>
      <w:r w:rsidR="00CF7670" w:rsidRPr="007271D7">
        <w:t xml:space="preserve"> w</w:t>
      </w:r>
      <w:r w:rsidRPr="007271D7">
        <w:t>ere independently</w:t>
      </w:r>
      <w:r w:rsidR="00CF7670" w:rsidRPr="007271D7">
        <w:t xml:space="preserve"> associated with higher odds of obesity. </w:t>
      </w:r>
      <w:r w:rsidRPr="007271D7">
        <w:t xml:space="preserve">Whilst </w:t>
      </w:r>
      <w:r w:rsidR="009F6E8D" w:rsidRPr="007271D7">
        <w:t>i</w:t>
      </w:r>
      <w:r w:rsidR="00CF7670" w:rsidRPr="007271D7">
        <w:t xml:space="preserve">t is implausible that advertising exposure over seven days directly caused obesity, advertising exposure may be stable over time and suggestive of a long-term effect of advertising on </w:t>
      </w:r>
      <w:r w:rsidRPr="007271D7">
        <w:t xml:space="preserve">the </w:t>
      </w:r>
      <w:r w:rsidR="00CF7670" w:rsidRPr="007271D7">
        <w:t xml:space="preserve">consumption of less healthy products. </w:t>
      </w:r>
      <w:r w:rsidR="00097DE9" w:rsidRPr="007271D7">
        <w:t xml:space="preserve">Reverse causality, whereby people living with obesity are more likely to see or hear, recall or report advertising of less healthy products, may also explain the associations observed.   </w:t>
      </w:r>
    </w:p>
    <w:p w14:paraId="40A7BE66" w14:textId="77777777" w:rsidR="009219B1" w:rsidRPr="007271D7" w:rsidRDefault="009219B1" w:rsidP="002A0FEE">
      <w:pPr>
        <w:spacing w:line="480" w:lineRule="auto"/>
      </w:pPr>
    </w:p>
    <w:p w14:paraId="13340A2F" w14:textId="09BE0D0E" w:rsidR="00E035C8" w:rsidRPr="007271D7" w:rsidRDefault="001869B4" w:rsidP="002A0FEE">
      <w:pPr>
        <w:spacing w:line="480" w:lineRule="auto"/>
      </w:pPr>
      <w:r w:rsidRPr="007271D7">
        <w:t>A large</w:t>
      </w:r>
      <w:r w:rsidR="005E6852" w:rsidRPr="007271D7">
        <w:t xml:space="preserve"> majority of participants reported seeing</w:t>
      </w:r>
      <w:r w:rsidR="00673A86" w:rsidRPr="007271D7">
        <w:t xml:space="preserve"> or </w:t>
      </w:r>
      <w:r w:rsidR="005E6852" w:rsidRPr="007271D7">
        <w:t xml:space="preserve">hearing some form of advertising </w:t>
      </w:r>
      <w:r w:rsidR="006902D0" w:rsidRPr="007271D7">
        <w:t>for less healthy foods and drinks</w:t>
      </w:r>
      <w:r w:rsidR="00853C64" w:rsidRPr="007271D7">
        <w:t xml:space="preserve"> </w:t>
      </w:r>
      <w:r w:rsidR="00911F60" w:rsidRPr="007271D7">
        <w:t>and/</w:t>
      </w:r>
      <w:r w:rsidR="00853C64" w:rsidRPr="007271D7">
        <w:t>or digital food delivery services</w:t>
      </w:r>
      <w:r w:rsidR="005E6852" w:rsidRPr="007271D7">
        <w:t xml:space="preserve">, indicating high </w:t>
      </w:r>
      <w:r w:rsidRPr="007271D7">
        <w:t xml:space="preserve">prevalence of </w:t>
      </w:r>
      <w:r w:rsidR="005E6852" w:rsidRPr="007271D7">
        <w:t>exposure</w:t>
      </w:r>
      <w:r w:rsidR="00BB6405" w:rsidRPr="007271D7">
        <w:t xml:space="preserve"> </w:t>
      </w:r>
      <w:r w:rsidR="005E6852" w:rsidRPr="007271D7">
        <w:t xml:space="preserve">across the </w:t>
      </w:r>
      <w:r w:rsidR="00F137A7" w:rsidRPr="007271D7">
        <w:t xml:space="preserve">UK </w:t>
      </w:r>
      <w:r w:rsidR="005E6852" w:rsidRPr="007271D7">
        <w:t>adult population.</w:t>
      </w:r>
      <w:r w:rsidR="00E035C8" w:rsidRPr="007271D7">
        <w:t xml:space="preserve"> This level of exposure was consistent with levels found elsewhere using self-reported measures.</w:t>
      </w:r>
      <w:r w:rsidR="00E035C8" w:rsidRPr="007271D7">
        <w:fldChar w:fldCharType="begin" w:fldLock="1"/>
      </w:r>
      <w:r w:rsidR="00F73FD9" w:rsidRPr="007271D7">
        <w:instrText>ADDIN CSL_CITATION {"citationItems":[{"id":"ITEM-1","itemData":{"DOI":"10.3390/nu11123047","ISSN":"20726643","PMID":"31847203","abstract":"Sugar-sweetened beverage (SSB) consumption is independently associated with several non-communicable diseases, so policymakers are increasingly implementing measures, such as marketing regulation, to reduce intake. To help understand how such measures work, this study examined the association between SSB consumption and self-reported exposure to SSB promotions, both overall and by type of promotion, and whether these relationships vary between the UK, USA, Canada, Mexico, and Australia. Cross-sectional analysis of the online 2017 International Food Policy Study was performed (n = 15,515). Participants were grouped into 5265 (34%) non-, 5117 (33%) low-, and 5133 (33%) high-SSB consumers. Multinomial logistic regression models examined whether SSB consumption varied by exposure to total SSB promotion and by type: traditional, digital, recreational environment, and functional environment. Multiplicative interactions were included to investigate international variations. An additional unit of total self-reported SSB promotion exposure increased the likelihood of participants being low SSB consumers (relative risk ratio (RRR) = 1.08, 95% confidence interval (CI) = 1.06–1.10) and high SSB consumers (RRR = 1.13, 95% CI = 1.11–1.16). Only exposure to traditional and digital promotion increased the likelihood of participants being SSB consumers, though this may be explained by degree of exposure, which was not measured in this study. Some evidence illustrated international variation in these relationships.","author":[{"dropping-particle":"","family":"Forde","given":"Hannah","non-dropping-particle":"","parse-names":false,"suffix":""},{"dropping-particle":"","family":"White","given":"Martin","non-dropping-particle":"","parse-names":false,"suffix":""},{"dropping-particle":"","family":"Levy","given":"Louis","non-dropping-particle":"","parse-names":false,"suffix":""},{"dropping-particle":"","family":"Greaves","given":"Felix","non-dropping-particle":"","parse-names":false,"suffix":""},{"dropping-particle":"","family":"Hammond","given":"David","non-dropping-particle":"","parse-names":false,"suffix":""},{"dropping-particle":"","family":"Vanderlee","given":"Lana","non-dropping-particle":"","parse-names":false,"suffix":""},{"dropping-particle":"","family":"Sharp","given":"Stephen","non-dropping-particle":"","parse-names":false,"suffix":""},{"dropping-particle":"","family":"Adams","given":"Jean","non-dropping-particle":"","parse-names":false,"suffix":""}],"container-title":"Nutrients","id":"ITEM-1","issued":{"date-parts":[["2019"]]},"page":"3047","title":"The relationship between self-reported exposure to sugar-sweetened beverage promotions and intake: Cross-sectional analysis of the 2017 international food policy study","type":"article-journal","volume":"11"},"uris":["http://www.mendeley.com/documents/?uuid=f5d8bf8d-cfc8-441f-96d2-7424c6978d1e"]},{"id":"ITEM-2","itemData":{"URL":"https://www.cancerresearchuk.org/about-us/cancer-news/press-release/2020-12-18-86-of-teens-exposed-to-junk-food-ads-on-social-media","accessed":{"date-parts":[["2021","2","26"]]},"author":[{"dropping-particle":"","family":"Cancer Research UK","given":"","non-dropping-particle":"","parse-names":false,"suffix":""}],"id":"ITEM-2","issued":{"date-parts":[["2020"]]},"title":"86% of Teens Exposed to Junk Food Ads on Social Media","type":"webpage"},"uris":["http://www.mendeley.com/documents/?uuid=23fd2308-a31b-4eea-98ac-ab2862b4d56a"]}],"mendeley":{"formattedCitation":"[12,61]","plainTextFormattedCitation":"[12,61]","previouslyFormattedCitation":"[12,61]"},"properties":{"noteIndex":0},"schema":"https://github.com/citation-style-language/schema/raw/master/csl-citation.json"}</w:instrText>
      </w:r>
      <w:r w:rsidR="00E035C8" w:rsidRPr="007271D7">
        <w:fldChar w:fldCharType="separate"/>
      </w:r>
      <w:r w:rsidR="00E94AFD" w:rsidRPr="007271D7">
        <w:rPr>
          <w:noProof/>
        </w:rPr>
        <w:t>[12,61]</w:t>
      </w:r>
      <w:r w:rsidR="00E035C8" w:rsidRPr="007271D7">
        <w:fldChar w:fldCharType="end"/>
      </w:r>
      <w:r w:rsidR="00E035C8" w:rsidRPr="007271D7">
        <w:t xml:space="preserve"> However, advertising can influence consumer behaviour unconsciously.</w:t>
      </w:r>
      <w:r w:rsidR="00E035C8" w:rsidRPr="007271D7">
        <w:fldChar w:fldCharType="begin" w:fldLock="1"/>
      </w:r>
      <w:r w:rsidR="00F73FD9" w:rsidRPr="007271D7">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Sciences","id":"ITEM-1","issued":{"date-parts":[["2016"]]},"page":"26-31","title":"Food advertising and eating behavior in children","type":"article-journal","volume":"9"},"uris":["http://www.mendeley.com/documents/?uuid=c8ce4785-2c52-4162-b8a2-97780b3a12cd"]}],"mendeley":{"formattedCitation":"[62]","plainTextFormattedCitation":"[62]","previouslyFormattedCitation":"[62]"},"properties":{"noteIndex":0},"schema":"https://github.com/citation-style-language/schema/raw/master/csl-citation.json"}</w:instrText>
      </w:r>
      <w:r w:rsidR="00E035C8" w:rsidRPr="007271D7">
        <w:fldChar w:fldCharType="separate"/>
      </w:r>
      <w:r w:rsidR="00E94AFD" w:rsidRPr="007271D7">
        <w:rPr>
          <w:noProof/>
        </w:rPr>
        <w:t>[62]</w:t>
      </w:r>
      <w:r w:rsidR="00E035C8" w:rsidRPr="007271D7">
        <w:fldChar w:fldCharType="end"/>
      </w:r>
      <w:r w:rsidR="00E035C8" w:rsidRPr="007271D7">
        <w:t xml:space="preserve"> Therefore, self-reported measures </w:t>
      </w:r>
      <w:r w:rsidR="00E35BD5" w:rsidRPr="007271D7">
        <w:t xml:space="preserve">may </w:t>
      </w:r>
      <w:r w:rsidR="00E035C8" w:rsidRPr="007271D7">
        <w:lastRenderedPageBreak/>
        <w:t>underestimate advertising exposure. When objectively measur</w:t>
      </w:r>
      <w:r w:rsidR="001D3BFA" w:rsidRPr="007271D7">
        <w:t>ed</w:t>
      </w:r>
      <w:r w:rsidR="00E035C8" w:rsidRPr="007271D7">
        <w:t>, one study found that children were exposed to HFSS advertising 27.3 times per day.</w:t>
      </w:r>
      <w:r w:rsidR="00E035C8" w:rsidRPr="007271D7">
        <w:fldChar w:fldCharType="begin" w:fldLock="1"/>
      </w:r>
      <w:r w:rsidR="002542A3">
        <w:instrText>ADDIN CSL_CITATION {"citationItems":[{"id":"ITEM-1","itemData":{"DOI":"10.1186/s12966-017-0570-3","ISSN":"14795868","PMID":"28988542","abstract":"Background: Over the past three decades the global prevalence of childhood overweight and obesity has increased by 47%. Marketing of energy-dense nutrient-poor foods and beverages contributes to this worldwide increase. Previous research on food marketing to children largely uses self-report, reporting by parents, or third-party observation of children's environments, with the focus mostly on single settings and/or media. This paper reports on innovative research, Kids'Cam, in which children wore cameras to examine the frequency and nature of everyday exposure to food marketing across multiple media and settings. Methods: Kids'Cam was a cross-sectional study of 168 children (mean age 12.6years, SD=0.5) in Wellington, New Zealand. Each child wore a wearable camera on four consecutive days, capturing images automatically every seven seconds. Images were manually coded as either recommended (core) or not recommended (non-core) to be marketed to children by setting, marketing medium, and product category. Images in convenience stores and supermarkets were excluded as marketing examples were considered too numerous to count. Results: On average, children were exposed to non-core food marketing 27.3 times a day (95% CI 24.8, 30.1) across all settings. This was more than twice their average exposure to core food marketing (12.3 per day, 95% CI 8.7, 17.4). Most non-core exposures occurred at home (33%), in public spaces (30%) and at school (19%). Food packaging was the predominant marketing medium (74% and 64% for core and non-core foods) followed by signs (21% and 28% for core and non-core). Sugary drinks, fast food, confectionary and snack foods were the most commonly encountered non-core foods marketed. Rates were calculated using Poisson regression. Conclusions: Children in this study were frequently exposed, across multiple settings, to marketing of non-core foods not recommended to be marketed to children. The study provides further evidence of the need for urgent action to reduce children's exposure to marketing of unhealthy foods, and suggests the settings and media in which to act. Such action is necessary if the Commission on Ending Childhood Obesity's vision is to be achieved.","author":[{"dropping-particle":"","family":"Signal","given":"L. N.","non-dropping-particle":"","parse-names":false,"suffix":""},{"dropping-particle":"","family":"Stanley","given":"J.","non-dropping-particle":"","parse-names":false,"suffix":""},{"dropping-particle":"","family":"Smith","given":"M.","non-dropping-particle":"","parse-names":false,"suffix":""},{"dropping-particle":"","family":"Barr","given":"M. B.","non-dropping-particle":"","parse-names":false,"suffix":""},{"dropping-particle":"","family":"Chambers","given":"T. J.","non-dropping-particle":"","parse-names":false,"suffix":""},{"dropping-particle":"","family":"Zhou","given":"J.","non-dropping-particle":"","parse-names":false,"suffix":""},{"dropping-particle":"","family":"Duane","given":"A.","non-dropping-particle":"","parse-names":false,"suffix":""},{"dropping-particle":"","family":"Gurrin","given":"C.","non-dropping-particle":"","parse-names":false,"suffix":""},{"dropping-particle":"","family":"Smeaton","given":"A. F.","non-dropping-particle":"","parse-names":false,"suffix":""},{"dropping-particle":"","family":"McKerchar","given":"C.","non-dropping-particle":"","parse-names":false,"suffix":""},{"dropping-particle":"","family":"Pearson","given":"A. L.","non-dropping-particle":"","parse-names":false,"suffix":""},{"dropping-particle":"","family":"Hoek","given":"J.","non-dropping-particle":"","parse-names":false,"suffix":""},{"dropping-particle":"","family":"Jenkin","given":"G. L.S.","non-dropping-particle":"","parse-names":false,"suffix":""},{"dropping-particle":"","family":"Ni Mhurchu","given":"C.","non-dropping-particle":"","parse-names":false,"suffix":""}],"container-title":"International Journal of Behavioral Nutrition and Physical Activity","id":"ITEM-1","issued":{"date-parts":[["2017"]]},"page":"137","publisher":"International Journal of Behavioral Nutrition and Physical Activity","title":"Children's everyday exposure to food marketing: An objective analysis using wearable cameras","type":"article-journal","volume":"14"},"uris":["http://www.mendeley.com/documents/?uuid=a36531e6-639c-4753-9293-d4d54e2f2297"]}],"mendeley":{"formattedCitation":"[63]","plainTextFormattedCitation":"[63]","previouslyFormattedCitation":"[63]"},"properties":{"noteIndex":0},"schema":"https://github.com/citation-style-language/schema/raw/master/csl-citation.json"}</w:instrText>
      </w:r>
      <w:r w:rsidR="00E035C8" w:rsidRPr="007271D7">
        <w:fldChar w:fldCharType="separate"/>
      </w:r>
      <w:r w:rsidR="00E94AFD" w:rsidRPr="007271D7">
        <w:rPr>
          <w:noProof/>
        </w:rPr>
        <w:t>[63]</w:t>
      </w:r>
      <w:r w:rsidR="00E035C8" w:rsidRPr="007271D7">
        <w:fldChar w:fldCharType="end"/>
      </w:r>
      <w:r w:rsidR="00E035C8" w:rsidRPr="007271D7">
        <w:t xml:space="preserve">   </w:t>
      </w:r>
      <w:r w:rsidR="006D73E7" w:rsidRPr="007271D7">
        <w:t xml:space="preserve"> </w:t>
      </w:r>
    </w:p>
    <w:p w14:paraId="69522D72" w14:textId="77777777" w:rsidR="00E035C8" w:rsidRPr="007271D7" w:rsidRDefault="00E035C8" w:rsidP="002A0FEE">
      <w:pPr>
        <w:spacing w:line="480" w:lineRule="auto"/>
      </w:pPr>
    </w:p>
    <w:p w14:paraId="122F2931" w14:textId="1A1AF527" w:rsidR="00554B81" w:rsidRPr="007271D7" w:rsidRDefault="00154B6B" w:rsidP="002A0FEE">
      <w:pPr>
        <w:spacing w:line="480" w:lineRule="auto"/>
      </w:pPr>
      <w:r w:rsidRPr="007271D7">
        <w:t>The</w:t>
      </w:r>
      <w:r w:rsidR="006D73E7" w:rsidRPr="007271D7">
        <w:t xml:space="preserve"> variety of advertising strategies</w:t>
      </w:r>
      <w:r w:rsidRPr="007271D7">
        <w:t xml:space="preserve"> used by companies</w:t>
      </w:r>
      <w:r w:rsidR="006D73E7" w:rsidRPr="007271D7">
        <w:t xml:space="preserve"> </w:t>
      </w:r>
      <w:r w:rsidR="00862FD7" w:rsidRPr="007271D7">
        <w:t xml:space="preserve">to advertise HFSS products </w:t>
      </w:r>
      <w:r w:rsidR="00787B52" w:rsidRPr="007271D7">
        <w:t>suggests that restrictions may need to be broadened beyond those proposed in the government’s plans to tackle obesity.</w:t>
      </w:r>
      <w:r w:rsidRPr="007271D7">
        <w:fldChar w:fldCharType="begin" w:fldLock="1"/>
      </w:r>
      <w:r w:rsidR="00F73FD9" w:rsidRPr="007271D7">
        <w:instrText>ADDIN CSL_CITATION {"citationItems":[{"id":"ITEM-1","itemData":{"DOI":"10.1016/j.jadohealth.2009.04.006","ISSN":"1054139X","PMID":"19699433","abstract":"Because of their avid use of new media and their increased spending power, adolescents have become primary targets of a new \"Media and Marketing Ecosystem.\" Digital media resonate particularly well with many of the fundamental developmental tasks of adolescence by enabling instantaneous and constant contact with peers, providing opportunities for self-expression, identity exploration, and social interaction, and facilitating mobility and independence. Six key features of interactive media-ubiquitous connectivity, personalization, peer-to-peer networking, engagement, immersion, and content creation-are emblematic of the ways in which young people are both shaping and being shaped by this new digital culture. The advertising industry, in many instances led by food and beverage marketers, is purposefully exploiting the special relationship that teenagers have with new media, with online marketing campaigns that create unprecedented intimacies between adolescents and the brands and products that now literally surround them. Major food and beverage companies, including Coca-Cola, McDonald's, Burger King, and Kentucky Fried Chicken (KFC), have incorporated these elements into their interactive marketing strategies, posing particular risks to adolescents, who are not being addressed in the current U.S. policy and self-regulatory regimens. However, recent and emerging neuroscience and psychological research on adolescents suggests a need to revisit the traditional approach to regulation of advertising. Despite the growth of interactive marketing, academic research on the impact of digital advertising on children and youth remains underdeveloped. Additional research and policy initiatives are needed to address the growing health threat facing youth in the digital marketplace. © 2009 Society for Adolescent Medicine.","author":[{"dropping-particle":"","family":"Montgomery","given":"Kathryn C.","non-dropping-particle":"","parse-names":false,"suffix":""},{"dropping-particle":"","family":"Chester","given":"Jeff","non-dropping-particle":"","parse-names":false,"suffix":""}],"container-title":"Journal of Adolescent Health","id":"ITEM-1","issued":{"date-parts":[["2009"]]},"page":"S18-S29","publisher":"Elsevier Ltd","title":"Interactive Food and Beverage Marketing: Targeting Adolescents in the Digital Age","type":"article-journal","volume":"45"},"uris":["http://www.mendeley.com/documents/?uuid=32c195dd-8f21-4224-851d-2859da68fcaf"]},{"id":"ITEM-2","itemData":{"author":[{"dropping-particle":"","family":"Department of Health and Social Care: Global Public Health Directorate: Obesity Food and Nutrition / 10800","given":"","non-dropping-particle":"","parse-names":false,"suffix":""}],"id":"ITEM-2","issued":{"date-parts":[["2018"]]},"publisher":"HM Government","publisher-place":"London","title":"Childhood obesity: a plan for action Chapter 2","type":"book"},"uris":["http://www.mendeley.com/documents/?uuid=69b3b3f1-333f-3176-b39b-fe7286782347"]}],"mendeley":{"formattedCitation":"[30,64]","plainTextFormattedCitation":"[30,64]","previouslyFormattedCitation":"[30,64]"},"properties":{"noteIndex":0},"schema":"https://github.com/citation-style-language/schema/raw/master/csl-citation.json"}</w:instrText>
      </w:r>
      <w:r w:rsidRPr="007271D7">
        <w:fldChar w:fldCharType="separate"/>
      </w:r>
      <w:r w:rsidR="00E94AFD" w:rsidRPr="007271D7">
        <w:rPr>
          <w:noProof/>
        </w:rPr>
        <w:t>[30,64]</w:t>
      </w:r>
      <w:r w:rsidRPr="007271D7">
        <w:fldChar w:fldCharType="end"/>
      </w:r>
      <w:r w:rsidR="00787B52" w:rsidRPr="007271D7">
        <w:t xml:space="preserve"> Digital food delivery services were disproportionately advertised through digital channels, meaning that exposure to such advertising can be readily accessed from any location. Exposure to fast food advertising was the most commonly reported of the product categories studied and no sociodemographic variation was observed, which may indicate the pervasiveness of </w:t>
      </w:r>
      <w:proofErr w:type="gramStart"/>
      <w:r w:rsidR="00787B52" w:rsidRPr="007271D7">
        <w:t>fast food</w:t>
      </w:r>
      <w:proofErr w:type="gramEnd"/>
      <w:r w:rsidR="00787B52" w:rsidRPr="007271D7">
        <w:t xml:space="preserve"> advertising in particular.</w:t>
      </w:r>
      <w:r w:rsidR="00EB1F12" w:rsidRPr="007271D7">
        <w:t xml:space="preserve"> </w:t>
      </w:r>
    </w:p>
    <w:p w14:paraId="6B1A8AAF" w14:textId="47B9AA84" w:rsidR="00DB248B" w:rsidRPr="007271D7" w:rsidRDefault="00DB248B" w:rsidP="002A0FEE">
      <w:pPr>
        <w:spacing w:line="480" w:lineRule="auto"/>
      </w:pPr>
    </w:p>
    <w:p w14:paraId="20F55A7F" w14:textId="61A47B28" w:rsidR="0035596E" w:rsidRPr="007271D7" w:rsidRDefault="0035596E" w:rsidP="002A0FEE">
      <w:pPr>
        <w:spacing w:line="480" w:lineRule="auto"/>
        <w:rPr>
          <w:b/>
          <w:bCs/>
        </w:rPr>
      </w:pPr>
      <w:r w:rsidRPr="007271D7">
        <w:rPr>
          <w:b/>
          <w:bCs/>
        </w:rPr>
        <w:t xml:space="preserve">Conclusions </w:t>
      </w:r>
    </w:p>
    <w:p w14:paraId="5FCD10F1" w14:textId="4187FE29" w:rsidR="00AD7A75" w:rsidRDefault="009D49FC" w:rsidP="002A0FEE">
      <w:pPr>
        <w:spacing w:line="480" w:lineRule="auto"/>
      </w:pPr>
      <w:r w:rsidRPr="007271D7">
        <w:t>E</w:t>
      </w:r>
      <w:r w:rsidR="00107806" w:rsidRPr="007271D7">
        <w:t>xposure to advertisin</w:t>
      </w:r>
      <w:r w:rsidR="003351E8" w:rsidRPr="007271D7">
        <w:t xml:space="preserve">g </w:t>
      </w:r>
      <w:r w:rsidR="00C12A93" w:rsidRPr="007271D7">
        <w:t xml:space="preserve">of less healthy foods and drinks </w:t>
      </w:r>
      <w:r w:rsidR="003351E8" w:rsidRPr="007271D7">
        <w:t xml:space="preserve">was </w:t>
      </w:r>
      <w:r w:rsidR="00940ECD" w:rsidRPr="007271D7">
        <w:t>highly prevalent</w:t>
      </w:r>
      <w:r w:rsidR="002F4B25" w:rsidRPr="007271D7">
        <w:t>, with adults in lower socioeconomic groups</w:t>
      </w:r>
      <w:r w:rsidR="00F16799" w:rsidRPr="007271D7">
        <w:t xml:space="preserve"> and </w:t>
      </w:r>
      <w:r w:rsidR="002F4B25" w:rsidRPr="007271D7">
        <w:t>younger adults more likely to report exposure.</w:t>
      </w:r>
      <w:r w:rsidR="0015714F" w:rsidRPr="007271D7">
        <w:t xml:space="preserve"> </w:t>
      </w:r>
      <w:r w:rsidR="00E35BD5" w:rsidRPr="007271D7">
        <w:t>Though these groups may have more objective exposure to advertising, this may also be partly due to</w:t>
      </w:r>
      <w:r w:rsidR="00F27A9E" w:rsidRPr="007271D7">
        <w:t xml:space="preserve"> </w:t>
      </w:r>
      <w:r w:rsidR="00E35BD5" w:rsidRPr="007271D7">
        <w:t xml:space="preserve">increased </w:t>
      </w:r>
      <w:r w:rsidR="00F27A9E" w:rsidRPr="007271D7">
        <w:t>receptiveness</w:t>
      </w:r>
      <w:r w:rsidR="00E35BD5" w:rsidRPr="007271D7">
        <w:t xml:space="preserve"> to,</w:t>
      </w:r>
      <w:r w:rsidR="00F27A9E" w:rsidRPr="007271D7">
        <w:t xml:space="preserve"> or re</w:t>
      </w:r>
      <w:r w:rsidR="002703F3" w:rsidRPr="007271D7">
        <w:t>call</w:t>
      </w:r>
      <w:r w:rsidR="00F27A9E" w:rsidRPr="007271D7">
        <w:t xml:space="preserve"> of</w:t>
      </w:r>
      <w:r w:rsidR="00E35BD5" w:rsidRPr="007271D7">
        <w:t>,</w:t>
      </w:r>
      <w:r w:rsidR="00F27A9E" w:rsidRPr="007271D7">
        <w:t xml:space="preserve"> </w:t>
      </w:r>
      <w:r w:rsidR="00E35BD5" w:rsidRPr="007271D7">
        <w:t>advertising</w:t>
      </w:r>
      <w:r w:rsidR="00F27A9E" w:rsidRPr="007271D7">
        <w:t>. Future studies should explore associations using objective measures to</w:t>
      </w:r>
      <w:r w:rsidR="00E35BD5" w:rsidRPr="007271D7">
        <w:t xml:space="preserve"> confirm our findings</w:t>
      </w:r>
      <w:r w:rsidR="00F27A9E" w:rsidRPr="007271D7">
        <w:t xml:space="preserve">. </w:t>
      </w:r>
      <w:r w:rsidR="00E35BD5" w:rsidRPr="007271D7">
        <w:t>Our findings suggest that b</w:t>
      </w:r>
      <w:r w:rsidR="00EB1F12" w:rsidRPr="007271D7">
        <w:t xml:space="preserve">road </w:t>
      </w:r>
      <w:r w:rsidR="00EB1F12" w:rsidRPr="00EA463B">
        <w:t xml:space="preserve">advertising restrictions </w:t>
      </w:r>
      <w:r w:rsidR="00F27A9E" w:rsidRPr="00EA463B">
        <w:t>are likely</w:t>
      </w:r>
      <w:r w:rsidR="00EB1F12" w:rsidRPr="00EA463B">
        <w:t xml:space="preserve"> needed to reduce</w:t>
      </w:r>
      <w:r w:rsidR="00F27A9E" w:rsidRPr="00EA463B">
        <w:t xml:space="preserve"> exposure to HFSS advertising in adults and may help to reduce</w:t>
      </w:r>
      <w:r w:rsidR="00EB1F12" w:rsidRPr="00EA463B">
        <w:t xml:space="preserve"> sociodemographic differences in exposure to less healthy product advertising.</w:t>
      </w:r>
      <w:r w:rsidR="002703F3" w:rsidRPr="00EA463B">
        <w:t xml:space="preserve"> Research evaluating the impacts of such policies should be a priority. Longitudinal studies of advertising exposure and consumption of less healthy foods and drinks would help to determine whether the relationship is causal. If so, interventions should be designed to harness the potential for advertising restrictions to reduce advertising exposure in the groups that are most exposed.</w:t>
      </w:r>
      <w:r w:rsidR="00EB1F12">
        <w:t xml:space="preserve"> </w:t>
      </w:r>
    </w:p>
    <w:p w14:paraId="6A07B122" w14:textId="77777777" w:rsidR="00AD7A75" w:rsidRDefault="00AD7A75" w:rsidP="002A0FEE">
      <w:pPr>
        <w:spacing w:line="480" w:lineRule="auto"/>
      </w:pPr>
    </w:p>
    <w:p w14:paraId="21A07C51" w14:textId="77777777" w:rsidR="00AD7A75" w:rsidRDefault="00AD7A75" w:rsidP="002A0FEE">
      <w:pPr>
        <w:spacing w:line="480" w:lineRule="auto"/>
        <w:rPr>
          <w:b/>
          <w:bCs/>
        </w:rPr>
      </w:pPr>
      <w:r w:rsidRPr="0098774C">
        <w:rPr>
          <w:b/>
          <w:bCs/>
        </w:rPr>
        <w:t>List of abbreviations</w:t>
      </w:r>
    </w:p>
    <w:p w14:paraId="00B877DF" w14:textId="2BA410FC" w:rsidR="00AD7A75" w:rsidRDefault="00AD7A75" w:rsidP="002A0FEE">
      <w:pPr>
        <w:spacing w:line="480" w:lineRule="auto"/>
      </w:pPr>
      <w:r w:rsidRPr="0098774C">
        <w:t>BMI</w:t>
      </w:r>
      <w:r>
        <w:tab/>
        <w:t>Body Mass Index</w:t>
      </w:r>
    </w:p>
    <w:p w14:paraId="502C57F5" w14:textId="6D1D301B" w:rsidR="00321CAD" w:rsidRDefault="00321CAD" w:rsidP="002A0FEE">
      <w:pPr>
        <w:spacing w:line="480" w:lineRule="auto"/>
      </w:pPr>
      <w:r>
        <w:t>CI(s)</w:t>
      </w:r>
      <w:r>
        <w:tab/>
        <w:t>Confidence Interval(s)</w:t>
      </w:r>
    </w:p>
    <w:p w14:paraId="689AD91A" w14:textId="77777777" w:rsidR="005633ED" w:rsidRDefault="005633ED" w:rsidP="002A0FEE">
      <w:pPr>
        <w:spacing w:line="480" w:lineRule="auto"/>
        <w:rPr>
          <w:rFonts w:ascii="Calibri" w:hAnsi="Calibri" w:cs="Calibri"/>
        </w:rPr>
      </w:pPr>
      <w:r>
        <w:rPr>
          <w:rFonts w:ascii="Calibri" w:hAnsi="Calibri" w:cs="Calibri"/>
        </w:rPr>
        <w:t>FMCG</w:t>
      </w:r>
      <w:r>
        <w:rPr>
          <w:rFonts w:ascii="Calibri" w:hAnsi="Calibri" w:cs="Calibri"/>
        </w:rPr>
        <w:tab/>
      </w:r>
      <w:r w:rsidRPr="00200DF5">
        <w:rPr>
          <w:rFonts w:ascii="Calibri" w:hAnsi="Calibri" w:cs="Calibri"/>
        </w:rPr>
        <w:t>Fast Moving Consumer Goods</w:t>
      </w:r>
      <w:r>
        <w:rPr>
          <w:rFonts w:ascii="Calibri" w:hAnsi="Calibri" w:cs="Calibri"/>
        </w:rPr>
        <w:t xml:space="preserve"> </w:t>
      </w:r>
    </w:p>
    <w:p w14:paraId="46C891E6" w14:textId="7656FA03" w:rsidR="005633ED" w:rsidRDefault="00AD7A75" w:rsidP="002A0FEE">
      <w:pPr>
        <w:spacing w:line="480" w:lineRule="auto"/>
      </w:pPr>
      <w:r>
        <w:t>HFSS</w:t>
      </w:r>
      <w:r>
        <w:tab/>
        <w:t>High fat, s</w:t>
      </w:r>
      <w:r w:rsidR="00B90682">
        <w:t xml:space="preserve">alt </w:t>
      </w:r>
      <w:r>
        <w:t xml:space="preserve">and </w:t>
      </w:r>
      <w:r w:rsidR="00B90682">
        <w:t>sugar</w:t>
      </w:r>
    </w:p>
    <w:p w14:paraId="01C24F56" w14:textId="4B25EB3C" w:rsidR="00430085" w:rsidRDefault="00430085" w:rsidP="002A0FEE">
      <w:pPr>
        <w:spacing w:line="480" w:lineRule="auto"/>
      </w:pPr>
      <w:r>
        <w:t>NDNS</w:t>
      </w:r>
      <w:r>
        <w:tab/>
        <w:t xml:space="preserve">National Diet and Nutrition Survey </w:t>
      </w:r>
    </w:p>
    <w:p w14:paraId="255D3855" w14:textId="2DA55A40" w:rsidR="00430085" w:rsidRDefault="00F77457" w:rsidP="002A0FEE">
      <w:pPr>
        <w:spacing w:line="480" w:lineRule="auto"/>
      </w:pPr>
      <w:r>
        <w:t>NRS</w:t>
      </w:r>
      <w:r>
        <w:tab/>
        <w:t>National Readership Survey</w:t>
      </w:r>
    </w:p>
    <w:p w14:paraId="27C9030C" w14:textId="77777777" w:rsidR="006F4282" w:rsidRDefault="00F77457" w:rsidP="002A0FEE">
      <w:pPr>
        <w:spacing w:line="480" w:lineRule="auto"/>
      </w:pPr>
      <w:r>
        <w:t>UK</w:t>
      </w:r>
      <w:r>
        <w:tab/>
        <w:t xml:space="preserve">United Kingdom </w:t>
      </w:r>
    </w:p>
    <w:p w14:paraId="52D727BA" w14:textId="4BEBF71F" w:rsidR="00BD4D6E" w:rsidRDefault="00BD4D6E" w:rsidP="002A0FEE">
      <w:pPr>
        <w:spacing w:line="480" w:lineRule="auto"/>
      </w:pPr>
    </w:p>
    <w:p w14:paraId="75048FF7" w14:textId="4C83CB9A" w:rsidR="006F4282" w:rsidRPr="006F4282" w:rsidRDefault="006F4282" w:rsidP="002A0FEE">
      <w:pPr>
        <w:spacing w:line="480" w:lineRule="auto"/>
        <w:rPr>
          <w:b/>
          <w:bCs/>
        </w:rPr>
      </w:pPr>
      <w:r w:rsidRPr="006F4282">
        <w:rPr>
          <w:b/>
          <w:bCs/>
        </w:rPr>
        <w:t>DECLARATIONS</w:t>
      </w:r>
    </w:p>
    <w:p w14:paraId="222FCDD6" w14:textId="77777777" w:rsidR="006F4282" w:rsidRDefault="006F4282" w:rsidP="006F4282">
      <w:pPr>
        <w:spacing w:line="480" w:lineRule="auto"/>
        <w:contextualSpacing/>
        <w:rPr>
          <w:b/>
          <w:bCs/>
        </w:rPr>
      </w:pPr>
      <w:r>
        <w:rPr>
          <w:b/>
          <w:bCs/>
        </w:rPr>
        <w:t xml:space="preserve">Ethics approval and consent to participate  </w:t>
      </w:r>
    </w:p>
    <w:p w14:paraId="1EF85898" w14:textId="77777777" w:rsidR="006F4282" w:rsidRDefault="006F4282" w:rsidP="006F4282">
      <w:pPr>
        <w:pStyle w:val="NormalWeb"/>
        <w:spacing w:before="0" w:beforeAutospacing="0" w:after="200" w:afterAutospacing="0" w:line="480" w:lineRule="auto"/>
        <w:contextualSpacing/>
        <w:textAlignment w:val="baseline"/>
        <w:rPr>
          <w:rFonts w:ascii="Calibri" w:hAnsi="Calibri" w:cs="Calibri"/>
        </w:rPr>
      </w:pPr>
      <w:r w:rsidRPr="00200DF5">
        <w:rPr>
          <w:rFonts w:ascii="Calibri" w:hAnsi="Calibri" w:cs="Calibri"/>
        </w:rPr>
        <w:t>Ethical approval for this study was granted by the London School of Hygiene &amp; Tropical Medicine Research Ethics Committee</w:t>
      </w:r>
      <w:r>
        <w:rPr>
          <w:rFonts w:ascii="Calibri" w:hAnsi="Calibri" w:cs="Calibri"/>
        </w:rPr>
        <w:t xml:space="preserve"> (Application No.</w:t>
      </w:r>
      <w:r w:rsidRPr="003F5BD6">
        <w:rPr>
          <w:rFonts w:ascii="Helvetica Neue" w:hAnsi="Helvetica Neue"/>
          <w:color w:val="333333"/>
          <w:sz w:val="21"/>
          <w:szCs w:val="21"/>
          <w:shd w:val="clear" w:color="auto" w:fill="F9F9F9"/>
          <w:lang w:eastAsia="en-GB"/>
        </w:rPr>
        <w:t xml:space="preserve"> </w:t>
      </w:r>
      <w:r w:rsidRPr="003F5BD6">
        <w:rPr>
          <w:rFonts w:ascii="Calibri" w:hAnsi="Calibri" w:cs="Calibri"/>
        </w:rPr>
        <w:t>16297 /RR/11721</w:t>
      </w:r>
      <w:r>
        <w:rPr>
          <w:rFonts w:ascii="Calibri" w:hAnsi="Calibri" w:cs="Calibri"/>
        </w:rPr>
        <w:t xml:space="preserve">). </w:t>
      </w:r>
      <w:r w:rsidRPr="00DD2471">
        <w:rPr>
          <w:rFonts w:ascii="Calibri" w:hAnsi="Calibri" w:cs="Calibri"/>
        </w:rPr>
        <w:t>Written informed consent was obtained from all participants.</w:t>
      </w:r>
      <w:r>
        <w:rPr>
          <w:rFonts w:ascii="Calibri" w:hAnsi="Calibri" w:cs="Calibri"/>
        </w:rPr>
        <w:t xml:space="preserve"> </w:t>
      </w:r>
    </w:p>
    <w:p w14:paraId="386B8E7E" w14:textId="77777777" w:rsidR="006F4282" w:rsidRPr="00DD2471" w:rsidRDefault="006F4282" w:rsidP="006F4282">
      <w:pPr>
        <w:pStyle w:val="NormalWeb"/>
        <w:spacing w:before="0" w:beforeAutospacing="0" w:after="200" w:afterAutospacing="0" w:line="480" w:lineRule="auto"/>
        <w:contextualSpacing/>
        <w:textAlignment w:val="baseline"/>
        <w:rPr>
          <w:rFonts w:ascii="Calibri" w:hAnsi="Calibri" w:cs="Calibri"/>
        </w:rPr>
      </w:pPr>
    </w:p>
    <w:p w14:paraId="1146585C" w14:textId="77777777" w:rsidR="006F4282" w:rsidRDefault="006F4282" w:rsidP="006F4282">
      <w:pPr>
        <w:pStyle w:val="NormalWeb"/>
        <w:spacing w:before="200" w:beforeAutospacing="0" w:after="0" w:afterAutospacing="0" w:line="480" w:lineRule="auto"/>
        <w:contextualSpacing/>
        <w:textAlignment w:val="baseline"/>
        <w:rPr>
          <w:rFonts w:ascii="Calibri" w:hAnsi="Calibri" w:cs="Calibri"/>
          <w:b/>
          <w:bCs/>
        </w:rPr>
      </w:pPr>
      <w:r w:rsidRPr="00F576BF">
        <w:rPr>
          <w:rFonts w:ascii="Calibri" w:hAnsi="Calibri" w:cs="Calibri"/>
          <w:b/>
          <w:bCs/>
        </w:rPr>
        <w:t>Consent for publication</w:t>
      </w:r>
    </w:p>
    <w:p w14:paraId="52B87A11"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rPr>
      </w:pPr>
      <w:r w:rsidRPr="00F576BF">
        <w:rPr>
          <w:rFonts w:ascii="Calibri" w:hAnsi="Calibri" w:cs="Calibri"/>
        </w:rPr>
        <w:t>Not applicable</w:t>
      </w:r>
      <w:r>
        <w:rPr>
          <w:rFonts w:ascii="Calibri" w:hAnsi="Calibri" w:cs="Calibri"/>
        </w:rPr>
        <w:t>.</w:t>
      </w:r>
    </w:p>
    <w:p w14:paraId="0A2FC44F" w14:textId="77777777" w:rsidR="006F4282" w:rsidRPr="00F576BF" w:rsidRDefault="006F4282" w:rsidP="006F4282">
      <w:pPr>
        <w:pStyle w:val="NormalWeb"/>
        <w:spacing w:before="0" w:beforeAutospacing="0" w:after="0" w:afterAutospacing="0" w:line="480" w:lineRule="auto"/>
        <w:contextualSpacing/>
        <w:textAlignment w:val="baseline"/>
        <w:rPr>
          <w:rFonts w:ascii="Calibri" w:hAnsi="Calibri" w:cs="Calibri"/>
        </w:rPr>
      </w:pPr>
    </w:p>
    <w:p w14:paraId="658AADEA"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r w:rsidRPr="00F576BF">
        <w:rPr>
          <w:rFonts w:ascii="Calibri" w:hAnsi="Calibri" w:cs="Calibri"/>
          <w:b/>
          <w:bCs/>
        </w:rPr>
        <w:t xml:space="preserve">Availability of data and materials </w:t>
      </w:r>
    </w:p>
    <w:p w14:paraId="143ED216" w14:textId="77777777" w:rsidR="006F4282" w:rsidRPr="00F576BF" w:rsidRDefault="006F4282" w:rsidP="006F4282">
      <w:pPr>
        <w:pStyle w:val="NormalWeb"/>
        <w:spacing w:line="480" w:lineRule="auto"/>
        <w:contextualSpacing/>
        <w:textAlignment w:val="baseline"/>
        <w:rPr>
          <w:rFonts w:ascii="Calibri" w:hAnsi="Calibri" w:cs="Calibri"/>
          <w:b/>
          <w:bCs/>
        </w:rPr>
      </w:pPr>
      <w:r>
        <w:rPr>
          <w:rFonts w:ascii="Calibri" w:hAnsi="Calibri" w:cs="Calibri"/>
        </w:rPr>
        <w:t xml:space="preserve">Data were collected via an online survey linked to social and demographic data from Kantar </w:t>
      </w:r>
      <w:proofErr w:type="spellStart"/>
      <w:r>
        <w:rPr>
          <w:rFonts w:ascii="Calibri" w:hAnsi="Calibri" w:cs="Calibri"/>
        </w:rPr>
        <w:t>WorldPanel</w:t>
      </w:r>
      <w:proofErr w:type="spellEnd"/>
      <w:r>
        <w:rPr>
          <w:rFonts w:ascii="Calibri" w:hAnsi="Calibri" w:cs="Calibri"/>
        </w:rPr>
        <w:t xml:space="preserve"> Plus. </w:t>
      </w:r>
      <w:r w:rsidRPr="00872085">
        <w:rPr>
          <w:rFonts w:ascii="Calibri" w:hAnsi="Calibri" w:cs="Calibri"/>
        </w:rPr>
        <w:t xml:space="preserve">The terms of our data agreement </w:t>
      </w:r>
      <w:r>
        <w:rPr>
          <w:rFonts w:ascii="Calibri" w:hAnsi="Calibri" w:cs="Calibri"/>
        </w:rPr>
        <w:t xml:space="preserve">with Kantar </w:t>
      </w:r>
      <w:r w:rsidRPr="00872085">
        <w:rPr>
          <w:rFonts w:ascii="Calibri" w:hAnsi="Calibri" w:cs="Calibri"/>
        </w:rPr>
        <w:t>mean that we cannot share</w:t>
      </w:r>
      <w:r>
        <w:rPr>
          <w:rFonts w:ascii="Calibri" w:hAnsi="Calibri" w:cs="Calibri"/>
        </w:rPr>
        <w:t xml:space="preserve"> linked social and demographic </w:t>
      </w:r>
      <w:r w:rsidRPr="00872085">
        <w:rPr>
          <w:rFonts w:ascii="Calibri" w:hAnsi="Calibri" w:cs="Calibri"/>
        </w:rPr>
        <w:t>data</w:t>
      </w:r>
      <w:r>
        <w:rPr>
          <w:rFonts w:ascii="Calibri" w:hAnsi="Calibri" w:cs="Calibri"/>
        </w:rPr>
        <w:t xml:space="preserve">, however access to the online survey data for the </w:t>
      </w:r>
      <w:r>
        <w:rPr>
          <w:rFonts w:ascii="Calibri" w:hAnsi="Calibri" w:cs="Calibri"/>
        </w:rPr>
        <w:lastRenderedPageBreak/>
        <w:t>purposes of replication only may be possible. Please contact the study Principal Investigator, Professor Steven Cummins (steven.cummins@lshtm.ac.uk).</w:t>
      </w:r>
    </w:p>
    <w:p w14:paraId="490E54EF"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p>
    <w:p w14:paraId="45DD1E7B"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r w:rsidRPr="00F576BF">
        <w:rPr>
          <w:rFonts w:ascii="Calibri" w:hAnsi="Calibri" w:cs="Calibri"/>
          <w:b/>
          <w:bCs/>
        </w:rPr>
        <w:t>Competing interests</w:t>
      </w:r>
    </w:p>
    <w:p w14:paraId="4EE71D5D" w14:textId="77777777" w:rsidR="006F4282" w:rsidRPr="00F576BF" w:rsidRDefault="006F4282" w:rsidP="006F4282">
      <w:pPr>
        <w:spacing w:line="480" w:lineRule="auto"/>
        <w:contextualSpacing/>
        <w:rPr>
          <w:rFonts w:eastAsia="Times New Roman" w:cstheme="minorHAnsi"/>
        </w:rPr>
      </w:pPr>
      <w:r w:rsidRPr="00F576BF">
        <w:rPr>
          <w:rFonts w:eastAsia="Times New Roman" w:cstheme="minorHAnsi"/>
        </w:rPr>
        <w:t>The authors declare that they have no competing interests</w:t>
      </w:r>
      <w:r>
        <w:rPr>
          <w:rFonts w:eastAsia="Times New Roman" w:cstheme="minorHAnsi"/>
        </w:rPr>
        <w:t>.</w:t>
      </w:r>
    </w:p>
    <w:p w14:paraId="135E59F8" w14:textId="77777777" w:rsidR="006F4282" w:rsidRPr="00F576BF" w:rsidRDefault="006F4282" w:rsidP="006F4282">
      <w:pPr>
        <w:pStyle w:val="NormalWeb"/>
        <w:spacing w:before="0" w:beforeAutospacing="0" w:after="0" w:afterAutospacing="0" w:line="480" w:lineRule="auto"/>
        <w:contextualSpacing/>
        <w:textAlignment w:val="baseline"/>
        <w:rPr>
          <w:rFonts w:ascii="Calibri" w:hAnsi="Calibri" w:cs="Calibri"/>
        </w:rPr>
      </w:pPr>
    </w:p>
    <w:p w14:paraId="25AE4920"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r w:rsidRPr="00F576BF">
        <w:rPr>
          <w:rFonts w:ascii="Calibri" w:hAnsi="Calibri" w:cs="Calibri"/>
          <w:b/>
          <w:bCs/>
        </w:rPr>
        <w:t xml:space="preserve">Funding </w:t>
      </w:r>
    </w:p>
    <w:p w14:paraId="2A3815C9" w14:textId="1BF44E93" w:rsidR="006F4282" w:rsidRDefault="006F4282" w:rsidP="006F4282">
      <w:pPr>
        <w:pStyle w:val="NormalWeb"/>
        <w:spacing w:before="0" w:beforeAutospacing="0" w:after="0" w:afterAutospacing="0" w:line="480" w:lineRule="auto"/>
        <w:contextualSpacing/>
        <w:textAlignment w:val="baseline"/>
        <w:rPr>
          <w:rFonts w:ascii="Calibri" w:hAnsi="Calibri" w:cs="Calibri"/>
        </w:rPr>
      </w:pPr>
      <w:r w:rsidRPr="00536A35">
        <w:rPr>
          <w:rFonts w:ascii="Calibri" w:hAnsi="Calibri" w:cs="Calibri"/>
        </w:rPr>
        <w:t xml:space="preserve">The National Institute for Health Research </w:t>
      </w:r>
      <w:r>
        <w:rPr>
          <w:rFonts w:ascii="Calibri" w:hAnsi="Calibri" w:cs="Calibri"/>
        </w:rPr>
        <w:t>(</w:t>
      </w:r>
      <w:r w:rsidRPr="00536A35">
        <w:rPr>
          <w:rFonts w:ascii="Calibri" w:hAnsi="Calibri" w:cs="Calibri"/>
        </w:rPr>
        <w:t>NIHR</w:t>
      </w:r>
      <w:r>
        <w:rPr>
          <w:rFonts w:ascii="Calibri" w:hAnsi="Calibri" w:cs="Calibri"/>
        </w:rPr>
        <w:t>)</w:t>
      </w:r>
      <w:r w:rsidRPr="00536A35">
        <w:rPr>
          <w:rFonts w:ascii="Calibri" w:hAnsi="Calibri" w:cs="Calibri"/>
        </w:rPr>
        <w:t xml:space="preserve"> School for Public Health Research is a partnership between the Universities of Sheffield; Bristol; Cambridge; Imperial; and University College London; The London School for Hygiene and Tropical Medicine (LSHTM); </w:t>
      </w:r>
      <w:proofErr w:type="spellStart"/>
      <w:r w:rsidRPr="00F24A2A">
        <w:rPr>
          <w:rFonts w:ascii="Calibri" w:hAnsi="Calibri" w:cs="Calibri"/>
        </w:rPr>
        <w:t>LiLaC</w:t>
      </w:r>
      <w:proofErr w:type="spellEnd"/>
      <w:r w:rsidRPr="00F24A2A">
        <w:rPr>
          <w:rFonts w:ascii="Calibri" w:hAnsi="Calibri" w:cs="Calibri"/>
        </w:rPr>
        <w:t xml:space="preserve"> – a collaboration between the Universities of Liverpool and Lancaster; and Fuse - The Centre for Translational Research in Public Health, a collaboration between Newcastle, Durham, Northumbria, Sunderland and Teesside Universities. This study is funded by the NIHR School for Public Health Research (SPHR) (Grant Reference Number </w:t>
      </w:r>
      <w:hyperlink r:id="rId14" w:anchor="gs1" w:history="1">
        <w:r w:rsidRPr="00F24A2A">
          <w:rPr>
            <w:rStyle w:val="Hyperlink"/>
            <w:rFonts w:ascii="Calibri" w:hAnsi="Calibri" w:cs="Calibri"/>
          </w:rPr>
          <w:t>PD-SPH-2015</w:t>
        </w:r>
      </w:hyperlink>
      <w:r w:rsidRPr="00F24A2A">
        <w:rPr>
          <w:rFonts w:ascii="Calibri" w:hAnsi="Calibri" w:cs="Calibri"/>
        </w:rPr>
        <w:t xml:space="preserve">). SC is also funded by Health Data Research UK (HDR-UK). HDR-UK is an initiative funded by the UK Research and Innovation, Department of Health and Social Care (England) and the devolved administrations, and leading medical research charities. JA, MW and TB are supported by the MRC Epidemiology Unit, University of Cambridge [grant number MC/UU/12015/6] and Centre for Diet and Activity Research (CEDAR), a UK Clinical Research Collaboration (UKCRC) Public Health Research Centre of Excellence. Funding for CEDAR from the British Heart Foundation, Cancer Research UK, Economic and Social Research Council, Medical Research Council, the National Institute for Health Research [grant numbers ES/G007462/1 and MR/K023187/1], and the Wellcome Trust [grant number 087636/Z/08/Z], under the auspices of the UK Clinical Research Collaboration, is gratefully </w:t>
      </w:r>
      <w:r w:rsidRPr="00F24A2A">
        <w:rPr>
          <w:rFonts w:ascii="Calibri" w:hAnsi="Calibri" w:cs="Calibri"/>
        </w:rPr>
        <w:lastRenderedPageBreak/>
        <w:t xml:space="preserve">acknowledged. </w:t>
      </w:r>
      <w:r w:rsidRPr="00F24A2A">
        <w:rPr>
          <w:rFonts w:ascii="Calibri" w:hAnsi="Calibri"/>
        </w:rPr>
        <w:t>CT is funded by the NIHR Applied Research Collaboration East of England</w:t>
      </w:r>
      <w:r w:rsidRPr="00F24A2A">
        <w:rPr>
          <w:rFonts w:ascii="Calibri" w:hAnsi="Calibri" w:cs="Calibri"/>
        </w:rPr>
        <w:t xml:space="preserve">. AAL is a member of Fuse, the Centre for Translational Research in Public Health (www.fuse.ac.uk). Fuse is a Public Health Research Centre of Excellence funded by the five North East Universities of Durham, Newcastle, Northumbria, Sunderland and Teesside. </w:t>
      </w:r>
      <w:proofErr w:type="spellStart"/>
      <w:r w:rsidRPr="00F24A2A">
        <w:rPr>
          <w:rFonts w:ascii="Calibri" w:hAnsi="Calibri"/>
        </w:rPr>
        <w:t>FdV</w:t>
      </w:r>
      <w:proofErr w:type="spellEnd"/>
      <w:r w:rsidRPr="00F24A2A">
        <w:rPr>
          <w:rFonts w:ascii="Calibri" w:hAnsi="Calibri"/>
        </w:rPr>
        <w:t xml:space="preserve"> is partly funded by </w:t>
      </w:r>
      <w:r w:rsidR="000E795C">
        <w:rPr>
          <w:rFonts w:ascii="Calibri" w:hAnsi="Calibri"/>
        </w:rPr>
        <w:t>NIHR</w:t>
      </w:r>
      <w:r w:rsidRPr="00F24A2A">
        <w:rPr>
          <w:rFonts w:ascii="Calibri" w:hAnsi="Calibri"/>
        </w:rPr>
        <w:t xml:space="preserve"> Applied Research Collaboration West (NIHR ARC West) at University Hospitals Bristol NHS Foundation Trust. </w:t>
      </w:r>
      <w:r w:rsidRPr="00F24A2A">
        <w:rPr>
          <w:rFonts w:ascii="Calibri" w:hAnsi="Calibri" w:cs="Calibri"/>
        </w:rPr>
        <w:t xml:space="preserve">The views expressed are those of the authors and do not necessarily represent those of any of the </w:t>
      </w:r>
      <w:proofErr w:type="gramStart"/>
      <w:r w:rsidRPr="00F24A2A">
        <w:rPr>
          <w:rFonts w:ascii="Calibri" w:hAnsi="Calibri" w:cs="Calibri"/>
        </w:rPr>
        <w:t>above named</w:t>
      </w:r>
      <w:proofErr w:type="gramEnd"/>
      <w:r w:rsidRPr="00F24A2A">
        <w:rPr>
          <w:rFonts w:ascii="Calibri" w:hAnsi="Calibri" w:cs="Calibri"/>
        </w:rPr>
        <w:t xml:space="preserve"> funders. The funders had no role in the design of the study, or collection, analysis and interpretation of the data, or </w:t>
      </w:r>
      <w:r w:rsidR="00CE6007">
        <w:rPr>
          <w:rFonts w:ascii="Calibri" w:hAnsi="Calibri" w:cs="Calibri"/>
        </w:rPr>
        <w:t xml:space="preserve">in the </w:t>
      </w:r>
      <w:r w:rsidRPr="00F24A2A">
        <w:rPr>
          <w:rFonts w:ascii="Calibri" w:hAnsi="Calibri" w:cs="Calibri"/>
        </w:rPr>
        <w:t>decision to publish, or in writing the manuscript.</w:t>
      </w:r>
    </w:p>
    <w:p w14:paraId="44A88C99" w14:textId="77777777" w:rsidR="006F4282" w:rsidRPr="00F576BF" w:rsidRDefault="006F4282" w:rsidP="006F4282">
      <w:pPr>
        <w:pStyle w:val="NormalWeb"/>
        <w:spacing w:before="0" w:beforeAutospacing="0" w:after="0" w:afterAutospacing="0" w:line="480" w:lineRule="auto"/>
        <w:contextualSpacing/>
        <w:textAlignment w:val="baseline"/>
        <w:rPr>
          <w:rFonts w:ascii="Calibri" w:hAnsi="Calibri" w:cs="Calibri"/>
          <w:b/>
          <w:bCs/>
        </w:rPr>
      </w:pPr>
    </w:p>
    <w:p w14:paraId="1126957D"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r w:rsidRPr="00F576BF">
        <w:rPr>
          <w:rFonts w:ascii="Calibri" w:hAnsi="Calibri" w:cs="Calibri"/>
          <w:b/>
          <w:bCs/>
        </w:rPr>
        <w:t xml:space="preserve">Authors’ contributions </w:t>
      </w:r>
    </w:p>
    <w:p w14:paraId="55E90488" w14:textId="77777777" w:rsidR="00BA4B51" w:rsidRDefault="00BA4B51" w:rsidP="00BA4B51">
      <w:pPr>
        <w:pStyle w:val="NormalWeb"/>
        <w:spacing w:before="0" w:beforeAutospacing="0" w:after="0" w:afterAutospacing="0" w:line="480" w:lineRule="auto"/>
        <w:contextualSpacing/>
        <w:textAlignment w:val="baseline"/>
        <w:rPr>
          <w:rFonts w:ascii="Calibri" w:hAnsi="Calibri" w:cs="Calibri"/>
        </w:rPr>
      </w:pPr>
      <w:r w:rsidRPr="00706882">
        <w:rPr>
          <w:rFonts w:ascii="Calibri" w:hAnsi="Calibri" w:cs="Calibri"/>
        </w:rPr>
        <w:t xml:space="preserve">SC, AY, JA, EB, TB, LC, </w:t>
      </w:r>
      <w:proofErr w:type="spellStart"/>
      <w:r w:rsidRPr="00706882">
        <w:rPr>
          <w:rFonts w:ascii="Calibri" w:hAnsi="Calibri" w:cs="Calibri"/>
        </w:rPr>
        <w:t>FdV</w:t>
      </w:r>
      <w:proofErr w:type="spellEnd"/>
      <w:r w:rsidRPr="00706882">
        <w:rPr>
          <w:rFonts w:ascii="Calibri" w:hAnsi="Calibri" w:cs="Calibri"/>
        </w:rPr>
        <w:t xml:space="preserve">, ME, VE, AAL, KL, OM, MP, CT and MW developed the research questions. SC, JA, EB, TB, LC, </w:t>
      </w:r>
      <w:proofErr w:type="spellStart"/>
      <w:r w:rsidRPr="00706882">
        <w:rPr>
          <w:rFonts w:ascii="Calibri" w:hAnsi="Calibri" w:cs="Calibri"/>
        </w:rPr>
        <w:t>FdV</w:t>
      </w:r>
      <w:proofErr w:type="spellEnd"/>
      <w:r w:rsidRPr="00706882">
        <w:rPr>
          <w:rFonts w:ascii="Calibri" w:hAnsi="Calibri" w:cs="Calibri"/>
        </w:rPr>
        <w:t>, ME, VE, AAL, KL, OM, MP, CT and MW contributed to the design the survey. AY and SC designed the analysis of the survey data. AY led on the analysis with support from SC. AY led on the writing of the manuscript with support from SC. All authors critically reviewed and edited the manuscript. All authors read and approved the final manuscript.</w:t>
      </w:r>
    </w:p>
    <w:p w14:paraId="3E3CA902"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rPr>
      </w:pPr>
    </w:p>
    <w:p w14:paraId="382C86FF" w14:textId="77777777" w:rsidR="006F4282" w:rsidRDefault="006F4282" w:rsidP="006F4282">
      <w:pPr>
        <w:pStyle w:val="NormalWeb"/>
        <w:spacing w:before="0" w:beforeAutospacing="0" w:after="0" w:afterAutospacing="0" w:line="480" w:lineRule="auto"/>
        <w:contextualSpacing/>
        <w:textAlignment w:val="baseline"/>
        <w:rPr>
          <w:rFonts w:ascii="Calibri" w:hAnsi="Calibri" w:cs="Calibri"/>
          <w:b/>
          <w:bCs/>
        </w:rPr>
      </w:pPr>
      <w:r w:rsidRPr="005633ED">
        <w:rPr>
          <w:rFonts w:ascii="Calibri" w:hAnsi="Calibri" w:cs="Calibri"/>
          <w:b/>
          <w:bCs/>
        </w:rPr>
        <w:t>Acknowledgements</w:t>
      </w:r>
    </w:p>
    <w:p w14:paraId="106AA8AD" w14:textId="2C173EF8" w:rsidR="002A0FEE" w:rsidRPr="006F4282" w:rsidRDefault="006F4282" w:rsidP="006F4282">
      <w:pPr>
        <w:pStyle w:val="NormalWeb"/>
        <w:spacing w:before="0" w:beforeAutospacing="0" w:after="0" w:afterAutospacing="0" w:line="480" w:lineRule="auto"/>
        <w:contextualSpacing/>
        <w:textAlignment w:val="baseline"/>
        <w:rPr>
          <w:rFonts w:ascii="Calibri" w:hAnsi="Calibri" w:cs="Calibri"/>
        </w:rPr>
        <w:sectPr w:rsidR="002A0FEE" w:rsidRPr="006F4282" w:rsidSect="002A0FEE">
          <w:type w:val="continuous"/>
          <w:pgSz w:w="11900" w:h="16840"/>
          <w:pgMar w:top="1440" w:right="1440" w:bottom="1440" w:left="1440" w:header="709" w:footer="709" w:gutter="0"/>
          <w:lnNumType w:countBy="1" w:restart="newSection"/>
          <w:cols w:space="708"/>
          <w:docGrid w:linePitch="360"/>
        </w:sectPr>
      </w:pPr>
      <w:r w:rsidRPr="005633ED">
        <w:rPr>
          <w:rFonts w:ascii="Calibri" w:hAnsi="Calibri" w:cs="Calibri"/>
        </w:rPr>
        <w:t>Not applicable.</w:t>
      </w:r>
      <w:r w:rsidR="00031828" w:rsidRPr="0098774C">
        <w:br w:type="page"/>
      </w:r>
    </w:p>
    <w:p w14:paraId="2F59315C" w14:textId="5AC35432" w:rsidR="00107806" w:rsidRPr="008706A8" w:rsidRDefault="00031828" w:rsidP="00F576BF">
      <w:pPr>
        <w:spacing w:line="480" w:lineRule="auto"/>
        <w:rPr>
          <w:b/>
          <w:bCs/>
        </w:rPr>
      </w:pPr>
      <w:r w:rsidRPr="008706A8">
        <w:rPr>
          <w:b/>
          <w:bCs/>
        </w:rPr>
        <w:lastRenderedPageBreak/>
        <w:t xml:space="preserve">REFERENCES </w:t>
      </w:r>
    </w:p>
    <w:p w14:paraId="74454D3F" w14:textId="4D857365" w:rsidR="002542A3" w:rsidRPr="002542A3" w:rsidRDefault="008706A8" w:rsidP="002542A3">
      <w:pPr>
        <w:widowControl w:val="0"/>
        <w:autoSpaceDE w:val="0"/>
        <w:autoSpaceDN w:val="0"/>
        <w:adjustRightInd w:val="0"/>
        <w:spacing w:line="360" w:lineRule="auto"/>
        <w:rPr>
          <w:rFonts w:ascii="Calibri" w:hAnsi="Calibri" w:cs="Times New Roman"/>
          <w:noProof/>
        </w:rPr>
      </w:pPr>
      <w:r>
        <w:fldChar w:fldCharType="begin" w:fldLock="1"/>
      </w:r>
      <w:r>
        <w:instrText xml:space="preserve">ADDIN Mendeley Bibliography CSL_BIBLIOGRAPHY </w:instrText>
      </w:r>
      <w:r>
        <w:fldChar w:fldCharType="separate"/>
      </w:r>
      <w:r w:rsidR="002542A3" w:rsidRPr="002542A3">
        <w:rPr>
          <w:rFonts w:ascii="Calibri" w:hAnsi="Calibri" w:cs="Times New Roman"/>
          <w:noProof/>
        </w:rPr>
        <w:t>1. World Health Organization. Marketing of foods high in fat, salt and sugar to children: update 2012–2013 [Internet]. 2013. Available from: http://www.euro.who.int/pubrequest</w:t>
      </w:r>
    </w:p>
    <w:p w14:paraId="21B16419"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2. HM Government. Introducing further advertising restrictions on TV and online for products high in fat, sugar and salt (HFSS) [Internet]. London; 2019. Available from: https://assets.publishing.service.gov.uk/government/uploads/system/uploads/attachment_data/file/807378/hfss-advertising-consultation-10-april-2019.pdf</w:t>
      </w:r>
    </w:p>
    <w:p w14:paraId="2D59D07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3. The Food Foundation. The Broken Plate. London; 2019. </w:t>
      </w:r>
    </w:p>
    <w:p w14:paraId="699E9C8C"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 The Food Foundation. Veg Facts A briefing by the Food Foundation [Internet]. London; 2016. Available from: https://foodfoundation.org.uk/wp-content/uploads/2016/11/FF-Veg-Doc-V5.pdf</w:t>
      </w:r>
    </w:p>
    <w:p w14:paraId="04E89FB9"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 Boyland EJ, Nolan S, Kelly B, Tudur-Smith C, Jones A, Halford JCG, et al. Advertising as a cue to consume: A systematic review and meta-analysis of the effects of acute exposure to unhealthy food and nonalcoholic beverage advertising on intake in children and adults. Am J Clin Nutr. American Society for Nutrition; 2016;103:519–33. </w:t>
      </w:r>
    </w:p>
    <w:p w14:paraId="6B442F28"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6. Sadeghirad B, Duhaney T, Motaghipisheh S, Campbell NRC, Johnston BC. Influence of unhealthy food and beverage marketing on children’s dietary intake and preference: a systematic review and meta-analysis of randomized trials. Obes Rev. 2016;17:945–59. </w:t>
      </w:r>
    </w:p>
    <w:p w14:paraId="31D1FF27"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7. Aschemann-Witzel J, Perez-Cueto FJ, Niedzwiedzka B, Verbeke W, Bech-Larsen T. Lessons for public health campaigns from analysing commercial food marketing success factors: A case study. BMC Public Health. 2012;12:139. </w:t>
      </w:r>
    </w:p>
    <w:p w14:paraId="60364B1D"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8. World Health Organisation. Reducing the impact of marketing of foods and non-alcoholic beverages on children [Internet]. 2019 [cited 2020 Jul 28]. Available from: https://www.who.int/elena/titles/food_marketing_children/en/</w:t>
      </w:r>
    </w:p>
    <w:p w14:paraId="1DEC9079"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9. Harris JL, Bargh JA, Brownell KD. Priming Effects of Television Food Advertising on Eating Behavior. Heal Psychol. 2009;28:404–13. </w:t>
      </w:r>
    </w:p>
    <w:p w14:paraId="176F2BE1"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10. Koordeman R, Anschutz DJ, van Baaren RB, Engels RCME. Exposure to soda commercials affects sugar-sweetened soda consumption in young women. An observational experimental study. Appetite [Internet]. Elsevier Ltd; 2010;54:619–22. Available from: http://dx.doi.org/10.1016/j.appet.2010.03.008</w:t>
      </w:r>
    </w:p>
    <w:p w14:paraId="1EF319E0"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11. Zimmerman FJ, Shimoga S V. The effects of food advertising and cognitive load on food </w:t>
      </w:r>
      <w:r w:rsidRPr="002542A3">
        <w:rPr>
          <w:rFonts w:ascii="Calibri" w:hAnsi="Calibri" w:cs="Times New Roman"/>
          <w:noProof/>
        </w:rPr>
        <w:lastRenderedPageBreak/>
        <w:t xml:space="preserve">choices. BMC Public Health. 2014;14:342. </w:t>
      </w:r>
    </w:p>
    <w:p w14:paraId="6F34769F"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12. Forde H, White M, Levy L, Greaves F, Hammond D, Vanderlee L, et al. The relationship between self-reported exposure to sugar-sweetened beverage promotions and intake: Cross-sectional analysis of the 2017 international food policy study. Nutrients. 2019;11:3047. </w:t>
      </w:r>
    </w:p>
    <w:p w14:paraId="4AB7A035"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13. Critchlow N, Bauld L, Thomas C, Hooper L, Vohra J. Awareness of marketing for high fat, salt, or sugar (HFSS) foods, and the association with higher weekly consumption among adolescents: A rejoinder to the UK Government’s consultations on marketing regulation. Public Health Nutr. 2020;23:2637–46. </w:t>
      </w:r>
    </w:p>
    <w:p w14:paraId="0189E135"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14. Cairns G. A critical review of evidence on the sociocultural impacts of food marketing and policy implications. Appetite [Internet]. Elsevier; 2019;136:193–207. Available from: https://doi.org/10.1016/j.appet.2019.02.002</w:t>
      </w:r>
    </w:p>
    <w:p w14:paraId="21915A77"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15. OECD. Obesity Update 2017 [Internet]. Paris; 2017. Available from: www.oecd.org/health/obesity-update.htm</w:t>
      </w:r>
    </w:p>
    <w:p w14:paraId="60484126"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16. Baker C. House of Commons Library | Obesity Statistics. Obes. Stat. (Briefing Pap. Number 3336). London: House of Commons; 2019. </w:t>
      </w:r>
    </w:p>
    <w:p w14:paraId="4EF843CE"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17. Backholer K, Gupta A, Zorbas C, Bennett R, Huse O, Chung A, et al. Differential exposure to, and potential impact of, unhealthy advertising to children by socio-economic and ethnic groups: A systematic review of the evidence. Obes Rev. 2021;22:e13144. </w:t>
      </w:r>
    </w:p>
    <w:p w14:paraId="254E14B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18. Adams J, Tyrrell R, Adamson AJ, White M. Socio-economic differences in exposure to television food advertisements in the UK: a cross-sectional study of advertisements broadcast in one television region. Public Health Nutr [Internet]. 2011 [cited 2019 Aug 22];15:487–94. Available from: http://www.nrs.co.uk/lifestyle.htm</w:t>
      </w:r>
    </w:p>
    <w:p w14:paraId="3F7CC8DB"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19. Adams J, Ganiti E, White M. Socio-economic differences in outdoor food advertising in a city in Northern England. Public Health Nutr [Internet]. Cambridge University Press; 2011 [cited 2019 Aug 23];14:945–50. Available from: https://www.cambridge.org/core/product/identifier/S1368980010003332/type/journal_article</w:t>
      </w:r>
    </w:p>
    <w:p w14:paraId="31324B6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20. Steel N, Hardcastle AC, Bachmann MO, Richards SH, Mounce LTA, Clark A, et al. Economic inequalities in burden of illness, diagnosis and treatment of five long-term conditions in England: Panel study. BMJ Open. 2014;4:e005530. </w:t>
      </w:r>
    </w:p>
    <w:p w14:paraId="7182AF90"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21. NHS Digital. Health Survey for England 2018: Data tables. 2019. </w:t>
      </w:r>
    </w:p>
    <w:p w14:paraId="3D9613A9"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lastRenderedPageBreak/>
        <w:t>22. Lewer D, Jayatunga W, Aldridge RW, Edge C, Marmot M, Story A, et al. Premature mortality attributable to socioeconomic inequality in England between 2003 and 2018: an observational study. Lancet Public Heal [Internet]. 2019 [cited 2019 Dec 8];5:PE33-E41. Available from: https://linkinghub.elsevier.com/retrieve/pii/S2468266719302191</w:t>
      </w:r>
    </w:p>
    <w:p w14:paraId="417D070C"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23. Chambers SA, Freeman R, Anderson AS, MacGillivray S. Reducing the volume, exposure and negative impacts of advertising for foods high in fat, sugar and salt to children: A systematic review of the evidence from statutory and self-regulatory actions and educational measures. Prev Med (Baltim) [Internet]. Elsevier Inc.; 2015;75:32–43. Available from: http://dx.doi.org/10.1016/j.ypmed.2015.02.011</w:t>
      </w:r>
    </w:p>
    <w:p w14:paraId="74842A3A"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24. Kovic Y, Noel JK, Ungemack JA, Burleson JA. The impact of junk food marketing regulations on food sales: an ecological study. Obes Rev. 2018;19:761–9. </w:t>
      </w:r>
    </w:p>
    <w:p w14:paraId="0D54EF3B"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25. World Health Organization. Evaluating implementation of the WHO set of recommendations on the marketing of foods and non-alcoholic beverages to children: Progress, challenges and guidance for next steps in the WHO European Region [Internet]. Copenhagen; 2018. Available from: http://www.euro.who.int/__data/assets/pdf_file/0003/384015/food-marketing-kids-eng.pdf</w:t>
      </w:r>
    </w:p>
    <w:p w14:paraId="0E6A5D2A"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26. Pollack CC, Kim J, Emond JA, Brand J, Gilbert-Diamond D, Masterson TD. Prevalence and strategies of energy drink, soda, processed snack, candy and restaurant product marketing on the online streaming platform Twitch. Public Health Nutr. 2020;23:2793–803. </w:t>
      </w:r>
    </w:p>
    <w:p w14:paraId="2184C69D"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27. Jaworowska A, Blackham T, Stevenson L, Davies IG. Determination of salt content in hot takeaway meals in the United Kingdom. Appetite. 2012;59:517–22. </w:t>
      </w:r>
    </w:p>
    <w:p w14:paraId="7DC42AE8"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28. Jaworowska A, Blackham T, Long R, Taylor C, Ashton M, Stevenson L, et al. Nutritional composition of takeaway food in the UK. Nutr Food Sci. 2014;44:414–30. </w:t>
      </w:r>
    </w:p>
    <w:p w14:paraId="69AEF71F"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29. Robinson E, Jones A, Whitelock V, Mead BR, Haynes A. (Over)eating out at major UK restaurant chains: Observational study of energy content of main meals. BMJ. 2018;363:k4982. </w:t>
      </w:r>
    </w:p>
    <w:p w14:paraId="784B4F61"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30. Montgomery KC, Chester J. Interactive Food and Beverage Marketing: Targeting Adolescents in the Digital Age. J Adolesc Heal [Internet]. Elsevier Ltd; 2009;45:S18–29. Available from: http://dx.doi.org/10.1016/j.jadohealth.2009.04.006</w:t>
      </w:r>
    </w:p>
    <w:p w14:paraId="7C31246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31. OutSmart. Who sees OOH? [Internet]. 2021 [cited 2021 Feb 26]. Available from: https://www.outsmart.org.uk/who-sees-ooh</w:t>
      </w:r>
    </w:p>
    <w:p w14:paraId="044DD664"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lastRenderedPageBreak/>
        <w:t xml:space="preserve">32. Transport for London. Advertising Annual Report 2017/18. London; 2018. </w:t>
      </w:r>
    </w:p>
    <w:p w14:paraId="3926678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33. Tatum M. The Advertising Report. 2017. </w:t>
      </w:r>
    </w:p>
    <w:p w14:paraId="115DD460"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34. Advertising Association. Advertising pays 7: UK advertising’s digital revolution [Internet]. London; 2019. Available from: https://www.adassoc.org.uk/wp-content/uploads/2019/06/Ad-Pays-7-UK-Advertisings-Digital-Revolution-compressed.pdf</w:t>
      </w:r>
    </w:p>
    <w:p w14:paraId="57A91ACD"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35. Forbes Insights. Reaching the right audience. How brands are using audience targeting in digital advertising. [Internet]. Jersey City; 2015. Available from: https://info.quantcast.com/rs/quantcast/images/Quantcast_F-Insights_Report-36_Final-Web.pdf</w:t>
      </w:r>
    </w:p>
    <w:p w14:paraId="0D75FF98"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36. Freeman B, Kelly B, Vandevijvere S, Baur L. Young adults: Beloved by food and drink marketers and forgotten by public health? Health Promot Int. 2016;31:954–61. </w:t>
      </w:r>
    </w:p>
    <w:p w14:paraId="02DB2AE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37. Buston O. Lifting the lid on the secretive online strategies global food giants are using to manipulate British children. 2020. </w:t>
      </w:r>
    </w:p>
    <w:p w14:paraId="2D08F09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38. Yau A, Adams J, Monsivais P. Time trends in adherence to UK dietary recommendations and associated sociodemographic inequalities, 1986-2012: a repeated cross-sectional analysis. Eur J Clin Nutr [Internet]. 2019 [cited 2019 May 21];73:997–1005. Available from: http://www.nature.com/articles/s41430-018-0347-z</w:t>
      </w:r>
    </w:p>
    <w:p w14:paraId="4B021464"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39. Mills SDH, Tanner LM, Adams J. Systematic literature review of the effects of food and drink advertising on food and drink-related behaviour, attitudes and beliefs in adult populations. Obes Rev. 2013;14:303–14. </w:t>
      </w:r>
    </w:p>
    <w:p w14:paraId="29D51AC5"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40. Cummins S. Restricting advertising of high fat, salt and sugar foods and drinks on the Transport for London network: evaluation of a natural experiment [Internet]. 2019. Available from: http://www.isrctn.com/ISRCTN19928803</w:t>
      </w:r>
    </w:p>
    <w:p w14:paraId="6F70B441"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41. Berger N, Cummins S, Smith RD, Cornelsen L. Recent trends in energy and nutrient content of take-home food and beverage purchases in Great Britain: an analysis of 225 million food and beverage purchases over 6 years. BMJ Nutr Prev Heal. 2019;2:63–71. </w:t>
      </w:r>
    </w:p>
    <w:p w14:paraId="51C026C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42. Cornelsen L, Berger N, Cummins S, Smith RD. Socio-economic patterning of expenditures on ‘out-of-home’ food and non-alcoholic beverages by product and place of purchase in Britain. Soc Sci Med [Internet]. Elsevier; 2019;235:112361. Available from: https://doi.org/10.1016/j.socscimed.2019.112361</w:t>
      </w:r>
    </w:p>
    <w:p w14:paraId="539BD82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43. National Readership Survey. Social Grade [Internet]. 2018 [cited 2020 Sep 22]. Available from: http://www.nrs.co.uk/nrs-print/lifestyle-and-classification-data/social-grade/</w:t>
      </w:r>
    </w:p>
    <w:p w14:paraId="1CBF93A1"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lastRenderedPageBreak/>
        <w:t xml:space="preserve">44. Cairns G, Angus K, Hastings G, Caraher M. Systematic reviews of the evidence on the nature, extent and effects of food marketing to children. A retrospective summary. Appetite. 2013. </w:t>
      </w:r>
    </w:p>
    <w:p w14:paraId="7C8F43F4"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45. Hammond D. International Food Policy Study [Internet]. 2019. Available from: http://foodpolicystudy.com/about/</w:t>
      </w:r>
    </w:p>
    <w:p w14:paraId="1F2ED7E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46. Adams J, Simpson E, White M. Variations in food and drink advertising in UK monthly women’s magazines according to season, magazine type and socio-economic profile of readers: A descriptive study of publications over 12 months. BMC Public Health. 2011;11:368. </w:t>
      </w:r>
    </w:p>
    <w:p w14:paraId="631CD6D6"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47. Ng CD. Biases in self-reported height and weight measurements and their effects on modeling health outcomes. SSM - Popul Heal [Internet]. Elsevier; 2019;7:100405. Available from: https://doi.org/10.1016/j.ssmph.2019.100405</w:t>
      </w:r>
    </w:p>
    <w:p w14:paraId="646AB27F"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48. NatCen Social Research. MRC Elsie Widdowson Laboratory. National Diet and Nutrition Survey Years 1-9, 2008/09-2016/17. [data collection]. 15th Edition. [data collection]. 15th Edition; 2019. </w:t>
      </w:r>
    </w:p>
    <w:p w14:paraId="6C4E9B69"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49. Office for National Statistics. Families and households in the UK: 2019. Southampton: ONS; 2019. </w:t>
      </w:r>
    </w:p>
    <w:p w14:paraId="1EACECDA"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50. Huang CY, Reisch LA, Gwozdz W, Molnár D, Konstabel K, Michels N, et al. Pester power and its consequences: Do European children’s food purchasing requests relate to diet and weight outcomes? Public Health Nutr. 2016;19:2393–403. </w:t>
      </w:r>
    </w:p>
    <w:p w14:paraId="6B073BA3"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51. Whalen R, Harrold J, Child S, Halford J, Boyland E. The health halo trend in UK television food advertising viewed by children: The rise of implicit and explicit health messaging in the promotion of unhealthy foods. Int J Environ Res Public Health. 2018;15:560. </w:t>
      </w:r>
    </w:p>
    <w:p w14:paraId="0F87D14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52. Kumanyika S, Grier S. Targeting interventions for ethnic minority and low-income populations. Futur Child. 2006;16:187–207. </w:t>
      </w:r>
    </w:p>
    <w:p w14:paraId="687379F6"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53. Lucan SC, Maroko AR, Sanon OC, Schechter CB. Unhealthful Food-and-Beverage Advertising in Subway Stations: Targeted Marketing, Vulnerable Groups, Dietary Intake, and Poor Health. J Urban Heal. Journal of Urban Health; 2017;94:220–32. </w:t>
      </w:r>
    </w:p>
    <w:p w14:paraId="311AB9EB"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54. Kelly B, Cretikos M, Rogers K, King L. The commercial food landscape: Outdoor food advertising around primary schools in Australia. Aust N Z J Public Health. 2008;32:522–8. </w:t>
      </w:r>
    </w:p>
    <w:p w14:paraId="695B474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55. Campaign for Better Transport. Why getting transport right matters to young people [Internet]. London; 2013. Available from: </w:t>
      </w:r>
      <w:r w:rsidRPr="002542A3">
        <w:rPr>
          <w:rFonts w:ascii="Calibri" w:hAnsi="Calibri" w:cs="Times New Roman"/>
          <w:noProof/>
        </w:rPr>
        <w:lastRenderedPageBreak/>
        <w:t>http://www.bettertransport.org.uk/files/Young_People_and_Buses_FINAL_forweb_0.pdf</w:t>
      </w:r>
    </w:p>
    <w:p w14:paraId="6DC9957A"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56. Transport for London. TfL Bus User Survey 2014. London; 2014. </w:t>
      </w:r>
    </w:p>
    <w:p w14:paraId="697855BD"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57. Stamatakis E, Coombs N, Rowlands A, Shelton N, Hillsdon M. Objectively-assessed and self-reported sedentary time in relation to multiple socioeconomic status indicators among adults in England: A cross-sectional study. BMJ Open. 2014;4:e006034. </w:t>
      </w:r>
    </w:p>
    <w:p w14:paraId="487E2D91"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58. Ofcom. Adults’ media use and attitudes report [Internet]. London; 2019. Available from: http://stakeholders.ofcom.org.uk/market-data-research/media-literacy/media-lit-research/adults-2013/</w:t>
      </w:r>
    </w:p>
    <w:p w14:paraId="2BA701D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59. Forehand MR, Deshpandé R, Reed A. Identity salience and the influence of differential activation of the social self-schema on advertising response. J Appl Psychol. 2002;87:1086–99. </w:t>
      </w:r>
    </w:p>
    <w:p w14:paraId="40FDAF94"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60. Just Eat Group. 2018 Capital Markets Day. London; 2018. </w:t>
      </w:r>
    </w:p>
    <w:p w14:paraId="5F4595E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61. Cancer Research UK. 86% of Teens Exposed to Junk Food Ads on Social Media [Internet]. 2020 [cited 2021 Feb 26]. Available from: https://www.cancerresearchuk.org/about-us/cancer-news/press-release/2020-12-18-86-of-teens-exposed-to-junk-food-ads-on-social-media</w:t>
      </w:r>
    </w:p>
    <w:p w14:paraId="0B93E622"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62. Folkvord F, Anschütz DJ, Boyland E, Kelly B, Buijzen M. Food advertising and eating behavior in children. Curr Opin Behav Sci. 2016;9:26–31. </w:t>
      </w:r>
    </w:p>
    <w:p w14:paraId="43F05076" w14:textId="77777777" w:rsidR="002542A3" w:rsidRPr="002542A3" w:rsidRDefault="002542A3" w:rsidP="002542A3">
      <w:pPr>
        <w:widowControl w:val="0"/>
        <w:autoSpaceDE w:val="0"/>
        <w:autoSpaceDN w:val="0"/>
        <w:adjustRightInd w:val="0"/>
        <w:spacing w:line="360" w:lineRule="auto"/>
        <w:rPr>
          <w:rFonts w:ascii="Calibri" w:hAnsi="Calibri" w:cs="Times New Roman"/>
          <w:noProof/>
        </w:rPr>
      </w:pPr>
      <w:r w:rsidRPr="002542A3">
        <w:rPr>
          <w:rFonts w:ascii="Calibri" w:hAnsi="Calibri" w:cs="Times New Roman"/>
          <w:noProof/>
        </w:rPr>
        <w:t xml:space="preserve">63. Signal LN, Stanley J, Smith M, Barr MB, Chambers TJ, Zhou J, et al. Children’s everyday exposure to food marketing: An objective analysis using wearable cameras. Int J Behav Nutr Phys Act. International Journal of Behavioral Nutrition and Physical Activity; 2017;14:137. </w:t>
      </w:r>
    </w:p>
    <w:p w14:paraId="754B9BDA" w14:textId="77777777" w:rsidR="002542A3" w:rsidRPr="002542A3" w:rsidRDefault="002542A3" w:rsidP="002542A3">
      <w:pPr>
        <w:widowControl w:val="0"/>
        <w:autoSpaceDE w:val="0"/>
        <w:autoSpaceDN w:val="0"/>
        <w:adjustRightInd w:val="0"/>
        <w:spacing w:line="360" w:lineRule="auto"/>
        <w:rPr>
          <w:rFonts w:ascii="Calibri" w:hAnsi="Calibri"/>
          <w:noProof/>
        </w:rPr>
      </w:pPr>
      <w:r w:rsidRPr="002542A3">
        <w:rPr>
          <w:rFonts w:ascii="Calibri" w:hAnsi="Calibri" w:cs="Times New Roman"/>
          <w:noProof/>
        </w:rPr>
        <w:t>64. Department of Health and Social Care: Global Public Health Directorate: Obesity Food and Nutrition / 10800. Childhood obesity: a plan for action Chapter 2 [Internet]. London: HM Government; 2018 [cited 2018 Aug 2]. Available from: www.nationalarchives.gov.uk/doc/open-government-licence/</w:t>
      </w:r>
    </w:p>
    <w:p w14:paraId="3EC5AA01" w14:textId="70A6E3FE" w:rsidR="001164DF" w:rsidRDefault="008706A8" w:rsidP="002542A3">
      <w:pPr>
        <w:widowControl w:val="0"/>
        <w:autoSpaceDE w:val="0"/>
        <w:autoSpaceDN w:val="0"/>
        <w:adjustRightInd w:val="0"/>
        <w:spacing w:line="360" w:lineRule="auto"/>
      </w:pPr>
      <w:r>
        <w:fldChar w:fldCharType="end"/>
      </w:r>
    </w:p>
    <w:p w14:paraId="6EEFC26F" w14:textId="77777777" w:rsidR="00E604A2" w:rsidRDefault="00E604A2">
      <w:r>
        <w:br w:type="page"/>
      </w:r>
    </w:p>
    <w:p w14:paraId="27F4ED88" w14:textId="77777777" w:rsidR="00EB7890" w:rsidRDefault="00EB7890" w:rsidP="00E604A2">
      <w:pPr>
        <w:rPr>
          <w:rFonts w:ascii="Calibri" w:hAnsi="Calibri" w:cs="Calibri"/>
          <w:b/>
          <w:bCs/>
        </w:rPr>
        <w:sectPr w:rsidR="00EB7890" w:rsidSect="002A0FEE">
          <w:type w:val="continuous"/>
          <w:pgSz w:w="11900" w:h="16840"/>
          <w:pgMar w:top="1440" w:right="1440" w:bottom="1440" w:left="1440" w:header="709" w:footer="709" w:gutter="0"/>
          <w:cols w:space="708"/>
          <w:docGrid w:linePitch="360"/>
        </w:sectPr>
      </w:pPr>
    </w:p>
    <w:p w14:paraId="31984907" w14:textId="32C3F7DD" w:rsidR="004F4400" w:rsidRDefault="000D167A">
      <w:pPr>
        <w:rPr>
          <w:rFonts w:ascii="Calibri" w:hAnsi="Calibri" w:cs="Calibri"/>
        </w:rPr>
      </w:pPr>
      <w:r>
        <w:rPr>
          <w:rFonts w:ascii="Calibri" w:hAnsi="Calibri" w:cs="Calibri"/>
          <w:b/>
          <w:bCs/>
        </w:rPr>
        <w:lastRenderedPageBreak/>
        <w:t xml:space="preserve">Figure 1. </w:t>
      </w:r>
      <w:r w:rsidR="004F4400">
        <w:rPr>
          <w:rFonts w:ascii="Calibri" w:hAnsi="Calibri" w:cs="Calibri"/>
        </w:rPr>
        <w:t>Potential explanations for sociodemographic</w:t>
      </w:r>
      <w:r w:rsidR="00DA4175">
        <w:rPr>
          <w:rFonts w:ascii="Calibri" w:hAnsi="Calibri" w:cs="Calibri"/>
        </w:rPr>
        <w:t xml:space="preserve"> differences in </w:t>
      </w:r>
      <w:r w:rsidR="004F4400">
        <w:rPr>
          <w:rFonts w:ascii="Calibri" w:hAnsi="Calibri" w:cs="Calibri"/>
        </w:rPr>
        <w:t xml:space="preserve">exposure to advertising for less healthy </w:t>
      </w:r>
      <w:r w:rsidR="00C31372">
        <w:rPr>
          <w:rFonts w:ascii="Calibri" w:hAnsi="Calibri" w:cs="Calibri"/>
        </w:rPr>
        <w:t xml:space="preserve">foods and drinks </w:t>
      </w:r>
    </w:p>
    <w:p w14:paraId="2308BA52" w14:textId="20E097E2" w:rsidR="00A63FE1" w:rsidRDefault="00A63FE1">
      <w:pPr>
        <w:rPr>
          <w:rFonts w:ascii="Calibri" w:hAnsi="Calibri" w:cs="Calibri"/>
        </w:rPr>
      </w:pPr>
    </w:p>
    <w:p w14:paraId="632F8680" w14:textId="2AD12F3F" w:rsidR="00A63FE1" w:rsidRDefault="00A63FE1">
      <w:pPr>
        <w:rPr>
          <w:rFonts w:ascii="Calibri" w:hAnsi="Calibri" w:cs="Calibri"/>
        </w:rPr>
      </w:pPr>
      <w:r>
        <w:rPr>
          <w:rFonts w:ascii="Calibri" w:hAnsi="Calibri" w:cs="Calibri"/>
          <w:noProof/>
        </w:rPr>
        <w:drawing>
          <wp:inline distT="0" distB="0" distL="0" distR="0" wp14:anchorId="360E60A6" wp14:editId="6B7D838C">
            <wp:extent cx="5727700" cy="45129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4512945"/>
                    </a:xfrm>
                    <a:prstGeom prst="rect">
                      <a:avLst/>
                    </a:prstGeom>
                  </pic:spPr>
                </pic:pic>
              </a:graphicData>
            </a:graphic>
          </wp:inline>
        </w:drawing>
      </w:r>
    </w:p>
    <w:p w14:paraId="523E7D3E" w14:textId="77777777" w:rsidR="004F4400" w:rsidRDefault="004F4400">
      <w:pPr>
        <w:rPr>
          <w:rFonts w:ascii="Calibri" w:hAnsi="Calibri" w:cs="Calibri"/>
        </w:rPr>
      </w:pPr>
    </w:p>
    <w:p w14:paraId="53FE8F29" w14:textId="26D85063" w:rsidR="000D167A" w:rsidRDefault="000D167A">
      <w:pPr>
        <w:rPr>
          <w:rFonts w:ascii="Calibri" w:hAnsi="Calibri" w:cs="Calibri"/>
          <w:b/>
          <w:bCs/>
        </w:rPr>
      </w:pPr>
      <w:r>
        <w:rPr>
          <w:rFonts w:ascii="Calibri" w:hAnsi="Calibri" w:cs="Calibri"/>
          <w:b/>
          <w:bCs/>
        </w:rPr>
        <w:br w:type="page"/>
      </w:r>
    </w:p>
    <w:p w14:paraId="69675D75" w14:textId="339AC82F" w:rsidR="00E604A2" w:rsidRPr="00E64098" w:rsidRDefault="00E604A2" w:rsidP="00E604A2">
      <w:pPr>
        <w:rPr>
          <w:rFonts w:ascii="Calibri" w:hAnsi="Calibri" w:cs="Calibri"/>
        </w:rPr>
      </w:pPr>
      <w:r w:rsidRPr="00E64098">
        <w:rPr>
          <w:rFonts w:ascii="Calibri" w:hAnsi="Calibri" w:cs="Calibri"/>
          <w:b/>
          <w:bCs/>
        </w:rPr>
        <w:lastRenderedPageBreak/>
        <w:t xml:space="preserve">Table </w:t>
      </w:r>
      <w:r w:rsidR="001164DF">
        <w:rPr>
          <w:rFonts w:ascii="Calibri" w:hAnsi="Calibri" w:cs="Calibri"/>
          <w:b/>
          <w:bCs/>
        </w:rPr>
        <w:t>1</w:t>
      </w:r>
      <w:r w:rsidRPr="00E64098">
        <w:rPr>
          <w:rFonts w:ascii="Calibri" w:hAnsi="Calibri" w:cs="Calibri"/>
          <w:b/>
          <w:bCs/>
        </w:rPr>
        <w:t>.</w:t>
      </w:r>
      <w:r w:rsidRPr="00E64098">
        <w:rPr>
          <w:rFonts w:ascii="Calibri" w:hAnsi="Calibri" w:cs="Calibri"/>
        </w:rPr>
        <w:t xml:space="preserve"> Sociodemographic characteristics of study population (</w:t>
      </w:r>
      <w:r w:rsidRPr="00E64098">
        <w:rPr>
          <w:rFonts w:ascii="Calibri" w:hAnsi="Calibri" w:cs="Calibri"/>
          <w:i/>
          <w:iCs/>
        </w:rPr>
        <w:t>n</w:t>
      </w:r>
      <w:r w:rsidRPr="00E64098">
        <w:rPr>
          <w:rFonts w:ascii="Calibri" w:hAnsi="Calibri" w:cs="Calibri"/>
        </w:rPr>
        <w:t xml:space="preserve">=1552) </w:t>
      </w:r>
    </w:p>
    <w:p w14:paraId="3D7933A9" w14:textId="77777777" w:rsidR="00E604A2" w:rsidRPr="00E64098" w:rsidRDefault="00E604A2" w:rsidP="00E604A2">
      <w:pPr>
        <w:rPr>
          <w:rFonts w:ascii="Calibri" w:hAnsi="Calibri" w:cs="Calibri"/>
        </w:rPr>
      </w:pPr>
    </w:p>
    <w:tbl>
      <w:tblPr>
        <w:tblStyle w:val="TableGrid"/>
        <w:tblW w:w="0" w:type="auto"/>
        <w:tblLook w:val="04A0" w:firstRow="1" w:lastRow="0" w:firstColumn="1" w:lastColumn="0" w:noHBand="0" w:noVBand="1"/>
      </w:tblPr>
      <w:tblGrid>
        <w:gridCol w:w="1555"/>
        <w:gridCol w:w="1630"/>
        <w:gridCol w:w="1344"/>
        <w:gridCol w:w="1430"/>
        <w:gridCol w:w="1372"/>
        <w:gridCol w:w="1679"/>
      </w:tblGrid>
      <w:tr w:rsidR="00EB7890" w:rsidRPr="00AB7623" w14:paraId="476E7B93" w14:textId="1A736FAC" w:rsidTr="00F5012B">
        <w:tc>
          <w:tcPr>
            <w:tcW w:w="3185" w:type="dxa"/>
            <w:gridSpan w:val="2"/>
          </w:tcPr>
          <w:p w14:paraId="6E2776D4" w14:textId="4D863AFC" w:rsidR="00EB7890" w:rsidRPr="00AB7623" w:rsidRDefault="00EB7890" w:rsidP="00EC5709">
            <w:pPr>
              <w:spacing w:line="276" w:lineRule="auto"/>
              <w:rPr>
                <w:rFonts w:ascii="Calibri" w:hAnsi="Calibri" w:cs="Calibri"/>
                <w:b/>
                <w:bCs/>
                <w:sz w:val="20"/>
                <w:szCs w:val="20"/>
              </w:rPr>
            </w:pPr>
            <w:r w:rsidRPr="00AB7623">
              <w:rPr>
                <w:rFonts w:ascii="Calibri" w:hAnsi="Calibri" w:cs="Calibri"/>
                <w:b/>
                <w:bCs/>
                <w:sz w:val="20"/>
                <w:szCs w:val="20"/>
              </w:rPr>
              <w:t xml:space="preserve">Sociodemographic characteristic </w:t>
            </w:r>
          </w:p>
        </w:tc>
        <w:tc>
          <w:tcPr>
            <w:tcW w:w="1344" w:type="dxa"/>
          </w:tcPr>
          <w:p w14:paraId="7B069AD3" w14:textId="39A09379" w:rsidR="00EB7890" w:rsidRPr="00AB7623" w:rsidRDefault="00EB7890" w:rsidP="00EC5709">
            <w:pPr>
              <w:spacing w:line="276" w:lineRule="auto"/>
              <w:jc w:val="center"/>
              <w:rPr>
                <w:rFonts w:ascii="Calibri" w:hAnsi="Calibri" w:cs="Calibri"/>
                <w:b/>
                <w:bCs/>
                <w:sz w:val="20"/>
                <w:szCs w:val="20"/>
              </w:rPr>
            </w:pPr>
            <w:r w:rsidRPr="00AB7623">
              <w:rPr>
                <w:rFonts w:ascii="Calibri" w:hAnsi="Calibri" w:cs="Calibri"/>
                <w:b/>
                <w:bCs/>
                <w:sz w:val="20"/>
                <w:szCs w:val="20"/>
              </w:rPr>
              <w:t>Total, N (%)</w:t>
            </w:r>
          </w:p>
        </w:tc>
        <w:tc>
          <w:tcPr>
            <w:tcW w:w="1430" w:type="dxa"/>
          </w:tcPr>
          <w:p w14:paraId="751BD23D" w14:textId="6FA4FBA0" w:rsidR="00EB7890" w:rsidRPr="00AB7623" w:rsidRDefault="00EB7890" w:rsidP="00EC5709">
            <w:pPr>
              <w:spacing w:line="276" w:lineRule="auto"/>
              <w:jc w:val="center"/>
              <w:rPr>
                <w:rFonts w:ascii="Calibri" w:hAnsi="Calibri" w:cs="Calibri"/>
                <w:b/>
                <w:bCs/>
                <w:sz w:val="20"/>
                <w:szCs w:val="20"/>
              </w:rPr>
            </w:pPr>
            <w:r w:rsidRPr="00AB7623">
              <w:rPr>
                <w:rFonts w:ascii="Calibri" w:hAnsi="Calibri" w:cs="Calibri"/>
                <w:b/>
                <w:bCs/>
                <w:sz w:val="20"/>
                <w:szCs w:val="20"/>
              </w:rPr>
              <w:t>London, N (%)</w:t>
            </w:r>
          </w:p>
        </w:tc>
        <w:tc>
          <w:tcPr>
            <w:tcW w:w="1372" w:type="dxa"/>
          </w:tcPr>
          <w:p w14:paraId="10364981" w14:textId="035753CE" w:rsidR="00EB7890" w:rsidRPr="00AB7623" w:rsidRDefault="00EB7890" w:rsidP="00EC5709">
            <w:pPr>
              <w:spacing w:line="276" w:lineRule="auto"/>
              <w:jc w:val="center"/>
              <w:rPr>
                <w:rFonts w:ascii="Calibri" w:hAnsi="Calibri" w:cs="Calibri"/>
                <w:b/>
                <w:bCs/>
                <w:sz w:val="20"/>
                <w:szCs w:val="20"/>
              </w:rPr>
            </w:pPr>
            <w:r w:rsidRPr="00AB7623">
              <w:rPr>
                <w:rFonts w:ascii="Calibri" w:hAnsi="Calibri" w:cs="Calibri"/>
                <w:b/>
                <w:bCs/>
                <w:sz w:val="20"/>
                <w:szCs w:val="20"/>
              </w:rPr>
              <w:t>North, N (%)</w:t>
            </w:r>
          </w:p>
        </w:tc>
        <w:tc>
          <w:tcPr>
            <w:tcW w:w="1679" w:type="dxa"/>
          </w:tcPr>
          <w:p w14:paraId="598FE4C9" w14:textId="6190EB8C" w:rsidR="00EB7890" w:rsidRPr="00AB7623" w:rsidRDefault="00EB7890" w:rsidP="00EB7890">
            <w:pPr>
              <w:jc w:val="center"/>
              <w:rPr>
                <w:rFonts w:ascii="Calibri" w:hAnsi="Calibri" w:cs="Calibri"/>
                <w:b/>
                <w:bCs/>
                <w:sz w:val="20"/>
                <w:szCs w:val="20"/>
              </w:rPr>
            </w:pPr>
            <w:r w:rsidRPr="00AB7623">
              <w:rPr>
                <w:rFonts w:ascii="Calibri" w:hAnsi="Calibri" w:cs="Calibri"/>
                <w:b/>
                <w:bCs/>
                <w:sz w:val="20"/>
                <w:szCs w:val="20"/>
              </w:rPr>
              <w:t>Χ</w:t>
            </w:r>
            <w:r w:rsidRPr="00AB7623">
              <w:rPr>
                <w:rFonts w:ascii="Calibri" w:hAnsi="Calibri" w:cs="Calibri"/>
                <w:b/>
                <w:bCs/>
                <w:sz w:val="20"/>
                <w:szCs w:val="20"/>
                <w:vertAlign w:val="superscript"/>
              </w:rPr>
              <w:t>2</w:t>
            </w:r>
            <w:r w:rsidRPr="00AB7623">
              <w:rPr>
                <w:rFonts w:ascii="Calibri" w:hAnsi="Calibri" w:cs="Calibri"/>
                <w:b/>
                <w:bCs/>
                <w:sz w:val="20"/>
                <w:szCs w:val="20"/>
              </w:rPr>
              <w:t xml:space="preserve"> (P-Value)</w:t>
            </w:r>
          </w:p>
        </w:tc>
      </w:tr>
      <w:tr w:rsidR="00EB7890" w:rsidRPr="00AB7623" w14:paraId="27A3D1A4" w14:textId="0048E1EB" w:rsidTr="00DA4175">
        <w:tc>
          <w:tcPr>
            <w:tcW w:w="1555" w:type="dxa"/>
            <w:vMerge w:val="restart"/>
          </w:tcPr>
          <w:p w14:paraId="74879808" w14:textId="77777777" w:rsidR="00EB7890" w:rsidRPr="00AB7623" w:rsidRDefault="00EB7890" w:rsidP="00EC5709">
            <w:pPr>
              <w:spacing w:line="276" w:lineRule="auto"/>
              <w:rPr>
                <w:rFonts w:ascii="Calibri" w:hAnsi="Calibri" w:cs="Calibri"/>
                <w:sz w:val="20"/>
                <w:szCs w:val="20"/>
              </w:rPr>
            </w:pPr>
            <w:r w:rsidRPr="00AB7623">
              <w:rPr>
                <w:rFonts w:ascii="Calibri" w:eastAsia="Calibri" w:hAnsi="Calibri" w:cs="Calibri"/>
                <w:sz w:val="20"/>
                <w:szCs w:val="20"/>
              </w:rPr>
              <w:t>Sex</w:t>
            </w:r>
          </w:p>
        </w:tc>
        <w:tc>
          <w:tcPr>
            <w:tcW w:w="1630" w:type="dxa"/>
          </w:tcPr>
          <w:p w14:paraId="10E05EC0" w14:textId="77777777" w:rsidR="00EB7890" w:rsidRPr="00AB7623" w:rsidRDefault="00EB7890" w:rsidP="00EC5709">
            <w:pPr>
              <w:spacing w:line="276" w:lineRule="auto"/>
              <w:rPr>
                <w:rFonts w:ascii="Calibri" w:hAnsi="Calibri" w:cs="Calibri"/>
                <w:sz w:val="20"/>
                <w:szCs w:val="20"/>
              </w:rPr>
            </w:pPr>
            <w:r w:rsidRPr="00AB7623">
              <w:rPr>
                <w:rFonts w:ascii="Calibri" w:eastAsia="Calibri" w:hAnsi="Calibri" w:cs="Calibri"/>
                <w:sz w:val="20"/>
                <w:szCs w:val="20"/>
              </w:rPr>
              <w:t>Male</w:t>
            </w:r>
          </w:p>
        </w:tc>
        <w:tc>
          <w:tcPr>
            <w:tcW w:w="1344" w:type="dxa"/>
          </w:tcPr>
          <w:p w14:paraId="0A9F9856"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441 (28.4)</w:t>
            </w:r>
          </w:p>
        </w:tc>
        <w:tc>
          <w:tcPr>
            <w:tcW w:w="1430" w:type="dxa"/>
          </w:tcPr>
          <w:p w14:paraId="64B08AEE" w14:textId="15F0D91F"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213 (30.2)</w:t>
            </w:r>
          </w:p>
        </w:tc>
        <w:tc>
          <w:tcPr>
            <w:tcW w:w="1372" w:type="dxa"/>
          </w:tcPr>
          <w:p w14:paraId="7F931031" w14:textId="5B984917"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228 (26.9)</w:t>
            </w:r>
          </w:p>
        </w:tc>
        <w:tc>
          <w:tcPr>
            <w:tcW w:w="1679" w:type="dxa"/>
            <w:vMerge w:val="restart"/>
          </w:tcPr>
          <w:p w14:paraId="070FA142" w14:textId="303E9EA8"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2.05 (0.15</w:t>
            </w:r>
            <w:r w:rsidR="00016915">
              <w:rPr>
                <w:rFonts w:ascii="Calibri" w:eastAsia="Calibri" w:hAnsi="Calibri" w:cs="Calibri"/>
                <w:sz w:val="20"/>
                <w:szCs w:val="20"/>
              </w:rPr>
              <w:t>2</w:t>
            </w:r>
            <w:r w:rsidRPr="00AB7623">
              <w:rPr>
                <w:rFonts w:ascii="Calibri" w:eastAsia="Calibri" w:hAnsi="Calibri" w:cs="Calibri"/>
                <w:sz w:val="20"/>
                <w:szCs w:val="20"/>
              </w:rPr>
              <w:t>)</w:t>
            </w:r>
          </w:p>
        </w:tc>
      </w:tr>
      <w:tr w:rsidR="00EB7890" w:rsidRPr="00AB7623" w14:paraId="5ABCEA4E" w14:textId="7DAA0CE2" w:rsidTr="00DA4175">
        <w:tc>
          <w:tcPr>
            <w:tcW w:w="1555" w:type="dxa"/>
            <w:vMerge/>
          </w:tcPr>
          <w:p w14:paraId="52AE5579" w14:textId="77777777" w:rsidR="00EB7890" w:rsidRPr="00AB7623" w:rsidRDefault="00EB7890" w:rsidP="00EC5709">
            <w:pPr>
              <w:spacing w:line="276" w:lineRule="auto"/>
              <w:rPr>
                <w:rFonts w:ascii="Calibri" w:hAnsi="Calibri" w:cs="Calibri"/>
                <w:sz w:val="20"/>
                <w:szCs w:val="20"/>
              </w:rPr>
            </w:pPr>
          </w:p>
        </w:tc>
        <w:tc>
          <w:tcPr>
            <w:tcW w:w="1630" w:type="dxa"/>
          </w:tcPr>
          <w:p w14:paraId="0511D515"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Female</w:t>
            </w:r>
          </w:p>
        </w:tc>
        <w:tc>
          <w:tcPr>
            <w:tcW w:w="1344" w:type="dxa"/>
          </w:tcPr>
          <w:p w14:paraId="18283D1B"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1,111 (71.6)</w:t>
            </w:r>
          </w:p>
        </w:tc>
        <w:tc>
          <w:tcPr>
            <w:tcW w:w="1430" w:type="dxa"/>
          </w:tcPr>
          <w:p w14:paraId="0B6F76E5" w14:textId="3E32C01B"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492 (69.8)</w:t>
            </w:r>
          </w:p>
        </w:tc>
        <w:tc>
          <w:tcPr>
            <w:tcW w:w="1372" w:type="dxa"/>
          </w:tcPr>
          <w:p w14:paraId="23E25EE0" w14:textId="3B96A0C9"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619 (73.1)</w:t>
            </w:r>
          </w:p>
        </w:tc>
        <w:tc>
          <w:tcPr>
            <w:tcW w:w="1679" w:type="dxa"/>
            <w:vMerge/>
          </w:tcPr>
          <w:p w14:paraId="7FBD333F" w14:textId="77777777" w:rsidR="00EB7890" w:rsidRPr="00AB7623" w:rsidRDefault="00EB7890" w:rsidP="00EC5709">
            <w:pPr>
              <w:spacing w:line="276" w:lineRule="auto"/>
              <w:jc w:val="center"/>
              <w:rPr>
                <w:rFonts w:ascii="Calibri" w:eastAsia="Calibri" w:hAnsi="Calibri" w:cs="Calibri"/>
                <w:sz w:val="20"/>
                <w:szCs w:val="20"/>
              </w:rPr>
            </w:pPr>
          </w:p>
        </w:tc>
      </w:tr>
      <w:tr w:rsidR="00EB7890" w:rsidRPr="00AB7623" w14:paraId="6E9A0841" w14:textId="1864043B" w:rsidTr="00DA4175">
        <w:tc>
          <w:tcPr>
            <w:tcW w:w="1555" w:type="dxa"/>
            <w:vMerge w:val="restart"/>
          </w:tcPr>
          <w:p w14:paraId="1C75A6B4" w14:textId="77777777" w:rsidR="00EB7890" w:rsidRPr="00AB7623" w:rsidRDefault="00EB7890" w:rsidP="00EC5709">
            <w:pPr>
              <w:spacing w:line="276" w:lineRule="auto"/>
              <w:rPr>
                <w:rFonts w:ascii="Calibri" w:hAnsi="Calibri" w:cs="Calibri"/>
                <w:sz w:val="20"/>
                <w:szCs w:val="20"/>
              </w:rPr>
            </w:pPr>
            <w:r w:rsidRPr="00AB7623">
              <w:rPr>
                <w:rFonts w:ascii="Calibri" w:eastAsia="Calibri" w:hAnsi="Calibri" w:cs="Calibri"/>
                <w:sz w:val="20"/>
                <w:szCs w:val="20"/>
              </w:rPr>
              <w:t>Age group, years</w:t>
            </w:r>
          </w:p>
        </w:tc>
        <w:tc>
          <w:tcPr>
            <w:tcW w:w="1630" w:type="dxa"/>
          </w:tcPr>
          <w:p w14:paraId="6888FE3C"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18-34</w:t>
            </w:r>
          </w:p>
        </w:tc>
        <w:tc>
          <w:tcPr>
            <w:tcW w:w="1344" w:type="dxa"/>
          </w:tcPr>
          <w:p w14:paraId="6A8E4280"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188 (12.1)</w:t>
            </w:r>
          </w:p>
        </w:tc>
        <w:tc>
          <w:tcPr>
            <w:tcW w:w="1430" w:type="dxa"/>
          </w:tcPr>
          <w:p w14:paraId="46D31081" w14:textId="44679353"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65 (9.20</w:t>
            </w:r>
            <w:r w:rsidR="00E43F08" w:rsidRPr="00AB7623">
              <w:rPr>
                <w:rFonts w:ascii="Calibri" w:eastAsia="Calibri" w:hAnsi="Calibri" w:cs="Calibri"/>
                <w:sz w:val="20"/>
                <w:szCs w:val="20"/>
              </w:rPr>
              <w:t>)</w:t>
            </w:r>
          </w:p>
        </w:tc>
        <w:tc>
          <w:tcPr>
            <w:tcW w:w="1372" w:type="dxa"/>
          </w:tcPr>
          <w:p w14:paraId="47559D72" w14:textId="35285A02"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123 (14.5)</w:t>
            </w:r>
          </w:p>
        </w:tc>
        <w:tc>
          <w:tcPr>
            <w:tcW w:w="1679" w:type="dxa"/>
            <w:vMerge w:val="restart"/>
          </w:tcPr>
          <w:p w14:paraId="50030727" w14:textId="3CAD7F74"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18.73 (</w:t>
            </w:r>
            <w:proofErr w:type="gramStart"/>
            <w:r w:rsidRPr="00AB7623">
              <w:rPr>
                <w:rFonts w:ascii="Calibri" w:eastAsia="Calibri" w:hAnsi="Calibri" w:cs="Calibri"/>
                <w:sz w:val="20"/>
                <w:szCs w:val="20"/>
              </w:rPr>
              <w:t>0.001)*</w:t>
            </w:r>
            <w:proofErr w:type="gramEnd"/>
            <w:r w:rsidRPr="00AB7623">
              <w:rPr>
                <w:rFonts w:ascii="Calibri" w:eastAsia="Calibri" w:hAnsi="Calibri" w:cs="Calibri"/>
                <w:sz w:val="20"/>
                <w:szCs w:val="20"/>
              </w:rPr>
              <w:t>**</w:t>
            </w:r>
          </w:p>
        </w:tc>
      </w:tr>
      <w:tr w:rsidR="00EB7890" w:rsidRPr="00AB7623" w14:paraId="7B4A18C3" w14:textId="1F363418" w:rsidTr="00DA4175">
        <w:tc>
          <w:tcPr>
            <w:tcW w:w="1555" w:type="dxa"/>
            <w:vMerge/>
          </w:tcPr>
          <w:p w14:paraId="263BAB10" w14:textId="77777777" w:rsidR="00EB7890" w:rsidRPr="00AB7623" w:rsidRDefault="00EB7890" w:rsidP="00EC5709">
            <w:pPr>
              <w:spacing w:line="276" w:lineRule="auto"/>
              <w:rPr>
                <w:rFonts w:ascii="Calibri" w:hAnsi="Calibri" w:cs="Calibri"/>
                <w:sz w:val="20"/>
                <w:szCs w:val="20"/>
              </w:rPr>
            </w:pPr>
          </w:p>
        </w:tc>
        <w:tc>
          <w:tcPr>
            <w:tcW w:w="1630" w:type="dxa"/>
          </w:tcPr>
          <w:p w14:paraId="5A1E4B9E"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35-44</w:t>
            </w:r>
          </w:p>
        </w:tc>
        <w:tc>
          <w:tcPr>
            <w:tcW w:w="1344" w:type="dxa"/>
          </w:tcPr>
          <w:p w14:paraId="5747DF30"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299 (19.3)</w:t>
            </w:r>
          </w:p>
        </w:tc>
        <w:tc>
          <w:tcPr>
            <w:tcW w:w="1430" w:type="dxa"/>
          </w:tcPr>
          <w:p w14:paraId="1D0E5BBA" w14:textId="505D26B2"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160 (22.7)</w:t>
            </w:r>
          </w:p>
        </w:tc>
        <w:tc>
          <w:tcPr>
            <w:tcW w:w="1372" w:type="dxa"/>
          </w:tcPr>
          <w:p w14:paraId="3F751417" w14:textId="777CA663"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139 (16.4)</w:t>
            </w:r>
          </w:p>
        </w:tc>
        <w:tc>
          <w:tcPr>
            <w:tcW w:w="1679" w:type="dxa"/>
            <w:vMerge/>
          </w:tcPr>
          <w:p w14:paraId="7D7936C9" w14:textId="77777777" w:rsidR="00EB7890" w:rsidRPr="00AB7623" w:rsidRDefault="00EB7890" w:rsidP="00EC5709">
            <w:pPr>
              <w:spacing w:line="276" w:lineRule="auto"/>
              <w:jc w:val="center"/>
              <w:rPr>
                <w:rFonts w:ascii="Calibri" w:eastAsia="Calibri" w:hAnsi="Calibri" w:cs="Calibri"/>
                <w:sz w:val="20"/>
                <w:szCs w:val="20"/>
              </w:rPr>
            </w:pPr>
          </w:p>
        </w:tc>
      </w:tr>
      <w:tr w:rsidR="00EB7890" w:rsidRPr="00AB7623" w14:paraId="246B231B" w14:textId="2E37B475" w:rsidTr="00DA4175">
        <w:tc>
          <w:tcPr>
            <w:tcW w:w="1555" w:type="dxa"/>
            <w:vMerge/>
          </w:tcPr>
          <w:p w14:paraId="64A4F95B" w14:textId="77777777" w:rsidR="00EB7890" w:rsidRPr="00AB7623" w:rsidRDefault="00EB7890" w:rsidP="00EC5709">
            <w:pPr>
              <w:spacing w:line="276" w:lineRule="auto"/>
              <w:rPr>
                <w:rFonts w:ascii="Calibri" w:hAnsi="Calibri" w:cs="Calibri"/>
                <w:sz w:val="20"/>
                <w:szCs w:val="20"/>
              </w:rPr>
            </w:pPr>
          </w:p>
        </w:tc>
        <w:tc>
          <w:tcPr>
            <w:tcW w:w="1630" w:type="dxa"/>
          </w:tcPr>
          <w:p w14:paraId="27FF1677"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45-54</w:t>
            </w:r>
          </w:p>
        </w:tc>
        <w:tc>
          <w:tcPr>
            <w:tcW w:w="1344" w:type="dxa"/>
          </w:tcPr>
          <w:p w14:paraId="000D971F"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411 (26.5)</w:t>
            </w:r>
          </w:p>
        </w:tc>
        <w:tc>
          <w:tcPr>
            <w:tcW w:w="1430" w:type="dxa"/>
          </w:tcPr>
          <w:p w14:paraId="4E968692" w14:textId="733B0820"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196 (27.8)</w:t>
            </w:r>
          </w:p>
        </w:tc>
        <w:tc>
          <w:tcPr>
            <w:tcW w:w="1372" w:type="dxa"/>
          </w:tcPr>
          <w:p w14:paraId="07CDD8CD" w14:textId="51120CE2"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215 (25.4)</w:t>
            </w:r>
          </w:p>
        </w:tc>
        <w:tc>
          <w:tcPr>
            <w:tcW w:w="1679" w:type="dxa"/>
            <w:vMerge/>
          </w:tcPr>
          <w:p w14:paraId="2A12B4A9" w14:textId="77777777" w:rsidR="00EB7890" w:rsidRPr="00AB7623" w:rsidRDefault="00EB7890" w:rsidP="00EC5709">
            <w:pPr>
              <w:spacing w:line="276" w:lineRule="auto"/>
              <w:jc w:val="center"/>
              <w:rPr>
                <w:rFonts w:ascii="Calibri" w:eastAsia="Calibri" w:hAnsi="Calibri" w:cs="Calibri"/>
                <w:sz w:val="20"/>
                <w:szCs w:val="20"/>
              </w:rPr>
            </w:pPr>
          </w:p>
        </w:tc>
      </w:tr>
      <w:tr w:rsidR="00EB7890" w:rsidRPr="00AB7623" w14:paraId="325F1B2F" w14:textId="2AA98E2A" w:rsidTr="00DA4175">
        <w:tc>
          <w:tcPr>
            <w:tcW w:w="1555" w:type="dxa"/>
            <w:vMerge/>
          </w:tcPr>
          <w:p w14:paraId="3D2E880B" w14:textId="77777777" w:rsidR="00EB7890" w:rsidRPr="00AB7623" w:rsidRDefault="00EB7890" w:rsidP="00EC5709">
            <w:pPr>
              <w:spacing w:line="276" w:lineRule="auto"/>
              <w:rPr>
                <w:rFonts w:ascii="Calibri" w:hAnsi="Calibri" w:cs="Calibri"/>
                <w:sz w:val="20"/>
                <w:szCs w:val="20"/>
              </w:rPr>
            </w:pPr>
          </w:p>
        </w:tc>
        <w:tc>
          <w:tcPr>
            <w:tcW w:w="1630" w:type="dxa"/>
          </w:tcPr>
          <w:p w14:paraId="3D25EF2E"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55-64</w:t>
            </w:r>
          </w:p>
        </w:tc>
        <w:tc>
          <w:tcPr>
            <w:tcW w:w="1344" w:type="dxa"/>
          </w:tcPr>
          <w:p w14:paraId="735581BD"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335 (21.6)</w:t>
            </w:r>
          </w:p>
        </w:tc>
        <w:tc>
          <w:tcPr>
            <w:tcW w:w="1430" w:type="dxa"/>
          </w:tcPr>
          <w:p w14:paraId="70511135" w14:textId="07DBFAC2"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145 (20.6)</w:t>
            </w:r>
          </w:p>
        </w:tc>
        <w:tc>
          <w:tcPr>
            <w:tcW w:w="1372" w:type="dxa"/>
          </w:tcPr>
          <w:p w14:paraId="2B54A572" w14:textId="7A52FBD0"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190 (22.4)</w:t>
            </w:r>
          </w:p>
        </w:tc>
        <w:tc>
          <w:tcPr>
            <w:tcW w:w="1679" w:type="dxa"/>
            <w:vMerge/>
          </w:tcPr>
          <w:p w14:paraId="45BFA1C5" w14:textId="77777777" w:rsidR="00EB7890" w:rsidRPr="00AB7623" w:rsidRDefault="00EB7890" w:rsidP="00EC5709">
            <w:pPr>
              <w:spacing w:line="276" w:lineRule="auto"/>
              <w:jc w:val="center"/>
              <w:rPr>
                <w:rFonts w:ascii="Calibri" w:eastAsia="Calibri" w:hAnsi="Calibri" w:cs="Calibri"/>
                <w:sz w:val="20"/>
                <w:szCs w:val="20"/>
              </w:rPr>
            </w:pPr>
          </w:p>
        </w:tc>
      </w:tr>
      <w:tr w:rsidR="00EB7890" w:rsidRPr="00AB7623" w14:paraId="0C506B7D" w14:textId="63ADEB77" w:rsidTr="00DA4175">
        <w:tc>
          <w:tcPr>
            <w:tcW w:w="1555" w:type="dxa"/>
            <w:vMerge/>
          </w:tcPr>
          <w:p w14:paraId="05A2A6BB" w14:textId="77777777" w:rsidR="00EB7890" w:rsidRPr="00AB7623" w:rsidRDefault="00EB7890" w:rsidP="00EC5709">
            <w:pPr>
              <w:spacing w:line="276" w:lineRule="auto"/>
              <w:rPr>
                <w:rFonts w:ascii="Calibri" w:hAnsi="Calibri" w:cs="Calibri"/>
                <w:sz w:val="20"/>
                <w:szCs w:val="20"/>
              </w:rPr>
            </w:pPr>
          </w:p>
        </w:tc>
        <w:tc>
          <w:tcPr>
            <w:tcW w:w="1630" w:type="dxa"/>
          </w:tcPr>
          <w:p w14:paraId="4BE30071" w14:textId="77777777" w:rsidR="00EB7890" w:rsidRPr="00AB7623" w:rsidRDefault="00EB7890" w:rsidP="00EC5709">
            <w:pPr>
              <w:spacing w:line="276" w:lineRule="auto"/>
              <w:rPr>
                <w:rFonts w:ascii="Calibri" w:hAnsi="Calibri" w:cs="Calibri"/>
                <w:sz w:val="20"/>
                <w:szCs w:val="20"/>
              </w:rPr>
            </w:pPr>
            <w:r w:rsidRPr="00AB7623">
              <w:rPr>
                <w:rFonts w:ascii="Calibri" w:hAnsi="Calibri" w:cs="Calibri"/>
                <w:sz w:val="20"/>
                <w:szCs w:val="20"/>
              </w:rPr>
              <w:t>≥65</w:t>
            </w:r>
          </w:p>
        </w:tc>
        <w:tc>
          <w:tcPr>
            <w:tcW w:w="1344" w:type="dxa"/>
          </w:tcPr>
          <w:p w14:paraId="5E94C4D8" w14:textId="77777777" w:rsidR="00EB7890" w:rsidRPr="00AB7623" w:rsidRDefault="00EB7890" w:rsidP="00EC5709">
            <w:pPr>
              <w:spacing w:line="276" w:lineRule="auto"/>
              <w:jc w:val="center"/>
              <w:rPr>
                <w:rFonts w:ascii="Calibri" w:hAnsi="Calibri" w:cs="Calibri"/>
                <w:sz w:val="20"/>
                <w:szCs w:val="20"/>
              </w:rPr>
            </w:pPr>
            <w:r w:rsidRPr="00AB7623">
              <w:rPr>
                <w:rFonts w:ascii="Calibri" w:eastAsia="Calibri" w:hAnsi="Calibri" w:cs="Calibri"/>
                <w:sz w:val="20"/>
                <w:szCs w:val="20"/>
              </w:rPr>
              <w:t>319 (20.6)</w:t>
            </w:r>
          </w:p>
        </w:tc>
        <w:tc>
          <w:tcPr>
            <w:tcW w:w="1430" w:type="dxa"/>
          </w:tcPr>
          <w:p w14:paraId="4157F26E" w14:textId="30C53264"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139 (19.7)</w:t>
            </w:r>
          </w:p>
        </w:tc>
        <w:tc>
          <w:tcPr>
            <w:tcW w:w="1372" w:type="dxa"/>
          </w:tcPr>
          <w:p w14:paraId="00FC9A3A" w14:textId="233DFEF5" w:rsidR="00EB7890" w:rsidRPr="00AB7623" w:rsidRDefault="00EB7890"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180 (21.3)</w:t>
            </w:r>
          </w:p>
        </w:tc>
        <w:tc>
          <w:tcPr>
            <w:tcW w:w="1679" w:type="dxa"/>
            <w:vMerge/>
          </w:tcPr>
          <w:p w14:paraId="222F1976" w14:textId="77777777" w:rsidR="00EB7890" w:rsidRPr="00AB7623" w:rsidRDefault="00EB7890" w:rsidP="00EC5709">
            <w:pPr>
              <w:spacing w:line="276" w:lineRule="auto"/>
              <w:jc w:val="center"/>
              <w:rPr>
                <w:rFonts w:ascii="Calibri" w:eastAsia="Calibri" w:hAnsi="Calibri" w:cs="Calibri"/>
                <w:sz w:val="20"/>
                <w:szCs w:val="20"/>
              </w:rPr>
            </w:pPr>
          </w:p>
        </w:tc>
      </w:tr>
      <w:tr w:rsidR="00E43F08" w:rsidRPr="00AB7623" w14:paraId="5A074335" w14:textId="03F0868F" w:rsidTr="00DA4175">
        <w:tc>
          <w:tcPr>
            <w:tcW w:w="1555" w:type="dxa"/>
            <w:vMerge w:val="restart"/>
          </w:tcPr>
          <w:p w14:paraId="043845CC" w14:textId="02158F3F" w:rsidR="00E43F08" w:rsidRPr="00AB7623" w:rsidRDefault="00E43F08" w:rsidP="00EC5709">
            <w:pPr>
              <w:spacing w:line="276" w:lineRule="auto"/>
              <w:rPr>
                <w:rFonts w:ascii="Calibri" w:hAnsi="Calibri" w:cs="Calibri"/>
                <w:sz w:val="20"/>
                <w:szCs w:val="20"/>
              </w:rPr>
            </w:pPr>
            <w:r w:rsidRPr="00AB7623">
              <w:rPr>
                <w:rFonts w:ascii="Calibri" w:eastAsia="Calibri" w:hAnsi="Calibri" w:cs="Calibri"/>
                <w:sz w:val="20"/>
                <w:szCs w:val="20"/>
              </w:rPr>
              <w:t>Soci</w:t>
            </w:r>
            <w:r w:rsidR="00F5012B">
              <w:rPr>
                <w:rFonts w:ascii="Calibri" w:eastAsia="Calibri" w:hAnsi="Calibri" w:cs="Calibri"/>
                <w:sz w:val="20"/>
                <w:szCs w:val="20"/>
              </w:rPr>
              <w:t>oeconomic position</w:t>
            </w:r>
          </w:p>
        </w:tc>
        <w:tc>
          <w:tcPr>
            <w:tcW w:w="1630" w:type="dxa"/>
          </w:tcPr>
          <w:p w14:paraId="7DDA5D1A" w14:textId="77777777" w:rsidR="00E43F08" w:rsidRPr="00AB7623" w:rsidRDefault="00E43F08" w:rsidP="00EC5709">
            <w:pPr>
              <w:spacing w:line="276" w:lineRule="auto"/>
              <w:rPr>
                <w:rFonts w:ascii="Calibri" w:hAnsi="Calibri" w:cs="Calibri"/>
                <w:sz w:val="20"/>
                <w:szCs w:val="20"/>
              </w:rPr>
            </w:pPr>
            <w:r w:rsidRPr="00AB7623">
              <w:rPr>
                <w:rFonts w:ascii="Calibri" w:hAnsi="Calibri" w:cs="Calibri"/>
                <w:sz w:val="20"/>
                <w:szCs w:val="20"/>
              </w:rPr>
              <w:t>AB</w:t>
            </w:r>
          </w:p>
        </w:tc>
        <w:tc>
          <w:tcPr>
            <w:tcW w:w="1344" w:type="dxa"/>
          </w:tcPr>
          <w:p w14:paraId="3D329EEA" w14:textId="77777777" w:rsidR="00E43F08" w:rsidRPr="00AB7623" w:rsidRDefault="00E43F08" w:rsidP="00EC5709">
            <w:pPr>
              <w:spacing w:line="276" w:lineRule="auto"/>
              <w:jc w:val="center"/>
              <w:rPr>
                <w:rFonts w:ascii="Calibri" w:hAnsi="Calibri" w:cs="Calibri"/>
                <w:sz w:val="20"/>
                <w:szCs w:val="20"/>
              </w:rPr>
            </w:pPr>
            <w:r w:rsidRPr="00AB7623">
              <w:rPr>
                <w:rFonts w:ascii="Calibri" w:eastAsia="Calibri" w:hAnsi="Calibri" w:cs="Calibri"/>
                <w:sz w:val="20"/>
                <w:szCs w:val="20"/>
              </w:rPr>
              <w:t>341 (22.0)</w:t>
            </w:r>
          </w:p>
        </w:tc>
        <w:tc>
          <w:tcPr>
            <w:tcW w:w="1430" w:type="dxa"/>
          </w:tcPr>
          <w:p w14:paraId="184DF6FA" w14:textId="4AFD0CD4"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177 (25.1)</w:t>
            </w:r>
          </w:p>
        </w:tc>
        <w:tc>
          <w:tcPr>
            <w:tcW w:w="1372" w:type="dxa"/>
          </w:tcPr>
          <w:p w14:paraId="46C6618D" w14:textId="307C1EAD"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164 (19.4)</w:t>
            </w:r>
          </w:p>
        </w:tc>
        <w:tc>
          <w:tcPr>
            <w:tcW w:w="1679" w:type="dxa"/>
            <w:vMerge w:val="restart"/>
          </w:tcPr>
          <w:p w14:paraId="3D66C263" w14:textId="730D9F4F"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7.92 (</w:t>
            </w:r>
            <w:proofErr w:type="gramStart"/>
            <w:r w:rsidRPr="00AB7623">
              <w:rPr>
                <w:rFonts w:ascii="Calibri" w:eastAsia="Calibri" w:hAnsi="Calibri" w:cs="Calibri"/>
                <w:sz w:val="20"/>
                <w:szCs w:val="20"/>
              </w:rPr>
              <w:t>0.0</w:t>
            </w:r>
            <w:r w:rsidR="00016915">
              <w:rPr>
                <w:rFonts w:ascii="Calibri" w:eastAsia="Calibri" w:hAnsi="Calibri" w:cs="Calibri"/>
                <w:sz w:val="20"/>
                <w:szCs w:val="20"/>
              </w:rPr>
              <w:t>19</w:t>
            </w:r>
            <w:r w:rsidRPr="00AB7623">
              <w:rPr>
                <w:rFonts w:ascii="Calibri" w:eastAsia="Calibri" w:hAnsi="Calibri" w:cs="Calibri"/>
                <w:sz w:val="20"/>
                <w:szCs w:val="20"/>
              </w:rPr>
              <w:t>)*</w:t>
            </w:r>
            <w:proofErr w:type="gramEnd"/>
          </w:p>
        </w:tc>
      </w:tr>
      <w:tr w:rsidR="00E43F08" w:rsidRPr="00AB7623" w14:paraId="3B1B81B4" w14:textId="2A3C30C6" w:rsidTr="00DA4175">
        <w:tc>
          <w:tcPr>
            <w:tcW w:w="1555" w:type="dxa"/>
            <w:vMerge/>
          </w:tcPr>
          <w:p w14:paraId="63AA3E0A" w14:textId="77777777" w:rsidR="00E43F08" w:rsidRPr="00AB7623" w:rsidRDefault="00E43F08" w:rsidP="00EC5709">
            <w:pPr>
              <w:spacing w:line="276" w:lineRule="auto"/>
              <w:rPr>
                <w:rFonts w:ascii="Calibri" w:hAnsi="Calibri" w:cs="Calibri"/>
                <w:sz w:val="20"/>
                <w:szCs w:val="20"/>
              </w:rPr>
            </w:pPr>
          </w:p>
        </w:tc>
        <w:tc>
          <w:tcPr>
            <w:tcW w:w="1630" w:type="dxa"/>
          </w:tcPr>
          <w:p w14:paraId="151AF428" w14:textId="77777777" w:rsidR="00E43F08" w:rsidRPr="00AB7623" w:rsidRDefault="00E43F08" w:rsidP="00EC5709">
            <w:pPr>
              <w:spacing w:line="276" w:lineRule="auto"/>
              <w:rPr>
                <w:rFonts w:ascii="Calibri" w:hAnsi="Calibri" w:cs="Calibri"/>
                <w:sz w:val="20"/>
                <w:szCs w:val="20"/>
              </w:rPr>
            </w:pPr>
            <w:r w:rsidRPr="00AB7623">
              <w:rPr>
                <w:rFonts w:ascii="Calibri" w:hAnsi="Calibri" w:cs="Calibri"/>
                <w:sz w:val="20"/>
                <w:szCs w:val="20"/>
              </w:rPr>
              <w:t>C1C2</w:t>
            </w:r>
          </w:p>
        </w:tc>
        <w:tc>
          <w:tcPr>
            <w:tcW w:w="1344" w:type="dxa"/>
          </w:tcPr>
          <w:p w14:paraId="461552EF" w14:textId="77777777" w:rsidR="00E43F08" w:rsidRPr="00AB7623" w:rsidRDefault="00E43F08" w:rsidP="00EC5709">
            <w:pPr>
              <w:spacing w:line="276" w:lineRule="auto"/>
              <w:jc w:val="center"/>
              <w:rPr>
                <w:rFonts w:ascii="Calibri" w:hAnsi="Calibri" w:cs="Calibri"/>
                <w:sz w:val="20"/>
                <w:szCs w:val="20"/>
              </w:rPr>
            </w:pPr>
            <w:r w:rsidRPr="00AB7623">
              <w:rPr>
                <w:rFonts w:ascii="Calibri" w:eastAsia="Calibri" w:hAnsi="Calibri" w:cs="Calibri"/>
                <w:sz w:val="20"/>
                <w:szCs w:val="20"/>
              </w:rPr>
              <w:t>926 (59.7)</w:t>
            </w:r>
          </w:p>
        </w:tc>
        <w:tc>
          <w:tcPr>
            <w:tcW w:w="1430" w:type="dxa"/>
          </w:tcPr>
          <w:p w14:paraId="1D41D332" w14:textId="135EEA2D"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409 (58.0)</w:t>
            </w:r>
          </w:p>
        </w:tc>
        <w:tc>
          <w:tcPr>
            <w:tcW w:w="1372" w:type="dxa"/>
          </w:tcPr>
          <w:p w14:paraId="6A643453" w14:textId="662C9137"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517 (61.0)</w:t>
            </w:r>
          </w:p>
        </w:tc>
        <w:tc>
          <w:tcPr>
            <w:tcW w:w="1679" w:type="dxa"/>
            <w:vMerge/>
          </w:tcPr>
          <w:p w14:paraId="6227E97B" w14:textId="77777777" w:rsidR="00E43F08" w:rsidRPr="00AB7623" w:rsidRDefault="00E43F08" w:rsidP="00EC5709">
            <w:pPr>
              <w:spacing w:line="276" w:lineRule="auto"/>
              <w:jc w:val="center"/>
              <w:rPr>
                <w:rFonts w:ascii="Calibri" w:eastAsia="Calibri" w:hAnsi="Calibri" w:cs="Calibri"/>
                <w:sz w:val="20"/>
                <w:szCs w:val="20"/>
              </w:rPr>
            </w:pPr>
          </w:p>
        </w:tc>
      </w:tr>
      <w:tr w:rsidR="00E43F08" w:rsidRPr="00AB7623" w14:paraId="494155B1" w14:textId="3034ED73" w:rsidTr="00DA4175">
        <w:tc>
          <w:tcPr>
            <w:tcW w:w="1555" w:type="dxa"/>
            <w:vMerge/>
          </w:tcPr>
          <w:p w14:paraId="294B98EE" w14:textId="77777777" w:rsidR="00E43F08" w:rsidRPr="00AB7623" w:rsidRDefault="00E43F08" w:rsidP="00EC5709">
            <w:pPr>
              <w:spacing w:line="276" w:lineRule="auto"/>
              <w:rPr>
                <w:rFonts w:ascii="Calibri" w:hAnsi="Calibri" w:cs="Calibri"/>
                <w:sz w:val="20"/>
                <w:szCs w:val="20"/>
              </w:rPr>
            </w:pPr>
          </w:p>
        </w:tc>
        <w:tc>
          <w:tcPr>
            <w:tcW w:w="1630" w:type="dxa"/>
          </w:tcPr>
          <w:p w14:paraId="5436A153" w14:textId="77777777" w:rsidR="00E43F08" w:rsidRPr="00AB7623" w:rsidRDefault="00E43F08" w:rsidP="00EC5709">
            <w:pPr>
              <w:spacing w:line="276" w:lineRule="auto"/>
              <w:rPr>
                <w:rFonts w:ascii="Calibri" w:hAnsi="Calibri" w:cs="Calibri"/>
                <w:sz w:val="20"/>
                <w:szCs w:val="20"/>
              </w:rPr>
            </w:pPr>
            <w:r w:rsidRPr="00AB7623">
              <w:rPr>
                <w:rFonts w:ascii="Calibri" w:hAnsi="Calibri" w:cs="Calibri"/>
                <w:sz w:val="20"/>
                <w:szCs w:val="20"/>
              </w:rPr>
              <w:t>DE</w:t>
            </w:r>
          </w:p>
        </w:tc>
        <w:tc>
          <w:tcPr>
            <w:tcW w:w="1344" w:type="dxa"/>
          </w:tcPr>
          <w:p w14:paraId="4ED7D634" w14:textId="77777777" w:rsidR="00E43F08" w:rsidRPr="00AB7623" w:rsidRDefault="00E43F08" w:rsidP="00EC5709">
            <w:pPr>
              <w:spacing w:line="276" w:lineRule="auto"/>
              <w:jc w:val="center"/>
              <w:rPr>
                <w:rFonts w:ascii="Calibri" w:hAnsi="Calibri" w:cs="Calibri"/>
                <w:sz w:val="20"/>
                <w:szCs w:val="20"/>
              </w:rPr>
            </w:pPr>
            <w:r w:rsidRPr="00AB7623">
              <w:rPr>
                <w:rFonts w:ascii="Calibri" w:eastAsia="Calibri" w:hAnsi="Calibri" w:cs="Calibri"/>
                <w:sz w:val="20"/>
                <w:szCs w:val="20"/>
              </w:rPr>
              <w:t>285 (18.4)</w:t>
            </w:r>
          </w:p>
        </w:tc>
        <w:tc>
          <w:tcPr>
            <w:tcW w:w="1430" w:type="dxa"/>
          </w:tcPr>
          <w:p w14:paraId="72B7CBE7" w14:textId="0B7B96B6"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119 (16.9)</w:t>
            </w:r>
          </w:p>
        </w:tc>
        <w:tc>
          <w:tcPr>
            <w:tcW w:w="1372" w:type="dxa"/>
          </w:tcPr>
          <w:p w14:paraId="05C19E7F" w14:textId="3E71901E"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166 (19.6)</w:t>
            </w:r>
          </w:p>
        </w:tc>
        <w:tc>
          <w:tcPr>
            <w:tcW w:w="1679" w:type="dxa"/>
            <w:vMerge/>
          </w:tcPr>
          <w:p w14:paraId="79861F7A" w14:textId="77777777" w:rsidR="00E43F08" w:rsidRPr="00AB7623" w:rsidRDefault="00E43F08" w:rsidP="00EC5709">
            <w:pPr>
              <w:spacing w:line="276" w:lineRule="auto"/>
              <w:jc w:val="center"/>
              <w:rPr>
                <w:rFonts w:ascii="Calibri" w:eastAsia="Calibri" w:hAnsi="Calibri" w:cs="Calibri"/>
                <w:sz w:val="20"/>
                <w:szCs w:val="20"/>
              </w:rPr>
            </w:pPr>
          </w:p>
        </w:tc>
      </w:tr>
      <w:tr w:rsidR="00E43F08" w:rsidRPr="00AB7623" w14:paraId="78FCC44F" w14:textId="29728F32" w:rsidTr="00DA4175">
        <w:tc>
          <w:tcPr>
            <w:tcW w:w="1555" w:type="dxa"/>
            <w:vMerge w:val="restart"/>
          </w:tcPr>
          <w:p w14:paraId="6A81481B" w14:textId="77777777" w:rsidR="00E43F08" w:rsidRPr="00AB7623" w:rsidRDefault="00E43F08" w:rsidP="00EC5709">
            <w:pPr>
              <w:spacing w:line="276" w:lineRule="auto"/>
              <w:rPr>
                <w:rFonts w:ascii="Calibri" w:hAnsi="Calibri" w:cs="Calibri"/>
                <w:sz w:val="20"/>
                <w:szCs w:val="20"/>
              </w:rPr>
            </w:pPr>
            <w:r w:rsidRPr="00AB7623">
              <w:rPr>
                <w:rFonts w:ascii="Calibri" w:eastAsia="Calibri" w:hAnsi="Calibri" w:cs="Calibri"/>
                <w:sz w:val="20"/>
                <w:szCs w:val="20"/>
              </w:rPr>
              <w:t>Children in the household</w:t>
            </w:r>
          </w:p>
        </w:tc>
        <w:tc>
          <w:tcPr>
            <w:tcW w:w="1630" w:type="dxa"/>
          </w:tcPr>
          <w:p w14:paraId="7CB827B8" w14:textId="77777777" w:rsidR="00E43F08" w:rsidRPr="00AB7623" w:rsidRDefault="00E43F08" w:rsidP="00EC5709">
            <w:pPr>
              <w:spacing w:line="276" w:lineRule="auto"/>
              <w:rPr>
                <w:rFonts w:ascii="Calibri" w:hAnsi="Calibri" w:cs="Calibri"/>
                <w:sz w:val="20"/>
                <w:szCs w:val="20"/>
              </w:rPr>
            </w:pPr>
            <w:r w:rsidRPr="00AB7623">
              <w:rPr>
                <w:rFonts w:ascii="Calibri" w:eastAsia="Calibri" w:hAnsi="Calibri" w:cs="Calibri"/>
                <w:sz w:val="20"/>
                <w:szCs w:val="20"/>
              </w:rPr>
              <w:t>No</w:t>
            </w:r>
          </w:p>
        </w:tc>
        <w:tc>
          <w:tcPr>
            <w:tcW w:w="1344" w:type="dxa"/>
          </w:tcPr>
          <w:p w14:paraId="3FD8BDF9" w14:textId="77777777" w:rsidR="00E43F08" w:rsidRPr="00AB7623" w:rsidRDefault="00E43F08" w:rsidP="00EC5709">
            <w:pPr>
              <w:spacing w:line="276" w:lineRule="auto"/>
              <w:jc w:val="center"/>
              <w:rPr>
                <w:rFonts w:ascii="Calibri" w:hAnsi="Calibri" w:cs="Calibri"/>
                <w:sz w:val="20"/>
                <w:szCs w:val="20"/>
              </w:rPr>
            </w:pPr>
            <w:r w:rsidRPr="00AB7623">
              <w:rPr>
                <w:rFonts w:ascii="Calibri" w:eastAsia="Calibri" w:hAnsi="Calibri" w:cs="Calibri"/>
                <w:sz w:val="20"/>
                <w:szCs w:val="20"/>
              </w:rPr>
              <w:t>1,110 (71.5)</w:t>
            </w:r>
          </w:p>
        </w:tc>
        <w:tc>
          <w:tcPr>
            <w:tcW w:w="1430" w:type="dxa"/>
          </w:tcPr>
          <w:p w14:paraId="409B5E0A" w14:textId="047BF26D"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507 (71.9)</w:t>
            </w:r>
          </w:p>
        </w:tc>
        <w:tc>
          <w:tcPr>
            <w:tcW w:w="1372" w:type="dxa"/>
          </w:tcPr>
          <w:p w14:paraId="06237E2C" w14:textId="2BB8929F"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603 (71.2)</w:t>
            </w:r>
          </w:p>
        </w:tc>
        <w:tc>
          <w:tcPr>
            <w:tcW w:w="1679" w:type="dxa"/>
            <w:vMerge w:val="restart"/>
          </w:tcPr>
          <w:p w14:paraId="2AEC3F04" w14:textId="6CA58226"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0.10 (0.75</w:t>
            </w:r>
            <w:r w:rsidR="00016915">
              <w:rPr>
                <w:rFonts w:ascii="Calibri" w:eastAsia="Calibri" w:hAnsi="Calibri" w:cs="Calibri"/>
                <w:sz w:val="20"/>
                <w:szCs w:val="20"/>
              </w:rPr>
              <w:t>4</w:t>
            </w:r>
            <w:r w:rsidRPr="00AB7623">
              <w:rPr>
                <w:rFonts w:ascii="Calibri" w:eastAsia="Calibri" w:hAnsi="Calibri" w:cs="Calibri"/>
                <w:sz w:val="20"/>
                <w:szCs w:val="20"/>
              </w:rPr>
              <w:t>)</w:t>
            </w:r>
          </w:p>
        </w:tc>
      </w:tr>
      <w:tr w:rsidR="00E43F08" w:rsidRPr="00AB7623" w14:paraId="7E24F5E0" w14:textId="443A4BBA" w:rsidTr="00DA4175">
        <w:tc>
          <w:tcPr>
            <w:tcW w:w="1555" w:type="dxa"/>
            <w:vMerge/>
          </w:tcPr>
          <w:p w14:paraId="1403F626" w14:textId="77777777" w:rsidR="00E43F08" w:rsidRPr="00AB7623" w:rsidRDefault="00E43F08" w:rsidP="00EC5709">
            <w:pPr>
              <w:spacing w:line="276" w:lineRule="auto"/>
              <w:rPr>
                <w:rFonts w:ascii="Calibri" w:hAnsi="Calibri" w:cs="Calibri"/>
                <w:sz w:val="20"/>
                <w:szCs w:val="20"/>
              </w:rPr>
            </w:pPr>
          </w:p>
        </w:tc>
        <w:tc>
          <w:tcPr>
            <w:tcW w:w="1630" w:type="dxa"/>
          </w:tcPr>
          <w:p w14:paraId="7706D58F" w14:textId="77777777" w:rsidR="00E43F08" w:rsidRPr="00AB7623" w:rsidRDefault="00E43F08" w:rsidP="00EC5709">
            <w:pPr>
              <w:spacing w:line="276" w:lineRule="auto"/>
              <w:rPr>
                <w:rFonts w:ascii="Calibri" w:hAnsi="Calibri" w:cs="Calibri"/>
                <w:sz w:val="20"/>
                <w:szCs w:val="20"/>
              </w:rPr>
            </w:pPr>
            <w:r w:rsidRPr="00AB7623">
              <w:rPr>
                <w:rFonts w:ascii="Calibri" w:hAnsi="Calibri" w:cs="Calibri"/>
                <w:sz w:val="20"/>
                <w:szCs w:val="20"/>
              </w:rPr>
              <w:t>Yes</w:t>
            </w:r>
          </w:p>
        </w:tc>
        <w:tc>
          <w:tcPr>
            <w:tcW w:w="1344" w:type="dxa"/>
          </w:tcPr>
          <w:p w14:paraId="5C3BD345" w14:textId="77777777" w:rsidR="00E43F08" w:rsidRPr="00AB7623" w:rsidRDefault="00E43F08" w:rsidP="00EC5709">
            <w:pPr>
              <w:spacing w:line="276" w:lineRule="auto"/>
              <w:jc w:val="center"/>
              <w:rPr>
                <w:rFonts w:ascii="Calibri" w:hAnsi="Calibri" w:cs="Calibri"/>
                <w:sz w:val="20"/>
                <w:szCs w:val="20"/>
              </w:rPr>
            </w:pPr>
            <w:r w:rsidRPr="00AB7623">
              <w:rPr>
                <w:rFonts w:ascii="Calibri" w:eastAsia="Calibri" w:hAnsi="Calibri" w:cs="Calibri"/>
                <w:sz w:val="20"/>
                <w:szCs w:val="20"/>
              </w:rPr>
              <w:t>442 (28.5)</w:t>
            </w:r>
          </w:p>
        </w:tc>
        <w:tc>
          <w:tcPr>
            <w:tcW w:w="1430" w:type="dxa"/>
          </w:tcPr>
          <w:p w14:paraId="20B77917" w14:textId="6F48C532"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198 (28.1)</w:t>
            </w:r>
          </w:p>
        </w:tc>
        <w:tc>
          <w:tcPr>
            <w:tcW w:w="1372" w:type="dxa"/>
          </w:tcPr>
          <w:p w14:paraId="58AA9092" w14:textId="10362BB9" w:rsidR="00E43F08" w:rsidRPr="00AB7623" w:rsidRDefault="00E43F08" w:rsidP="00EC5709">
            <w:pPr>
              <w:spacing w:line="276" w:lineRule="auto"/>
              <w:jc w:val="center"/>
              <w:rPr>
                <w:rFonts w:ascii="Calibri" w:eastAsia="Calibri" w:hAnsi="Calibri" w:cs="Calibri"/>
                <w:sz w:val="20"/>
                <w:szCs w:val="20"/>
              </w:rPr>
            </w:pPr>
            <w:r w:rsidRPr="00AB7623">
              <w:rPr>
                <w:rFonts w:ascii="Calibri" w:eastAsia="Calibri" w:hAnsi="Calibri" w:cs="Calibri"/>
                <w:sz w:val="20"/>
                <w:szCs w:val="20"/>
              </w:rPr>
              <w:t>244 (28.8)</w:t>
            </w:r>
          </w:p>
        </w:tc>
        <w:tc>
          <w:tcPr>
            <w:tcW w:w="1679" w:type="dxa"/>
            <w:vMerge/>
          </w:tcPr>
          <w:p w14:paraId="0B77FF28" w14:textId="77777777" w:rsidR="00E43F08" w:rsidRPr="00AB7623" w:rsidRDefault="00E43F08" w:rsidP="00EC5709">
            <w:pPr>
              <w:spacing w:line="276" w:lineRule="auto"/>
              <w:jc w:val="center"/>
              <w:rPr>
                <w:rFonts w:ascii="Calibri" w:eastAsia="Calibri" w:hAnsi="Calibri" w:cs="Calibri"/>
                <w:sz w:val="20"/>
                <w:szCs w:val="20"/>
              </w:rPr>
            </w:pPr>
          </w:p>
        </w:tc>
      </w:tr>
      <w:tr w:rsidR="00E43F08" w:rsidRPr="00AB7623" w14:paraId="5827225B" w14:textId="15845A2E" w:rsidTr="00DA4175">
        <w:tc>
          <w:tcPr>
            <w:tcW w:w="1555" w:type="dxa"/>
            <w:vMerge w:val="restart"/>
          </w:tcPr>
          <w:p w14:paraId="6AF97D38" w14:textId="77777777" w:rsidR="00E43F08" w:rsidRPr="00AB7623" w:rsidRDefault="00E43F08" w:rsidP="00E43F08">
            <w:pPr>
              <w:spacing w:line="276" w:lineRule="auto"/>
              <w:rPr>
                <w:rFonts w:ascii="Calibri" w:hAnsi="Calibri" w:cs="Calibri"/>
                <w:sz w:val="20"/>
                <w:szCs w:val="20"/>
              </w:rPr>
            </w:pPr>
            <w:r w:rsidRPr="00AB7623">
              <w:rPr>
                <w:rFonts w:ascii="Calibri" w:eastAsia="Calibri" w:hAnsi="Calibri" w:cs="Calibri"/>
                <w:sz w:val="20"/>
                <w:szCs w:val="20"/>
              </w:rPr>
              <w:t>Working status</w:t>
            </w:r>
          </w:p>
        </w:tc>
        <w:tc>
          <w:tcPr>
            <w:tcW w:w="1630" w:type="dxa"/>
          </w:tcPr>
          <w:p w14:paraId="0045CE73" w14:textId="77777777" w:rsidR="00E43F08" w:rsidRPr="00AB7623" w:rsidRDefault="00E43F08" w:rsidP="00E43F08">
            <w:pPr>
              <w:spacing w:line="276" w:lineRule="auto"/>
              <w:rPr>
                <w:rFonts w:ascii="Calibri" w:hAnsi="Calibri" w:cs="Calibri"/>
                <w:sz w:val="20"/>
                <w:szCs w:val="20"/>
              </w:rPr>
            </w:pPr>
            <w:r w:rsidRPr="00AB7623">
              <w:rPr>
                <w:rFonts w:ascii="Calibri" w:hAnsi="Calibri" w:cs="Calibri"/>
                <w:sz w:val="20"/>
                <w:szCs w:val="20"/>
              </w:rPr>
              <w:t>Full-time</w:t>
            </w:r>
          </w:p>
        </w:tc>
        <w:tc>
          <w:tcPr>
            <w:tcW w:w="1344" w:type="dxa"/>
          </w:tcPr>
          <w:p w14:paraId="110DC40F" w14:textId="77777777" w:rsidR="00E43F08" w:rsidRPr="00AB7623" w:rsidRDefault="00E43F08" w:rsidP="00E43F08">
            <w:pPr>
              <w:spacing w:line="276" w:lineRule="auto"/>
              <w:jc w:val="center"/>
              <w:rPr>
                <w:rFonts w:ascii="Calibri" w:hAnsi="Calibri" w:cs="Calibri"/>
                <w:sz w:val="20"/>
                <w:szCs w:val="20"/>
              </w:rPr>
            </w:pPr>
            <w:r w:rsidRPr="00AB7623">
              <w:rPr>
                <w:rFonts w:ascii="Calibri" w:eastAsia="Calibri" w:hAnsi="Calibri" w:cs="Calibri"/>
                <w:sz w:val="20"/>
                <w:szCs w:val="20"/>
              </w:rPr>
              <w:t>612 (39.4)</w:t>
            </w:r>
          </w:p>
        </w:tc>
        <w:tc>
          <w:tcPr>
            <w:tcW w:w="1430" w:type="dxa"/>
          </w:tcPr>
          <w:p w14:paraId="41164D1C" w14:textId="7D2B7640"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285 (40.4)</w:t>
            </w:r>
          </w:p>
        </w:tc>
        <w:tc>
          <w:tcPr>
            <w:tcW w:w="1372" w:type="dxa"/>
          </w:tcPr>
          <w:p w14:paraId="1835F054" w14:textId="0D90F4AA"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327 (36.8)</w:t>
            </w:r>
          </w:p>
        </w:tc>
        <w:tc>
          <w:tcPr>
            <w:tcW w:w="1679" w:type="dxa"/>
            <w:vMerge w:val="restart"/>
          </w:tcPr>
          <w:p w14:paraId="1184567A" w14:textId="4D676271"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19.88 (</w:t>
            </w:r>
            <w:proofErr w:type="gramStart"/>
            <w:r w:rsidRPr="00AB7623">
              <w:rPr>
                <w:rFonts w:ascii="Calibri" w:eastAsia="Calibri" w:hAnsi="Calibri" w:cs="Calibri"/>
                <w:sz w:val="20"/>
                <w:szCs w:val="20"/>
              </w:rPr>
              <w:t>0.001)*</w:t>
            </w:r>
            <w:proofErr w:type="gramEnd"/>
            <w:r w:rsidRPr="00AB7623">
              <w:rPr>
                <w:rFonts w:ascii="Calibri" w:eastAsia="Calibri" w:hAnsi="Calibri" w:cs="Calibri"/>
                <w:sz w:val="20"/>
                <w:szCs w:val="20"/>
              </w:rPr>
              <w:t>**</w:t>
            </w:r>
          </w:p>
        </w:tc>
      </w:tr>
      <w:tr w:rsidR="00E43F08" w:rsidRPr="00AB7623" w14:paraId="44BEACE7" w14:textId="1CF64FE7" w:rsidTr="00DA4175">
        <w:tc>
          <w:tcPr>
            <w:tcW w:w="1555" w:type="dxa"/>
            <w:vMerge/>
          </w:tcPr>
          <w:p w14:paraId="705DDA06" w14:textId="77777777" w:rsidR="00E43F08" w:rsidRPr="00AB7623" w:rsidRDefault="00E43F08" w:rsidP="00E43F08">
            <w:pPr>
              <w:spacing w:line="276" w:lineRule="auto"/>
              <w:rPr>
                <w:rFonts w:ascii="Calibri" w:eastAsia="Calibri" w:hAnsi="Calibri" w:cs="Calibri"/>
                <w:sz w:val="20"/>
                <w:szCs w:val="20"/>
              </w:rPr>
            </w:pPr>
          </w:p>
        </w:tc>
        <w:tc>
          <w:tcPr>
            <w:tcW w:w="1630" w:type="dxa"/>
          </w:tcPr>
          <w:p w14:paraId="5B8209D8" w14:textId="77777777" w:rsidR="00E43F08" w:rsidRPr="00AB7623" w:rsidRDefault="00E43F08" w:rsidP="00E43F08">
            <w:pPr>
              <w:spacing w:line="276" w:lineRule="auto"/>
              <w:rPr>
                <w:rFonts w:ascii="Calibri" w:hAnsi="Calibri" w:cs="Calibri"/>
                <w:sz w:val="20"/>
                <w:szCs w:val="20"/>
              </w:rPr>
            </w:pPr>
            <w:r w:rsidRPr="00AB7623">
              <w:rPr>
                <w:rFonts w:ascii="Calibri" w:hAnsi="Calibri" w:cs="Calibri"/>
                <w:sz w:val="20"/>
                <w:szCs w:val="20"/>
              </w:rPr>
              <w:t>Part-time</w:t>
            </w:r>
          </w:p>
        </w:tc>
        <w:tc>
          <w:tcPr>
            <w:tcW w:w="1344" w:type="dxa"/>
          </w:tcPr>
          <w:p w14:paraId="26C09270" w14:textId="7777777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223 (14.4)</w:t>
            </w:r>
          </w:p>
        </w:tc>
        <w:tc>
          <w:tcPr>
            <w:tcW w:w="1430" w:type="dxa"/>
          </w:tcPr>
          <w:p w14:paraId="7E8CDCCC" w14:textId="07646B5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91 (12.9)</w:t>
            </w:r>
          </w:p>
        </w:tc>
        <w:tc>
          <w:tcPr>
            <w:tcW w:w="1372" w:type="dxa"/>
          </w:tcPr>
          <w:p w14:paraId="1929524B" w14:textId="0D06CC84"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132 (15.6)</w:t>
            </w:r>
          </w:p>
        </w:tc>
        <w:tc>
          <w:tcPr>
            <w:tcW w:w="1679" w:type="dxa"/>
            <w:vMerge/>
          </w:tcPr>
          <w:p w14:paraId="306412A2" w14:textId="77777777" w:rsidR="00E43F08" w:rsidRPr="00AB7623" w:rsidRDefault="00E43F08" w:rsidP="00E43F08">
            <w:pPr>
              <w:spacing w:line="276" w:lineRule="auto"/>
              <w:jc w:val="center"/>
              <w:rPr>
                <w:rFonts w:ascii="Calibri" w:eastAsia="Calibri" w:hAnsi="Calibri" w:cs="Calibri"/>
                <w:sz w:val="20"/>
                <w:szCs w:val="20"/>
              </w:rPr>
            </w:pPr>
          </w:p>
        </w:tc>
      </w:tr>
      <w:tr w:rsidR="00E43F08" w:rsidRPr="00AB7623" w14:paraId="14EDAEC3" w14:textId="0A2B8FCC" w:rsidTr="00DA4175">
        <w:tc>
          <w:tcPr>
            <w:tcW w:w="1555" w:type="dxa"/>
            <w:vMerge/>
          </w:tcPr>
          <w:p w14:paraId="61FBE811" w14:textId="77777777" w:rsidR="00E43F08" w:rsidRPr="00AB7623" w:rsidRDefault="00E43F08" w:rsidP="00E43F08">
            <w:pPr>
              <w:spacing w:line="276" w:lineRule="auto"/>
              <w:rPr>
                <w:rFonts w:ascii="Calibri" w:hAnsi="Calibri" w:cs="Calibri"/>
                <w:sz w:val="20"/>
                <w:szCs w:val="20"/>
              </w:rPr>
            </w:pPr>
          </w:p>
        </w:tc>
        <w:tc>
          <w:tcPr>
            <w:tcW w:w="1630" w:type="dxa"/>
          </w:tcPr>
          <w:p w14:paraId="1802BF53" w14:textId="77777777" w:rsidR="00E43F08" w:rsidRPr="00AB7623" w:rsidRDefault="00E43F08" w:rsidP="00E43F08">
            <w:pPr>
              <w:spacing w:line="276" w:lineRule="auto"/>
              <w:rPr>
                <w:rFonts w:ascii="Calibri" w:hAnsi="Calibri" w:cs="Calibri"/>
                <w:sz w:val="20"/>
                <w:szCs w:val="20"/>
              </w:rPr>
            </w:pPr>
            <w:r w:rsidRPr="00AB7623">
              <w:rPr>
                <w:rFonts w:ascii="Calibri" w:eastAsia="Calibri" w:hAnsi="Calibri" w:cs="Calibri"/>
                <w:sz w:val="20"/>
                <w:szCs w:val="20"/>
              </w:rPr>
              <w:t>Self-employed</w:t>
            </w:r>
          </w:p>
        </w:tc>
        <w:tc>
          <w:tcPr>
            <w:tcW w:w="1344" w:type="dxa"/>
          </w:tcPr>
          <w:p w14:paraId="3C72A340" w14:textId="7777777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131 (8.4)</w:t>
            </w:r>
          </w:p>
        </w:tc>
        <w:tc>
          <w:tcPr>
            <w:tcW w:w="1430" w:type="dxa"/>
          </w:tcPr>
          <w:p w14:paraId="721623F1" w14:textId="3276A646"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78 (11.6)</w:t>
            </w:r>
          </w:p>
        </w:tc>
        <w:tc>
          <w:tcPr>
            <w:tcW w:w="1372" w:type="dxa"/>
          </w:tcPr>
          <w:p w14:paraId="722854DC" w14:textId="58E0A49D"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53 (6.3)</w:t>
            </w:r>
          </w:p>
        </w:tc>
        <w:tc>
          <w:tcPr>
            <w:tcW w:w="1679" w:type="dxa"/>
            <w:vMerge/>
          </w:tcPr>
          <w:p w14:paraId="44382867" w14:textId="77777777" w:rsidR="00E43F08" w:rsidRPr="00AB7623" w:rsidRDefault="00E43F08" w:rsidP="00E43F08">
            <w:pPr>
              <w:spacing w:line="276" w:lineRule="auto"/>
              <w:jc w:val="center"/>
              <w:rPr>
                <w:rFonts w:ascii="Calibri" w:eastAsia="Calibri" w:hAnsi="Calibri" w:cs="Calibri"/>
                <w:sz w:val="20"/>
                <w:szCs w:val="20"/>
              </w:rPr>
            </w:pPr>
          </w:p>
        </w:tc>
      </w:tr>
      <w:tr w:rsidR="00E43F08" w:rsidRPr="00AB7623" w14:paraId="594C6A21" w14:textId="3972C019" w:rsidTr="00DA4175">
        <w:tc>
          <w:tcPr>
            <w:tcW w:w="1555" w:type="dxa"/>
            <w:vMerge/>
          </w:tcPr>
          <w:p w14:paraId="7D562084" w14:textId="77777777" w:rsidR="00E43F08" w:rsidRPr="00AB7623" w:rsidRDefault="00E43F08" w:rsidP="00E43F08">
            <w:pPr>
              <w:spacing w:line="276" w:lineRule="auto"/>
              <w:rPr>
                <w:rFonts w:ascii="Calibri" w:hAnsi="Calibri" w:cs="Calibri"/>
                <w:sz w:val="20"/>
                <w:szCs w:val="20"/>
              </w:rPr>
            </w:pPr>
          </w:p>
        </w:tc>
        <w:tc>
          <w:tcPr>
            <w:tcW w:w="1630" w:type="dxa"/>
          </w:tcPr>
          <w:p w14:paraId="6C2A5233" w14:textId="77777777" w:rsidR="00E43F08" w:rsidRPr="00AB7623" w:rsidRDefault="00E43F08" w:rsidP="00E43F08">
            <w:pPr>
              <w:spacing w:line="276" w:lineRule="auto"/>
              <w:rPr>
                <w:rFonts w:ascii="Calibri" w:eastAsia="Calibri" w:hAnsi="Calibri" w:cs="Calibri"/>
                <w:sz w:val="20"/>
                <w:szCs w:val="20"/>
              </w:rPr>
            </w:pPr>
            <w:r w:rsidRPr="00AB7623">
              <w:rPr>
                <w:rFonts w:ascii="Calibri" w:eastAsia="Calibri" w:hAnsi="Calibri" w:cs="Calibri"/>
                <w:sz w:val="20"/>
                <w:szCs w:val="20"/>
              </w:rPr>
              <w:t xml:space="preserve">Retired </w:t>
            </w:r>
          </w:p>
        </w:tc>
        <w:tc>
          <w:tcPr>
            <w:tcW w:w="1344" w:type="dxa"/>
          </w:tcPr>
          <w:p w14:paraId="2EA05E3F" w14:textId="7777777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342 (22.0)</w:t>
            </w:r>
          </w:p>
        </w:tc>
        <w:tc>
          <w:tcPr>
            <w:tcW w:w="1430" w:type="dxa"/>
          </w:tcPr>
          <w:p w14:paraId="4A65F174" w14:textId="0CD591B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145 (20.6)</w:t>
            </w:r>
          </w:p>
        </w:tc>
        <w:tc>
          <w:tcPr>
            <w:tcW w:w="1372" w:type="dxa"/>
          </w:tcPr>
          <w:p w14:paraId="5D65D5DC" w14:textId="3D1811D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197 (23.3)</w:t>
            </w:r>
          </w:p>
        </w:tc>
        <w:tc>
          <w:tcPr>
            <w:tcW w:w="1679" w:type="dxa"/>
            <w:vMerge/>
          </w:tcPr>
          <w:p w14:paraId="02406045" w14:textId="77777777" w:rsidR="00E43F08" w:rsidRPr="00AB7623" w:rsidRDefault="00E43F08" w:rsidP="00E43F08">
            <w:pPr>
              <w:spacing w:line="276" w:lineRule="auto"/>
              <w:jc w:val="center"/>
              <w:rPr>
                <w:rFonts w:ascii="Calibri" w:eastAsia="Calibri" w:hAnsi="Calibri" w:cs="Calibri"/>
                <w:sz w:val="20"/>
                <w:szCs w:val="20"/>
              </w:rPr>
            </w:pPr>
          </w:p>
        </w:tc>
      </w:tr>
      <w:tr w:rsidR="00E43F08" w:rsidRPr="00AB7623" w14:paraId="660D2413" w14:textId="7AB9DABB" w:rsidTr="00DA4175">
        <w:tc>
          <w:tcPr>
            <w:tcW w:w="1555" w:type="dxa"/>
            <w:vMerge/>
          </w:tcPr>
          <w:p w14:paraId="63906C9F" w14:textId="77777777" w:rsidR="00E43F08" w:rsidRPr="00AB7623" w:rsidRDefault="00E43F08" w:rsidP="00E43F08">
            <w:pPr>
              <w:spacing w:line="276" w:lineRule="auto"/>
              <w:rPr>
                <w:rFonts w:ascii="Calibri" w:hAnsi="Calibri" w:cs="Calibri"/>
                <w:sz w:val="20"/>
                <w:szCs w:val="20"/>
              </w:rPr>
            </w:pPr>
          </w:p>
        </w:tc>
        <w:tc>
          <w:tcPr>
            <w:tcW w:w="1630" w:type="dxa"/>
          </w:tcPr>
          <w:p w14:paraId="36A3FA89" w14:textId="41DD5351" w:rsidR="00E43F08" w:rsidRPr="00AB7623" w:rsidRDefault="00C265F2" w:rsidP="00E43F08">
            <w:pPr>
              <w:spacing w:line="276" w:lineRule="auto"/>
              <w:rPr>
                <w:rFonts w:ascii="Calibri" w:eastAsia="Calibri" w:hAnsi="Calibri" w:cs="Calibri"/>
                <w:sz w:val="20"/>
                <w:szCs w:val="20"/>
              </w:rPr>
            </w:pPr>
            <w:r w:rsidRPr="00C265F2">
              <w:rPr>
                <w:rFonts w:ascii="Calibri" w:hAnsi="Calibri" w:cs="Calibri"/>
                <w:sz w:val="20"/>
                <w:szCs w:val="20"/>
              </w:rPr>
              <w:t>Not looking/ unable to work</w:t>
            </w:r>
          </w:p>
        </w:tc>
        <w:tc>
          <w:tcPr>
            <w:tcW w:w="1344" w:type="dxa"/>
          </w:tcPr>
          <w:p w14:paraId="4BCF2D64" w14:textId="7777777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214 (13.8)</w:t>
            </w:r>
          </w:p>
        </w:tc>
        <w:tc>
          <w:tcPr>
            <w:tcW w:w="1430" w:type="dxa"/>
          </w:tcPr>
          <w:p w14:paraId="6C2F4AA4" w14:textId="7843DB7D"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87 (12.3)</w:t>
            </w:r>
          </w:p>
        </w:tc>
        <w:tc>
          <w:tcPr>
            <w:tcW w:w="1372" w:type="dxa"/>
          </w:tcPr>
          <w:p w14:paraId="36BF4C5D" w14:textId="1B4C0B4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127 (15.0)</w:t>
            </w:r>
          </w:p>
        </w:tc>
        <w:tc>
          <w:tcPr>
            <w:tcW w:w="1679" w:type="dxa"/>
            <w:vMerge/>
          </w:tcPr>
          <w:p w14:paraId="47092375" w14:textId="77777777" w:rsidR="00E43F08" w:rsidRPr="00AB7623" w:rsidRDefault="00E43F08" w:rsidP="00E43F08">
            <w:pPr>
              <w:spacing w:line="276" w:lineRule="auto"/>
              <w:jc w:val="center"/>
              <w:rPr>
                <w:rFonts w:ascii="Calibri" w:eastAsia="Calibri" w:hAnsi="Calibri" w:cs="Calibri"/>
                <w:sz w:val="20"/>
                <w:szCs w:val="20"/>
              </w:rPr>
            </w:pPr>
          </w:p>
        </w:tc>
      </w:tr>
      <w:tr w:rsidR="00E43F08" w:rsidRPr="00AB7623" w14:paraId="6CF59B31" w14:textId="44A22315" w:rsidTr="00DA4175">
        <w:tc>
          <w:tcPr>
            <w:tcW w:w="1555" w:type="dxa"/>
            <w:vMerge/>
          </w:tcPr>
          <w:p w14:paraId="212DE96F" w14:textId="77777777" w:rsidR="00E43F08" w:rsidRPr="00AB7623" w:rsidRDefault="00E43F08" w:rsidP="00E43F08">
            <w:pPr>
              <w:spacing w:line="276" w:lineRule="auto"/>
              <w:rPr>
                <w:rFonts w:ascii="Calibri" w:hAnsi="Calibri" w:cs="Calibri"/>
                <w:sz w:val="20"/>
                <w:szCs w:val="20"/>
              </w:rPr>
            </w:pPr>
          </w:p>
        </w:tc>
        <w:tc>
          <w:tcPr>
            <w:tcW w:w="1630" w:type="dxa"/>
          </w:tcPr>
          <w:p w14:paraId="79611CD0" w14:textId="77777777" w:rsidR="00E43F08" w:rsidRPr="00AB7623" w:rsidRDefault="00E43F08" w:rsidP="00E43F08">
            <w:pPr>
              <w:spacing w:line="276" w:lineRule="auto"/>
              <w:rPr>
                <w:rFonts w:ascii="Calibri" w:eastAsia="Calibri" w:hAnsi="Calibri" w:cs="Calibri"/>
                <w:sz w:val="20"/>
                <w:szCs w:val="20"/>
              </w:rPr>
            </w:pPr>
            <w:r w:rsidRPr="00AB7623">
              <w:rPr>
                <w:rFonts w:ascii="Calibri" w:eastAsia="Calibri" w:hAnsi="Calibri" w:cs="Calibri"/>
                <w:sz w:val="20"/>
                <w:szCs w:val="20"/>
              </w:rPr>
              <w:t>Other</w:t>
            </w:r>
          </w:p>
        </w:tc>
        <w:tc>
          <w:tcPr>
            <w:tcW w:w="1344" w:type="dxa"/>
          </w:tcPr>
          <w:p w14:paraId="1D9B616F" w14:textId="77777777"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30 (1.9)</w:t>
            </w:r>
          </w:p>
        </w:tc>
        <w:tc>
          <w:tcPr>
            <w:tcW w:w="1430" w:type="dxa"/>
          </w:tcPr>
          <w:p w14:paraId="1916517B" w14:textId="5E484B96"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19 (2.7)</w:t>
            </w:r>
          </w:p>
        </w:tc>
        <w:tc>
          <w:tcPr>
            <w:tcW w:w="1372" w:type="dxa"/>
          </w:tcPr>
          <w:p w14:paraId="5A494E2F" w14:textId="32D586B8"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11 (1.3)</w:t>
            </w:r>
          </w:p>
        </w:tc>
        <w:tc>
          <w:tcPr>
            <w:tcW w:w="1679" w:type="dxa"/>
            <w:vMerge/>
          </w:tcPr>
          <w:p w14:paraId="1B28C5D5" w14:textId="77777777" w:rsidR="00E43F08" w:rsidRPr="00AB7623" w:rsidRDefault="00E43F08" w:rsidP="00E43F08">
            <w:pPr>
              <w:spacing w:line="276" w:lineRule="auto"/>
              <w:jc w:val="center"/>
              <w:rPr>
                <w:rFonts w:ascii="Calibri" w:eastAsia="Calibri" w:hAnsi="Calibri" w:cs="Calibri"/>
                <w:sz w:val="20"/>
                <w:szCs w:val="20"/>
              </w:rPr>
            </w:pPr>
          </w:p>
        </w:tc>
      </w:tr>
      <w:tr w:rsidR="00F5012B" w:rsidRPr="00AB7623" w14:paraId="011ABC85" w14:textId="77777777" w:rsidTr="00DA4175">
        <w:tc>
          <w:tcPr>
            <w:tcW w:w="1555" w:type="dxa"/>
            <w:vMerge w:val="restart"/>
          </w:tcPr>
          <w:p w14:paraId="176896BB" w14:textId="356F5B81" w:rsidR="00F5012B" w:rsidRPr="00AB7623" w:rsidRDefault="00F5012B" w:rsidP="00E43F08">
            <w:pPr>
              <w:spacing w:line="276" w:lineRule="auto"/>
              <w:rPr>
                <w:rFonts w:ascii="Calibri" w:hAnsi="Calibri" w:cs="Calibri"/>
                <w:sz w:val="20"/>
                <w:szCs w:val="20"/>
              </w:rPr>
            </w:pPr>
            <w:r>
              <w:rPr>
                <w:rFonts w:ascii="Calibri" w:hAnsi="Calibri" w:cs="Calibri"/>
                <w:sz w:val="20"/>
                <w:szCs w:val="20"/>
              </w:rPr>
              <w:t>BMI</w:t>
            </w:r>
          </w:p>
        </w:tc>
        <w:tc>
          <w:tcPr>
            <w:tcW w:w="1630" w:type="dxa"/>
          </w:tcPr>
          <w:p w14:paraId="226B4F50" w14:textId="096598E8" w:rsidR="00F5012B" w:rsidRPr="00AB7623" w:rsidRDefault="00F5012B" w:rsidP="00E43F08">
            <w:pPr>
              <w:spacing w:line="276" w:lineRule="auto"/>
              <w:rPr>
                <w:rFonts w:ascii="Calibri" w:eastAsia="Calibri" w:hAnsi="Calibri" w:cs="Calibri"/>
                <w:sz w:val="20"/>
                <w:szCs w:val="20"/>
              </w:rPr>
            </w:pPr>
            <w:r>
              <w:rPr>
                <w:rFonts w:ascii="Calibri" w:eastAsia="Calibri" w:hAnsi="Calibri" w:cs="Calibri"/>
                <w:sz w:val="20"/>
                <w:szCs w:val="20"/>
              </w:rPr>
              <w:t>Underweight</w:t>
            </w:r>
          </w:p>
        </w:tc>
        <w:tc>
          <w:tcPr>
            <w:tcW w:w="1344" w:type="dxa"/>
          </w:tcPr>
          <w:p w14:paraId="09CE7F91" w14:textId="2872C834"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31 (2.0)</w:t>
            </w:r>
          </w:p>
        </w:tc>
        <w:tc>
          <w:tcPr>
            <w:tcW w:w="1430" w:type="dxa"/>
          </w:tcPr>
          <w:p w14:paraId="52008670" w14:textId="4558C380"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21 (3.0)</w:t>
            </w:r>
          </w:p>
        </w:tc>
        <w:tc>
          <w:tcPr>
            <w:tcW w:w="1372" w:type="dxa"/>
          </w:tcPr>
          <w:p w14:paraId="79324955" w14:textId="43D26643"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10 (1.2)</w:t>
            </w:r>
          </w:p>
        </w:tc>
        <w:tc>
          <w:tcPr>
            <w:tcW w:w="1679" w:type="dxa"/>
            <w:vMerge w:val="restart"/>
          </w:tcPr>
          <w:p w14:paraId="19342922" w14:textId="1CAAB8F3"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11.91 (</w:t>
            </w:r>
            <w:proofErr w:type="gramStart"/>
            <w:r>
              <w:rPr>
                <w:rFonts w:ascii="Calibri" w:eastAsia="Calibri" w:hAnsi="Calibri" w:cs="Calibri"/>
                <w:sz w:val="20"/>
                <w:szCs w:val="20"/>
              </w:rPr>
              <w:t>0.0</w:t>
            </w:r>
            <w:r w:rsidR="00016915">
              <w:rPr>
                <w:rFonts w:ascii="Calibri" w:eastAsia="Calibri" w:hAnsi="Calibri" w:cs="Calibri"/>
                <w:sz w:val="20"/>
                <w:szCs w:val="20"/>
              </w:rPr>
              <w:t>18</w:t>
            </w:r>
            <w:r>
              <w:rPr>
                <w:rFonts w:ascii="Calibri" w:eastAsia="Calibri" w:hAnsi="Calibri" w:cs="Calibri"/>
                <w:sz w:val="20"/>
                <w:szCs w:val="20"/>
              </w:rPr>
              <w:t>)*</w:t>
            </w:r>
            <w:proofErr w:type="gramEnd"/>
          </w:p>
        </w:tc>
      </w:tr>
      <w:tr w:rsidR="00F5012B" w:rsidRPr="00AB7623" w14:paraId="34CD46DF" w14:textId="77777777" w:rsidTr="00DA4175">
        <w:tc>
          <w:tcPr>
            <w:tcW w:w="1555" w:type="dxa"/>
            <w:vMerge/>
          </w:tcPr>
          <w:p w14:paraId="5EC9266D" w14:textId="77777777" w:rsidR="00F5012B" w:rsidRPr="00AB7623" w:rsidRDefault="00F5012B" w:rsidP="00E43F08">
            <w:pPr>
              <w:spacing w:line="276" w:lineRule="auto"/>
              <w:rPr>
                <w:rFonts w:ascii="Calibri" w:hAnsi="Calibri" w:cs="Calibri"/>
                <w:sz w:val="20"/>
                <w:szCs w:val="20"/>
              </w:rPr>
            </w:pPr>
          </w:p>
        </w:tc>
        <w:tc>
          <w:tcPr>
            <w:tcW w:w="1630" w:type="dxa"/>
          </w:tcPr>
          <w:p w14:paraId="65D4054D" w14:textId="12424A1C" w:rsidR="00F5012B" w:rsidRPr="00AB7623" w:rsidRDefault="00F5012B" w:rsidP="00E43F08">
            <w:pPr>
              <w:spacing w:line="276" w:lineRule="auto"/>
              <w:rPr>
                <w:rFonts w:ascii="Calibri" w:eastAsia="Calibri" w:hAnsi="Calibri" w:cs="Calibri"/>
                <w:sz w:val="20"/>
                <w:szCs w:val="20"/>
              </w:rPr>
            </w:pPr>
            <w:r>
              <w:rPr>
                <w:rFonts w:ascii="Calibri" w:eastAsia="Calibri" w:hAnsi="Calibri" w:cs="Calibri"/>
                <w:sz w:val="20"/>
                <w:szCs w:val="20"/>
              </w:rPr>
              <w:t>Normal</w:t>
            </w:r>
          </w:p>
        </w:tc>
        <w:tc>
          <w:tcPr>
            <w:tcW w:w="1344" w:type="dxa"/>
          </w:tcPr>
          <w:p w14:paraId="11DC55C9" w14:textId="3EC6CF6A"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479 (30.9)</w:t>
            </w:r>
          </w:p>
        </w:tc>
        <w:tc>
          <w:tcPr>
            <w:tcW w:w="1430" w:type="dxa"/>
          </w:tcPr>
          <w:p w14:paraId="4CD3A855" w14:textId="034FD255"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236 (33.5)</w:t>
            </w:r>
          </w:p>
        </w:tc>
        <w:tc>
          <w:tcPr>
            <w:tcW w:w="1372" w:type="dxa"/>
          </w:tcPr>
          <w:p w14:paraId="6EED9413" w14:textId="393C8089"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243 (28.7)</w:t>
            </w:r>
          </w:p>
        </w:tc>
        <w:tc>
          <w:tcPr>
            <w:tcW w:w="1679" w:type="dxa"/>
            <w:vMerge/>
          </w:tcPr>
          <w:p w14:paraId="2B569CE2" w14:textId="77777777" w:rsidR="00F5012B" w:rsidRPr="00AB7623" w:rsidRDefault="00F5012B" w:rsidP="00E43F08">
            <w:pPr>
              <w:spacing w:line="276" w:lineRule="auto"/>
              <w:jc w:val="center"/>
              <w:rPr>
                <w:rFonts w:ascii="Calibri" w:eastAsia="Calibri" w:hAnsi="Calibri" w:cs="Calibri"/>
                <w:sz w:val="20"/>
                <w:szCs w:val="20"/>
              </w:rPr>
            </w:pPr>
          </w:p>
        </w:tc>
      </w:tr>
      <w:tr w:rsidR="00F5012B" w:rsidRPr="00AB7623" w14:paraId="05C2AA7F" w14:textId="77777777" w:rsidTr="00DA4175">
        <w:tc>
          <w:tcPr>
            <w:tcW w:w="1555" w:type="dxa"/>
            <w:vMerge/>
          </w:tcPr>
          <w:p w14:paraId="04CD4366" w14:textId="77777777" w:rsidR="00F5012B" w:rsidRPr="00AB7623" w:rsidRDefault="00F5012B" w:rsidP="00E43F08">
            <w:pPr>
              <w:spacing w:line="276" w:lineRule="auto"/>
              <w:rPr>
                <w:rFonts w:ascii="Calibri" w:hAnsi="Calibri" w:cs="Calibri"/>
                <w:sz w:val="20"/>
                <w:szCs w:val="20"/>
              </w:rPr>
            </w:pPr>
          </w:p>
        </w:tc>
        <w:tc>
          <w:tcPr>
            <w:tcW w:w="1630" w:type="dxa"/>
          </w:tcPr>
          <w:p w14:paraId="519F430C" w14:textId="4E48B9F8" w:rsidR="00F5012B" w:rsidRPr="00AB7623" w:rsidRDefault="00F5012B" w:rsidP="00E43F08">
            <w:pPr>
              <w:spacing w:line="276" w:lineRule="auto"/>
              <w:rPr>
                <w:rFonts w:ascii="Calibri" w:eastAsia="Calibri" w:hAnsi="Calibri" w:cs="Calibri"/>
                <w:sz w:val="20"/>
                <w:szCs w:val="20"/>
              </w:rPr>
            </w:pPr>
            <w:r>
              <w:rPr>
                <w:rFonts w:ascii="Calibri" w:eastAsia="Calibri" w:hAnsi="Calibri" w:cs="Calibri"/>
                <w:sz w:val="20"/>
                <w:szCs w:val="20"/>
              </w:rPr>
              <w:t>Overweight</w:t>
            </w:r>
          </w:p>
        </w:tc>
        <w:tc>
          <w:tcPr>
            <w:tcW w:w="1344" w:type="dxa"/>
          </w:tcPr>
          <w:p w14:paraId="65DBF687" w14:textId="198CFEF5"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425 (27.4)</w:t>
            </w:r>
          </w:p>
        </w:tc>
        <w:tc>
          <w:tcPr>
            <w:tcW w:w="1430" w:type="dxa"/>
          </w:tcPr>
          <w:p w14:paraId="428D8AB6" w14:textId="7ED670AE"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180 (25.5)</w:t>
            </w:r>
          </w:p>
        </w:tc>
        <w:tc>
          <w:tcPr>
            <w:tcW w:w="1372" w:type="dxa"/>
          </w:tcPr>
          <w:p w14:paraId="4B0F30A6" w14:textId="2956AE6B"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245 (28.9)</w:t>
            </w:r>
          </w:p>
        </w:tc>
        <w:tc>
          <w:tcPr>
            <w:tcW w:w="1679" w:type="dxa"/>
            <w:vMerge/>
          </w:tcPr>
          <w:p w14:paraId="20CA238D" w14:textId="77777777" w:rsidR="00F5012B" w:rsidRPr="00AB7623" w:rsidRDefault="00F5012B" w:rsidP="00E43F08">
            <w:pPr>
              <w:spacing w:line="276" w:lineRule="auto"/>
              <w:jc w:val="center"/>
              <w:rPr>
                <w:rFonts w:ascii="Calibri" w:eastAsia="Calibri" w:hAnsi="Calibri" w:cs="Calibri"/>
                <w:sz w:val="20"/>
                <w:szCs w:val="20"/>
              </w:rPr>
            </w:pPr>
          </w:p>
        </w:tc>
      </w:tr>
      <w:tr w:rsidR="00F5012B" w:rsidRPr="00AB7623" w14:paraId="1E3707A1" w14:textId="77777777" w:rsidTr="00DA4175">
        <w:tc>
          <w:tcPr>
            <w:tcW w:w="1555" w:type="dxa"/>
            <w:vMerge/>
          </w:tcPr>
          <w:p w14:paraId="78FA73DF" w14:textId="77777777" w:rsidR="00F5012B" w:rsidRPr="00AB7623" w:rsidRDefault="00F5012B" w:rsidP="00E43F08">
            <w:pPr>
              <w:spacing w:line="276" w:lineRule="auto"/>
              <w:rPr>
                <w:rFonts w:ascii="Calibri" w:hAnsi="Calibri" w:cs="Calibri"/>
                <w:sz w:val="20"/>
                <w:szCs w:val="20"/>
              </w:rPr>
            </w:pPr>
          </w:p>
        </w:tc>
        <w:tc>
          <w:tcPr>
            <w:tcW w:w="1630" w:type="dxa"/>
          </w:tcPr>
          <w:p w14:paraId="3B3C30A4" w14:textId="5989AC60" w:rsidR="00F5012B" w:rsidRPr="00AB7623" w:rsidRDefault="00F5012B" w:rsidP="00E43F08">
            <w:pPr>
              <w:spacing w:line="276" w:lineRule="auto"/>
              <w:rPr>
                <w:rFonts w:ascii="Calibri" w:eastAsia="Calibri" w:hAnsi="Calibri" w:cs="Calibri"/>
                <w:sz w:val="20"/>
                <w:szCs w:val="20"/>
              </w:rPr>
            </w:pPr>
            <w:r>
              <w:rPr>
                <w:rFonts w:ascii="Calibri" w:eastAsia="Calibri" w:hAnsi="Calibri" w:cs="Calibri"/>
                <w:sz w:val="20"/>
                <w:szCs w:val="20"/>
              </w:rPr>
              <w:t>Obese</w:t>
            </w:r>
          </w:p>
        </w:tc>
        <w:tc>
          <w:tcPr>
            <w:tcW w:w="1344" w:type="dxa"/>
          </w:tcPr>
          <w:p w14:paraId="0F22DC85" w14:textId="7FC4569B"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336 (21.7)</w:t>
            </w:r>
          </w:p>
        </w:tc>
        <w:tc>
          <w:tcPr>
            <w:tcW w:w="1430" w:type="dxa"/>
          </w:tcPr>
          <w:p w14:paraId="4772A518" w14:textId="52D3D054"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143 (20.3)</w:t>
            </w:r>
          </w:p>
        </w:tc>
        <w:tc>
          <w:tcPr>
            <w:tcW w:w="1372" w:type="dxa"/>
          </w:tcPr>
          <w:p w14:paraId="14346E33" w14:textId="31A2CB8F"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193 (22.8)</w:t>
            </w:r>
          </w:p>
        </w:tc>
        <w:tc>
          <w:tcPr>
            <w:tcW w:w="1679" w:type="dxa"/>
            <w:vMerge/>
          </w:tcPr>
          <w:p w14:paraId="3A746442" w14:textId="77777777" w:rsidR="00F5012B" w:rsidRPr="00AB7623" w:rsidRDefault="00F5012B" w:rsidP="00E43F08">
            <w:pPr>
              <w:spacing w:line="276" w:lineRule="auto"/>
              <w:jc w:val="center"/>
              <w:rPr>
                <w:rFonts w:ascii="Calibri" w:eastAsia="Calibri" w:hAnsi="Calibri" w:cs="Calibri"/>
                <w:sz w:val="20"/>
                <w:szCs w:val="20"/>
              </w:rPr>
            </w:pPr>
          </w:p>
        </w:tc>
      </w:tr>
      <w:tr w:rsidR="00F5012B" w:rsidRPr="00AB7623" w14:paraId="3441CC70" w14:textId="77777777" w:rsidTr="00DA4175">
        <w:tc>
          <w:tcPr>
            <w:tcW w:w="1555" w:type="dxa"/>
            <w:vMerge/>
          </w:tcPr>
          <w:p w14:paraId="3E5B112E" w14:textId="77777777" w:rsidR="00F5012B" w:rsidRPr="00AB7623" w:rsidRDefault="00F5012B" w:rsidP="00E43F08">
            <w:pPr>
              <w:spacing w:line="276" w:lineRule="auto"/>
              <w:rPr>
                <w:rFonts w:ascii="Calibri" w:hAnsi="Calibri" w:cs="Calibri"/>
                <w:sz w:val="20"/>
                <w:szCs w:val="20"/>
              </w:rPr>
            </w:pPr>
          </w:p>
        </w:tc>
        <w:tc>
          <w:tcPr>
            <w:tcW w:w="1630" w:type="dxa"/>
          </w:tcPr>
          <w:p w14:paraId="46AEF3A4" w14:textId="0D00A34E" w:rsidR="00F5012B" w:rsidRDefault="00F5012B" w:rsidP="00E43F08">
            <w:pPr>
              <w:spacing w:line="276" w:lineRule="auto"/>
              <w:rPr>
                <w:rFonts w:ascii="Calibri" w:eastAsia="Calibri" w:hAnsi="Calibri" w:cs="Calibri"/>
                <w:sz w:val="20"/>
                <w:szCs w:val="20"/>
              </w:rPr>
            </w:pPr>
            <w:r>
              <w:rPr>
                <w:rFonts w:ascii="Calibri" w:eastAsia="Calibri" w:hAnsi="Calibri" w:cs="Calibri"/>
                <w:sz w:val="20"/>
                <w:szCs w:val="20"/>
              </w:rPr>
              <w:t>Missing</w:t>
            </w:r>
          </w:p>
        </w:tc>
        <w:tc>
          <w:tcPr>
            <w:tcW w:w="1344" w:type="dxa"/>
          </w:tcPr>
          <w:p w14:paraId="40C5C3ED" w14:textId="3B38B799"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281 (18.1)</w:t>
            </w:r>
          </w:p>
        </w:tc>
        <w:tc>
          <w:tcPr>
            <w:tcW w:w="1430" w:type="dxa"/>
          </w:tcPr>
          <w:p w14:paraId="7DFA43C5" w14:textId="19EF612E"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125 (17.7)</w:t>
            </w:r>
          </w:p>
        </w:tc>
        <w:tc>
          <w:tcPr>
            <w:tcW w:w="1372" w:type="dxa"/>
          </w:tcPr>
          <w:p w14:paraId="0506D342" w14:textId="103EC80D" w:rsidR="00F5012B" w:rsidRPr="00AB7623" w:rsidRDefault="00F5012B" w:rsidP="00E43F08">
            <w:pPr>
              <w:spacing w:line="276" w:lineRule="auto"/>
              <w:jc w:val="center"/>
              <w:rPr>
                <w:rFonts w:ascii="Calibri" w:eastAsia="Calibri" w:hAnsi="Calibri" w:cs="Calibri"/>
                <w:sz w:val="20"/>
                <w:szCs w:val="20"/>
              </w:rPr>
            </w:pPr>
            <w:r>
              <w:rPr>
                <w:rFonts w:ascii="Calibri" w:eastAsia="Calibri" w:hAnsi="Calibri" w:cs="Calibri"/>
                <w:sz w:val="20"/>
                <w:szCs w:val="20"/>
              </w:rPr>
              <w:t>156 (18.4)</w:t>
            </w:r>
          </w:p>
        </w:tc>
        <w:tc>
          <w:tcPr>
            <w:tcW w:w="1679" w:type="dxa"/>
            <w:vMerge/>
          </w:tcPr>
          <w:p w14:paraId="71E333A9" w14:textId="77777777" w:rsidR="00F5012B" w:rsidRPr="00AB7623" w:rsidRDefault="00F5012B" w:rsidP="00E43F08">
            <w:pPr>
              <w:spacing w:line="276" w:lineRule="auto"/>
              <w:jc w:val="center"/>
              <w:rPr>
                <w:rFonts w:ascii="Calibri" w:eastAsia="Calibri" w:hAnsi="Calibri" w:cs="Calibri"/>
                <w:sz w:val="20"/>
                <w:szCs w:val="20"/>
              </w:rPr>
            </w:pPr>
          </w:p>
        </w:tc>
      </w:tr>
      <w:tr w:rsidR="00E43F08" w:rsidRPr="00AB7623" w14:paraId="1DECB052" w14:textId="063A30C2" w:rsidTr="00DA4175">
        <w:tc>
          <w:tcPr>
            <w:tcW w:w="1555" w:type="dxa"/>
            <w:vMerge w:val="restart"/>
          </w:tcPr>
          <w:p w14:paraId="254F85A9" w14:textId="77777777" w:rsidR="00E43F08" w:rsidRPr="00AB7623" w:rsidRDefault="00E43F08" w:rsidP="00E43F08">
            <w:pPr>
              <w:spacing w:line="276" w:lineRule="auto"/>
              <w:rPr>
                <w:rFonts w:ascii="Calibri" w:hAnsi="Calibri" w:cs="Calibri"/>
                <w:sz w:val="20"/>
                <w:szCs w:val="20"/>
              </w:rPr>
            </w:pPr>
            <w:r w:rsidRPr="00AB7623">
              <w:rPr>
                <w:rFonts w:ascii="Calibri" w:hAnsi="Calibri" w:cs="Calibri"/>
                <w:sz w:val="20"/>
                <w:szCs w:val="20"/>
              </w:rPr>
              <w:t>Region</w:t>
            </w:r>
          </w:p>
        </w:tc>
        <w:tc>
          <w:tcPr>
            <w:tcW w:w="1630" w:type="dxa"/>
          </w:tcPr>
          <w:p w14:paraId="76C77CBB" w14:textId="48EE72EB" w:rsidR="00E43F08" w:rsidRPr="00AB7623" w:rsidRDefault="00E43F08" w:rsidP="00E43F08">
            <w:pPr>
              <w:spacing w:line="276" w:lineRule="auto"/>
              <w:rPr>
                <w:rFonts w:ascii="Calibri" w:eastAsia="Calibri" w:hAnsi="Calibri" w:cs="Calibri"/>
                <w:sz w:val="20"/>
                <w:szCs w:val="20"/>
              </w:rPr>
            </w:pPr>
            <w:r w:rsidRPr="00AB7623">
              <w:rPr>
                <w:rFonts w:ascii="Calibri" w:eastAsia="Calibri" w:hAnsi="Calibri" w:cs="Calibri"/>
                <w:sz w:val="20"/>
                <w:szCs w:val="20"/>
              </w:rPr>
              <w:t>North</w:t>
            </w:r>
          </w:p>
        </w:tc>
        <w:tc>
          <w:tcPr>
            <w:tcW w:w="1344" w:type="dxa"/>
          </w:tcPr>
          <w:p w14:paraId="5E09180E" w14:textId="212C2F6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847 (54.6)</w:t>
            </w:r>
          </w:p>
        </w:tc>
        <w:tc>
          <w:tcPr>
            <w:tcW w:w="1430" w:type="dxa"/>
            <w:vMerge w:val="restart"/>
          </w:tcPr>
          <w:p w14:paraId="33A93C90" w14:textId="7E7A8A6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N/A</w:t>
            </w:r>
          </w:p>
        </w:tc>
        <w:tc>
          <w:tcPr>
            <w:tcW w:w="1372" w:type="dxa"/>
            <w:vMerge w:val="restart"/>
          </w:tcPr>
          <w:p w14:paraId="18889EA4" w14:textId="3BFE31F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N/A</w:t>
            </w:r>
          </w:p>
        </w:tc>
        <w:tc>
          <w:tcPr>
            <w:tcW w:w="1679" w:type="dxa"/>
            <w:vMerge w:val="restart"/>
          </w:tcPr>
          <w:p w14:paraId="016D34AF" w14:textId="265ABE00"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N/A</w:t>
            </w:r>
          </w:p>
        </w:tc>
      </w:tr>
      <w:tr w:rsidR="00E43F08" w:rsidRPr="00AB7623" w14:paraId="7012D10C" w14:textId="558AC583" w:rsidTr="00DA4175">
        <w:tc>
          <w:tcPr>
            <w:tcW w:w="1555" w:type="dxa"/>
            <w:vMerge/>
          </w:tcPr>
          <w:p w14:paraId="4246003D" w14:textId="77777777" w:rsidR="00E43F08" w:rsidRPr="00AB7623" w:rsidRDefault="00E43F08" w:rsidP="00E43F08">
            <w:pPr>
              <w:spacing w:line="276" w:lineRule="auto"/>
              <w:rPr>
                <w:rFonts w:ascii="Calibri" w:hAnsi="Calibri" w:cs="Calibri"/>
                <w:sz w:val="20"/>
                <w:szCs w:val="20"/>
              </w:rPr>
            </w:pPr>
          </w:p>
        </w:tc>
        <w:tc>
          <w:tcPr>
            <w:tcW w:w="1630" w:type="dxa"/>
          </w:tcPr>
          <w:p w14:paraId="1283E952" w14:textId="0E3F2AD5" w:rsidR="00E43F08" w:rsidRPr="00AB7623" w:rsidRDefault="00E43F08" w:rsidP="00E43F08">
            <w:pPr>
              <w:spacing w:line="276" w:lineRule="auto"/>
              <w:rPr>
                <w:rFonts w:ascii="Calibri" w:eastAsia="Calibri" w:hAnsi="Calibri" w:cs="Calibri"/>
                <w:sz w:val="20"/>
                <w:szCs w:val="20"/>
              </w:rPr>
            </w:pPr>
            <w:r w:rsidRPr="00AB7623">
              <w:rPr>
                <w:rFonts w:ascii="Calibri" w:eastAsia="Calibri" w:hAnsi="Calibri" w:cs="Calibri"/>
                <w:sz w:val="20"/>
                <w:szCs w:val="20"/>
              </w:rPr>
              <w:t>London</w:t>
            </w:r>
          </w:p>
        </w:tc>
        <w:tc>
          <w:tcPr>
            <w:tcW w:w="1344" w:type="dxa"/>
          </w:tcPr>
          <w:p w14:paraId="699ABB5D" w14:textId="4359AD3F" w:rsidR="00E43F08" w:rsidRPr="00AB7623" w:rsidRDefault="00E43F08" w:rsidP="00E43F08">
            <w:pPr>
              <w:spacing w:line="276" w:lineRule="auto"/>
              <w:jc w:val="center"/>
              <w:rPr>
                <w:rFonts w:ascii="Calibri" w:eastAsia="Calibri" w:hAnsi="Calibri" w:cs="Calibri"/>
                <w:sz w:val="20"/>
                <w:szCs w:val="20"/>
              </w:rPr>
            </w:pPr>
            <w:r w:rsidRPr="00AB7623">
              <w:rPr>
                <w:rFonts w:ascii="Calibri" w:eastAsia="Calibri" w:hAnsi="Calibri" w:cs="Calibri"/>
                <w:sz w:val="20"/>
                <w:szCs w:val="20"/>
              </w:rPr>
              <w:t>705 (45.4)</w:t>
            </w:r>
          </w:p>
        </w:tc>
        <w:tc>
          <w:tcPr>
            <w:tcW w:w="1430" w:type="dxa"/>
            <w:vMerge/>
          </w:tcPr>
          <w:p w14:paraId="55D015F6" w14:textId="77777777" w:rsidR="00E43F08" w:rsidRPr="00AB7623" w:rsidRDefault="00E43F08" w:rsidP="00E43F08">
            <w:pPr>
              <w:spacing w:line="276" w:lineRule="auto"/>
              <w:jc w:val="center"/>
              <w:rPr>
                <w:rFonts w:ascii="Calibri" w:eastAsia="Calibri" w:hAnsi="Calibri" w:cs="Calibri"/>
                <w:sz w:val="20"/>
                <w:szCs w:val="20"/>
              </w:rPr>
            </w:pPr>
          </w:p>
        </w:tc>
        <w:tc>
          <w:tcPr>
            <w:tcW w:w="1372" w:type="dxa"/>
            <w:vMerge/>
          </w:tcPr>
          <w:p w14:paraId="038C1290" w14:textId="77777777" w:rsidR="00E43F08" w:rsidRPr="00AB7623" w:rsidRDefault="00E43F08" w:rsidP="00E43F08">
            <w:pPr>
              <w:spacing w:line="276" w:lineRule="auto"/>
              <w:jc w:val="center"/>
              <w:rPr>
                <w:rFonts w:ascii="Calibri" w:eastAsia="Calibri" w:hAnsi="Calibri" w:cs="Calibri"/>
                <w:sz w:val="20"/>
                <w:szCs w:val="20"/>
              </w:rPr>
            </w:pPr>
          </w:p>
        </w:tc>
        <w:tc>
          <w:tcPr>
            <w:tcW w:w="1679" w:type="dxa"/>
            <w:vMerge/>
          </w:tcPr>
          <w:p w14:paraId="47C80550" w14:textId="77777777" w:rsidR="00E43F08" w:rsidRPr="00AB7623" w:rsidRDefault="00E43F08" w:rsidP="00E43F08">
            <w:pPr>
              <w:spacing w:line="276" w:lineRule="auto"/>
              <w:jc w:val="center"/>
              <w:rPr>
                <w:rFonts w:ascii="Calibri" w:eastAsia="Calibri" w:hAnsi="Calibri" w:cs="Calibri"/>
                <w:sz w:val="20"/>
                <w:szCs w:val="20"/>
              </w:rPr>
            </w:pPr>
          </w:p>
        </w:tc>
      </w:tr>
    </w:tbl>
    <w:p w14:paraId="29C75483" w14:textId="77777777" w:rsidR="00E604A2" w:rsidRDefault="00E604A2" w:rsidP="00E604A2">
      <w:pPr>
        <w:widowControl w:val="0"/>
        <w:autoSpaceDE w:val="0"/>
        <w:autoSpaceDN w:val="0"/>
        <w:adjustRightInd w:val="0"/>
        <w:spacing w:line="360" w:lineRule="auto"/>
        <w:ind w:left="640" w:hanging="640"/>
      </w:pPr>
    </w:p>
    <w:p w14:paraId="699FDCEB" w14:textId="77777777" w:rsidR="00E604A2" w:rsidRDefault="00E604A2">
      <w:r>
        <w:br w:type="page"/>
      </w:r>
    </w:p>
    <w:p w14:paraId="2B175A8D" w14:textId="77777777" w:rsidR="00E604A2" w:rsidRDefault="00E604A2" w:rsidP="00E604A2">
      <w:pPr>
        <w:widowControl w:val="0"/>
        <w:autoSpaceDE w:val="0"/>
        <w:autoSpaceDN w:val="0"/>
        <w:adjustRightInd w:val="0"/>
        <w:spacing w:line="360" w:lineRule="auto"/>
        <w:sectPr w:rsidR="00E604A2" w:rsidSect="00AB7623">
          <w:pgSz w:w="11900" w:h="16840"/>
          <w:pgMar w:top="1440" w:right="1440" w:bottom="1440" w:left="1440" w:header="709" w:footer="709" w:gutter="0"/>
          <w:cols w:space="708"/>
          <w:docGrid w:linePitch="360"/>
        </w:sectPr>
      </w:pPr>
    </w:p>
    <w:p w14:paraId="39F99BE7" w14:textId="2F000C95" w:rsidR="00E604A2" w:rsidRPr="00843B62" w:rsidRDefault="00E604A2" w:rsidP="00E604A2">
      <w:pPr>
        <w:rPr>
          <w:rFonts w:ascii="Calibri" w:hAnsi="Calibri" w:cs="Calibri"/>
        </w:rPr>
      </w:pPr>
      <w:r w:rsidRPr="00E64098">
        <w:rPr>
          <w:rFonts w:ascii="Calibri" w:hAnsi="Calibri" w:cs="Calibri"/>
          <w:b/>
          <w:bCs/>
        </w:rPr>
        <w:lastRenderedPageBreak/>
        <w:t xml:space="preserve">Table </w:t>
      </w:r>
      <w:r w:rsidR="001164DF">
        <w:rPr>
          <w:rFonts w:ascii="Calibri" w:hAnsi="Calibri" w:cs="Calibri"/>
          <w:b/>
          <w:bCs/>
        </w:rPr>
        <w:t>2</w:t>
      </w:r>
      <w:r w:rsidRPr="00E64098">
        <w:rPr>
          <w:rFonts w:ascii="Calibri" w:hAnsi="Calibri" w:cs="Calibri"/>
          <w:b/>
          <w:bCs/>
        </w:rPr>
        <w:t>.</w:t>
      </w:r>
      <w:r w:rsidRPr="00843B62">
        <w:rPr>
          <w:rFonts w:ascii="Calibri" w:hAnsi="Calibri" w:cs="Calibri"/>
        </w:rPr>
        <w:t xml:space="preserve"> </w:t>
      </w:r>
      <w:r w:rsidR="00106800">
        <w:rPr>
          <w:rFonts w:ascii="Calibri" w:hAnsi="Calibri" w:cs="Calibri"/>
        </w:rPr>
        <w:t>S</w:t>
      </w:r>
      <w:r w:rsidRPr="00843B62">
        <w:rPr>
          <w:rFonts w:ascii="Calibri" w:hAnsi="Calibri" w:cs="Calibri"/>
        </w:rPr>
        <w:t xml:space="preserve">ociodemographic </w:t>
      </w:r>
      <w:r w:rsidR="00966F60">
        <w:rPr>
          <w:rFonts w:ascii="Calibri" w:hAnsi="Calibri" w:cs="Calibri"/>
        </w:rPr>
        <w:t>correlates</w:t>
      </w:r>
      <w:r w:rsidR="00966F60" w:rsidRPr="00843B62">
        <w:rPr>
          <w:rFonts w:ascii="Calibri" w:hAnsi="Calibri" w:cs="Calibri"/>
        </w:rPr>
        <w:t xml:space="preserve"> </w:t>
      </w:r>
      <w:r w:rsidRPr="00843B62">
        <w:rPr>
          <w:rFonts w:ascii="Calibri" w:hAnsi="Calibri" w:cs="Calibri"/>
        </w:rPr>
        <w:t xml:space="preserve">of advertising exposure stratified by </w:t>
      </w:r>
      <w:r w:rsidR="00346ACE">
        <w:rPr>
          <w:rFonts w:ascii="Calibri" w:hAnsi="Calibri" w:cs="Calibri"/>
        </w:rPr>
        <w:t>product/service advertised</w:t>
      </w:r>
      <w:r w:rsidR="00C31372">
        <w:rPr>
          <w:rFonts w:ascii="Calibri" w:hAnsi="Calibri" w:cs="Calibri"/>
        </w:rPr>
        <w:t xml:space="preserve"> (</w:t>
      </w:r>
      <w:r w:rsidRPr="001B7404">
        <w:rPr>
          <w:rFonts w:ascii="Calibri" w:hAnsi="Calibri" w:cs="Calibri"/>
          <w:i/>
          <w:iCs/>
        </w:rPr>
        <w:t>n</w:t>
      </w:r>
      <w:r>
        <w:rPr>
          <w:rFonts w:ascii="Calibri" w:hAnsi="Calibri" w:cs="Calibri"/>
        </w:rPr>
        <w:t>=1552</w:t>
      </w:r>
      <w:r w:rsidR="00C31372">
        <w:rPr>
          <w:rFonts w:ascii="Calibri" w:hAnsi="Calibri" w:cs="Calibri"/>
        </w:rPr>
        <w:t>)</w:t>
      </w:r>
    </w:p>
    <w:p w14:paraId="37DECE1A" w14:textId="77777777" w:rsidR="00E604A2" w:rsidRDefault="00E604A2" w:rsidP="00E604A2"/>
    <w:tbl>
      <w:tblPr>
        <w:tblStyle w:val="TableGrid"/>
        <w:tblW w:w="13955" w:type="dxa"/>
        <w:tblInd w:w="-5" w:type="dxa"/>
        <w:tblLook w:val="04A0" w:firstRow="1" w:lastRow="0" w:firstColumn="1" w:lastColumn="0" w:noHBand="0" w:noVBand="1"/>
      </w:tblPr>
      <w:tblGrid>
        <w:gridCol w:w="1318"/>
        <w:gridCol w:w="1442"/>
        <w:gridCol w:w="1597"/>
        <w:gridCol w:w="1607"/>
        <w:gridCol w:w="1598"/>
        <w:gridCol w:w="1599"/>
        <w:gridCol w:w="1597"/>
        <w:gridCol w:w="1595"/>
        <w:gridCol w:w="1602"/>
      </w:tblGrid>
      <w:tr w:rsidR="00E604A2" w:rsidRPr="004817DA" w14:paraId="075DDB0F" w14:textId="77777777" w:rsidTr="00B561E5">
        <w:tc>
          <w:tcPr>
            <w:tcW w:w="2591" w:type="dxa"/>
            <w:gridSpan w:val="2"/>
          </w:tcPr>
          <w:p w14:paraId="79958579" w14:textId="5CEBBD2C" w:rsidR="00E604A2" w:rsidRPr="004817DA" w:rsidRDefault="006E497A" w:rsidP="00EC5709">
            <w:pPr>
              <w:rPr>
                <w:rFonts w:ascii="Calibri" w:hAnsi="Calibri" w:cs="Calibri"/>
                <w:sz w:val="18"/>
                <w:szCs w:val="18"/>
              </w:rPr>
            </w:pPr>
            <w:r w:rsidRPr="006E497A">
              <w:rPr>
                <w:rFonts w:ascii="Calibri" w:hAnsi="Calibri" w:cs="Calibri"/>
                <w:b/>
                <w:bCs/>
                <w:sz w:val="18"/>
                <w:szCs w:val="18"/>
              </w:rPr>
              <w:t>Sociodemographic characteristic</w:t>
            </w:r>
          </w:p>
        </w:tc>
        <w:tc>
          <w:tcPr>
            <w:tcW w:w="1623" w:type="dxa"/>
          </w:tcPr>
          <w:p w14:paraId="782E5E7A" w14:textId="77777777"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Any</w:t>
            </w:r>
          </w:p>
        </w:tc>
        <w:tc>
          <w:tcPr>
            <w:tcW w:w="1625" w:type="dxa"/>
          </w:tcPr>
          <w:p w14:paraId="25EB6156" w14:textId="6D066B11"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Processed HFSS food</w:t>
            </w:r>
            <w:r w:rsidR="00850B0B">
              <w:rPr>
                <w:rFonts w:ascii="Calibri" w:hAnsi="Calibri" w:cs="Calibri"/>
                <w:b/>
                <w:bCs/>
                <w:sz w:val="18"/>
                <w:szCs w:val="18"/>
              </w:rPr>
              <w:t>s</w:t>
            </w:r>
          </w:p>
        </w:tc>
        <w:tc>
          <w:tcPr>
            <w:tcW w:w="1623" w:type="dxa"/>
          </w:tcPr>
          <w:p w14:paraId="5201F330" w14:textId="77777777"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Sugary drinks</w:t>
            </w:r>
          </w:p>
        </w:tc>
        <w:tc>
          <w:tcPr>
            <w:tcW w:w="1623" w:type="dxa"/>
          </w:tcPr>
          <w:p w14:paraId="2FDB5533" w14:textId="77777777"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Sugary cereals</w:t>
            </w:r>
          </w:p>
        </w:tc>
        <w:tc>
          <w:tcPr>
            <w:tcW w:w="1623" w:type="dxa"/>
          </w:tcPr>
          <w:p w14:paraId="0C605A6D" w14:textId="77777777"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Sweet snacks</w:t>
            </w:r>
          </w:p>
        </w:tc>
        <w:tc>
          <w:tcPr>
            <w:tcW w:w="1622" w:type="dxa"/>
          </w:tcPr>
          <w:p w14:paraId="6779B35B" w14:textId="77777777" w:rsidR="00E604A2" w:rsidRPr="00890A3C" w:rsidRDefault="00E604A2" w:rsidP="00EC5709">
            <w:pPr>
              <w:jc w:val="center"/>
              <w:rPr>
                <w:rFonts w:ascii="Calibri" w:hAnsi="Calibri" w:cs="Calibri"/>
                <w:b/>
                <w:bCs/>
                <w:sz w:val="18"/>
                <w:szCs w:val="18"/>
              </w:rPr>
            </w:pPr>
            <w:r w:rsidRPr="00890A3C">
              <w:rPr>
                <w:rFonts w:ascii="Calibri" w:hAnsi="Calibri" w:cs="Calibri"/>
                <w:b/>
                <w:bCs/>
                <w:sz w:val="18"/>
                <w:szCs w:val="18"/>
              </w:rPr>
              <w:t>Fast food</w:t>
            </w:r>
          </w:p>
        </w:tc>
        <w:tc>
          <w:tcPr>
            <w:tcW w:w="1625" w:type="dxa"/>
          </w:tcPr>
          <w:p w14:paraId="42E286E5" w14:textId="0C30E571" w:rsidR="00E604A2" w:rsidRPr="00890A3C" w:rsidRDefault="002841EB" w:rsidP="00B561E5">
            <w:pPr>
              <w:jc w:val="center"/>
              <w:rPr>
                <w:rFonts w:ascii="Calibri" w:hAnsi="Calibri" w:cs="Calibri"/>
                <w:b/>
                <w:bCs/>
                <w:sz w:val="18"/>
                <w:szCs w:val="18"/>
              </w:rPr>
            </w:pPr>
            <w:r>
              <w:rPr>
                <w:rFonts w:ascii="Calibri" w:hAnsi="Calibri" w:cs="Calibri"/>
                <w:b/>
                <w:bCs/>
                <w:sz w:val="18"/>
                <w:szCs w:val="18"/>
              </w:rPr>
              <w:t>Digital food delivery service</w:t>
            </w:r>
            <w:r w:rsidR="00E604A2" w:rsidRPr="00890A3C">
              <w:rPr>
                <w:rFonts w:ascii="Calibri" w:hAnsi="Calibri" w:cs="Calibri"/>
                <w:b/>
                <w:bCs/>
                <w:sz w:val="18"/>
                <w:szCs w:val="18"/>
              </w:rPr>
              <w:t>s</w:t>
            </w:r>
          </w:p>
        </w:tc>
      </w:tr>
      <w:tr w:rsidR="00E604A2" w:rsidRPr="004817DA" w14:paraId="34EF21A7" w14:textId="77777777" w:rsidTr="00B561E5">
        <w:tc>
          <w:tcPr>
            <w:tcW w:w="1134" w:type="dxa"/>
            <w:vMerge w:val="restart"/>
          </w:tcPr>
          <w:p w14:paraId="36A97616" w14:textId="77777777" w:rsidR="00E604A2" w:rsidRPr="004817DA" w:rsidRDefault="00E604A2" w:rsidP="00EC5709">
            <w:pPr>
              <w:rPr>
                <w:rFonts w:ascii="Calibri" w:hAnsi="Calibri" w:cs="Calibri"/>
                <w:sz w:val="18"/>
                <w:szCs w:val="18"/>
              </w:rPr>
            </w:pPr>
            <w:r w:rsidRPr="004817DA">
              <w:rPr>
                <w:rFonts w:ascii="Calibri" w:hAnsi="Calibri" w:cs="Calibri"/>
                <w:sz w:val="18"/>
                <w:szCs w:val="18"/>
              </w:rPr>
              <w:t>Sex</w:t>
            </w:r>
          </w:p>
        </w:tc>
        <w:tc>
          <w:tcPr>
            <w:tcW w:w="1457" w:type="dxa"/>
          </w:tcPr>
          <w:p w14:paraId="1E240735" w14:textId="77777777" w:rsidR="00E604A2" w:rsidRPr="004817DA" w:rsidRDefault="00E604A2" w:rsidP="00EC5709">
            <w:pPr>
              <w:rPr>
                <w:rFonts w:ascii="Calibri" w:hAnsi="Calibri" w:cs="Calibri"/>
                <w:sz w:val="18"/>
                <w:szCs w:val="18"/>
              </w:rPr>
            </w:pPr>
            <w:r w:rsidRPr="004817DA">
              <w:rPr>
                <w:rFonts w:ascii="Calibri" w:hAnsi="Calibri" w:cs="Calibri"/>
                <w:sz w:val="18"/>
                <w:szCs w:val="18"/>
              </w:rPr>
              <w:t>Male</w:t>
            </w:r>
          </w:p>
        </w:tc>
        <w:tc>
          <w:tcPr>
            <w:tcW w:w="1623" w:type="dxa"/>
          </w:tcPr>
          <w:p w14:paraId="67352E3B" w14:textId="77777777" w:rsidR="00E604A2" w:rsidRPr="004817DA" w:rsidRDefault="00E604A2" w:rsidP="00EC5709">
            <w:pPr>
              <w:jc w:val="center"/>
              <w:rPr>
                <w:rFonts w:ascii="Calibri" w:hAnsi="Calibri" w:cs="Calibri"/>
                <w:sz w:val="18"/>
                <w:szCs w:val="18"/>
              </w:rPr>
            </w:pPr>
            <w:r w:rsidRPr="007C433C">
              <w:rPr>
                <w:rFonts w:ascii="Calibri" w:hAnsi="Calibri" w:cs="Calibri"/>
                <w:sz w:val="18"/>
                <w:szCs w:val="18"/>
              </w:rPr>
              <w:t>REF</w:t>
            </w:r>
          </w:p>
        </w:tc>
        <w:tc>
          <w:tcPr>
            <w:tcW w:w="1625" w:type="dxa"/>
          </w:tcPr>
          <w:p w14:paraId="7E3B6D30"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c>
          <w:tcPr>
            <w:tcW w:w="1623" w:type="dxa"/>
          </w:tcPr>
          <w:p w14:paraId="48D8CFE2"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c>
          <w:tcPr>
            <w:tcW w:w="1623" w:type="dxa"/>
          </w:tcPr>
          <w:p w14:paraId="40ABFE46"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c>
          <w:tcPr>
            <w:tcW w:w="1623" w:type="dxa"/>
          </w:tcPr>
          <w:p w14:paraId="21468FDC"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c>
          <w:tcPr>
            <w:tcW w:w="1622" w:type="dxa"/>
          </w:tcPr>
          <w:p w14:paraId="2B09A8E4"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c>
          <w:tcPr>
            <w:tcW w:w="1625" w:type="dxa"/>
          </w:tcPr>
          <w:p w14:paraId="2CA0EE9F" w14:textId="77777777" w:rsidR="00E604A2" w:rsidRPr="004817DA" w:rsidRDefault="00E604A2" w:rsidP="00EC5709">
            <w:pPr>
              <w:jc w:val="center"/>
              <w:rPr>
                <w:rFonts w:ascii="Calibri" w:hAnsi="Calibri" w:cs="Calibri"/>
                <w:sz w:val="18"/>
                <w:szCs w:val="18"/>
              </w:rPr>
            </w:pPr>
            <w:r w:rsidRPr="004817DA">
              <w:rPr>
                <w:rFonts w:ascii="Calibri" w:hAnsi="Calibri" w:cs="Calibri"/>
                <w:sz w:val="18"/>
                <w:szCs w:val="18"/>
              </w:rPr>
              <w:t>REF</w:t>
            </w:r>
          </w:p>
        </w:tc>
      </w:tr>
      <w:tr w:rsidR="00E604A2" w:rsidRPr="004817DA" w14:paraId="18234BC0" w14:textId="77777777" w:rsidTr="00B561E5">
        <w:tc>
          <w:tcPr>
            <w:tcW w:w="1134" w:type="dxa"/>
            <w:vMerge/>
          </w:tcPr>
          <w:p w14:paraId="54EADFFB" w14:textId="77777777" w:rsidR="00E604A2" w:rsidRPr="004817DA" w:rsidRDefault="00E604A2" w:rsidP="00EC5709">
            <w:pPr>
              <w:rPr>
                <w:rFonts w:ascii="Calibri" w:hAnsi="Calibri" w:cs="Calibri"/>
                <w:sz w:val="18"/>
                <w:szCs w:val="18"/>
              </w:rPr>
            </w:pPr>
          </w:p>
        </w:tc>
        <w:tc>
          <w:tcPr>
            <w:tcW w:w="1457" w:type="dxa"/>
          </w:tcPr>
          <w:p w14:paraId="519F71A1" w14:textId="77777777" w:rsidR="00E604A2" w:rsidRPr="004817DA" w:rsidRDefault="00E604A2" w:rsidP="00EC5709">
            <w:pPr>
              <w:rPr>
                <w:rFonts w:ascii="Calibri" w:hAnsi="Calibri" w:cs="Calibri"/>
                <w:sz w:val="18"/>
                <w:szCs w:val="18"/>
              </w:rPr>
            </w:pPr>
            <w:r w:rsidRPr="004817DA">
              <w:rPr>
                <w:rFonts w:ascii="Calibri" w:hAnsi="Calibri" w:cs="Calibri"/>
                <w:sz w:val="18"/>
                <w:szCs w:val="18"/>
              </w:rPr>
              <w:t>Female</w:t>
            </w:r>
          </w:p>
        </w:tc>
        <w:tc>
          <w:tcPr>
            <w:tcW w:w="1623" w:type="dxa"/>
          </w:tcPr>
          <w:p w14:paraId="6CD71855"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1.11 (0.81-1.53)</w:t>
            </w:r>
          </w:p>
        </w:tc>
        <w:tc>
          <w:tcPr>
            <w:tcW w:w="1625" w:type="dxa"/>
          </w:tcPr>
          <w:p w14:paraId="12CD75D5"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1.44 (1.13-1.</w:t>
            </w:r>
            <w:proofErr w:type="gramStart"/>
            <w:r>
              <w:rPr>
                <w:rFonts w:ascii="Calibri" w:hAnsi="Calibri" w:cs="Calibri"/>
                <w:sz w:val="18"/>
                <w:szCs w:val="18"/>
              </w:rPr>
              <w:t>84)*</w:t>
            </w:r>
            <w:proofErr w:type="gramEnd"/>
            <w:r>
              <w:rPr>
                <w:rFonts w:ascii="Calibri" w:hAnsi="Calibri" w:cs="Calibri"/>
                <w:sz w:val="18"/>
                <w:szCs w:val="18"/>
              </w:rPr>
              <w:t>*</w:t>
            </w:r>
          </w:p>
        </w:tc>
        <w:tc>
          <w:tcPr>
            <w:tcW w:w="1623" w:type="dxa"/>
          </w:tcPr>
          <w:p w14:paraId="6F2E3714"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1.09 (0.86-1.37)</w:t>
            </w:r>
          </w:p>
        </w:tc>
        <w:tc>
          <w:tcPr>
            <w:tcW w:w="1623" w:type="dxa"/>
          </w:tcPr>
          <w:p w14:paraId="5B03FE23"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0.89 (0.70-1.12)</w:t>
            </w:r>
          </w:p>
        </w:tc>
        <w:tc>
          <w:tcPr>
            <w:tcW w:w="1623" w:type="dxa"/>
          </w:tcPr>
          <w:p w14:paraId="433978EE"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1.16 (0.92-1.46)</w:t>
            </w:r>
          </w:p>
        </w:tc>
        <w:tc>
          <w:tcPr>
            <w:tcW w:w="1622" w:type="dxa"/>
          </w:tcPr>
          <w:p w14:paraId="0EE111BD"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1.02 (0.79-1.31)</w:t>
            </w:r>
          </w:p>
        </w:tc>
        <w:tc>
          <w:tcPr>
            <w:tcW w:w="1625" w:type="dxa"/>
          </w:tcPr>
          <w:p w14:paraId="6B7239E1" w14:textId="77777777" w:rsidR="00E604A2" w:rsidRPr="004817DA" w:rsidRDefault="00E604A2" w:rsidP="00EC5709">
            <w:pPr>
              <w:jc w:val="center"/>
              <w:rPr>
                <w:rFonts w:ascii="Calibri" w:hAnsi="Calibri" w:cs="Calibri"/>
                <w:sz w:val="18"/>
                <w:szCs w:val="18"/>
              </w:rPr>
            </w:pPr>
            <w:r>
              <w:rPr>
                <w:rFonts w:ascii="Calibri" w:hAnsi="Calibri" w:cs="Calibri"/>
                <w:sz w:val="18"/>
                <w:szCs w:val="18"/>
              </w:rPr>
              <w:t>0.93 (0.74-1.18)</w:t>
            </w:r>
          </w:p>
        </w:tc>
      </w:tr>
      <w:tr w:rsidR="006B34EA" w:rsidRPr="004817DA" w14:paraId="721A00B9" w14:textId="77777777" w:rsidTr="00B561E5">
        <w:tc>
          <w:tcPr>
            <w:tcW w:w="1134" w:type="dxa"/>
            <w:vMerge w:val="restart"/>
          </w:tcPr>
          <w:p w14:paraId="1D1DC484"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Age group</w:t>
            </w:r>
          </w:p>
        </w:tc>
        <w:tc>
          <w:tcPr>
            <w:tcW w:w="1457" w:type="dxa"/>
          </w:tcPr>
          <w:p w14:paraId="1A08C589"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18-34</w:t>
            </w:r>
          </w:p>
        </w:tc>
        <w:tc>
          <w:tcPr>
            <w:tcW w:w="1623" w:type="dxa"/>
          </w:tcPr>
          <w:p w14:paraId="5D8EDA7B" w14:textId="7422E322" w:rsidR="006B34EA" w:rsidRPr="004817DA" w:rsidRDefault="006B34EA" w:rsidP="006B34EA">
            <w:pPr>
              <w:jc w:val="center"/>
              <w:rPr>
                <w:rFonts w:ascii="Calibri" w:hAnsi="Calibri" w:cs="Calibri"/>
                <w:sz w:val="18"/>
                <w:szCs w:val="18"/>
              </w:rPr>
            </w:pPr>
            <w:r>
              <w:rPr>
                <w:rFonts w:ascii="Calibri" w:hAnsi="Calibri" w:cs="Calibri"/>
                <w:sz w:val="18"/>
                <w:szCs w:val="18"/>
              </w:rPr>
              <w:t>1.11 (0.52-2.35)</w:t>
            </w:r>
          </w:p>
        </w:tc>
        <w:tc>
          <w:tcPr>
            <w:tcW w:w="1625" w:type="dxa"/>
          </w:tcPr>
          <w:p w14:paraId="4C6085FC" w14:textId="3D13C308" w:rsidR="006B34EA" w:rsidRPr="004817DA" w:rsidRDefault="006B34EA" w:rsidP="006B34EA">
            <w:pPr>
              <w:jc w:val="center"/>
              <w:rPr>
                <w:rFonts w:ascii="Calibri" w:hAnsi="Calibri" w:cs="Calibri"/>
                <w:sz w:val="18"/>
                <w:szCs w:val="18"/>
              </w:rPr>
            </w:pPr>
            <w:r>
              <w:rPr>
                <w:rFonts w:ascii="Calibri" w:hAnsi="Calibri" w:cs="Calibri"/>
                <w:sz w:val="18"/>
                <w:szCs w:val="18"/>
              </w:rPr>
              <w:t>1.21 (0.68-2.17)</w:t>
            </w:r>
          </w:p>
        </w:tc>
        <w:tc>
          <w:tcPr>
            <w:tcW w:w="1623" w:type="dxa"/>
          </w:tcPr>
          <w:p w14:paraId="2E010491" w14:textId="4DDC52D1" w:rsidR="006B34EA" w:rsidRPr="004817DA" w:rsidRDefault="002963EE" w:rsidP="006B34EA">
            <w:pPr>
              <w:jc w:val="center"/>
              <w:rPr>
                <w:rFonts w:ascii="Calibri" w:hAnsi="Calibri" w:cs="Calibri"/>
                <w:sz w:val="18"/>
                <w:szCs w:val="18"/>
              </w:rPr>
            </w:pPr>
            <w:r>
              <w:rPr>
                <w:rFonts w:ascii="Calibri" w:hAnsi="Calibri" w:cs="Calibri"/>
                <w:sz w:val="18"/>
                <w:szCs w:val="18"/>
              </w:rPr>
              <w:t>1.07 (0.62-1.83)</w:t>
            </w:r>
          </w:p>
        </w:tc>
        <w:tc>
          <w:tcPr>
            <w:tcW w:w="1623" w:type="dxa"/>
          </w:tcPr>
          <w:p w14:paraId="7818F75A" w14:textId="450A0680" w:rsidR="006B34EA" w:rsidRPr="004817DA" w:rsidRDefault="002963EE" w:rsidP="006B34EA">
            <w:pPr>
              <w:jc w:val="center"/>
              <w:rPr>
                <w:rFonts w:ascii="Calibri" w:hAnsi="Calibri" w:cs="Calibri"/>
                <w:sz w:val="18"/>
                <w:szCs w:val="18"/>
              </w:rPr>
            </w:pPr>
            <w:r>
              <w:rPr>
                <w:rFonts w:ascii="Calibri" w:hAnsi="Calibri" w:cs="Calibri"/>
                <w:sz w:val="18"/>
                <w:szCs w:val="18"/>
              </w:rPr>
              <w:t>1.12 (0.65-1.94)</w:t>
            </w:r>
          </w:p>
        </w:tc>
        <w:tc>
          <w:tcPr>
            <w:tcW w:w="1623" w:type="dxa"/>
          </w:tcPr>
          <w:p w14:paraId="70D63F3D" w14:textId="7D2818BA" w:rsidR="006B34EA" w:rsidRPr="004817DA" w:rsidRDefault="002963EE" w:rsidP="006B34EA">
            <w:pPr>
              <w:jc w:val="center"/>
              <w:rPr>
                <w:rFonts w:ascii="Calibri" w:hAnsi="Calibri" w:cs="Calibri"/>
                <w:sz w:val="18"/>
                <w:szCs w:val="18"/>
              </w:rPr>
            </w:pPr>
            <w:r>
              <w:rPr>
                <w:rFonts w:ascii="Calibri" w:hAnsi="Calibri" w:cs="Calibri"/>
                <w:sz w:val="18"/>
                <w:szCs w:val="18"/>
              </w:rPr>
              <w:t>0.99 (0.57-1.70)</w:t>
            </w:r>
          </w:p>
        </w:tc>
        <w:tc>
          <w:tcPr>
            <w:tcW w:w="1622" w:type="dxa"/>
          </w:tcPr>
          <w:p w14:paraId="6644F7A0" w14:textId="39D7970A" w:rsidR="006B34EA" w:rsidRPr="004817DA" w:rsidRDefault="002963EE" w:rsidP="006B34EA">
            <w:pPr>
              <w:jc w:val="center"/>
              <w:rPr>
                <w:rFonts w:ascii="Calibri" w:hAnsi="Calibri" w:cs="Calibri"/>
                <w:sz w:val="18"/>
                <w:szCs w:val="18"/>
              </w:rPr>
            </w:pPr>
            <w:r>
              <w:rPr>
                <w:rFonts w:ascii="Calibri" w:hAnsi="Calibri" w:cs="Calibri"/>
                <w:sz w:val="18"/>
                <w:szCs w:val="18"/>
              </w:rPr>
              <w:t>1.24 (0.68-2.24)</w:t>
            </w:r>
          </w:p>
        </w:tc>
        <w:tc>
          <w:tcPr>
            <w:tcW w:w="1625" w:type="dxa"/>
          </w:tcPr>
          <w:p w14:paraId="7EDCA7B0" w14:textId="12A6337A" w:rsidR="006B34EA" w:rsidRPr="004817DA" w:rsidRDefault="002963EE" w:rsidP="006B34EA">
            <w:pPr>
              <w:jc w:val="center"/>
              <w:rPr>
                <w:rFonts w:ascii="Calibri" w:hAnsi="Calibri" w:cs="Calibri"/>
                <w:sz w:val="18"/>
                <w:szCs w:val="18"/>
              </w:rPr>
            </w:pPr>
            <w:r>
              <w:rPr>
                <w:rFonts w:ascii="Calibri" w:hAnsi="Calibri" w:cs="Calibri"/>
                <w:sz w:val="18"/>
                <w:szCs w:val="18"/>
              </w:rPr>
              <w:t>2.08 (1.20-3.</w:t>
            </w:r>
            <w:proofErr w:type="gramStart"/>
            <w:r>
              <w:rPr>
                <w:rFonts w:ascii="Calibri" w:hAnsi="Calibri" w:cs="Calibri"/>
                <w:sz w:val="18"/>
                <w:szCs w:val="18"/>
              </w:rPr>
              <w:t>59)*</w:t>
            </w:r>
            <w:proofErr w:type="gramEnd"/>
            <w:r>
              <w:rPr>
                <w:rFonts w:ascii="Calibri" w:hAnsi="Calibri" w:cs="Calibri"/>
                <w:sz w:val="18"/>
                <w:szCs w:val="18"/>
              </w:rPr>
              <w:t>*</w:t>
            </w:r>
          </w:p>
        </w:tc>
      </w:tr>
      <w:tr w:rsidR="006B34EA" w:rsidRPr="004817DA" w14:paraId="59C7B4D2" w14:textId="77777777" w:rsidTr="00B561E5">
        <w:tc>
          <w:tcPr>
            <w:tcW w:w="1134" w:type="dxa"/>
            <w:vMerge/>
          </w:tcPr>
          <w:p w14:paraId="6A9AA7B9" w14:textId="77777777" w:rsidR="006B34EA" w:rsidRPr="004817DA" w:rsidRDefault="006B34EA" w:rsidP="006B34EA">
            <w:pPr>
              <w:rPr>
                <w:rFonts w:ascii="Calibri" w:hAnsi="Calibri" w:cs="Calibri"/>
                <w:sz w:val="18"/>
                <w:szCs w:val="18"/>
              </w:rPr>
            </w:pPr>
          </w:p>
        </w:tc>
        <w:tc>
          <w:tcPr>
            <w:tcW w:w="1457" w:type="dxa"/>
          </w:tcPr>
          <w:p w14:paraId="4A216169"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35-44</w:t>
            </w:r>
          </w:p>
        </w:tc>
        <w:tc>
          <w:tcPr>
            <w:tcW w:w="1623" w:type="dxa"/>
          </w:tcPr>
          <w:p w14:paraId="7DA2E6FC" w14:textId="133967C5" w:rsidR="006B34EA" w:rsidRPr="004817DA" w:rsidRDefault="006B34EA" w:rsidP="006B34EA">
            <w:pPr>
              <w:jc w:val="center"/>
              <w:rPr>
                <w:rFonts w:ascii="Calibri" w:hAnsi="Calibri" w:cs="Calibri"/>
                <w:sz w:val="18"/>
                <w:szCs w:val="18"/>
              </w:rPr>
            </w:pPr>
            <w:r>
              <w:rPr>
                <w:rFonts w:ascii="Calibri" w:hAnsi="Calibri" w:cs="Calibri"/>
                <w:sz w:val="18"/>
                <w:szCs w:val="18"/>
              </w:rPr>
              <w:t>1.21 (0.59-2.50)</w:t>
            </w:r>
          </w:p>
        </w:tc>
        <w:tc>
          <w:tcPr>
            <w:tcW w:w="1625" w:type="dxa"/>
          </w:tcPr>
          <w:p w14:paraId="6D845CB0" w14:textId="3A2DCEC4" w:rsidR="006B34EA" w:rsidRPr="004817DA" w:rsidRDefault="006B34EA" w:rsidP="006B34EA">
            <w:pPr>
              <w:jc w:val="center"/>
              <w:rPr>
                <w:rFonts w:ascii="Calibri" w:hAnsi="Calibri" w:cs="Calibri"/>
                <w:sz w:val="18"/>
                <w:szCs w:val="18"/>
              </w:rPr>
            </w:pPr>
            <w:r>
              <w:rPr>
                <w:rFonts w:ascii="Calibri" w:hAnsi="Calibri" w:cs="Calibri"/>
                <w:sz w:val="18"/>
                <w:szCs w:val="18"/>
              </w:rPr>
              <w:t>1.39 (0.80-2.44)</w:t>
            </w:r>
          </w:p>
        </w:tc>
        <w:tc>
          <w:tcPr>
            <w:tcW w:w="1623" w:type="dxa"/>
          </w:tcPr>
          <w:p w14:paraId="09E4B19E" w14:textId="6C38E657" w:rsidR="006B34EA" w:rsidRPr="004817DA" w:rsidRDefault="002963EE" w:rsidP="006B34EA">
            <w:pPr>
              <w:jc w:val="center"/>
              <w:rPr>
                <w:rFonts w:ascii="Calibri" w:hAnsi="Calibri" w:cs="Calibri"/>
                <w:sz w:val="18"/>
                <w:szCs w:val="18"/>
              </w:rPr>
            </w:pPr>
            <w:r>
              <w:rPr>
                <w:rFonts w:ascii="Calibri" w:hAnsi="Calibri" w:cs="Calibri"/>
                <w:sz w:val="18"/>
                <w:szCs w:val="18"/>
              </w:rPr>
              <w:t>1.09 (0.65-1.83)</w:t>
            </w:r>
          </w:p>
        </w:tc>
        <w:tc>
          <w:tcPr>
            <w:tcW w:w="1623" w:type="dxa"/>
          </w:tcPr>
          <w:p w14:paraId="257EC09C" w14:textId="6C52FA86" w:rsidR="006B34EA" w:rsidRPr="004817DA" w:rsidRDefault="002963EE" w:rsidP="006B34EA">
            <w:pPr>
              <w:jc w:val="center"/>
              <w:rPr>
                <w:rFonts w:ascii="Calibri" w:hAnsi="Calibri" w:cs="Calibri"/>
                <w:sz w:val="18"/>
                <w:szCs w:val="18"/>
              </w:rPr>
            </w:pPr>
            <w:r>
              <w:rPr>
                <w:rFonts w:ascii="Calibri" w:hAnsi="Calibri" w:cs="Calibri"/>
                <w:sz w:val="18"/>
                <w:szCs w:val="18"/>
              </w:rPr>
              <w:t>1.41 (0.83-2.39)</w:t>
            </w:r>
          </w:p>
        </w:tc>
        <w:tc>
          <w:tcPr>
            <w:tcW w:w="1623" w:type="dxa"/>
          </w:tcPr>
          <w:p w14:paraId="0AAFDBB8" w14:textId="2D157E1A" w:rsidR="006B34EA" w:rsidRPr="004817DA" w:rsidRDefault="002963EE" w:rsidP="006B34EA">
            <w:pPr>
              <w:jc w:val="center"/>
              <w:rPr>
                <w:rFonts w:ascii="Calibri" w:hAnsi="Calibri" w:cs="Calibri"/>
                <w:sz w:val="18"/>
                <w:szCs w:val="18"/>
              </w:rPr>
            </w:pPr>
            <w:r>
              <w:rPr>
                <w:rFonts w:ascii="Calibri" w:hAnsi="Calibri" w:cs="Calibri"/>
                <w:sz w:val="18"/>
                <w:szCs w:val="18"/>
              </w:rPr>
              <w:t>0.96 (0.57-1.61)</w:t>
            </w:r>
          </w:p>
        </w:tc>
        <w:tc>
          <w:tcPr>
            <w:tcW w:w="1622" w:type="dxa"/>
          </w:tcPr>
          <w:p w14:paraId="178CDA6B" w14:textId="4B65559E" w:rsidR="006B34EA" w:rsidRPr="004817DA" w:rsidRDefault="002963EE" w:rsidP="006B34EA">
            <w:pPr>
              <w:jc w:val="center"/>
              <w:rPr>
                <w:rFonts w:ascii="Calibri" w:hAnsi="Calibri" w:cs="Calibri"/>
                <w:sz w:val="18"/>
                <w:szCs w:val="18"/>
              </w:rPr>
            </w:pPr>
            <w:r>
              <w:rPr>
                <w:rFonts w:ascii="Calibri" w:hAnsi="Calibri" w:cs="Calibri"/>
                <w:sz w:val="18"/>
                <w:szCs w:val="18"/>
              </w:rPr>
              <w:t>1.29 (0.73-2.29)</w:t>
            </w:r>
          </w:p>
        </w:tc>
        <w:tc>
          <w:tcPr>
            <w:tcW w:w="1625" w:type="dxa"/>
          </w:tcPr>
          <w:p w14:paraId="11A3F3AB" w14:textId="0FE33E80" w:rsidR="006B34EA" w:rsidRPr="004817DA" w:rsidRDefault="002963EE" w:rsidP="006B34EA">
            <w:pPr>
              <w:jc w:val="center"/>
              <w:rPr>
                <w:rFonts w:ascii="Calibri" w:hAnsi="Calibri" w:cs="Calibri"/>
                <w:sz w:val="18"/>
                <w:szCs w:val="18"/>
              </w:rPr>
            </w:pPr>
            <w:r>
              <w:rPr>
                <w:rFonts w:ascii="Calibri" w:hAnsi="Calibri" w:cs="Calibri"/>
                <w:sz w:val="18"/>
                <w:szCs w:val="18"/>
              </w:rPr>
              <w:t>1.93 (1.15-3.</w:t>
            </w:r>
            <w:proofErr w:type="gramStart"/>
            <w:r>
              <w:rPr>
                <w:rFonts w:ascii="Calibri" w:hAnsi="Calibri" w:cs="Calibri"/>
                <w:sz w:val="18"/>
                <w:szCs w:val="18"/>
              </w:rPr>
              <w:t>26)*</w:t>
            </w:r>
            <w:proofErr w:type="gramEnd"/>
            <w:r>
              <w:rPr>
                <w:rFonts w:ascii="Calibri" w:hAnsi="Calibri" w:cs="Calibri"/>
                <w:sz w:val="18"/>
                <w:szCs w:val="18"/>
              </w:rPr>
              <w:t>*</w:t>
            </w:r>
          </w:p>
        </w:tc>
      </w:tr>
      <w:tr w:rsidR="006B34EA" w:rsidRPr="004817DA" w14:paraId="6C98EEF1" w14:textId="77777777" w:rsidTr="00B561E5">
        <w:tc>
          <w:tcPr>
            <w:tcW w:w="1134" w:type="dxa"/>
            <w:vMerge/>
          </w:tcPr>
          <w:p w14:paraId="5D70C3FD" w14:textId="77777777" w:rsidR="006B34EA" w:rsidRPr="004817DA" w:rsidRDefault="006B34EA" w:rsidP="006B34EA">
            <w:pPr>
              <w:rPr>
                <w:rFonts w:ascii="Calibri" w:hAnsi="Calibri" w:cs="Calibri"/>
                <w:sz w:val="18"/>
                <w:szCs w:val="18"/>
              </w:rPr>
            </w:pPr>
          </w:p>
        </w:tc>
        <w:tc>
          <w:tcPr>
            <w:tcW w:w="1457" w:type="dxa"/>
          </w:tcPr>
          <w:p w14:paraId="4A1BA9BC"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45-54</w:t>
            </w:r>
          </w:p>
        </w:tc>
        <w:tc>
          <w:tcPr>
            <w:tcW w:w="1623" w:type="dxa"/>
          </w:tcPr>
          <w:p w14:paraId="224B6F8F" w14:textId="3106A261" w:rsidR="006B34EA" w:rsidRPr="004817DA" w:rsidRDefault="006B34EA" w:rsidP="006B34EA">
            <w:pPr>
              <w:jc w:val="center"/>
              <w:rPr>
                <w:rFonts w:ascii="Calibri" w:hAnsi="Calibri" w:cs="Calibri"/>
                <w:sz w:val="18"/>
                <w:szCs w:val="18"/>
              </w:rPr>
            </w:pPr>
            <w:r>
              <w:rPr>
                <w:rFonts w:ascii="Calibri" w:hAnsi="Calibri" w:cs="Calibri"/>
                <w:sz w:val="18"/>
                <w:szCs w:val="18"/>
              </w:rPr>
              <w:t>1.09 (0.56-2.12)</w:t>
            </w:r>
          </w:p>
        </w:tc>
        <w:tc>
          <w:tcPr>
            <w:tcW w:w="1625" w:type="dxa"/>
          </w:tcPr>
          <w:p w14:paraId="430387C2" w14:textId="0A620C46" w:rsidR="006B34EA" w:rsidRPr="004817DA" w:rsidRDefault="006B34EA" w:rsidP="006B34EA">
            <w:pPr>
              <w:jc w:val="center"/>
              <w:rPr>
                <w:rFonts w:ascii="Calibri" w:hAnsi="Calibri" w:cs="Calibri"/>
                <w:sz w:val="18"/>
                <w:szCs w:val="18"/>
              </w:rPr>
            </w:pPr>
            <w:r>
              <w:rPr>
                <w:rFonts w:ascii="Calibri" w:hAnsi="Calibri" w:cs="Calibri"/>
                <w:sz w:val="18"/>
                <w:szCs w:val="18"/>
              </w:rPr>
              <w:t>0.97 (0.58-1.61)</w:t>
            </w:r>
          </w:p>
        </w:tc>
        <w:tc>
          <w:tcPr>
            <w:tcW w:w="1623" w:type="dxa"/>
          </w:tcPr>
          <w:p w14:paraId="797BE9E6" w14:textId="630B197F" w:rsidR="006B34EA" w:rsidRPr="004817DA" w:rsidRDefault="002963EE" w:rsidP="006B34EA">
            <w:pPr>
              <w:jc w:val="center"/>
              <w:rPr>
                <w:rFonts w:ascii="Calibri" w:hAnsi="Calibri" w:cs="Calibri"/>
                <w:sz w:val="18"/>
                <w:szCs w:val="18"/>
              </w:rPr>
            </w:pPr>
            <w:r>
              <w:rPr>
                <w:rFonts w:ascii="Calibri" w:hAnsi="Calibri" w:cs="Calibri"/>
                <w:sz w:val="18"/>
                <w:szCs w:val="18"/>
              </w:rPr>
              <w:t>0.96 (0.59-1.54)</w:t>
            </w:r>
          </w:p>
        </w:tc>
        <w:tc>
          <w:tcPr>
            <w:tcW w:w="1623" w:type="dxa"/>
          </w:tcPr>
          <w:p w14:paraId="21C92740" w14:textId="224BBEC7" w:rsidR="006B34EA" w:rsidRPr="004817DA" w:rsidRDefault="002963EE" w:rsidP="006B34EA">
            <w:pPr>
              <w:jc w:val="center"/>
              <w:rPr>
                <w:rFonts w:ascii="Calibri" w:hAnsi="Calibri" w:cs="Calibri"/>
                <w:sz w:val="18"/>
                <w:szCs w:val="18"/>
              </w:rPr>
            </w:pPr>
            <w:r>
              <w:rPr>
                <w:rFonts w:ascii="Calibri" w:hAnsi="Calibri" w:cs="Calibri"/>
                <w:sz w:val="18"/>
                <w:szCs w:val="18"/>
              </w:rPr>
              <w:t>1.18 (0.73-1.92)</w:t>
            </w:r>
          </w:p>
        </w:tc>
        <w:tc>
          <w:tcPr>
            <w:tcW w:w="1623" w:type="dxa"/>
          </w:tcPr>
          <w:p w14:paraId="3CF37E1E" w14:textId="2D8D08AF" w:rsidR="006B34EA" w:rsidRPr="004817DA" w:rsidRDefault="002963EE" w:rsidP="006B34EA">
            <w:pPr>
              <w:jc w:val="center"/>
              <w:rPr>
                <w:rFonts w:ascii="Calibri" w:hAnsi="Calibri" w:cs="Calibri"/>
                <w:sz w:val="18"/>
                <w:szCs w:val="18"/>
              </w:rPr>
            </w:pPr>
            <w:r>
              <w:rPr>
                <w:rFonts w:ascii="Calibri" w:hAnsi="Calibri" w:cs="Calibri"/>
                <w:sz w:val="18"/>
                <w:szCs w:val="18"/>
              </w:rPr>
              <w:t>0.86 (0.54-1.39)</w:t>
            </w:r>
          </w:p>
        </w:tc>
        <w:tc>
          <w:tcPr>
            <w:tcW w:w="1622" w:type="dxa"/>
          </w:tcPr>
          <w:p w14:paraId="643A23C1" w14:textId="0EABB4E2" w:rsidR="006B34EA" w:rsidRPr="004817DA" w:rsidRDefault="002963EE" w:rsidP="006B34EA">
            <w:pPr>
              <w:jc w:val="center"/>
              <w:rPr>
                <w:rFonts w:ascii="Calibri" w:hAnsi="Calibri" w:cs="Calibri"/>
                <w:sz w:val="18"/>
                <w:szCs w:val="18"/>
              </w:rPr>
            </w:pPr>
            <w:r>
              <w:rPr>
                <w:rFonts w:ascii="Calibri" w:hAnsi="Calibri" w:cs="Calibri"/>
                <w:sz w:val="18"/>
                <w:szCs w:val="18"/>
              </w:rPr>
              <w:t>1.25 (0.74-2.12)</w:t>
            </w:r>
          </w:p>
        </w:tc>
        <w:tc>
          <w:tcPr>
            <w:tcW w:w="1625" w:type="dxa"/>
          </w:tcPr>
          <w:p w14:paraId="257AA1AB" w14:textId="0C194A46" w:rsidR="006B34EA" w:rsidRPr="004817DA" w:rsidRDefault="002963EE" w:rsidP="006B34EA">
            <w:pPr>
              <w:jc w:val="center"/>
              <w:rPr>
                <w:rFonts w:ascii="Calibri" w:hAnsi="Calibri" w:cs="Calibri"/>
                <w:sz w:val="18"/>
                <w:szCs w:val="18"/>
              </w:rPr>
            </w:pPr>
            <w:r>
              <w:rPr>
                <w:rFonts w:ascii="Calibri" w:hAnsi="Calibri" w:cs="Calibri"/>
                <w:sz w:val="18"/>
                <w:szCs w:val="18"/>
              </w:rPr>
              <w:t>1.40 (0.87-2.26)</w:t>
            </w:r>
          </w:p>
        </w:tc>
      </w:tr>
      <w:tr w:rsidR="006B34EA" w:rsidRPr="004817DA" w14:paraId="7504AB90" w14:textId="77777777" w:rsidTr="00B561E5">
        <w:trPr>
          <w:trHeight w:val="90"/>
        </w:trPr>
        <w:tc>
          <w:tcPr>
            <w:tcW w:w="1134" w:type="dxa"/>
            <w:vMerge/>
          </w:tcPr>
          <w:p w14:paraId="42137AE1" w14:textId="77777777" w:rsidR="006B34EA" w:rsidRPr="004817DA" w:rsidRDefault="006B34EA" w:rsidP="006B34EA">
            <w:pPr>
              <w:rPr>
                <w:rFonts w:ascii="Calibri" w:hAnsi="Calibri" w:cs="Calibri"/>
                <w:sz w:val="18"/>
                <w:szCs w:val="18"/>
              </w:rPr>
            </w:pPr>
          </w:p>
        </w:tc>
        <w:tc>
          <w:tcPr>
            <w:tcW w:w="1457" w:type="dxa"/>
          </w:tcPr>
          <w:p w14:paraId="005DCFCD"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55-64</w:t>
            </w:r>
          </w:p>
        </w:tc>
        <w:tc>
          <w:tcPr>
            <w:tcW w:w="1623" w:type="dxa"/>
          </w:tcPr>
          <w:p w14:paraId="29F99895" w14:textId="3D401EEF" w:rsidR="006B34EA" w:rsidRPr="004817DA" w:rsidRDefault="006B34EA" w:rsidP="006B34EA">
            <w:pPr>
              <w:jc w:val="center"/>
              <w:rPr>
                <w:rFonts w:ascii="Calibri" w:hAnsi="Calibri" w:cs="Calibri"/>
                <w:sz w:val="18"/>
                <w:szCs w:val="18"/>
              </w:rPr>
            </w:pPr>
            <w:r>
              <w:rPr>
                <w:rFonts w:ascii="Calibri" w:hAnsi="Calibri" w:cs="Calibri"/>
                <w:sz w:val="18"/>
                <w:szCs w:val="18"/>
              </w:rPr>
              <w:t>1.05 (0.58-1.90)</w:t>
            </w:r>
          </w:p>
        </w:tc>
        <w:tc>
          <w:tcPr>
            <w:tcW w:w="1625" w:type="dxa"/>
          </w:tcPr>
          <w:p w14:paraId="675F4CF1" w14:textId="6E7D8F73" w:rsidR="006B34EA" w:rsidRPr="004817DA" w:rsidRDefault="006B34EA" w:rsidP="006B34EA">
            <w:pPr>
              <w:jc w:val="center"/>
              <w:rPr>
                <w:rFonts w:ascii="Calibri" w:hAnsi="Calibri" w:cs="Calibri"/>
                <w:sz w:val="18"/>
                <w:szCs w:val="18"/>
              </w:rPr>
            </w:pPr>
            <w:r>
              <w:rPr>
                <w:rFonts w:ascii="Calibri" w:hAnsi="Calibri" w:cs="Calibri"/>
                <w:sz w:val="18"/>
                <w:szCs w:val="18"/>
              </w:rPr>
              <w:t>1.16 (0.73-1.84)</w:t>
            </w:r>
          </w:p>
        </w:tc>
        <w:tc>
          <w:tcPr>
            <w:tcW w:w="1623" w:type="dxa"/>
          </w:tcPr>
          <w:p w14:paraId="4E17A659" w14:textId="4E5D172D" w:rsidR="006B34EA" w:rsidRPr="004817DA" w:rsidRDefault="002963EE" w:rsidP="006B34EA">
            <w:pPr>
              <w:jc w:val="center"/>
              <w:rPr>
                <w:rFonts w:ascii="Calibri" w:hAnsi="Calibri" w:cs="Calibri"/>
                <w:sz w:val="18"/>
                <w:szCs w:val="18"/>
              </w:rPr>
            </w:pPr>
            <w:r>
              <w:rPr>
                <w:rFonts w:ascii="Calibri" w:hAnsi="Calibri" w:cs="Calibri"/>
                <w:sz w:val="18"/>
                <w:szCs w:val="18"/>
              </w:rPr>
              <w:t>1.21 (0.79-1.85)</w:t>
            </w:r>
          </w:p>
        </w:tc>
        <w:tc>
          <w:tcPr>
            <w:tcW w:w="1623" w:type="dxa"/>
          </w:tcPr>
          <w:p w14:paraId="7C557447" w14:textId="4946063F" w:rsidR="006B34EA" w:rsidRPr="004817DA" w:rsidRDefault="002963EE" w:rsidP="006B34EA">
            <w:pPr>
              <w:jc w:val="center"/>
              <w:rPr>
                <w:rFonts w:ascii="Calibri" w:hAnsi="Calibri" w:cs="Calibri"/>
                <w:sz w:val="18"/>
                <w:szCs w:val="18"/>
              </w:rPr>
            </w:pPr>
            <w:r>
              <w:rPr>
                <w:rFonts w:ascii="Calibri" w:hAnsi="Calibri" w:cs="Calibri"/>
                <w:sz w:val="18"/>
                <w:szCs w:val="18"/>
              </w:rPr>
              <w:t>1.39 (0.90-2.14)</w:t>
            </w:r>
          </w:p>
        </w:tc>
        <w:tc>
          <w:tcPr>
            <w:tcW w:w="1623" w:type="dxa"/>
          </w:tcPr>
          <w:p w14:paraId="755AC0B9" w14:textId="798BE2D0" w:rsidR="006B34EA" w:rsidRPr="004817DA" w:rsidRDefault="002963EE" w:rsidP="006B34EA">
            <w:pPr>
              <w:jc w:val="center"/>
              <w:rPr>
                <w:rFonts w:ascii="Calibri" w:hAnsi="Calibri" w:cs="Calibri"/>
                <w:sz w:val="18"/>
                <w:szCs w:val="18"/>
              </w:rPr>
            </w:pPr>
            <w:r>
              <w:rPr>
                <w:rFonts w:ascii="Calibri" w:hAnsi="Calibri" w:cs="Calibri"/>
                <w:sz w:val="18"/>
                <w:szCs w:val="18"/>
              </w:rPr>
              <w:t>1.06 (0.69-1.62)</w:t>
            </w:r>
          </w:p>
        </w:tc>
        <w:tc>
          <w:tcPr>
            <w:tcW w:w="1622" w:type="dxa"/>
          </w:tcPr>
          <w:p w14:paraId="35A08001" w14:textId="7A3D6CB2" w:rsidR="006B34EA" w:rsidRPr="004817DA" w:rsidRDefault="002963EE" w:rsidP="006B34EA">
            <w:pPr>
              <w:jc w:val="center"/>
              <w:rPr>
                <w:rFonts w:ascii="Calibri" w:hAnsi="Calibri" w:cs="Calibri"/>
                <w:sz w:val="18"/>
                <w:szCs w:val="18"/>
              </w:rPr>
            </w:pPr>
            <w:r>
              <w:rPr>
                <w:rFonts w:ascii="Calibri" w:hAnsi="Calibri" w:cs="Calibri"/>
                <w:sz w:val="18"/>
                <w:szCs w:val="18"/>
              </w:rPr>
              <w:t>1.42 (0.88-2.28)</w:t>
            </w:r>
          </w:p>
        </w:tc>
        <w:tc>
          <w:tcPr>
            <w:tcW w:w="1625" w:type="dxa"/>
          </w:tcPr>
          <w:p w14:paraId="695B7782" w14:textId="69BDD276" w:rsidR="006B34EA" w:rsidRPr="004817DA" w:rsidRDefault="002963EE" w:rsidP="006B34EA">
            <w:pPr>
              <w:jc w:val="center"/>
              <w:rPr>
                <w:rFonts w:ascii="Calibri" w:hAnsi="Calibri" w:cs="Calibri"/>
                <w:sz w:val="18"/>
                <w:szCs w:val="18"/>
              </w:rPr>
            </w:pPr>
            <w:r>
              <w:rPr>
                <w:rFonts w:ascii="Calibri" w:hAnsi="Calibri" w:cs="Calibri"/>
                <w:sz w:val="18"/>
                <w:szCs w:val="18"/>
              </w:rPr>
              <w:t>1.53 (1.00-2.</w:t>
            </w:r>
            <w:proofErr w:type="gramStart"/>
            <w:r>
              <w:rPr>
                <w:rFonts w:ascii="Calibri" w:hAnsi="Calibri" w:cs="Calibri"/>
                <w:sz w:val="18"/>
                <w:szCs w:val="18"/>
              </w:rPr>
              <w:t>35)*</w:t>
            </w:r>
            <w:proofErr w:type="gramEnd"/>
          </w:p>
        </w:tc>
      </w:tr>
      <w:tr w:rsidR="006B34EA" w:rsidRPr="004817DA" w14:paraId="74BA46D7" w14:textId="77777777" w:rsidTr="00B561E5">
        <w:tc>
          <w:tcPr>
            <w:tcW w:w="1134" w:type="dxa"/>
            <w:vMerge/>
          </w:tcPr>
          <w:p w14:paraId="4F369E62" w14:textId="77777777" w:rsidR="006B34EA" w:rsidRPr="004817DA" w:rsidRDefault="006B34EA" w:rsidP="006B34EA">
            <w:pPr>
              <w:rPr>
                <w:rFonts w:ascii="Calibri" w:hAnsi="Calibri" w:cs="Calibri"/>
                <w:sz w:val="18"/>
                <w:szCs w:val="18"/>
              </w:rPr>
            </w:pPr>
          </w:p>
        </w:tc>
        <w:tc>
          <w:tcPr>
            <w:tcW w:w="1457" w:type="dxa"/>
          </w:tcPr>
          <w:p w14:paraId="7D67052B" w14:textId="77777777" w:rsidR="006B34EA" w:rsidRPr="004817DA" w:rsidRDefault="006B34EA" w:rsidP="006B34EA">
            <w:pPr>
              <w:rPr>
                <w:rFonts w:ascii="Calibri" w:hAnsi="Calibri" w:cs="Calibri"/>
                <w:sz w:val="18"/>
                <w:szCs w:val="18"/>
              </w:rPr>
            </w:pPr>
            <w:r>
              <w:rPr>
                <w:rFonts w:ascii="Calibri" w:hAnsi="Calibri" w:cs="Calibri"/>
                <w:sz w:val="18"/>
                <w:szCs w:val="18"/>
              </w:rPr>
              <w:t>≥</w:t>
            </w:r>
            <w:r w:rsidRPr="004817DA">
              <w:rPr>
                <w:rFonts w:ascii="Calibri" w:hAnsi="Calibri" w:cs="Calibri"/>
                <w:sz w:val="18"/>
                <w:szCs w:val="18"/>
              </w:rPr>
              <w:t>65</w:t>
            </w:r>
          </w:p>
        </w:tc>
        <w:tc>
          <w:tcPr>
            <w:tcW w:w="1623" w:type="dxa"/>
          </w:tcPr>
          <w:p w14:paraId="743E2E37" w14:textId="2926E795" w:rsidR="006B34EA" w:rsidRPr="004817DA" w:rsidRDefault="006B34EA" w:rsidP="006B34EA">
            <w:pPr>
              <w:jc w:val="center"/>
              <w:rPr>
                <w:rFonts w:ascii="Calibri" w:hAnsi="Calibri" w:cs="Calibri"/>
                <w:sz w:val="18"/>
                <w:szCs w:val="18"/>
              </w:rPr>
            </w:pPr>
            <w:r w:rsidRPr="007C433C">
              <w:rPr>
                <w:rFonts w:ascii="Calibri" w:hAnsi="Calibri" w:cs="Calibri"/>
                <w:sz w:val="18"/>
                <w:szCs w:val="18"/>
              </w:rPr>
              <w:t>REF</w:t>
            </w:r>
          </w:p>
        </w:tc>
        <w:tc>
          <w:tcPr>
            <w:tcW w:w="1625" w:type="dxa"/>
          </w:tcPr>
          <w:p w14:paraId="107FEDE4" w14:textId="548F0CAE"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16D60BB0" w14:textId="0EE648FA"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2C8B19D5" w14:textId="338A6986"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6F6AD160" w14:textId="5FFF1730"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2" w:type="dxa"/>
          </w:tcPr>
          <w:p w14:paraId="6FEF3746" w14:textId="582980A6"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5" w:type="dxa"/>
          </w:tcPr>
          <w:p w14:paraId="47286BBF" w14:textId="4B3955F1"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r>
      <w:tr w:rsidR="006B34EA" w:rsidRPr="004817DA" w14:paraId="2171AACC" w14:textId="77777777" w:rsidTr="00B561E5">
        <w:tc>
          <w:tcPr>
            <w:tcW w:w="1134" w:type="dxa"/>
            <w:vMerge w:val="restart"/>
          </w:tcPr>
          <w:p w14:paraId="293C98BF" w14:textId="6290A76A" w:rsidR="006B34EA" w:rsidRPr="004817DA" w:rsidRDefault="006B34EA" w:rsidP="006B34EA">
            <w:pPr>
              <w:rPr>
                <w:rFonts w:ascii="Calibri" w:hAnsi="Calibri" w:cs="Calibri"/>
                <w:sz w:val="18"/>
                <w:szCs w:val="18"/>
              </w:rPr>
            </w:pPr>
            <w:r w:rsidRPr="004817DA">
              <w:rPr>
                <w:rFonts w:ascii="Calibri" w:hAnsi="Calibri" w:cs="Calibri"/>
                <w:sz w:val="18"/>
                <w:szCs w:val="18"/>
              </w:rPr>
              <w:t>Soci</w:t>
            </w:r>
            <w:r w:rsidR="00F5012B" w:rsidRPr="00B9753C">
              <w:rPr>
                <w:rFonts w:ascii="Calibri" w:eastAsia="Calibri" w:hAnsi="Calibri" w:cs="Calibri"/>
                <w:sz w:val="18"/>
                <w:szCs w:val="18"/>
              </w:rPr>
              <w:t>oeconomic position</w:t>
            </w:r>
          </w:p>
        </w:tc>
        <w:tc>
          <w:tcPr>
            <w:tcW w:w="1457" w:type="dxa"/>
          </w:tcPr>
          <w:p w14:paraId="14BCADEF"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AB</w:t>
            </w:r>
          </w:p>
        </w:tc>
        <w:tc>
          <w:tcPr>
            <w:tcW w:w="1623" w:type="dxa"/>
          </w:tcPr>
          <w:p w14:paraId="2569556F" w14:textId="77777777" w:rsidR="006B34EA" w:rsidRPr="004817DA" w:rsidRDefault="006B34EA" w:rsidP="006B34EA">
            <w:pPr>
              <w:jc w:val="center"/>
              <w:rPr>
                <w:rFonts w:ascii="Calibri" w:hAnsi="Calibri" w:cs="Calibri"/>
                <w:sz w:val="18"/>
                <w:szCs w:val="18"/>
              </w:rPr>
            </w:pPr>
            <w:r w:rsidRPr="007C433C">
              <w:rPr>
                <w:rFonts w:ascii="Calibri" w:hAnsi="Calibri" w:cs="Calibri"/>
                <w:sz w:val="18"/>
                <w:szCs w:val="18"/>
              </w:rPr>
              <w:t>REF</w:t>
            </w:r>
          </w:p>
        </w:tc>
        <w:tc>
          <w:tcPr>
            <w:tcW w:w="1625" w:type="dxa"/>
          </w:tcPr>
          <w:p w14:paraId="54FF5239"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620238CF"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0A4A50D1"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600B1FD1"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2" w:type="dxa"/>
          </w:tcPr>
          <w:p w14:paraId="25D0701E"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5" w:type="dxa"/>
          </w:tcPr>
          <w:p w14:paraId="4869E48C"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r>
      <w:tr w:rsidR="006B34EA" w:rsidRPr="004817DA" w14:paraId="6049216D" w14:textId="77777777" w:rsidTr="00B561E5">
        <w:tc>
          <w:tcPr>
            <w:tcW w:w="1134" w:type="dxa"/>
            <w:vMerge/>
          </w:tcPr>
          <w:p w14:paraId="20B22915" w14:textId="77777777" w:rsidR="006B34EA" w:rsidRPr="004817DA" w:rsidRDefault="006B34EA" w:rsidP="006B34EA">
            <w:pPr>
              <w:rPr>
                <w:rFonts w:ascii="Calibri" w:hAnsi="Calibri" w:cs="Calibri"/>
                <w:sz w:val="18"/>
                <w:szCs w:val="18"/>
              </w:rPr>
            </w:pPr>
          </w:p>
        </w:tc>
        <w:tc>
          <w:tcPr>
            <w:tcW w:w="1457" w:type="dxa"/>
          </w:tcPr>
          <w:p w14:paraId="6DDEBD5A"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C1C2</w:t>
            </w:r>
          </w:p>
        </w:tc>
        <w:tc>
          <w:tcPr>
            <w:tcW w:w="1623" w:type="dxa"/>
          </w:tcPr>
          <w:p w14:paraId="151324C7"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1.48 (1.06-2.</w:t>
            </w:r>
            <w:proofErr w:type="gramStart"/>
            <w:r>
              <w:rPr>
                <w:rFonts w:ascii="Calibri" w:hAnsi="Calibri" w:cs="Calibri"/>
                <w:sz w:val="18"/>
                <w:szCs w:val="18"/>
              </w:rPr>
              <w:t>07)*</w:t>
            </w:r>
            <w:proofErr w:type="gramEnd"/>
          </w:p>
        </w:tc>
        <w:tc>
          <w:tcPr>
            <w:tcW w:w="1625" w:type="dxa"/>
          </w:tcPr>
          <w:p w14:paraId="1A769C2B"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1.42 (1.09-1.</w:t>
            </w:r>
            <w:proofErr w:type="gramStart"/>
            <w:r>
              <w:rPr>
                <w:rFonts w:ascii="Calibri" w:hAnsi="Calibri" w:cs="Calibri"/>
                <w:sz w:val="18"/>
                <w:szCs w:val="18"/>
              </w:rPr>
              <w:t>84)*</w:t>
            </w:r>
            <w:proofErr w:type="gramEnd"/>
            <w:r>
              <w:rPr>
                <w:rFonts w:ascii="Calibri" w:hAnsi="Calibri" w:cs="Calibri"/>
                <w:sz w:val="18"/>
                <w:szCs w:val="18"/>
              </w:rPr>
              <w:t>*</w:t>
            </w:r>
          </w:p>
        </w:tc>
        <w:tc>
          <w:tcPr>
            <w:tcW w:w="1623" w:type="dxa"/>
          </w:tcPr>
          <w:p w14:paraId="5351E819"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1.22 (0.95-1.57)</w:t>
            </w:r>
          </w:p>
        </w:tc>
        <w:tc>
          <w:tcPr>
            <w:tcW w:w="1623" w:type="dxa"/>
          </w:tcPr>
          <w:p w14:paraId="0841F60E"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1.50 (1.16-1.</w:t>
            </w:r>
            <w:proofErr w:type="gramStart"/>
            <w:r>
              <w:rPr>
                <w:rFonts w:ascii="Calibri" w:hAnsi="Calibri" w:cs="Calibri"/>
                <w:sz w:val="18"/>
                <w:szCs w:val="18"/>
              </w:rPr>
              <w:t>95)*</w:t>
            </w:r>
            <w:proofErr w:type="gramEnd"/>
            <w:r>
              <w:rPr>
                <w:rFonts w:ascii="Calibri" w:hAnsi="Calibri" w:cs="Calibri"/>
                <w:sz w:val="18"/>
                <w:szCs w:val="18"/>
              </w:rPr>
              <w:t>*</w:t>
            </w:r>
          </w:p>
        </w:tc>
        <w:tc>
          <w:tcPr>
            <w:tcW w:w="1623" w:type="dxa"/>
          </w:tcPr>
          <w:p w14:paraId="65892AEF"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1.31 (1.02-1.</w:t>
            </w:r>
            <w:proofErr w:type="gramStart"/>
            <w:r>
              <w:rPr>
                <w:rFonts w:ascii="Calibri" w:hAnsi="Calibri" w:cs="Calibri"/>
                <w:sz w:val="18"/>
                <w:szCs w:val="18"/>
              </w:rPr>
              <w:t>68)*</w:t>
            </w:r>
            <w:proofErr w:type="gramEnd"/>
          </w:p>
        </w:tc>
        <w:tc>
          <w:tcPr>
            <w:tcW w:w="1622" w:type="dxa"/>
          </w:tcPr>
          <w:p w14:paraId="5A410756"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1.25 (0.95-1.64)</w:t>
            </w:r>
          </w:p>
        </w:tc>
        <w:tc>
          <w:tcPr>
            <w:tcW w:w="1625" w:type="dxa"/>
          </w:tcPr>
          <w:p w14:paraId="0BC35965"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1.39 (1.08-1.</w:t>
            </w:r>
            <w:proofErr w:type="gramStart"/>
            <w:r>
              <w:rPr>
                <w:rFonts w:ascii="Calibri" w:hAnsi="Calibri" w:cs="Calibri"/>
                <w:sz w:val="18"/>
                <w:szCs w:val="18"/>
              </w:rPr>
              <w:t>80)*</w:t>
            </w:r>
            <w:proofErr w:type="gramEnd"/>
            <w:r>
              <w:rPr>
                <w:rFonts w:ascii="Calibri" w:hAnsi="Calibri" w:cs="Calibri"/>
                <w:sz w:val="18"/>
                <w:szCs w:val="18"/>
              </w:rPr>
              <w:t>*</w:t>
            </w:r>
          </w:p>
        </w:tc>
      </w:tr>
      <w:tr w:rsidR="006B34EA" w:rsidRPr="004817DA" w14:paraId="55424748" w14:textId="77777777" w:rsidTr="00B561E5">
        <w:tc>
          <w:tcPr>
            <w:tcW w:w="1134" w:type="dxa"/>
            <w:vMerge/>
          </w:tcPr>
          <w:p w14:paraId="7094331A" w14:textId="77777777" w:rsidR="006B34EA" w:rsidRPr="004817DA" w:rsidRDefault="006B34EA" w:rsidP="006B34EA">
            <w:pPr>
              <w:rPr>
                <w:rFonts w:ascii="Calibri" w:hAnsi="Calibri" w:cs="Calibri"/>
                <w:sz w:val="18"/>
                <w:szCs w:val="18"/>
              </w:rPr>
            </w:pPr>
          </w:p>
        </w:tc>
        <w:tc>
          <w:tcPr>
            <w:tcW w:w="1457" w:type="dxa"/>
          </w:tcPr>
          <w:p w14:paraId="00796ADB"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DE</w:t>
            </w:r>
          </w:p>
        </w:tc>
        <w:tc>
          <w:tcPr>
            <w:tcW w:w="1623" w:type="dxa"/>
          </w:tcPr>
          <w:p w14:paraId="4D04F128"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1.30 (0.84-2.02)</w:t>
            </w:r>
          </w:p>
        </w:tc>
        <w:tc>
          <w:tcPr>
            <w:tcW w:w="1625" w:type="dxa"/>
          </w:tcPr>
          <w:p w14:paraId="51A45BB4"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1.67 (1.17-2.</w:t>
            </w:r>
            <w:proofErr w:type="gramStart"/>
            <w:r>
              <w:rPr>
                <w:rFonts w:ascii="Calibri" w:hAnsi="Calibri" w:cs="Calibri"/>
                <w:sz w:val="18"/>
                <w:szCs w:val="18"/>
              </w:rPr>
              <w:t>38)*</w:t>
            </w:r>
            <w:proofErr w:type="gramEnd"/>
            <w:r>
              <w:rPr>
                <w:rFonts w:ascii="Calibri" w:hAnsi="Calibri" w:cs="Calibri"/>
                <w:sz w:val="18"/>
                <w:szCs w:val="18"/>
              </w:rPr>
              <w:t>*</w:t>
            </w:r>
          </w:p>
        </w:tc>
        <w:tc>
          <w:tcPr>
            <w:tcW w:w="1623" w:type="dxa"/>
          </w:tcPr>
          <w:p w14:paraId="295EFB55"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1.36 (0.97-1.88)</w:t>
            </w:r>
          </w:p>
        </w:tc>
        <w:tc>
          <w:tcPr>
            <w:tcW w:w="1623" w:type="dxa"/>
          </w:tcPr>
          <w:p w14:paraId="3BDCB7C8"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1.54 (1.10-2.</w:t>
            </w:r>
            <w:proofErr w:type="gramStart"/>
            <w:r>
              <w:rPr>
                <w:rFonts w:ascii="Calibri" w:hAnsi="Calibri" w:cs="Calibri"/>
                <w:sz w:val="18"/>
                <w:szCs w:val="18"/>
              </w:rPr>
              <w:t>16)*</w:t>
            </w:r>
            <w:proofErr w:type="gramEnd"/>
            <w:r>
              <w:rPr>
                <w:rFonts w:ascii="Calibri" w:hAnsi="Calibri" w:cs="Calibri"/>
                <w:sz w:val="18"/>
                <w:szCs w:val="18"/>
              </w:rPr>
              <w:t>*</w:t>
            </w:r>
          </w:p>
        </w:tc>
        <w:tc>
          <w:tcPr>
            <w:tcW w:w="1623" w:type="dxa"/>
          </w:tcPr>
          <w:p w14:paraId="1D834D93"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1.41 (1.01-1.</w:t>
            </w:r>
            <w:proofErr w:type="gramStart"/>
            <w:r>
              <w:rPr>
                <w:rFonts w:ascii="Calibri" w:hAnsi="Calibri" w:cs="Calibri"/>
                <w:sz w:val="18"/>
                <w:szCs w:val="18"/>
              </w:rPr>
              <w:t>96)*</w:t>
            </w:r>
            <w:proofErr w:type="gramEnd"/>
          </w:p>
        </w:tc>
        <w:tc>
          <w:tcPr>
            <w:tcW w:w="1622" w:type="dxa"/>
          </w:tcPr>
          <w:p w14:paraId="5143B2AE"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1.28 (0.90-1.84)</w:t>
            </w:r>
          </w:p>
        </w:tc>
        <w:tc>
          <w:tcPr>
            <w:tcW w:w="1625" w:type="dxa"/>
          </w:tcPr>
          <w:p w14:paraId="2D2A927B"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1.47 (1.05-2.</w:t>
            </w:r>
            <w:proofErr w:type="gramStart"/>
            <w:r>
              <w:rPr>
                <w:rFonts w:ascii="Calibri" w:hAnsi="Calibri" w:cs="Calibri"/>
                <w:sz w:val="18"/>
                <w:szCs w:val="18"/>
              </w:rPr>
              <w:t>05)*</w:t>
            </w:r>
            <w:proofErr w:type="gramEnd"/>
          </w:p>
        </w:tc>
      </w:tr>
      <w:tr w:rsidR="006B34EA" w:rsidRPr="004817DA" w14:paraId="773302A8" w14:textId="77777777" w:rsidTr="00B561E5">
        <w:tc>
          <w:tcPr>
            <w:tcW w:w="1134" w:type="dxa"/>
            <w:vMerge w:val="restart"/>
          </w:tcPr>
          <w:p w14:paraId="6AB583C0"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Children in the household</w:t>
            </w:r>
          </w:p>
        </w:tc>
        <w:tc>
          <w:tcPr>
            <w:tcW w:w="1457" w:type="dxa"/>
          </w:tcPr>
          <w:p w14:paraId="508C3A7C"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No</w:t>
            </w:r>
          </w:p>
        </w:tc>
        <w:tc>
          <w:tcPr>
            <w:tcW w:w="1623" w:type="dxa"/>
          </w:tcPr>
          <w:p w14:paraId="2EAC89CE" w14:textId="77777777" w:rsidR="006B34EA" w:rsidRPr="004817DA" w:rsidRDefault="006B34EA" w:rsidP="006B34EA">
            <w:pPr>
              <w:jc w:val="center"/>
              <w:rPr>
                <w:rFonts w:ascii="Calibri" w:hAnsi="Calibri" w:cs="Calibri"/>
                <w:sz w:val="18"/>
                <w:szCs w:val="18"/>
              </w:rPr>
            </w:pPr>
            <w:r w:rsidRPr="007C433C">
              <w:rPr>
                <w:rFonts w:ascii="Calibri" w:hAnsi="Calibri" w:cs="Calibri"/>
                <w:sz w:val="18"/>
                <w:szCs w:val="18"/>
              </w:rPr>
              <w:t>REF</w:t>
            </w:r>
          </w:p>
        </w:tc>
        <w:tc>
          <w:tcPr>
            <w:tcW w:w="1625" w:type="dxa"/>
          </w:tcPr>
          <w:p w14:paraId="2C2F66C0"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31858F18"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6BCF6029"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3" w:type="dxa"/>
          </w:tcPr>
          <w:p w14:paraId="0DA8F9F0"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2" w:type="dxa"/>
          </w:tcPr>
          <w:p w14:paraId="2689152D"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c>
          <w:tcPr>
            <w:tcW w:w="1625" w:type="dxa"/>
          </w:tcPr>
          <w:p w14:paraId="73FE2088" w14:textId="77777777" w:rsidR="006B34EA" w:rsidRPr="004817DA" w:rsidRDefault="006B34EA" w:rsidP="006B34EA">
            <w:pPr>
              <w:jc w:val="center"/>
              <w:rPr>
                <w:rFonts w:ascii="Calibri" w:hAnsi="Calibri" w:cs="Calibri"/>
                <w:sz w:val="18"/>
                <w:szCs w:val="18"/>
              </w:rPr>
            </w:pPr>
            <w:r w:rsidRPr="004817DA">
              <w:rPr>
                <w:rFonts w:ascii="Calibri" w:hAnsi="Calibri" w:cs="Calibri"/>
                <w:sz w:val="18"/>
                <w:szCs w:val="18"/>
              </w:rPr>
              <w:t>REF</w:t>
            </w:r>
          </w:p>
        </w:tc>
      </w:tr>
      <w:tr w:rsidR="006B34EA" w:rsidRPr="004817DA" w14:paraId="3E13AEFF" w14:textId="77777777" w:rsidTr="00B561E5">
        <w:tc>
          <w:tcPr>
            <w:tcW w:w="1134" w:type="dxa"/>
            <w:vMerge/>
          </w:tcPr>
          <w:p w14:paraId="7AF9CD9B" w14:textId="77777777" w:rsidR="006B34EA" w:rsidRPr="004817DA" w:rsidRDefault="006B34EA" w:rsidP="006B34EA">
            <w:pPr>
              <w:rPr>
                <w:rFonts w:ascii="Calibri" w:hAnsi="Calibri" w:cs="Calibri"/>
                <w:sz w:val="18"/>
                <w:szCs w:val="18"/>
              </w:rPr>
            </w:pPr>
          </w:p>
        </w:tc>
        <w:tc>
          <w:tcPr>
            <w:tcW w:w="1457" w:type="dxa"/>
          </w:tcPr>
          <w:p w14:paraId="5C51A6C6"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Yes</w:t>
            </w:r>
          </w:p>
        </w:tc>
        <w:tc>
          <w:tcPr>
            <w:tcW w:w="1623" w:type="dxa"/>
          </w:tcPr>
          <w:p w14:paraId="4377D052"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0.72 (0.50-1.04)</w:t>
            </w:r>
          </w:p>
        </w:tc>
        <w:tc>
          <w:tcPr>
            <w:tcW w:w="1625" w:type="dxa"/>
          </w:tcPr>
          <w:p w14:paraId="667FC42F"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0.78 (0.59-1.05)</w:t>
            </w:r>
          </w:p>
        </w:tc>
        <w:tc>
          <w:tcPr>
            <w:tcW w:w="1623" w:type="dxa"/>
          </w:tcPr>
          <w:p w14:paraId="4E963C94"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0.82 (0.63-1.08)</w:t>
            </w:r>
          </w:p>
        </w:tc>
        <w:tc>
          <w:tcPr>
            <w:tcW w:w="1623" w:type="dxa"/>
          </w:tcPr>
          <w:p w14:paraId="749EDD1E"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1.07 (0.81-1.40)</w:t>
            </w:r>
          </w:p>
        </w:tc>
        <w:tc>
          <w:tcPr>
            <w:tcW w:w="1623" w:type="dxa"/>
          </w:tcPr>
          <w:p w14:paraId="0D95C28F"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0.91 (0.69-1.20)</w:t>
            </w:r>
          </w:p>
        </w:tc>
        <w:tc>
          <w:tcPr>
            <w:tcW w:w="1622" w:type="dxa"/>
          </w:tcPr>
          <w:p w14:paraId="4555A8C3"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0.79 (0.59-1.06)</w:t>
            </w:r>
          </w:p>
        </w:tc>
        <w:tc>
          <w:tcPr>
            <w:tcW w:w="1625" w:type="dxa"/>
          </w:tcPr>
          <w:p w14:paraId="02381F41"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0.77 (0.59-1.02)</w:t>
            </w:r>
          </w:p>
        </w:tc>
      </w:tr>
      <w:tr w:rsidR="006B34EA" w:rsidRPr="004817DA" w14:paraId="39B6C428" w14:textId="77777777" w:rsidTr="00B561E5">
        <w:tc>
          <w:tcPr>
            <w:tcW w:w="1134" w:type="dxa"/>
            <w:vMerge w:val="restart"/>
          </w:tcPr>
          <w:p w14:paraId="142D30D4" w14:textId="77777777" w:rsidR="006B34EA" w:rsidRPr="004817DA" w:rsidRDefault="006B34EA" w:rsidP="006B34EA">
            <w:pPr>
              <w:rPr>
                <w:rFonts w:ascii="Calibri" w:hAnsi="Calibri" w:cs="Calibri"/>
                <w:sz w:val="18"/>
                <w:szCs w:val="18"/>
              </w:rPr>
            </w:pPr>
            <w:r w:rsidRPr="004817DA">
              <w:rPr>
                <w:rFonts w:ascii="Calibri" w:hAnsi="Calibri" w:cs="Calibri"/>
                <w:sz w:val="18"/>
                <w:szCs w:val="18"/>
              </w:rPr>
              <w:t>Working status</w:t>
            </w:r>
          </w:p>
        </w:tc>
        <w:tc>
          <w:tcPr>
            <w:tcW w:w="1457" w:type="dxa"/>
          </w:tcPr>
          <w:p w14:paraId="24B6E45F" w14:textId="77777777" w:rsidR="006B34EA" w:rsidRPr="004817DA" w:rsidRDefault="006B34EA" w:rsidP="006B34EA">
            <w:pPr>
              <w:rPr>
                <w:rFonts w:ascii="Calibri" w:hAnsi="Calibri" w:cs="Calibri"/>
                <w:sz w:val="18"/>
                <w:szCs w:val="18"/>
              </w:rPr>
            </w:pPr>
            <w:r>
              <w:rPr>
                <w:rFonts w:ascii="Calibri" w:hAnsi="Calibri" w:cs="Calibri"/>
                <w:sz w:val="18"/>
                <w:szCs w:val="18"/>
              </w:rPr>
              <w:t>Full-time</w:t>
            </w:r>
          </w:p>
        </w:tc>
        <w:tc>
          <w:tcPr>
            <w:tcW w:w="1623" w:type="dxa"/>
          </w:tcPr>
          <w:p w14:paraId="1763E290" w14:textId="7658ECEF" w:rsidR="006B34EA" w:rsidRPr="004817DA" w:rsidRDefault="003E174C" w:rsidP="006B34EA">
            <w:pPr>
              <w:jc w:val="center"/>
              <w:rPr>
                <w:rFonts w:ascii="Calibri" w:hAnsi="Calibri" w:cs="Calibri"/>
                <w:sz w:val="18"/>
                <w:szCs w:val="18"/>
              </w:rPr>
            </w:pPr>
            <w:r>
              <w:rPr>
                <w:rFonts w:ascii="Calibri" w:hAnsi="Calibri" w:cs="Calibri"/>
                <w:sz w:val="18"/>
                <w:szCs w:val="18"/>
              </w:rPr>
              <w:t>1.05 (0.66-1.66)</w:t>
            </w:r>
          </w:p>
        </w:tc>
        <w:tc>
          <w:tcPr>
            <w:tcW w:w="1625" w:type="dxa"/>
          </w:tcPr>
          <w:p w14:paraId="6DF75DD1" w14:textId="4C8696C4" w:rsidR="006B34EA" w:rsidRPr="004817DA" w:rsidRDefault="00FD6025" w:rsidP="006B34EA">
            <w:pPr>
              <w:jc w:val="center"/>
              <w:rPr>
                <w:rFonts w:ascii="Calibri" w:hAnsi="Calibri" w:cs="Calibri"/>
                <w:sz w:val="18"/>
                <w:szCs w:val="18"/>
              </w:rPr>
            </w:pPr>
            <w:r>
              <w:rPr>
                <w:rFonts w:ascii="Calibri" w:hAnsi="Calibri" w:cs="Calibri"/>
                <w:sz w:val="18"/>
                <w:szCs w:val="18"/>
              </w:rPr>
              <w:t>1.13 (0.78-1.63)</w:t>
            </w:r>
          </w:p>
        </w:tc>
        <w:tc>
          <w:tcPr>
            <w:tcW w:w="1623" w:type="dxa"/>
          </w:tcPr>
          <w:p w14:paraId="45D6FAE9" w14:textId="71CE79B0" w:rsidR="006B34EA" w:rsidRPr="004817DA" w:rsidRDefault="00FD6025" w:rsidP="006B34EA">
            <w:pPr>
              <w:jc w:val="center"/>
              <w:rPr>
                <w:rFonts w:ascii="Calibri" w:hAnsi="Calibri" w:cs="Calibri"/>
                <w:sz w:val="18"/>
                <w:szCs w:val="18"/>
              </w:rPr>
            </w:pPr>
            <w:r>
              <w:rPr>
                <w:rFonts w:ascii="Calibri" w:hAnsi="Calibri" w:cs="Calibri"/>
                <w:sz w:val="18"/>
                <w:szCs w:val="18"/>
              </w:rPr>
              <w:t>1.17 (0.81-1.59)</w:t>
            </w:r>
          </w:p>
        </w:tc>
        <w:tc>
          <w:tcPr>
            <w:tcW w:w="1623" w:type="dxa"/>
          </w:tcPr>
          <w:p w14:paraId="63648A58" w14:textId="40C7C6FB" w:rsidR="006B34EA" w:rsidRPr="004817DA" w:rsidRDefault="00FD6025" w:rsidP="006B34EA">
            <w:pPr>
              <w:jc w:val="center"/>
              <w:rPr>
                <w:rFonts w:ascii="Calibri" w:hAnsi="Calibri" w:cs="Calibri"/>
                <w:sz w:val="18"/>
                <w:szCs w:val="18"/>
              </w:rPr>
            </w:pPr>
            <w:r>
              <w:rPr>
                <w:rFonts w:ascii="Calibri" w:hAnsi="Calibri" w:cs="Calibri"/>
                <w:sz w:val="18"/>
                <w:szCs w:val="18"/>
              </w:rPr>
              <w:t>1.17 (0.83-1.65)</w:t>
            </w:r>
          </w:p>
        </w:tc>
        <w:tc>
          <w:tcPr>
            <w:tcW w:w="1623" w:type="dxa"/>
          </w:tcPr>
          <w:p w14:paraId="231C39AC" w14:textId="28F0E1D4" w:rsidR="006B34EA" w:rsidRPr="004817DA" w:rsidRDefault="00FD6025" w:rsidP="006B34EA">
            <w:pPr>
              <w:jc w:val="center"/>
              <w:rPr>
                <w:rFonts w:ascii="Calibri" w:hAnsi="Calibri" w:cs="Calibri"/>
                <w:sz w:val="18"/>
                <w:szCs w:val="18"/>
              </w:rPr>
            </w:pPr>
            <w:r>
              <w:rPr>
                <w:rFonts w:ascii="Calibri" w:hAnsi="Calibri" w:cs="Calibri"/>
                <w:sz w:val="18"/>
                <w:szCs w:val="18"/>
              </w:rPr>
              <w:t>1.40 (1.00-1.</w:t>
            </w:r>
            <w:proofErr w:type="gramStart"/>
            <w:r>
              <w:rPr>
                <w:rFonts w:ascii="Calibri" w:hAnsi="Calibri" w:cs="Calibri"/>
                <w:sz w:val="18"/>
                <w:szCs w:val="18"/>
              </w:rPr>
              <w:t>97)*</w:t>
            </w:r>
            <w:proofErr w:type="gramEnd"/>
          </w:p>
        </w:tc>
        <w:tc>
          <w:tcPr>
            <w:tcW w:w="1622" w:type="dxa"/>
          </w:tcPr>
          <w:p w14:paraId="0CDD3DF3" w14:textId="3C145796" w:rsidR="006B34EA" w:rsidRPr="004817DA" w:rsidRDefault="00FD6025" w:rsidP="006B34EA">
            <w:pPr>
              <w:jc w:val="center"/>
              <w:rPr>
                <w:rFonts w:ascii="Calibri" w:hAnsi="Calibri" w:cs="Calibri"/>
                <w:sz w:val="18"/>
                <w:szCs w:val="18"/>
              </w:rPr>
            </w:pPr>
            <w:r>
              <w:rPr>
                <w:rFonts w:ascii="Calibri" w:hAnsi="Calibri" w:cs="Calibri"/>
                <w:sz w:val="18"/>
                <w:szCs w:val="18"/>
              </w:rPr>
              <w:t>1.12 (0.77-1.63)</w:t>
            </w:r>
          </w:p>
        </w:tc>
        <w:tc>
          <w:tcPr>
            <w:tcW w:w="1625" w:type="dxa"/>
          </w:tcPr>
          <w:p w14:paraId="1E9E4B2D" w14:textId="5ABEED15" w:rsidR="006B34EA" w:rsidRPr="004817DA" w:rsidRDefault="00FD6025" w:rsidP="006B34EA">
            <w:pPr>
              <w:jc w:val="center"/>
              <w:rPr>
                <w:rFonts w:ascii="Calibri" w:hAnsi="Calibri" w:cs="Calibri"/>
                <w:sz w:val="18"/>
                <w:szCs w:val="18"/>
              </w:rPr>
            </w:pPr>
            <w:r>
              <w:rPr>
                <w:rFonts w:ascii="Calibri" w:hAnsi="Calibri" w:cs="Calibri"/>
                <w:sz w:val="18"/>
                <w:szCs w:val="18"/>
              </w:rPr>
              <w:t>1.22 (0.87-1.72)</w:t>
            </w:r>
          </w:p>
        </w:tc>
      </w:tr>
      <w:tr w:rsidR="006B34EA" w:rsidRPr="004817DA" w14:paraId="4671CDF7" w14:textId="77777777" w:rsidTr="00B561E5">
        <w:tc>
          <w:tcPr>
            <w:tcW w:w="1134" w:type="dxa"/>
            <w:vMerge/>
          </w:tcPr>
          <w:p w14:paraId="338FFEF6" w14:textId="77777777" w:rsidR="006B34EA" w:rsidRPr="004817DA" w:rsidRDefault="006B34EA" w:rsidP="006B34EA">
            <w:pPr>
              <w:rPr>
                <w:rFonts w:ascii="Calibri" w:hAnsi="Calibri" w:cs="Calibri"/>
                <w:sz w:val="18"/>
                <w:szCs w:val="18"/>
              </w:rPr>
            </w:pPr>
          </w:p>
        </w:tc>
        <w:tc>
          <w:tcPr>
            <w:tcW w:w="1457" w:type="dxa"/>
          </w:tcPr>
          <w:p w14:paraId="3634E155" w14:textId="77777777" w:rsidR="006B34EA" w:rsidRPr="004817DA" w:rsidRDefault="006B34EA" w:rsidP="006B34EA">
            <w:pPr>
              <w:rPr>
                <w:rFonts w:ascii="Calibri" w:hAnsi="Calibri" w:cs="Calibri"/>
                <w:sz w:val="18"/>
                <w:szCs w:val="18"/>
              </w:rPr>
            </w:pPr>
            <w:r>
              <w:rPr>
                <w:rFonts w:ascii="Calibri" w:hAnsi="Calibri" w:cs="Calibri"/>
                <w:sz w:val="18"/>
                <w:szCs w:val="18"/>
              </w:rPr>
              <w:t>Part-time</w:t>
            </w:r>
            <w:r w:rsidRPr="004817DA">
              <w:rPr>
                <w:rFonts w:ascii="Calibri" w:hAnsi="Calibri" w:cs="Calibri"/>
                <w:sz w:val="18"/>
                <w:szCs w:val="18"/>
              </w:rPr>
              <w:t xml:space="preserve"> </w:t>
            </w:r>
          </w:p>
        </w:tc>
        <w:tc>
          <w:tcPr>
            <w:tcW w:w="1623" w:type="dxa"/>
          </w:tcPr>
          <w:p w14:paraId="25B55C09" w14:textId="1F6FF161" w:rsidR="006B34EA" w:rsidRPr="004817DA" w:rsidRDefault="003E174C" w:rsidP="006B34EA">
            <w:pPr>
              <w:jc w:val="center"/>
              <w:rPr>
                <w:rFonts w:ascii="Calibri" w:hAnsi="Calibri" w:cs="Calibri"/>
                <w:sz w:val="18"/>
                <w:szCs w:val="18"/>
              </w:rPr>
            </w:pPr>
            <w:r>
              <w:rPr>
                <w:rFonts w:ascii="Calibri" w:hAnsi="Calibri" w:cs="Calibri"/>
                <w:sz w:val="18"/>
                <w:szCs w:val="18"/>
              </w:rPr>
              <w:t>1.00 (0.60-1.69)</w:t>
            </w:r>
          </w:p>
        </w:tc>
        <w:tc>
          <w:tcPr>
            <w:tcW w:w="1625" w:type="dxa"/>
          </w:tcPr>
          <w:p w14:paraId="39989D29" w14:textId="23D72B5C" w:rsidR="006B34EA" w:rsidRPr="004817DA" w:rsidRDefault="00FD6025" w:rsidP="006B34EA">
            <w:pPr>
              <w:jc w:val="center"/>
              <w:rPr>
                <w:rFonts w:ascii="Calibri" w:hAnsi="Calibri" w:cs="Calibri"/>
                <w:sz w:val="18"/>
                <w:szCs w:val="18"/>
              </w:rPr>
            </w:pPr>
            <w:r>
              <w:rPr>
                <w:rFonts w:ascii="Calibri" w:hAnsi="Calibri" w:cs="Calibri"/>
                <w:sz w:val="18"/>
                <w:szCs w:val="18"/>
              </w:rPr>
              <w:t>0.96 (0.64-1.45)</w:t>
            </w:r>
          </w:p>
        </w:tc>
        <w:tc>
          <w:tcPr>
            <w:tcW w:w="1623" w:type="dxa"/>
          </w:tcPr>
          <w:p w14:paraId="2ED20A35" w14:textId="5CA888E6" w:rsidR="006B34EA" w:rsidRPr="004817DA" w:rsidRDefault="00FD6025" w:rsidP="006B34EA">
            <w:pPr>
              <w:jc w:val="center"/>
              <w:rPr>
                <w:rFonts w:ascii="Calibri" w:hAnsi="Calibri" w:cs="Calibri"/>
                <w:sz w:val="18"/>
                <w:szCs w:val="18"/>
              </w:rPr>
            </w:pPr>
            <w:r>
              <w:rPr>
                <w:rFonts w:ascii="Calibri" w:hAnsi="Calibri" w:cs="Calibri"/>
                <w:sz w:val="18"/>
                <w:szCs w:val="18"/>
              </w:rPr>
              <w:t>0.97 (0.66-1.42)</w:t>
            </w:r>
          </w:p>
        </w:tc>
        <w:tc>
          <w:tcPr>
            <w:tcW w:w="1623" w:type="dxa"/>
          </w:tcPr>
          <w:p w14:paraId="4ADE64B3" w14:textId="01FEEC7F" w:rsidR="006B34EA" w:rsidRPr="004817DA" w:rsidRDefault="00FD6025" w:rsidP="006B34EA">
            <w:pPr>
              <w:jc w:val="center"/>
              <w:rPr>
                <w:rFonts w:ascii="Calibri" w:hAnsi="Calibri" w:cs="Calibri"/>
                <w:sz w:val="18"/>
                <w:szCs w:val="18"/>
              </w:rPr>
            </w:pPr>
            <w:r>
              <w:rPr>
                <w:rFonts w:ascii="Calibri" w:hAnsi="Calibri" w:cs="Calibri"/>
                <w:sz w:val="18"/>
                <w:szCs w:val="18"/>
              </w:rPr>
              <w:t>1.01 (0.69-1.50)</w:t>
            </w:r>
          </w:p>
        </w:tc>
        <w:tc>
          <w:tcPr>
            <w:tcW w:w="1623" w:type="dxa"/>
          </w:tcPr>
          <w:p w14:paraId="50CA11E0" w14:textId="2BC37B36" w:rsidR="006B34EA" w:rsidRPr="004817DA" w:rsidRDefault="00FD6025" w:rsidP="006B34EA">
            <w:pPr>
              <w:jc w:val="center"/>
              <w:rPr>
                <w:rFonts w:ascii="Calibri" w:hAnsi="Calibri" w:cs="Calibri"/>
                <w:sz w:val="18"/>
                <w:szCs w:val="18"/>
              </w:rPr>
            </w:pPr>
            <w:r>
              <w:rPr>
                <w:rFonts w:ascii="Calibri" w:hAnsi="Calibri" w:cs="Calibri"/>
                <w:sz w:val="18"/>
                <w:szCs w:val="18"/>
              </w:rPr>
              <w:t>1.04 (0.71-1.53)</w:t>
            </w:r>
          </w:p>
        </w:tc>
        <w:tc>
          <w:tcPr>
            <w:tcW w:w="1622" w:type="dxa"/>
          </w:tcPr>
          <w:p w14:paraId="731C98F6" w14:textId="1CFB8D7E" w:rsidR="006B34EA" w:rsidRPr="004817DA" w:rsidRDefault="00FD6025" w:rsidP="006B34EA">
            <w:pPr>
              <w:jc w:val="center"/>
              <w:rPr>
                <w:rFonts w:ascii="Calibri" w:hAnsi="Calibri" w:cs="Calibri"/>
                <w:sz w:val="18"/>
                <w:szCs w:val="18"/>
              </w:rPr>
            </w:pPr>
            <w:r>
              <w:rPr>
                <w:rFonts w:ascii="Calibri" w:hAnsi="Calibri" w:cs="Calibri"/>
                <w:sz w:val="18"/>
                <w:szCs w:val="18"/>
              </w:rPr>
              <w:t>0.96 (0.63-1.46)</w:t>
            </w:r>
          </w:p>
        </w:tc>
        <w:tc>
          <w:tcPr>
            <w:tcW w:w="1625" w:type="dxa"/>
          </w:tcPr>
          <w:p w14:paraId="2B25065C" w14:textId="57870BF1" w:rsidR="006B34EA" w:rsidRPr="004817DA" w:rsidRDefault="00FD6025" w:rsidP="006B34EA">
            <w:pPr>
              <w:jc w:val="center"/>
              <w:rPr>
                <w:rFonts w:ascii="Calibri" w:hAnsi="Calibri" w:cs="Calibri"/>
                <w:sz w:val="18"/>
                <w:szCs w:val="18"/>
              </w:rPr>
            </w:pPr>
            <w:r>
              <w:rPr>
                <w:rFonts w:ascii="Calibri" w:hAnsi="Calibri" w:cs="Calibri"/>
                <w:sz w:val="18"/>
                <w:szCs w:val="18"/>
              </w:rPr>
              <w:t>0.93 (0.63-1.37)</w:t>
            </w:r>
          </w:p>
        </w:tc>
      </w:tr>
      <w:tr w:rsidR="006B34EA" w:rsidRPr="004817DA" w14:paraId="247C2624" w14:textId="77777777" w:rsidTr="00B561E5">
        <w:tc>
          <w:tcPr>
            <w:tcW w:w="1134" w:type="dxa"/>
            <w:vMerge/>
          </w:tcPr>
          <w:p w14:paraId="16F74EB4" w14:textId="77777777" w:rsidR="006B34EA" w:rsidRPr="004817DA" w:rsidRDefault="006B34EA" w:rsidP="006B34EA">
            <w:pPr>
              <w:rPr>
                <w:rFonts w:ascii="Calibri" w:hAnsi="Calibri" w:cs="Calibri"/>
                <w:sz w:val="18"/>
                <w:szCs w:val="18"/>
              </w:rPr>
            </w:pPr>
          </w:p>
        </w:tc>
        <w:tc>
          <w:tcPr>
            <w:tcW w:w="1457" w:type="dxa"/>
          </w:tcPr>
          <w:p w14:paraId="28931E4B" w14:textId="77777777" w:rsidR="006B34EA" w:rsidRPr="004817DA" w:rsidRDefault="006B34EA" w:rsidP="006B34EA">
            <w:pPr>
              <w:rPr>
                <w:rFonts w:ascii="Calibri" w:hAnsi="Calibri" w:cs="Calibri"/>
                <w:sz w:val="18"/>
                <w:szCs w:val="18"/>
              </w:rPr>
            </w:pPr>
            <w:r>
              <w:rPr>
                <w:rFonts w:ascii="Calibri" w:hAnsi="Calibri" w:cs="Calibri"/>
                <w:sz w:val="18"/>
                <w:szCs w:val="18"/>
              </w:rPr>
              <w:t>Self-employed</w:t>
            </w:r>
          </w:p>
        </w:tc>
        <w:tc>
          <w:tcPr>
            <w:tcW w:w="1623" w:type="dxa"/>
          </w:tcPr>
          <w:p w14:paraId="2EFDE0FD" w14:textId="72E1F351" w:rsidR="006B34EA" w:rsidRPr="007C433C" w:rsidRDefault="00FD6025" w:rsidP="006B34EA">
            <w:pPr>
              <w:jc w:val="center"/>
              <w:rPr>
                <w:rFonts w:ascii="Calibri" w:hAnsi="Calibri" w:cs="Calibri"/>
                <w:sz w:val="18"/>
                <w:szCs w:val="18"/>
              </w:rPr>
            </w:pPr>
            <w:r>
              <w:rPr>
                <w:rFonts w:ascii="Calibri" w:hAnsi="Calibri" w:cs="Calibri"/>
                <w:sz w:val="18"/>
                <w:szCs w:val="18"/>
              </w:rPr>
              <w:t>1.13 (0.60-2.12)</w:t>
            </w:r>
          </w:p>
        </w:tc>
        <w:tc>
          <w:tcPr>
            <w:tcW w:w="1625" w:type="dxa"/>
          </w:tcPr>
          <w:p w14:paraId="5CAD1729" w14:textId="6140514D" w:rsidR="006B34EA" w:rsidRPr="004817DA" w:rsidRDefault="00FD6025" w:rsidP="006B34EA">
            <w:pPr>
              <w:jc w:val="center"/>
              <w:rPr>
                <w:rFonts w:ascii="Calibri" w:hAnsi="Calibri" w:cs="Calibri"/>
                <w:sz w:val="18"/>
                <w:szCs w:val="18"/>
              </w:rPr>
            </w:pPr>
            <w:r>
              <w:rPr>
                <w:rFonts w:ascii="Calibri" w:hAnsi="Calibri" w:cs="Calibri"/>
                <w:sz w:val="18"/>
                <w:szCs w:val="18"/>
              </w:rPr>
              <w:t>0.80 (0.50-1.29)</w:t>
            </w:r>
          </w:p>
        </w:tc>
        <w:tc>
          <w:tcPr>
            <w:tcW w:w="1623" w:type="dxa"/>
          </w:tcPr>
          <w:p w14:paraId="775E6425" w14:textId="025C2532" w:rsidR="006B34EA" w:rsidRPr="004817DA" w:rsidRDefault="00FD6025" w:rsidP="006B34EA">
            <w:pPr>
              <w:jc w:val="center"/>
              <w:rPr>
                <w:rFonts w:ascii="Calibri" w:hAnsi="Calibri" w:cs="Calibri"/>
                <w:sz w:val="18"/>
                <w:szCs w:val="18"/>
              </w:rPr>
            </w:pPr>
            <w:r>
              <w:rPr>
                <w:rFonts w:ascii="Calibri" w:hAnsi="Calibri" w:cs="Calibri"/>
                <w:sz w:val="18"/>
                <w:szCs w:val="18"/>
              </w:rPr>
              <w:t>0.88 (0.56-1.38)</w:t>
            </w:r>
          </w:p>
        </w:tc>
        <w:tc>
          <w:tcPr>
            <w:tcW w:w="1623" w:type="dxa"/>
          </w:tcPr>
          <w:p w14:paraId="7B34E0FD" w14:textId="4B9D1071" w:rsidR="006B34EA" w:rsidRPr="004817DA" w:rsidRDefault="00FD6025" w:rsidP="006B34EA">
            <w:pPr>
              <w:jc w:val="center"/>
              <w:rPr>
                <w:rFonts w:ascii="Calibri" w:hAnsi="Calibri" w:cs="Calibri"/>
                <w:sz w:val="18"/>
                <w:szCs w:val="18"/>
              </w:rPr>
            </w:pPr>
            <w:r>
              <w:rPr>
                <w:rFonts w:ascii="Calibri" w:hAnsi="Calibri" w:cs="Calibri"/>
                <w:sz w:val="18"/>
                <w:szCs w:val="18"/>
              </w:rPr>
              <w:t>0.89 (0.56-1.40)</w:t>
            </w:r>
          </w:p>
        </w:tc>
        <w:tc>
          <w:tcPr>
            <w:tcW w:w="1623" w:type="dxa"/>
          </w:tcPr>
          <w:p w14:paraId="36A84C5C" w14:textId="438639F6" w:rsidR="006B34EA" w:rsidRPr="004817DA" w:rsidRDefault="00FD6025" w:rsidP="006B34EA">
            <w:pPr>
              <w:jc w:val="center"/>
              <w:rPr>
                <w:rFonts w:ascii="Calibri" w:hAnsi="Calibri" w:cs="Calibri"/>
                <w:sz w:val="18"/>
                <w:szCs w:val="18"/>
              </w:rPr>
            </w:pPr>
            <w:r>
              <w:rPr>
                <w:rFonts w:ascii="Calibri" w:hAnsi="Calibri" w:cs="Calibri"/>
                <w:sz w:val="18"/>
                <w:szCs w:val="18"/>
              </w:rPr>
              <w:t>1.09 (0.70-1.70)</w:t>
            </w:r>
          </w:p>
        </w:tc>
        <w:tc>
          <w:tcPr>
            <w:tcW w:w="1622" w:type="dxa"/>
          </w:tcPr>
          <w:p w14:paraId="71864866" w14:textId="2E813E11" w:rsidR="006B34EA" w:rsidRPr="004817DA" w:rsidRDefault="00FD6025" w:rsidP="006B34EA">
            <w:pPr>
              <w:jc w:val="center"/>
              <w:rPr>
                <w:rFonts w:ascii="Calibri" w:hAnsi="Calibri" w:cs="Calibri"/>
                <w:sz w:val="18"/>
                <w:szCs w:val="18"/>
              </w:rPr>
            </w:pPr>
            <w:r>
              <w:rPr>
                <w:rFonts w:ascii="Calibri" w:hAnsi="Calibri" w:cs="Calibri"/>
                <w:sz w:val="18"/>
                <w:szCs w:val="18"/>
              </w:rPr>
              <w:t>1.18 (0.72-1.95)</w:t>
            </w:r>
          </w:p>
        </w:tc>
        <w:tc>
          <w:tcPr>
            <w:tcW w:w="1625" w:type="dxa"/>
          </w:tcPr>
          <w:p w14:paraId="47946F3C" w14:textId="6DFAF831" w:rsidR="006B34EA" w:rsidRPr="004817DA" w:rsidRDefault="00FD6025" w:rsidP="006B34EA">
            <w:pPr>
              <w:jc w:val="center"/>
              <w:rPr>
                <w:rFonts w:ascii="Calibri" w:hAnsi="Calibri" w:cs="Calibri"/>
                <w:sz w:val="18"/>
                <w:szCs w:val="18"/>
              </w:rPr>
            </w:pPr>
            <w:r>
              <w:rPr>
                <w:rFonts w:ascii="Calibri" w:hAnsi="Calibri" w:cs="Calibri"/>
                <w:sz w:val="18"/>
                <w:szCs w:val="18"/>
              </w:rPr>
              <w:t>0.84 (0.54-1.32)</w:t>
            </w:r>
          </w:p>
        </w:tc>
      </w:tr>
      <w:tr w:rsidR="006B34EA" w:rsidRPr="004817DA" w14:paraId="55CB8445" w14:textId="77777777" w:rsidTr="00B561E5">
        <w:tc>
          <w:tcPr>
            <w:tcW w:w="1134" w:type="dxa"/>
            <w:vMerge/>
          </w:tcPr>
          <w:p w14:paraId="49D008A5" w14:textId="77777777" w:rsidR="006B34EA" w:rsidRPr="004817DA" w:rsidRDefault="006B34EA" w:rsidP="006B34EA">
            <w:pPr>
              <w:rPr>
                <w:rFonts w:ascii="Calibri" w:hAnsi="Calibri" w:cs="Calibri"/>
                <w:sz w:val="18"/>
                <w:szCs w:val="18"/>
              </w:rPr>
            </w:pPr>
          </w:p>
        </w:tc>
        <w:tc>
          <w:tcPr>
            <w:tcW w:w="1457" w:type="dxa"/>
          </w:tcPr>
          <w:p w14:paraId="4CE88C6A" w14:textId="77777777" w:rsidR="006B34EA" w:rsidRPr="004817DA" w:rsidRDefault="006B34EA" w:rsidP="006B34EA">
            <w:pPr>
              <w:rPr>
                <w:rFonts w:ascii="Calibri" w:hAnsi="Calibri" w:cs="Calibri"/>
                <w:sz w:val="18"/>
                <w:szCs w:val="18"/>
              </w:rPr>
            </w:pPr>
            <w:r>
              <w:rPr>
                <w:rFonts w:ascii="Calibri" w:hAnsi="Calibri" w:cs="Calibri"/>
                <w:sz w:val="18"/>
                <w:szCs w:val="18"/>
              </w:rPr>
              <w:t>Retired</w:t>
            </w:r>
          </w:p>
        </w:tc>
        <w:tc>
          <w:tcPr>
            <w:tcW w:w="1623" w:type="dxa"/>
          </w:tcPr>
          <w:p w14:paraId="105F9C9F" w14:textId="35CD8B02" w:rsidR="006B34EA" w:rsidRPr="007C433C" w:rsidRDefault="00FD6025" w:rsidP="006B34EA">
            <w:pPr>
              <w:jc w:val="center"/>
              <w:rPr>
                <w:rFonts w:ascii="Calibri" w:hAnsi="Calibri" w:cs="Calibri"/>
                <w:sz w:val="18"/>
                <w:szCs w:val="18"/>
              </w:rPr>
            </w:pPr>
            <w:r>
              <w:rPr>
                <w:rFonts w:ascii="Calibri" w:hAnsi="Calibri" w:cs="Calibri"/>
                <w:sz w:val="18"/>
                <w:szCs w:val="18"/>
              </w:rPr>
              <w:t>1.06 (0.53-2.11)</w:t>
            </w:r>
          </w:p>
        </w:tc>
        <w:tc>
          <w:tcPr>
            <w:tcW w:w="1625" w:type="dxa"/>
          </w:tcPr>
          <w:p w14:paraId="3F0838A2" w14:textId="5211C591" w:rsidR="006B34EA" w:rsidRPr="004817DA" w:rsidRDefault="00FD6025" w:rsidP="006B34EA">
            <w:pPr>
              <w:jc w:val="center"/>
              <w:rPr>
                <w:rFonts w:ascii="Calibri" w:hAnsi="Calibri" w:cs="Calibri"/>
                <w:sz w:val="18"/>
                <w:szCs w:val="18"/>
              </w:rPr>
            </w:pPr>
            <w:r>
              <w:rPr>
                <w:rFonts w:ascii="Calibri" w:hAnsi="Calibri" w:cs="Calibri"/>
                <w:sz w:val="18"/>
                <w:szCs w:val="18"/>
              </w:rPr>
              <w:t>1.24 (0.72-2.13)</w:t>
            </w:r>
          </w:p>
        </w:tc>
        <w:tc>
          <w:tcPr>
            <w:tcW w:w="1623" w:type="dxa"/>
          </w:tcPr>
          <w:p w14:paraId="39717385" w14:textId="69B9BE0E" w:rsidR="006B34EA" w:rsidRPr="004817DA" w:rsidRDefault="00FD6025" w:rsidP="006B34EA">
            <w:pPr>
              <w:jc w:val="center"/>
              <w:rPr>
                <w:rFonts w:ascii="Calibri" w:hAnsi="Calibri" w:cs="Calibri"/>
                <w:sz w:val="18"/>
                <w:szCs w:val="18"/>
              </w:rPr>
            </w:pPr>
            <w:r>
              <w:rPr>
                <w:rFonts w:ascii="Calibri" w:hAnsi="Calibri" w:cs="Calibri"/>
                <w:sz w:val="18"/>
                <w:szCs w:val="18"/>
              </w:rPr>
              <w:t>1.06 (0.64-1.73)</w:t>
            </w:r>
          </w:p>
        </w:tc>
        <w:tc>
          <w:tcPr>
            <w:tcW w:w="1623" w:type="dxa"/>
          </w:tcPr>
          <w:p w14:paraId="506998E5" w14:textId="21563E66" w:rsidR="006B34EA" w:rsidRPr="004817DA" w:rsidRDefault="00FD6025" w:rsidP="006B34EA">
            <w:pPr>
              <w:jc w:val="center"/>
              <w:rPr>
                <w:rFonts w:ascii="Calibri" w:hAnsi="Calibri" w:cs="Calibri"/>
                <w:sz w:val="18"/>
                <w:szCs w:val="18"/>
              </w:rPr>
            </w:pPr>
            <w:r>
              <w:rPr>
                <w:rFonts w:ascii="Calibri" w:hAnsi="Calibri" w:cs="Calibri"/>
                <w:sz w:val="18"/>
                <w:szCs w:val="18"/>
              </w:rPr>
              <w:t>1.33 (0.81-2.20)</w:t>
            </w:r>
          </w:p>
        </w:tc>
        <w:tc>
          <w:tcPr>
            <w:tcW w:w="1623" w:type="dxa"/>
          </w:tcPr>
          <w:p w14:paraId="7E1B7263" w14:textId="6829B7AD" w:rsidR="006B34EA" w:rsidRPr="004817DA" w:rsidRDefault="00FD6025" w:rsidP="006B34EA">
            <w:pPr>
              <w:jc w:val="center"/>
              <w:rPr>
                <w:rFonts w:ascii="Calibri" w:hAnsi="Calibri" w:cs="Calibri"/>
                <w:sz w:val="18"/>
                <w:szCs w:val="18"/>
              </w:rPr>
            </w:pPr>
            <w:r>
              <w:rPr>
                <w:rFonts w:ascii="Calibri" w:hAnsi="Calibri" w:cs="Calibri"/>
                <w:sz w:val="18"/>
                <w:szCs w:val="18"/>
              </w:rPr>
              <w:t>1.19 (0.72-1.96)</w:t>
            </w:r>
          </w:p>
        </w:tc>
        <w:tc>
          <w:tcPr>
            <w:tcW w:w="1622" w:type="dxa"/>
          </w:tcPr>
          <w:p w14:paraId="7E004110" w14:textId="65677C2F" w:rsidR="006B34EA" w:rsidRPr="004817DA" w:rsidRDefault="00FD6025" w:rsidP="006B34EA">
            <w:pPr>
              <w:jc w:val="center"/>
              <w:rPr>
                <w:rFonts w:ascii="Calibri" w:hAnsi="Calibri" w:cs="Calibri"/>
                <w:sz w:val="18"/>
                <w:szCs w:val="18"/>
              </w:rPr>
            </w:pPr>
            <w:r>
              <w:rPr>
                <w:rFonts w:ascii="Calibri" w:hAnsi="Calibri" w:cs="Calibri"/>
                <w:sz w:val="18"/>
                <w:szCs w:val="18"/>
              </w:rPr>
              <w:t>1.13 (0.65-1.96)</w:t>
            </w:r>
          </w:p>
        </w:tc>
        <w:tc>
          <w:tcPr>
            <w:tcW w:w="1625" w:type="dxa"/>
          </w:tcPr>
          <w:p w14:paraId="6ACD01D0" w14:textId="52F44380" w:rsidR="006B34EA" w:rsidRPr="004817DA" w:rsidRDefault="00FD6025" w:rsidP="006B34EA">
            <w:pPr>
              <w:jc w:val="center"/>
              <w:rPr>
                <w:rFonts w:ascii="Calibri" w:hAnsi="Calibri" w:cs="Calibri"/>
                <w:sz w:val="18"/>
                <w:szCs w:val="18"/>
              </w:rPr>
            </w:pPr>
            <w:r>
              <w:rPr>
                <w:rFonts w:ascii="Calibri" w:hAnsi="Calibri" w:cs="Calibri"/>
                <w:sz w:val="18"/>
                <w:szCs w:val="18"/>
              </w:rPr>
              <w:t>1.16 (0.70-1.91)</w:t>
            </w:r>
          </w:p>
        </w:tc>
      </w:tr>
      <w:tr w:rsidR="006B34EA" w:rsidRPr="004817DA" w14:paraId="155A5935" w14:textId="77777777" w:rsidTr="00B561E5">
        <w:tc>
          <w:tcPr>
            <w:tcW w:w="1134" w:type="dxa"/>
            <w:vMerge/>
          </w:tcPr>
          <w:p w14:paraId="7B9E20B5" w14:textId="77777777" w:rsidR="006B34EA" w:rsidRPr="004817DA" w:rsidRDefault="006B34EA" w:rsidP="006B34EA">
            <w:pPr>
              <w:rPr>
                <w:rFonts w:ascii="Calibri" w:hAnsi="Calibri" w:cs="Calibri"/>
                <w:sz w:val="18"/>
                <w:szCs w:val="18"/>
              </w:rPr>
            </w:pPr>
          </w:p>
        </w:tc>
        <w:tc>
          <w:tcPr>
            <w:tcW w:w="1457" w:type="dxa"/>
          </w:tcPr>
          <w:p w14:paraId="7C59B131" w14:textId="70B76CC6" w:rsidR="006B34EA" w:rsidRPr="002F71A3" w:rsidRDefault="00C265F2" w:rsidP="006B34EA">
            <w:pPr>
              <w:rPr>
                <w:rFonts w:ascii="Calibri" w:hAnsi="Calibri" w:cs="Calibri"/>
                <w:sz w:val="18"/>
                <w:szCs w:val="18"/>
              </w:rPr>
            </w:pPr>
            <w:r>
              <w:rPr>
                <w:rFonts w:ascii="Calibri" w:hAnsi="Calibri" w:cs="Calibri"/>
                <w:sz w:val="18"/>
                <w:szCs w:val="18"/>
              </w:rPr>
              <w:t>N</w:t>
            </w:r>
            <w:r w:rsidRPr="00CA3DA6">
              <w:rPr>
                <w:rFonts w:ascii="Calibri" w:hAnsi="Calibri" w:cs="Calibri"/>
                <w:sz w:val="18"/>
                <w:szCs w:val="18"/>
              </w:rPr>
              <w:t>ot looking</w:t>
            </w:r>
            <w:r>
              <w:rPr>
                <w:rFonts w:ascii="Calibri" w:hAnsi="Calibri" w:cs="Calibri"/>
                <w:sz w:val="18"/>
                <w:szCs w:val="18"/>
              </w:rPr>
              <w:t xml:space="preserve">/ </w:t>
            </w:r>
            <w:r w:rsidRPr="00CA3DA6">
              <w:rPr>
                <w:rFonts w:ascii="Calibri" w:hAnsi="Calibri" w:cs="Calibri"/>
                <w:sz w:val="18"/>
                <w:szCs w:val="18"/>
              </w:rPr>
              <w:t>unable to work</w:t>
            </w:r>
          </w:p>
        </w:tc>
        <w:tc>
          <w:tcPr>
            <w:tcW w:w="1623" w:type="dxa"/>
          </w:tcPr>
          <w:p w14:paraId="17EFA54E" w14:textId="7B790E58" w:rsidR="006B34EA" w:rsidRPr="007C433C" w:rsidRDefault="003E174C" w:rsidP="006B34EA">
            <w:pPr>
              <w:jc w:val="center"/>
              <w:rPr>
                <w:rFonts w:ascii="Calibri" w:hAnsi="Calibri" w:cs="Calibri"/>
                <w:sz w:val="18"/>
                <w:szCs w:val="18"/>
              </w:rPr>
            </w:pPr>
            <w:r>
              <w:rPr>
                <w:rFonts w:ascii="Calibri" w:hAnsi="Calibri" w:cs="Calibri"/>
                <w:sz w:val="18"/>
                <w:szCs w:val="18"/>
              </w:rPr>
              <w:t>REF</w:t>
            </w:r>
          </w:p>
        </w:tc>
        <w:tc>
          <w:tcPr>
            <w:tcW w:w="1625" w:type="dxa"/>
          </w:tcPr>
          <w:p w14:paraId="5FA56897" w14:textId="5ACDFEB2"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c>
          <w:tcPr>
            <w:tcW w:w="1623" w:type="dxa"/>
          </w:tcPr>
          <w:p w14:paraId="67AA5F17" w14:textId="73361A2F"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c>
          <w:tcPr>
            <w:tcW w:w="1623" w:type="dxa"/>
          </w:tcPr>
          <w:p w14:paraId="0E0EE753" w14:textId="129DE517"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c>
          <w:tcPr>
            <w:tcW w:w="1623" w:type="dxa"/>
          </w:tcPr>
          <w:p w14:paraId="6CCD1931" w14:textId="3191AFE1"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c>
          <w:tcPr>
            <w:tcW w:w="1622" w:type="dxa"/>
          </w:tcPr>
          <w:p w14:paraId="134C55EE" w14:textId="4F5287F6"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c>
          <w:tcPr>
            <w:tcW w:w="1625" w:type="dxa"/>
          </w:tcPr>
          <w:p w14:paraId="728938F1" w14:textId="450102F9" w:rsidR="006B34EA" w:rsidRPr="004817DA" w:rsidRDefault="003E174C" w:rsidP="006B34EA">
            <w:pPr>
              <w:jc w:val="center"/>
              <w:rPr>
                <w:rFonts w:ascii="Calibri" w:hAnsi="Calibri" w:cs="Calibri"/>
                <w:sz w:val="18"/>
                <w:szCs w:val="18"/>
              </w:rPr>
            </w:pPr>
            <w:r>
              <w:rPr>
                <w:rFonts w:ascii="Calibri" w:hAnsi="Calibri" w:cs="Calibri"/>
                <w:sz w:val="18"/>
                <w:szCs w:val="18"/>
              </w:rPr>
              <w:t>REF</w:t>
            </w:r>
            <w:r w:rsidDel="003E174C">
              <w:rPr>
                <w:rFonts w:ascii="Calibri" w:hAnsi="Calibri" w:cs="Calibri"/>
                <w:sz w:val="18"/>
                <w:szCs w:val="18"/>
              </w:rPr>
              <w:t xml:space="preserve"> </w:t>
            </w:r>
          </w:p>
        </w:tc>
      </w:tr>
      <w:tr w:rsidR="006B34EA" w:rsidRPr="004817DA" w14:paraId="4E67EB9B" w14:textId="77777777" w:rsidTr="00B561E5">
        <w:tc>
          <w:tcPr>
            <w:tcW w:w="1134" w:type="dxa"/>
            <w:vMerge/>
          </w:tcPr>
          <w:p w14:paraId="461D1035" w14:textId="77777777" w:rsidR="006B34EA" w:rsidRPr="004817DA" w:rsidRDefault="006B34EA" w:rsidP="006B34EA">
            <w:pPr>
              <w:rPr>
                <w:rFonts w:ascii="Calibri" w:hAnsi="Calibri" w:cs="Calibri"/>
                <w:sz w:val="18"/>
                <w:szCs w:val="18"/>
              </w:rPr>
            </w:pPr>
          </w:p>
        </w:tc>
        <w:tc>
          <w:tcPr>
            <w:tcW w:w="1457" w:type="dxa"/>
          </w:tcPr>
          <w:p w14:paraId="6403A5CE" w14:textId="77777777" w:rsidR="006B34EA" w:rsidRPr="004817DA" w:rsidRDefault="006B34EA" w:rsidP="006B34EA">
            <w:pPr>
              <w:rPr>
                <w:rFonts w:ascii="Calibri" w:hAnsi="Calibri" w:cs="Calibri"/>
                <w:sz w:val="18"/>
                <w:szCs w:val="18"/>
              </w:rPr>
            </w:pPr>
            <w:r>
              <w:rPr>
                <w:rFonts w:ascii="Calibri" w:hAnsi="Calibri" w:cs="Calibri"/>
                <w:sz w:val="18"/>
                <w:szCs w:val="18"/>
              </w:rPr>
              <w:t>Other</w:t>
            </w:r>
          </w:p>
        </w:tc>
        <w:tc>
          <w:tcPr>
            <w:tcW w:w="1623" w:type="dxa"/>
          </w:tcPr>
          <w:p w14:paraId="7AFCC6E5" w14:textId="256B6EEE" w:rsidR="006B34EA" w:rsidRPr="007C433C" w:rsidRDefault="00FD6025" w:rsidP="006B34EA">
            <w:pPr>
              <w:jc w:val="center"/>
              <w:rPr>
                <w:rFonts w:ascii="Calibri" w:hAnsi="Calibri" w:cs="Calibri"/>
                <w:sz w:val="18"/>
                <w:szCs w:val="18"/>
              </w:rPr>
            </w:pPr>
            <w:r>
              <w:rPr>
                <w:rFonts w:ascii="Calibri" w:hAnsi="Calibri" w:cs="Calibri"/>
                <w:sz w:val="18"/>
                <w:szCs w:val="18"/>
              </w:rPr>
              <w:t>1.13 (0.37-3.49)</w:t>
            </w:r>
          </w:p>
        </w:tc>
        <w:tc>
          <w:tcPr>
            <w:tcW w:w="1625" w:type="dxa"/>
          </w:tcPr>
          <w:p w14:paraId="4E673115" w14:textId="38422FF0" w:rsidR="006B34EA" w:rsidRPr="004817DA" w:rsidRDefault="00FD6025" w:rsidP="006B34EA">
            <w:pPr>
              <w:jc w:val="center"/>
              <w:rPr>
                <w:rFonts w:ascii="Calibri" w:hAnsi="Calibri" w:cs="Calibri"/>
                <w:sz w:val="18"/>
                <w:szCs w:val="18"/>
              </w:rPr>
            </w:pPr>
            <w:r>
              <w:rPr>
                <w:rFonts w:ascii="Calibri" w:hAnsi="Calibri" w:cs="Calibri"/>
                <w:sz w:val="18"/>
                <w:szCs w:val="18"/>
              </w:rPr>
              <w:t>0.80 (0.36-1.80)</w:t>
            </w:r>
          </w:p>
        </w:tc>
        <w:tc>
          <w:tcPr>
            <w:tcW w:w="1623" w:type="dxa"/>
          </w:tcPr>
          <w:p w14:paraId="67D2D010" w14:textId="51B98409" w:rsidR="006B34EA" w:rsidRPr="004817DA" w:rsidRDefault="00FD6025" w:rsidP="006B34EA">
            <w:pPr>
              <w:jc w:val="center"/>
              <w:rPr>
                <w:rFonts w:ascii="Calibri" w:hAnsi="Calibri" w:cs="Calibri"/>
                <w:sz w:val="18"/>
                <w:szCs w:val="18"/>
              </w:rPr>
            </w:pPr>
            <w:r>
              <w:rPr>
                <w:rFonts w:ascii="Calibri" w:hAnsi="Calibri" w:cs="Calibri"/>
                <w:sz w:val="18"/>
                <w:szCs w:val="18"/>
              </w:rPr>
              <w:t>1.18 (0.54-2.57)</w:t>
            </w:r>
          </w:p>
        </w:tc>
        <w:tc>
          <w:tcPr>
            <w:tcW w:w="1623" w:type="dxa"/>
          </w:tcPr>
          <w:p w14:paraId="1D84E30F" w14:textId="1E06A601" w:rsidR="006B34EA" w:rsidRPr="004817DA" w:rsidRDefault="00FD6025" w:rsidP="006B34EA">
            <w:pPr>
              <w:jc w:val="center"/>
              <w:rPr>
                <w:rFonts w:ascii="Calibri" w:hAnsi="Calibri" w:cs="Calibri"/>
                <w:sz w:val="18"/>
                <w:szCs w:val="18"/>
              </w:rPr>
            </w:pPr>
            <w:r>
              <w:rPr>
                <w:rFonts w:ascii="Calibri" w:hAnsi="Calibri" w:cs="Calibri"/>
                <w:sz w:val="18"/>
                <w:szCs w:val="18"/>
              </w:rPr>
              <w:t>1.27 (0.58-2.76)</w:t>
            </w:r>
          </w:p>
        </w:tc>
        <w:tc>
          <w:tcPr>
            <w:tcW w:w="1623" w:type="dxa"/>
          </w:tcPr>
          <w:p w14:paraId="0E0789D9" w14:textId="58EF8EE1" w:rsidR="006B34EA" w:rsidRPr="004817DA" w:rsidRDefault="00FD6025" w:rsidP="006B34EA">
            <w:pPr>
              <w:jc w:val="center"/>
              <w:rPr>
                <w:rFonts w:ascii="Calibri" w:hAnsi="Calibri" w:cs="Calibri"/>
                <w:sz w:val="18"/>
                <w:szCs w:val="18"/>
              </w:rPr>
            </w:pPr>
            <w:r>
              <w:rPr>
                <w:rFonts w:ascii="Calibri" w:hAnsi="Calibri" w:cs="Calibri"/>
                <w:sz w:val="18"/>
                <w:szCs w:val="18"/>
              </w:rPr>
              <w:t>1.30 (0.60-2.84)</w:t>
            </w:r>
          </w:p>
        </w:tc>
        <w:tc>
          <w:tcPr>
            <w:tcW w:w="1622" w:type="dxa"/>
          </w:tcPr>
          <w:p w14:paraId="524003AD" w14:textId="3DD0EAAD" w:rsidR="006B34EA" w:rsidRPr="004817DA" w:rsidRDefault="00FD6025" w:rsidP="006B34EA">
            <w:pPr>
              <w:jc w:val="center"/>
              <w:rPr>
                <w:rFonts w:ascii="Calibri" w:hAnsi="Calibri" w:cs="Calibri"/>
                <w:sz w:val="18"/>
                <w:szCs w:val="18"/>
              </w:rPr>
            </w:pPr>
            <w:r>
              <w:rPr>
                <w:rFonts w:ascii="Calibri" w:hAnsi="Calibri" w:cs="Calibri"/>
                <w:sz w:val="18"/>
                <w:szCs w:val="18"/>
              </w:rPr>
              <w:t>0.70 (0.31-1.57)</w:t>
            </w:r>
          </w:p>
        </w:tc>
        <w:tc>
          <w:tcPr>
            <w:tcW w:w="1625" w:type="dxa"/>
          </w:tcPr>
          <w:p w14:paraId="7CD9E660" w14:textId="12DC4543" w:rsidR="006B34EA" w:rsidRPr="004817DA" w:rsidRDefault="00FD6025" w:rsidP="006B34EA">
            <w:pPr>
              <w:jc w:val="center"/>
              <w:rPr>
                <w:rFonts w:ascii="Calibri" w:hAnsi="Calibri" w:cs="Calibri"/>
                <w:sz w:val="18"/>
                <w:szCs w:val="18"/>
              </w:rPr>
            </w:pPr>
            <w:r>
              <w:rPr>
                <w:rFonts w:ascii="Calibri" w:hAnsi="Calibri" w:cs="Calibri"/>
                <w:sz w:val="18"/>
                <w:szCs w:val="18"/>
              </w:rPr>
              <w:t>1.00 (0.45-2.18)</w:t>
            </w:r>
          </w:p>
        </w:tc>
      </w:tr>
      <w:tr w:rsidR="006B34EA" w:rsidRPr="004817DA" w14:paraId="34231FB3" w14:textId="77777777" w:rsidTr="00B561E5">
        <w:trPr>
          <w:trHeight w:val="196"/>
        </w:trPr>
        <w:tc>
          <w:tcPr>
            <w:tcW w:w="1134" w:type="dxa"/>
            <w:vMerge w:val="restart"/>
          </w:tcPr>
          <w:p w14:paraId="03C68788" w14:textId="77777777" w:rsidR="006B34EA" w:rsidRPr="004817DA" w:rsidRDefault="006B34EA" w:rsidP="006B34EA">
            <w:pPr>
              <w:rPr>
                <w:rFonts w:ascii="Calibri" w:hAnsi="Calibri" w:cs="Calibri"/>
                <w:sz w:val="18"/>
                <w:szCs w:val="18"/>
              </w:rPr>
            </w:pPr>
            <w:r>
              <w:rPr>
                <w:rFonts w:ascii="Calibri" w:hAnsi="Calibri" w:cs="Calibri"/>
                <w:sz w:val="18"/>
                <w:szCs w:val="18"/>
              </w:rPr>
              <w:t>Region</w:t>
            </w:r>
          </w:p>
        </w:tc>
        <w:tc>
          <w:tcPr>
            <w:tcW w:w="1457" w:type="dxa"/>
          </w:tcPr>
          <w:p w14:paraId="724A274C" w14:textId="77777777" w:rsidR="006B34EA" w:rsidRDefault="006B34EA" w:rsidP="006B34EA">
            <w:pPr>
              <w:rPr>
                <w:rFonts w:ascii="Calibri" w:hAnsi="Calibri" w:cs="Calibri"/>
                <w:sz w:val="18"/>
                <w:szCs w:val="18"/>
              </w:rPr>
            </w:pPr>
            <w:r>
              <w:rPr>
                <w:rFonts w:ascii="Calibri" w:hAnsi="Calibri" w:cs="Calibri"/>
                <w:sz w:val="18"/>
                <w:szCs w:val="18"/>
              </w:rPr>
              <w:t>London</w:t>
            </w:r>
          </w:p>
        </w:tc>
        <w:tc>
          <w:tcPr>
            <w:tcW w:w="1623" w:type="dxa"/>
          </w:tcPr>
          <w:p w14:paraId="21D285F9" w14:textId="77777777" w:rsidR="006B34EA" w:rsidRPr="007C433C" w:rsidRDefault="006B34EA" w:rsidP="006B34EA">
            <w:pPr>
              <w:jc w:val="center"/>
              <w:rPr>
                <w:rFonts w:ascii="Calibri" w:hAnsi="Calibri" w:cs="Calibri"/>
                <w:sz w:val="18"/>
                <w:szCs w:val="18"/>
              </w:rPr>
            </w:pPr>
            <w:r>
              <w:rPr>
                <w:rFonts w:ascii="Calibri" w:hAnsi="Calibri" w:cs="Calibri"/>
                <w:sz w:val="18"/>
                <w:szCs w:val="18"/>
              </w:rPr>
              <w:t>REF</w:t>
            </w:r>
          </w:p>
        </w:tc>
        <w:tc>
          <w:tcPr>
            <w:tcW w:w="1625" w:type="dxa"/>
          </w:tcPr>
          <w:p w14:paraId="246A6292"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c>
          <w:tcPr>
            <w:tcW w:w="1623" w:type="dxa"/>
          </w:tcPr>
          <w:p w14:paraId="20544EF6"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c>
          <w:tcPr>
            <w:tcW w:w="1623" w:type="dxa"/>
          </w:tcPr>
          <w:p w14:paraId="5D65F7A0"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c>
          <w:tcPr>
            <w:tcW w:w="1623" w:type="dxa"/>
          </w:tcPr>
          <w:p w14:paraId="2BD9A12C"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c>
          <w:tcPr>
            <w:tcW w:w="1622" w:type="dxa"/>
          </w:tcPr>
          <w:p w14:paraId="5708EBFA"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c>
          <w:tcPr>
            <w:tcW w:w="1625" w:type="dxa"/>
          </w:tcPr>
          <w:p w14:paraId="0C51AB3E" w14:textId="77777777" w:rsidR="006B34EA" w:rsidRPr="004817DA" w:rsidRDefault="006B34EA" w:rsidP="006B34EA">
            <w:pPr>
              <w:jc w:val="center"/>
              <w:rPr>
                <w:rFonts w:ascii="Calibri" w:hAnsi="Calibri" w:cs="Calibri"/>
                <w:sz w:val="18"/>
                <w:szCs w:val="18"/>
              </w:rPr>
            </w:pPr>
            <w:r>
              <w:rPr>
                <w:rFonts w:ascii="Calibri" w:hAnsi="Calibri" w:cs="Calibri"/>
                <w:sz w:val="18"/>
                <w:szCs w:val="18"/>
              </w:rPr>
              <w:t>REF</w:t>
            </w:r>
          </w:p>
        </w:tc>
      </w:tr>
      <w:tr w:rsidR="006B34EA" w:rsidRPr="004817DA" w14:paraId="4EC9B40F" w14:textId="77777777" w:rsidTr="00B561E5">
        <w:tc>
          <w:tcPr>
            <w:tcW w:w="1134" w:type="dxa"/>
            <w:vMerge/>
          </w:tcPr>
          <w:p w14:paraId="4283D604" w14:textId="77777777" w:rsidR="006B34EA" w:rsidRPr="004817DA" w:rsidRDefault="006B34EA" w:rsidP="006B34EA">
            <w:pPr>
              <w:rPr>
                <w:rFonts w:ascii="Calibri" w:hAnsi="Calibri" w:cs="Calibri"/>
                <w:sz w:val="18"/>
                <w:szCs w:val="18"/>
              </w:rPr>
            </w:pPr>
          </w:p>
        </w:tc>
        <w:tc>
          <w:tcPr>
            <w:tcW w:w="1457" w:type="dxa"/>
          </w:tcPr>
          <w:p w14:paraId="56B635F0" w14:textId="7BEDDBB4" w:rsidR="006B34EA" w:rsidRDefault="006B34EA" w:rsidP="006B34EA">
            <w:pPr>
              <w:rPr>
                <w:rFonts w:ascii="Calibri" w:hAnsi="Calibri" w:cs="Calibri"/>
                <w:sz w:val="18"/>
                <w:szCs w:val="18"/>
              </w:rPr>
            </w:pPr>
            <w:r>
              <w:rPr>
                <w:rFonts w:ascii="Calibri" w:hAnsi="Calibri" w:cs="Calibri"/>
                <w:sz w:val="18"/>
                <w:szCs w:val="18"/>
              </w:rPr>
              <w:t>North</w:t>
            </w:r>
          </w:p>
        </w:tc>
        <w:tc>
          <w:tcPr>
            <w:tcW w:w="1623" w:type="dxa"/>
          </w:tcPr>
          <w:p w14:paraId="274013E7" w14:textId="1C9719B0" w:rsidR="006B34EA" w:rsidRPr="007C433C" w:rsidRDefault="006B34EA" w:rsidP="006B34EA">
            <w:pPr>
              <w:jc w:val="center"/>
              <w:rPr>
                <w:rFonts w:ascii="Calibri" w:hAnsi="Calibri" w:cs="Calibri"/>
                <w:sz w:val="18"/>
                <w:szCs w:val="18"/>
              </w:rPr>
            </w:pPr>
            <w:r>
              <w:rPr>
                <w:rFonts w:ascii="Calibri" w:hAnsi="Calibri" w:cs="Calibri"/>
                <w:sz w:val="18"/>
                <w:szCs w:val="18"/>
              </w:rPr>
              <w:t>1.26 (0.95-1.68)</w:t>
            </w:r>
          </w:p>
        </w:tc>
        <w:tc>
          <w:tcPr>
            <w:tcW w:w="1625" w:type="dxa"/>
          </w:tcPr>
          <w:p w14:paraId="604844FB" w14:textId="5419780D" w:rsidR="006B34EA" w:rsidRPr="004817DA" w:rsidRDefault="006B34EA" w:rsidP="006B34EA">
            <w:pPr>
              <w:jc w:val="center"/>
              <w:rPr>
                <w:rFonts w:ascii="Calibri" w:hAnsi="Calibri" w:cs="Calibri"/>
                <w:sz w:val="18"/>
                <w:szCs w:val="18"/>
              </w:rPr>
            </w:pPr>
            <w:r>
              <w:rPr>
                <w:rFonts w:ascii="Calibri" w:hAnsi="Calibri" w:cs="Calibri"/>
                <w:sz w:val="18"/>
                <w:szCs w:val="18"/>
              </w:rPr>
              <w:t>1.10 (0.88-1.37)</w:t>
            </w:r>
          </w:p>
        </w:tc>
        <w:tc>
          <w:tcPr>
            <w:tcW w:w="1623" w:type="dxa"/>
          </w:tcPr>
          <w:p w14:paraId="4F8B36A3" w14:textId="5983D61B" w:rsidR="006B34EA" w:rsidRPr="004817DA" w:rsidRDefault="006B34EA" w:rsidP="006B34EA">
            <w:pPr>
              <w:jc w:val="center"/>
              <w:rPr>
                <w:rFonts w:ascii="Calibri" w:hAnsi="Calibri" w:cs="Calibri"/>
                <w:sz w:val="18"/>
                <w:szCs w:val="18"/>
              </w:rPr>
            </w:pPr>
            <w:r>
              <w:rPr>
                <w:rFonts w:ascii="Calibri" w:hAnsi="Calibri" w:cs="Calibri"/>
                <w:sz w:val="18"/>
                <w:szCs w:val="18"/>
              </w:rPr>
              <w:t>1.27 (1.03-1.</w:t>
            </w:r>
            <w:proofErr w:type="gramStart"/>
            <w:r>
              <w:rPr>
                <w:rFonts w:ascii="Calibri" w:hAnsi="Calibri" w:cs="Calibri"/>
                <w:sz w:val="18"/>
                <w:szCs w:val="18"/>
              </w:rPr>
              <w:t>56)*</w:t>
            </w:r>
            <w:proofErr w:type="gramEnd"/>
          </w:p>
        </w:tc>
        <w:tc>
          <w:tcPr>
            <w:tcW w:w="1623" w:type="dxa"/>
          </w:tcPr>
          <w:p w14:paraId="2ABBE2CF" w14:textId="46D1D999" w:rsidR="006B34EA" w:rsidRPr="004817DA" w:rsidRDefault="006B34EA" w:rsidP="006B34EA">
            <w:pPr>
              <w:jc w:val="center"/>
              <w:rPr>
                <w:rFonts w:ascii="Calibri" w:hAnsi="Calibri" w:cs="Calibri"/>
                <w:sz w:val="18"/>
                <w:szCs w:val="18"/>
              </w:rPr>
            </w:pPr>
            <w:r>
              <w:rPr>
                <w:rFonts w:ascii="Calibri" w:hAnsi="Calibri" w:cs="Calibri"/>
                <w:sz w:val="18"/>
                <w:szCs w:val="18"/>
              </w:rPr>
              <w:t>1.05 (0.86-1.29)</w:t>
            </w:r>
          </w:p>
        </w:tc>
        <w:tc>
          <w:tcPr>
            <w:tcW w:w="1623" w:type="dxa"/>
          </w:tcPr>
          <w:p w14:paraId="04F8DFA4" w14:textId="2B5EF0E0" w:rsidR="006B34EA" w:rsidRPr="004817DA" w:rsidRDefault="006B34EA" w:rsidP="006B34EA">
            <w:pPr>
              <w:jc w:val="center"/>
              <w:rPr>
                <w:rFonts w:ascii="Calibri" w:hAnsi="Calibri" w:cs="Calibri"/>
                <w:sz w:val="18"/>
                <w:szCs w:val="18"/>
              </w:rPr>
            </w:pPr>
            <w:r>
              <w:rPr>
                <w:rFonts w:ascii="Calibri" w:hAnsi="Calibri" w:cs="Calibri"/>
                <w:sz w:val="18"/>
                <w:szCs w:val="18"/>
              </w:rPr>
              <w:t>0.91 (0.74-1.12)</w:t>
            </w:r>
          </w:p>
        </w:tc>
        <w:tc>
          <w:tcPr>
            <w:tcW w:w="1622" w:type="dxa"/>
          </w:tcPr>
          <w:p w14:paraId="5AA85225" w14:textId="2524098E" w:rsidR="006B34EA" w:rsidRPr="004817DA" w:rsidRDefault="006B34EA" w:rsidP="006B34EA">
            <w:pPr>
              <w:jc w:val="center"/>
              <w:rPr>
                <w:rFonts w:ascii="Calibri" w:hAnsi="Calibri" w:cs="Calibri"/>
                <w:sz w:val="18"/>
                <w:szCs w:val="18"/>
              </w:rPr>
            </w:pPr>
            <w:r>
              <w:rPr>
                <w:rFonts w:ascii="Calibri" w:hAnsi="Calibri" w:cs="Calibri"/>
                <w:sz w:val="18"/>
                <w:szCs w:val="18"/>
              </w:rPr>
              <w:t>1.09 (0.87-1.36)</w:t>
            </w:r>
          </w:p>
        </w:tc>
        <w:tc>
          <w:tcPr>
            <w:tcW w:w="1625" w:type="dxa"/>
          </w:tcPr>
          <w:p w14:paraId="06643ECB" w14:textId="24BD4470" w:rsidR="006B34EA" w:rsidRPr="004817DA" w:rsidRDefault="006B34EA" w:rsidP="006B34EA">
            <w:pPr>
              <w:jc w:val="center"/>
              <w:rPr>
                <w:rFonts w:ascii="Calibri" w:hAnsi="Calibri" w:cs="Calibri"/>
                <w:sz w:val="18"/>
                <w:szCs w:val="18"/>
              </w:rPr>
            </w:pPr>
            <w:r>
              <w:rPr>
                <w:rFonts w:ascii="Calibri" w:hAnsi="Calibri" w:cs="Calibri"/>
                <w:sz w:val="18"/>
                <w:szCs w:val="18"/>
              </w:rPr>
              <w:t>1.39 (1.13-1.</w:t>
            </w:r>
            <w:proofErr w:type="gramStart"/>
            <w:r>
              <w:rPr>
                <w:rFonts w:ascii="Calibri" w:hAnsi="Calibri" w:cs="Calibri"/>
                <w:sz w:val="18"/>
                <w:szCs w:val="18"/>
              </w:rPr>
              <w:t>71)*</w:t>
            </w:r>
            <w:proofErr w:type="gramEnd"/>
            <w:r>
              <w:rPr>
                <w:rFonts w:ascii="Calibri" w:hAnsi="Calibri" w:cs="Calibri"/>
                <w:sz w:val="18"/>
                <w:szCs w:val="18"/>
              </w:rPr>
              <w:t>*</w:t>
            </w:r>
          </w:p>
        </w:tc>
      </w:tr>
      <w:tr w:rsidR="006B34EA" w:rsidRPr="004817DA" w14:paraId="3E1F41FB" w14:textId="77777777" w:rsidTr="00966F60">
        <w:tc>
          <w:tcPr>
            <w:tcW w:w="13955" w:type="dxa"/>
            <w:gridSpan w:val="9"/>
          </w:tcPr>
          <w:p w14:paraId="5AD94AB0" w14:textId="77777777" w:rsidR="006B34EA" w:rsidRDefault="006B34EA" w:rsidP="006B34EA">
            <w:pPr>
              <w:rPr>
                <w:rFonts w:ascii="Calibri" w:hAnsi="Calibri" w:cs="Calibri"/>
                <w:sz w:val="18"/>
                <w:szCs w:val="18"/>
              </w:rPr>
            </w:pPr>
            <w:r>
              <w:rPr>
                <w:rFonts w:ascii="Calibri" w:hAnsi="Calibri" w:cs="Calibri"/>
                <w:sz w:val="18"/>
                <w:szCs w:val="18"/>
              </w:rPr>
              <w:t>Models adjusted for sex, age group, social class, children in the household, working status and region</w:t>
            </w:r>
          </w:p>
          <w:p w14:paraId="2B0D73C6" w14:textId="5D1335C6" w:rsidR="006B34EA" w:rsidRPr="004817DA" w:rsidRDefault="006B34EA" w:rsidP="006B34EA">
            <w:pPr>
              <w:rPr>
                <w:rFonts w:ascii="Calibri" w:hAnsi="Calibri" w:cs="Calibri"/>
                <w:sz w:val="18"/>
                <w:szCs w:val="18"/>
              </w:rPr>
            </w:pPr>
            <w:r w:rsidRPr="00F3541C">
              <w:rPr>
                <w:rFonts w:ascii="Calibri" w:hAnsi="Calibri" w:cs="Calibri"/>
                <w:sz w:val="20"/>
                <w:szCs w:val="20"/>
              </w:rPr>
              <w:t>*</w:t>
            </w:r>
            <w:r>
              <w:rPr>
                <w:rFonts w:ascii="Calibri" w:hAnsi="Calibri" w:cs="Calibri"/>
                <w:sz w:val="20"/>
                <w:szCs w:val="20"/>
              </w:rPr>
              <w:t xml:space="preserve"> </w:t>
            </w:r>
            <w:r w:rsidRPr="00D61E63">
              <w:rPr>
                <w:rFonts w:ascii="Calibri" w:hAnsi="Calibri" w:cs="Calibri"/>
                <w:sz w:val="20"/>
                <w:szCs w:val="20"/>
              </w:rPr>
              <w:t>P&lt;0.05, ** P&lt;0.01</w:t>
            </w:r>
            <w:r>
              <w:rPr>
                <w:rFonts w:ascii="Calibri" w:hAnsi="Calibri" w:cs="Calibri"/>
                <w:sz w:val="20"/>
                <w:szCs w:val="20"/>
              </w:rPr>
              <w:t>, *** P&lt;0.001</w:t>
            </w:r>
          </w:p>
        </w:tc>
      </w:tr>
    </w:tbl>
    <w:p w14:paraId="503305DC" w14:textId="77777777" w:rsidR="00E604A2" w:rsidRDefault="00E604A2" w:rsidP="00E604A2"/>
    <w:p w14:paraId="28358640" w14:textId="77777777" w:rsidR="00E604A2" w:rsidRDefault="00E604A2">
      <w:r>
        <w:br w:type="page"/>
      </w:r>
    </w:p>
    <w:p w14:paraId="06218EA9" w14:textId="777CE3BF" w:rsidR="00E604A2" w:rsidRPr="00D2555D" w:rsidRDefault="00E604A2" w:rsidP="00E604A2">
      <w:pPr>
        <w:rPr>
          <w:rFonts w:ascii="Calibri" w:hAnsi="Calibri" w:cs="Calibri"/>
        </w:rPr>
      </w:pPr>
      <w:r w:rsidRPr="00D2555D">
        <w:rPr>
          <w:rFonts w:ascii="Calibri" w:hAnsi="Calibri" w:cs="Calibri"/>
          <w:b/>
          <w:bCs/>
        </w:rPr>
        <w:lastRenderedPageBreak/>
        <w:t xml:space="preserve">Table </w:t>
      </w:r>
      <w:r w:rsidR="001164DF">
        <w:rPr>
          <w:rFonts w:ascii="Calibri" w:hAnsi="Calibri" w:cs="Calibri"/>
          <w:b/>
          <w:bCs/>
        </w:rPr>
        <w:t>3</w:t>
      </w:r>
      <w:r>
        <w:rPr>
          <w:rFonts w:ascii="Calibri" w:hAnsi="Calibri" w:cs="Calibri"/>
          <w:b/>
          <w:bCs/>
        </w:rPr>
        <w:t>.</w:t>
      </w:r>
      <w:r w:rsidRPr="00D2555D">
        <w:rPr>
          <w:rFonts w:ascii="Calibri" w:hAnsi="Calibri" w:cs="Calibri"/>
        </w:rPr>
        <w:t xml:space="preserve"> </w:t>
      </w:r>
      <w:r w:rsidR="00106800">
        <w:rPr>
          <w:rFonts w:ascii="Calibri" w:hAnsi="Calibri" w:cs="Calibri"/>
        </w:rPr>
        <w:t>S</w:t>
      </w:r>
      <w:r w:rsidR="00106800" w:rsidRPr="00843B62">
        <w:rPr>
          <w:rFonts w:ascii="Calibri" w:hAnsi="Calibri" w:cs="Calibri"/>
        </w:rPr>
        <w:t xml:space="preserve">ociodemographic </w:t>
      </w:r>
      <w:r w:rsidR="00966F60">
        <w:rPr>
          <w:rFonts w:ascii="Calibri" w:hAnsi="Calibri" w:cs="Calibri"/>
        </w:rPr>
        <w:t>correlates</w:t>
      </w:r>
      <w:r w:rsidR="00966F60" w:rsidRPr="00843B62">
        <w:rPr>
          <w:rFonts w:ascii="Calibri" w:hAnsi="Calibri" w:cs="Calibri"/>
        </w:rPr>
        <w:t xml:space="preserve"> </w:t>
      </w:r>
      <w:r w:rsidR="00106800" w:rsidRPr="00843B62">
        <w:rPr>
          <w:rFonts w:ascii="Calibri" w:hAnsi="Calibri" w:cs="Calibri"/>
        </w:rPr>
        <w:t xml:space="preserve">of advertising exposure stratified by </w:t>
      </w:r>
      <w:r w:rsidR="00106800">
        <w:rPr>
          <w:rFonts w:ascii="Calibri" w:hAnsi="Calibri" w:cs="Calibri"/>
        </w:rPr>
        <w:t>advertising setting</w:t>
      </w:r>
      <w:r w:rsidR="00106800" w:rsidRPr="00843B62">
        <w:rPr>
          <w:rFonts w:ascii="Calibri" w:hAnsi="Calibri" w:cs="Calibri"/>
        </w:rPr>
        <w:t xml:space="preserve"> </w:t>
      </w:r>
      <w:r w:rsidR="00C31372">
        <w:rPr>
          <w:rFonts w:ascii="Calibri" w:hAnsi="Calibri" w:cs="Calibri"/>
        </w:rPr>
        <w:t>(</w:t>
      </w:r>
      <w:r w:rsidR="00106800" w:rsidRPr="001B7404">
        <w:rPr>
          <w:rFonts w:ascii="Calibri" w:hAnsi="Calibri" w:cs="Calibri"/>
          <w:i/>
          <w:iCs/>
        </w:rPr>
        <w:t>n</w:t>
      </w:r>
      <w:r w:rsidR="00106800">
        <w:rPr>
          <w:rFonts w:ascii="Calibri" w:hAnsi="Calibri" w:cs="Calibri"/>
        </w:rPr>
        <w:t>=1552</w:t>
      </w:r>
      <w:r w:rsidR="00C31372">
        <w:rPr>
          <w:rFonts w:ascii="Calibri" w:hAnsi="Calibri" w:cs="Calibri"/>
        </w:rPr>
        <w:t>)</w:t>
      </w:r>
    </w:p>
    <w:p w14:paraId="506AA51D" w14:textId="77777777" w:rsidR="00E604A2" w:rsidRPr="006E497A" w:rsidRDefault="00E604A2" w:rsidP="00E604A2">
      <w:pPr>
        <w:rPr>
          <w:rFonts w:ascii="Calibri" w:hAnsi="Calibri" w:cs="Calibri"/>
          <w:sz w:val="20"/>
          <w:szCs w:val="20"/>
        </w:rPr>
      </w:pPr>
    </w:p>
    <w:tbl>
      <w:tblPr>
        <w:tblStyle w:val="TableGrid"/>
        <w:tblW w:w="13892" w:type="dxa"/>
        <w:tblInd w:w="-5" w:type="dxa"/>
        <w:tblLook w:val="04A0" w:firstRow="1" w:lastRow="0" w:firstColumn="1" w:lastColumn="0" w:noHBand="0" w:noVBand="1"/>
      </w:tblPr>
      <w:tblGrid>
        <w:gridCol w:w="1318"/>
        <w:gridCol w:w="2261"/>
        <w:gridCol w:w="2062"/>
        <w:gridCol w:w="2062"/>
        <w:gridCol w:w="2063"/>
        <w:gridCol w:w="2063"/>
        <w:gridCol w:w="2063"/>
      </w:tblGrid>
      <w:tr w:rsidR="00E604A2" w:rsidRPr="002F71A3" w14:paraId="46F28A76" w14:textId="77777777" w:rsidTr="00966F60">
        <w:tc>
          <w:tcPr>
            <w:tcW w:w="3544" w:type="dxa"/>
            <w:gridSpan w:val="2"/>
          </w:tcPr>
          <w:p w14:paraId="264D1A76" w14:textId="77777777" w:rsidR="00E604A2" w:rsidRPr="002F71A3" w:rsidRDefault="00E604A2" w:rsidP="00EC5709">
            <w:pPr>
              <w:rPr>
                <w:rFonts w:ascii="Calibri" w:hAnsi="Calibri" w:cs="Calibri"/>
                <w:b/>
                <w:bCs/>
                <w:sz w:val="18"/>
                <w:szCs w:val="18"/>
              </w:rPr>
            </w:pPr>
            <w:r w:rsidRPr="002F71A3">
              <w:rPr>
                <w:rFonts w:ascii="Calibri" w:hAnsi="Calibri" w:cs="Calibri"/>
                <w:b/>
                <w:bCs/>
                <w:sz w:val="18"/>
                <w:szCs w:val="18"/>
              </w:rPr>
              <w:t>Sociodemographic characteristic</w:t>
            </w:r>
          </w:p>
        </w:tc>
        <w:tc>
          <w:tcPr>
            <w:tcW w:w="2069" w:type="dxa"/>
          </w:tcPr>
          <w:p w14:paraId="76FCDAEF" w14:textId="77777777" w:rsidR="00E604A2" w:rsidRPr="002F71A3" w:rsidRDefault="00E604A2" w:rsidP="00EC5709">
            <w:pPr>
              <w:jc w:val="center"/>
              <w:rPr>
                <w:rFonts w:ascii="Calibri" w:hAnsi="Calibri" w:cs="Calibri"/>
                <w:b/>
                <w:bCs/>
                <w:sz w:val="18"/>
                <w:szCs w:val="18"/>
              </w:rPr>
            </w:pPr>
            <w:r w:rsidRPr="002F71A3">
              <w:rPr>
                <w:rFonts w:ascii="Calibri" w:hAnsi="Calibri" w:cs="Calibri"/>
                <w:b/>
                <w:bCs/>
                <w:sz w:val="18"/>
                <w:szCs w:val="18"/>
              </w:rPr>
              <w:t>Traditional</w:t>
            </w:r>
          </w:p>
        </w:tc>
        <w:tc>
          <w:tcPr>
            <w:tcW w:w="2070" w:type="dxa"/>
          </w:tcPr>
          <w:p w14:paraId="5D67FA42" w14:textId="77777777" w:rsidR="00E604A2" w:rsidRPr="002F71A3" w:rsidRDefault="00E604A2" w:rsidP="00EC5709">
            <w:pPr>
              <w:jc w:val="center"/>
              <w:rPr>
                <w:rFonts w:ascii="Calibri" w:hAnsi="Calibri" w:cs="Calibri"/>
                <w:b/>
                <w:bCs/>
                <w:sz w:val="18"/>
                <w:szCs w:val="18"/>
              </w:rPr>
            </w:pPr>
            <w:r w:rsidRPr="002F71A3">
              <w:rPr>
                <w:rFonts w:ascii="Calibri" w:hAnsi="Calibri" w:cs="Calibri"/>
                <w:b/>
                <w:bCs/>
                <w:sz w:val="18"/>
                <w:szCs w:val="18"/>
              </w:rPr>
              <w:t>Digital</w:t>
            </w:r>
          </w:p>
        </w:tc>
        <w:tc>
          <w:tcPr>
            <w:tcW w:w="2069" w:type="dxa"/>
          </w:tcPr>
          <w:p w14:paraId="78F8A47E" w14:textId="77777777" w:rsidR="00E604A2" w:rsidRPr="002F71A3" w:rsidRDefault="00E604A2" w:rsidP="00EC5709">
            <w:pPr>
              <w:jc w:val="center"/>
              <w:rPr>
                <w:rFonts w:ascii="Calibri" w:hAnsi="Calibri" w:cs="Calibri"/>
                <w:b/>
                <w:bCs/>
                <w:sz w:val="18"/>
                <w:szCs w:val="18"/>
              </w:rPr>
            </w:pPr>
            <w:r w:rsidRPr="002F71A3">
              <w:rPr>
                <w:rFonts w:ascii="Calibri" w:hAnsi="Calibri" w:cs="Calibri"/>
                <w:b/>
                <w:bCs/>
                <w:sz w:val="18"/>
                <w:szCs w:val="18"/>
              </w:rPr>
              <w:t>Recreational</w:t>
            </w:r>
          </w:p>
        </w:tc>
        <w:tc>
          <w:tcPr>
            <w:tcW w:w="2070" w:type="dxa"/>
          </w:tcPr>
          <w:p w14:paraId="75CB72E7" w14:textId="77777777" w:rsidR="00E604A2" w:rsidRPr="002F71A3" w:rsidRDefault="00E604A2" w:rsidP="00EC5709">
            <w:pPr>
              <w:jc w:val="center"/>
              <w:rPr>
                <w:rFonts w:ascii="Calibri" w:hAnsi="Calibri" w:cs="Calibri"/>
                <w:b/>
                <w:bCs/>
                <w:sz w:val="18"/>
                <w:szCs w:val="18"/>
              </w:rPr>
            </w:pPr>
            <w:r w:rsidRPr="002F71A3">
              <w:rPr>
                <w:rFonts w:ascii="Calibri" w:hAnsi="Calibri" w:cs="Calibri"/>
                <w:b/>
                <w:bCs/>
                <w:sz w:val="18"/>
                <w:szCs w:val="18"/>
              </w:rPr>
              <w:t>Functional</w:t>
            </w:r>
          </w:p>
        </w:tc>
        <w:tc>
          <w:tcPr>
            <w:tcW w:w="2070" w:type="dxa"/>
          </w:tcPr>
          <w:p w14:paraId="1903EEF2" w14:textId="77777777" w:rsidR="00E604A2" w:rsidRPr="002F71A3" w:rsidRDefault="00E604A2" w:rsidP="00EC5709">
            <w:pPr>
              <w:jc w:val="center"/>
              <w:rPr>
                <w:rFonts w:ascii="Calibri" w:hAnsi="Calibri" w:cs="Calibri"/>
                <w:b/>
                <w:bCs/>
                <w:sz w:val="18"/>
                <w:szCs w:val="18"/>
              </w:rPr>
            </w:pPr>
            <w:r w:rsidRPr="002F71A3">
              <w:rPr>
                <w:rFonts w:ascii="Calibri" w:hAnsi="Calibri" w:cs="Calibri"/>
                <w:b/>
                <w:bCs/>
                <w:sz w:val="18"/>
                <w:szCs w:val="18"/>
              </w:rPr>
              <w:t>Transport</w:t>
            </w:r>
          </w:p>
        </w:tc>
      </w:tr>
      <w:tr w:rsidR="00E604A2" w:rsidRPr="002F71A3" w14:paraId="2CAA8A14" w14:textId="77777777" w:rsidTr="00B561E5">
        <w:tc>
          <w:tcPr>
            <w:tcW w:w="1276" w:type="dxa"/>
            <w:vMerge w:val="restart"/>
          </w:tcPr>
          <w:p w14:paraId="61B6B4D2"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Sex</w:t>
            </w:r>
          </w:p>
        </w:tc>
        <w:tc>
          <w:tcPr>
            <w:tcW w:w="2268" w:type="dxa"/>
          </w:tcPr>
          <w:p w14:paraId="3943C1F8"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Male</w:t>
            </w:r>
          </w:p>
        </w:tc>
        <w:tc>
          <w:tcPr>
            <w:tcW w:w="2069" w:type="dxa"/>
          </w:tcPr>
          <w:p w14:paraId="77750D39"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REF</w:t>
            </w:r>
          </w:p>
        </w:tc>
        <w:tc>
          <w:tcPr>
            <w:tcW w:w="2070" w:type="dxa"/>
          </w:tcPr>
          <w:p w14:paraId="60894482"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REF</w:t>
            </w:r>
          </w:p>
        </w:tc>
        <w:tc>
          <w:tcPr>
            <w:tcW w:w="2069" w:type="dxa"/>
          </w:tcPr>
          <w:p w14:paraId="0D16125C"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REF</w:t>
            </w:r>
          </w:p>
        </w:tc>
        <w:tc>
          <w:tcPr>
            <w:tcW w:w="2070" w:type="dxa"/>
          </w:tcPr>
          <w:p w14:paraId="22CB12D0"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REF</w:t>
            </w:r>
          </w:p>
        </w:tc>
        <w:tc>
          <w:tcPr>
            <w:tcW w:w="2070" w:type="dxa"/>
          </w:tcPr>
          <w:p w14:paraId="639D82A9"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REF</w:t>
            </w:r>
          </w:p>
        </w:tc>
      </w:tr>
      <w:tr w:rsidR="00E604A2" w:rsidRPr="002F71A3" w14:paraId="34E9B93A" w14:textId="77777777" w:rsidTr="00B561E5">
        <w:tc>
          <w:tcPr>
            <w:tcW w:w="1276" w:type="dxa"/>
            <w:vMerge/>
          </w:tcPr>
          <w:p w14:paraId="257FDE56" w14:textId="77777777" w:rsidR="00E604A2" w:rsidRPr="002F71A3" w:rsidRDefault="00E604A2" w:rsidP="00EC5709">
            <w:pPr>
              <w:rPr>
                <w:rFonts w:ascii="Calibri" w:hAnsi="Calibri" w:cs="Calibri"/>
                <w:sz w:val="18"/>
                <w:szCs w:val="18"/>
              </w:rPr>
            </w:pPr>
          </w:p>
        </w:tc>
        <w:tc>
          <w:tcPr>
            <w:tcW w:w="2268" w:type="dxa"/>
          </w:tcPr>
          <w:p w14:paraId="35813E24"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Female</w:t>
            </w:r>
          </w:p>
        </w:tc>
        <w:tc>
          <w:tcPr>
            <w:tcW w:w="2069" w:type="dxa"/>
          </w:tcPr>
          <w:p w14:paraId="3A39CE0F"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1.19 (0.92-1.54)</w:t>
            </w:r>
          </w:p>
        </w:tc>
        <w:tc>
          <w:tcPr>
            <w:tcW w:w="2070" w:type="dxa"/>
          </w:tcPr>
          <w:p w14:paraId="56A2ED44"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0.80 (0.63-1.02)</w:t>
            </w:r>
          </w:p>
        </w:tc>
        <w:tc>
          <w:tcPr>
            <w:tcW w:w="2069" w:type="dxa"/>
          </w:tcPr>
          <w:p w14:paraId="43751F0C"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0.94 (0.71-1.26)</w:t>
            </w:r>
          </w:p>
        </w:tc>
        <w:tc>
          <w:tcPr>
            <w:tcW w:w="2070" w:type="dxa"/>
          </w:tcPr>
          <w:p w14:paraId="7F34E4ED"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0.96 (0.76-1.21)</w:t>
            </w:r>
          </w:p>
        </w:tc>
        <w:tc>
          <w:tcPr>
            <w:tcW w:w="2070" w:type="dxa"/>
          </w:tcPr>
          <w:p w14:paraId="2B3F4293" w14:textId="77777777" w:rsidR="00E604A2" w:rsidRPr="002F71A3" w:rsidRDefault="00E604A2" w:rsidP="00EC5709">
            <w:pPr>
              <w:jc w:val="center"/>
              <w:rPr>
                <w:rFonts w:ascii="Calibri" w:hAnsi="Calibri" w:cs="Calibri"/>
                <w:sz w:val="18"/>
                <w:szCs w:val="18"/>
              </w:rPr>
            </w:pPr>
            <w:r w:rsidRPr="002F71A3">
              <w:rPr>
                <w:rFonts w:ascii="Calibri" w:hAnsi="Calibri" w:cs="Calibri"/>
                <w:sz w:val="18"/>
                <w:szCs w:val="18"/>
              </w:rPr>
              <w:t>0.89 (0.70-1.14)</w:t>
            </w:r>
          </w:p>
        </w:tc>
      </w:tr>
      <w:tr w:rsidR="00E604A2" w:rsidRPr="002F71A3" w14:paraId="0BEB4E14" w14:textId="77777777" w:rsidTr="00B561E5">
        <w:tc>
          <w:tcPr>
            <w:tcW w:w="1276" w:type="dxa"/>
            <w:vMerge w:val="restart"/>
          </w:tcPr>
          <w:p w14:paraId="0573A5EA"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Age group</w:t>
            </w:r>
          </w:p>
        </w:tc>
        <w:tc>
          <w:tcPr>
            <w:tcW w:w="2268" w:type="dxa"/>
          </w:tcPr>
          <w:p w14:paraId="40B0AC31"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18-34</w:t>
            </w:r>
          </w:p>
        </w:tc>
        <w:tc>
          <w:tcPr>
            <w:tcW w:w="2069" w:type="dxa"/>
          </w:tcPr>
          <w:p w14:paraId="54CAB7C1" w14:textId="2D9A31D5" w:rsidR="00E604A2" w:rsidRPr="002F71A3" w:rsidRDefault="002963EE" w:rsidP="00EC5709">
            <w:pPr>
              <w:jc w:val="center"/>
              <w:rPr>
                <w:rFonts w:ascii="Calibri" w:hAnsi="Calibri" w:cs="Calibri"/>
                <w:sz w:val="18"/>
                <w:szCs w:val="18"/>
              </w:rPr>
            </w:pPr>
            <w:r w:rsidRPr="002F71A3">
              <w:rPr>
                <w:rFonts w:ascii="Calibri" w:hAnsi="Calibri" w:cs="Calibri"/>
                <w:sz w:val="18"/>
                <w:szCs w:val="18"/>
              </w:rPr>
              <w:t>0.64 (0.34-1.18)</w:t>
            </w:r>
          </w:p>
        </w:tc>
        <w:tc>
          <w:tcPr>
            <w:tcW w:w="2070" w:type="dxa"/>
          </w:tcPr>
          <w:p w14:paraId="7FF84CCA" w14:textId="413BC8FC" w:rsidR="00E604A2" w:rsidRPr="002F71A3" w:rsidRDefault="00D26B12" w:rsidP="00EC5709">
            <w:pPr>
              <w:jc w:val="center"/>
              <w:rPr>
                <w:rFonts w:ascii="Calibri" w:hAnsi="Calibri" w:cs="Calibri"/>
                <w:sz w:val="18"/>
                <w:szCs w:val="18"/>
              </w:rPr>
            </w:pPr>
            <w:r w:rsidRPr="002F71A3">
              <w:rPr>
                <w:rFonts w:ascii="Calibri" w:hAnsi="Calibri" w:cs="Calibri"/>
                <w:sz w:val="18"/>
                <w:szCs w:val="18"/>
              </w:rPr>
              <w:t>3.93 (2.18-7.</w:t>
            </w:r>
            <w:proofErr w:type="gramStart"/>
            <w:r w:rsidRPr="002F71A3">
              <w:rPr>
                <w:rFonts w:ascii="Calibri" w:hAnsi="Calibri" w:cs="Calibri"/>
                <w:sz w:val="18"/>
                <w:szCs w:val="18"/>
              </w:rPr>
              <w:t>08)*</w:t>
            </w:r>
            <w:proofErr w:type="gramEnd"/>
            <w:r w:rsidRPr="002F71A3">
              <w:rPr>
                <w:rFonts w:ascii="Calibri" w:hAnsi="Calibri" w:cs="Calibri"/>
                <w:sz w:val="18"/>
                <w:szCs w:val="18"/>
              </w:rPr>
              <w:t>**</w:t>
            </w:r>
          </w:p>
        </w:tc>
        <w:tc>
          <w:tcPr>
            <w:tcW w:w="2069" w:type="dxa"/>
          </w:tcPr>
          <w:p w14:paraId="73A6CDE0" w14:textId="5CFBC184"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1.37 (0.70-2.70)</w:t>
            </w:r>
          </w:p>
        </w:tc>
        <w:tc>
          <w:tcPr>
            <w:tcW w:w="2070" w:type="dxa"/>
          </w:tcPr>
          <w:p w14:paraId="61350B2D" w14:textId="55EEB2D3"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1.27 (0.74-2.18)</w:t>
            </w:r>
          </w:p>
        </w:tc>
        <w:tc>
          <w:tcPr>
            <w:tcW w:w="2070" w:type="dxa"/>
          </w:tcPr>
          <w:p w14:paraId="4AFAA07A" w14:textId="16078E6C"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1.96 (1.11-3.</w:t>
            </w:r>
            <w:proofErr w:type="gramStart"/>
            <w:r w:rsidRPr="002F71A3">
              <w:rPr>
                <w:rFonts w:ascii="Calibri" w:hAnsi="Calibri" w:cs="Calibri"/>
                <w:sz w:val="18"/>
                <w:szCs w:val="18"/>
              </w:rPr>
              <w:t>48)*</w:t>
            </w:r>
            <w:proofErr w:type="gramEnd"/>
          </w:p>
        </w:tc>
      </w:tr>
      <w:tr w:rsidR="00E604A2" w:rsidRPr="002F71A3" w14:paraId="05C5C912" w14:textId="77777777" w:rsidTr="00B561E5">
        <w:tc>
          <w:tcPr>
            <w:tcW w:w="1276" w:type="dxa"/>
            <w:vMerge/>
          </w:tcPr>
          <w:p w14:paraId="5D1EFC01" w14:textId="77777777" w:rsidR="00E604A2" w:rsidRPr="002F71A3" w:rsidRDefault="00E604A2" w:rsidP="00EC5709">
            <w:pPr>
              <w:rPr>
                <w:rFonts w:ascii="Calibri" w:hAnsi="Calibri" w:cs="Calibri"/>
                <w:sz w:val="18"/>
                <w:szCs w:val="18"/>
              </w:rPr>
            </w:pPr>
          </w:p>
        </w:tc>
        <w:tc>
          <w:tcPr>
            <w:tcW w:w="2268" w:type="dxa"/>
          </w:tcPr>
          <w:p w14:paraId="08B688AF"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35-44</w:t>
            </w:r>
          </w:p>
        </w:tc>
        <w:tc>
          <w:tcPr>
            <w:tcW w:w="2069" w:type="dxa"/>
          </w:tcPr>
          <w:p w14:paraId="5DA65EA4" w14:textId="14BF6A6E" w:rsidR="00E604A2" w:rsidRPr="002F71A3" w:rsidRDefault="002963EE" w:rsidP="00EC5709">
            <w:pPr>
              <w:jc w:val="center"/>
              <w:rPr>
                <w:rFonts w:ascii="Calibri" w:hAnsi="Calibri" w:cs="Calibri"/>
                <w:sz w:val="18"/>
                <w:szCs w:val="18"/>
              </w:rPr>
            </w:pPr>
            <w:r w:rsidRPr="002F71A3">
              <w:rPr>
                <w:rFonts w:ascii="Calibri" w:hAnsi="Calibri" w:cs="Calibri"/>
                <w:sz w:val="18"/>
                <w:szCs w:val="18"/>
              </w:rPr>
              <w:t>0.74 (0.41-1.34)</w:t>
            </w:r>
          </w:p>
        </w:tc>
        <w:tc>
          <w:tcPr>
            <w:tcW w:w="2070" w:type="dxa"/>
          </w:tcPr>
          <w:p w14:paraId="528994D7" w14:textId="3D6186E2" w:rsidR="00E604A2" w:rsidRPr="002F71A3" w:rsidRDefault="00D26B12" w:rsidP="00EC5709">
            <w:pPr>
              <w:jc w:val="center"/>
              <w:rPr>
                <w:rFonts w:ascii="Calibri" w:hAnsi="Calibri" w:cs="Calibri"/>
                <w:sz w:val="18"/>
                <w:szCs w:val="18"/>
              </w:rPr>
            </w:pPr>
            <w:r w:rsidRPr="002F71A3">
              <w:rPr>
                <w:rFonts w:ascii="Calibri" w:hAnsi="Calibri" w:cs="Calibri"/>
                <w:sz w:val="18"/>
                <w:szCs w:val="18"/>
              </w:rPr>
              <w:t>3.06 (1.74-5.</w:t>
            </w:r>
            <w:proofErr w:type="gramStart"/>
            <w:r w:rsidRPr="002F71A3">
              <w:rPr>
                <w:rFonts w:ascii="Calibri" w:hAnsi="Calibri" w:cs="Calibri"/>
                <w:sz w:val="18"/>
                <w:szCs w:val="18"/>
              </w:rPr>
              <w:t>40)*</w:t>
            </w:r>
            <w:proofErr w:type="gramEnd"/>
            <w:r w:rsidRPr="002F71A3">
              <w:rPr>
                <w:rFonts w:ascii="Calibri" w:hAnsi="Calibri" w:cs="Calibri"/>
                <w:sz w:val="18"/>
                <w:szCs w:val="18"/>
              </w:rPr>
              <w:t>**</w:t>
            </w:r>
          </w:p>
        </w:tc>
        <w:tc>
          <w:tcPr>
            <w:tcW w:w="2069" w:type="dxa"/>
          </w:tcPr>
          <w:p w14:paraId="031FDF17" w14:textId="166A7D2C"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1.27 (0.66-2.44)</w:t>
            </w:r>
          </w:p>
        </w:tc>
        <w:tc>
          <w:tcPr>
            <w:tcW w:w="2070" w:type="dxa"/>
          </w:tcPr>
          <w:p w14:paraId="78BE26CE" w14:textId="46E447B6"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1.12 (0.67-1.88)</w:t>
            </w:r>
          </w:p>
        </w:tc>
        <w:tc>
          <w:tcPr>
            <w:tcW w:w="2070" w:type="dxa"/>
          </w:tcPr>
          <w:p w14:paraId="31E3A88C" w14:textId="2172A9AE"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1.50 (0.87-2.61)</w:t>
            </w:r>
          </w:p>
        </w:tc>
      </w:tr>
      <w:tr w:rsidR="00E604A2" w:rsidRPr="002F71A3" w14:paraId="7D25BA2B" w14:textId="77777777" w:rsidTr="00B561E5">
        <w:tc>
          <w:tcPr>
            <w:tcW w:w="1276" w:type="dxa"/>
            <w:vMerge/>
          </w:tcPr>
          <w:p w14:paraId="0FBF7296" w14:textId="77777777" w:rsidR="00E604A2" w:rsidRPr="002F71A3" w:rsidRDefault="00E604A2" w:rsidP="00EC5709">
            <w:pPr>
              <w:rPr>
                <w:rFonts w:ascii="Calibri" w:hAnsi="Calibri" w:cs="Calibri"/>
                <w:sz w:val="18"/>
                <w:szCs w:val="18"/>
              </w:rPr>
            </w:pPr>
          </w:p>
        </w:tc>
        <w:tc>
          <w:tcPr>
            <w:tcW w:w="2268" w:type="dxa"/>
          </w:tcPr>
          <w:p w14:paraId="3E9B9D10"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45-54</w:t>
            </w:r>
          </w:p>
        </w:tc>
        <w:tc>
          <w:tcPr>
            <w:tcW w:w="2069" w:type="dxa"/>
          </w:tcPr>
          <w:p w14:paraId="72E54DF8" w14:textId="691338B0" w:rsidR="00E604A2" w:rsidRPr="002F71A3" w:rsidRDefault="002963EE" w:rsidP="00EC5709">
            <w:pPr>
              <w:jc w:val="center"/>
              <w:rPr>
                <w:rFonts w:ascii="Calibri" w:hAnsi="Calibri" w:cs="Calibri"/>
                <w:sz w:val="18"/>
                <w:szCs w:val="18"/>
              </w:rPr>
            </w:pPr>
            <w:r w:rsidRPr="002F71A3">
              <w:rPr>
                <w:rFonts w:ascii="Calibri" w:hAnsi="Calibri" w:cs="Calibri"/>
                <w:sz w:val="18"/>
                <w:szCs w:val="18"/>
              </w:rPr>
              <w:t>0.77 (0.44-1.34)</w:t>
            </w:r>
          </w:p>
        </w:tc>
        <w:tc>
          <w:tcPr>
            <w:tcW w:w="2070" w:type="dxa"/>
          </w:tcPr>
          <w:p w14:paraId="61ED1728" w14:textId="2A76E23C"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1.69 (0.99-2.87)</w:t>
            </w:r>
          </w:p>
        </w:tc>
        <w:tc>
          <w:tcPr>
            <w:tcW w:w="2069" w:type="dxa"/>
          </w:tcPr>
          <w:p w14:paraId="5F9E414E" w14:textId="4921A2FF" w:rsidR="00E604A2" w:rsidRPr="002F71A3" w:rsidRDefault="00D26B12" w:rsidP="00EC5709">
            <w:pPr>
              <w:jc w:val="center"/>
              <w:rPr>
                <w:rFonts w:ascii="Calibri" w:hAnsi="Calibri" w:cs="Calibri"/>
                <w:sz w:val="18"/>
                <w:szCs w:val="18"/>
              </w:rPr>
            </w:pPr>
            <w:r w:rsidRPr="002F71A3">
              <w:rPr>
                <w:rFonts w:ascii="Calibri" w:hAnsi="Calibri" w:cs="Calibri"/>
                <w:sz w:val="18"/>
                <w:szCs w:val="18"/>
              </w:rPr>
              <w:t>0.84 (0.46-1.55)</w:t>
            </w:r>
          </w:p>
        </w:tc>
        <w:tc>
          <w:tcPr>
            <w:tcW w:w="2070" w:type="dxa"/>
          </w:tcPr>
          <w:p w14:paraId="553C3D21" w14:textId="2C8A1A59" w:rsidR="00E604A2" w:rsidRPr="002F71A3" w:rsidRDefault="00D26B12" w:rsidP="00EC5709">
            <w:pPr>
              <w:jc w:val="center"/>
              <w:rPr>
                <w:rFonts w:ascii="Calibri" w:hAnsi="Calibri" w:cs="Calibri"/>
                <w:sz w:val="18"/>
                <w:szCs w:val="18"/>
              </w:rPr>
            </w:pPr>
            <w:r w:rsidRPr="002F71A3">
              <w:rPr>
                <w:rFonts w:ascii="Calibri" w:hAnsi="Calibri" w:cs="Calibri"/>
                <w:sz w:val="18"/>
                <w:szCs w:val="18"/>
              </w:rPr>
              <w:t>0.89 (0.56-1.43)</w:t>
            </w:r>
          </w:p>
        </w:tc>
        <w:tc>
          <w:tcPr>
            <w:tcW w:w="2070" w:type="dxa"/>
          </w:tcPr>
          <w:p w14:paraId="0301F522" w14:textId="3179E670" w:rsidR="00E604A2" w:rsidRPr="002F71A3" w:rsidRDefault="00D26B12" w:rsidP="00EC5709">
            <w:pPr>
              <w:jc w:val="center"/>
              <w:rPr>
                <w:rFonts w:ascii="Calibri" w:hAnsi="Calibri" w:cs="Calibri"/>
                <w:sz w:val="18"/>
                <w:szCs w:val="18"/>
              </w:rPr>
            </w:pPr>
            <w:r w:rsidRPr="002F71A3">
              <w:rPr>
                <w:rFonts w:ascii="Calibri" w:hAnsi="Calibri" w:cs="Calibri"/>
                <w:sz w:val="18"/>
                <w:szCs w:val="18"/>
              </w:rPr>
              <w:t>0.99 (0.59-1.65)</w:t>
            </w:r>
          </w:p>
        </w:tc>
      </w:tr>
      <w:tr w:rsidR="00E604A2" w:rsidRPr="002F71A3" w14:paraId="50DE6183" w14:textId="77777777" w:rsidTr="00B561E5">
        <w:tc>
          <w:tcPr>
            <w:tcW w:w="1276" w:type="dxa"/>
            <w:vMerge/>
          </w:tcPr>
          <w:p w14:paraId="2B63F2E5" w14:textId="77777777" w:rsidR="00E604A2" w:rsidRPr="002F71A3" w:rsidRDefault="00E604A2" w:rsidP="00EC5709">
            <w:pPr>
              <w:rPr>
                <w:rFonts w:ascii="Calibri" w:hAnsi="Calibri" w:cs="Calibri"/>
                <w:sz w:val="18"/>
                <w:szCs w:val="18"/>
              </w:rPr>
            </w:pPr>
          </w:p>
        </w:tc>
        <w:tc>
          <w:tcPr>
            <w:tcW w:w="2268" w:type="dxa"/>
          </w:tcPr>
          <w:p w14:paraId="3469FB8E" w14:textId="77777777" w:rsidR="00E604A2" w:rsidRPr="002F71A3" w:rsidRDefault="00E604A2" w:rsidP="00EC5709">
            <w:pPr>
              <w:rPr>
                <w:rFonts w:ascii="Calibri" w:hAnsi="Calibri" w:cs="Calibri"/>
                <w:sz w:val="18"/>
                <w:szCs w:val="18"/>
              </w:rPr>
            </w:pPr>
            <w:r w:rsidRPr="002F71A3">
              <w:rPr>
                <w:rFonts w:ascii="Calibri" w:hAnsi="Calibri" w:cs="Calibri"/>
                <w:sz w:val="18"/>
                <w:szCs w:val="18"/>
              </w:rPr>
              <w:t>55-64</w:t>
            </w:r>
          </w:p>
        </w:tc>
        <w:tc>
          <w:tcPr>
            <w:tcW w:w="2069" w:type="dxa"/>
          </w:tcPr>
          <w:p w14:paraId="60E4518C" w14:textId="0C88E2E4" w:rsidR="00E604A2" w:rsidRPr="002F71A3" w:rsidRDefault="002963EE" w:rsidP="00EC5709">
            <w:pPr>
              <w:jc w:val="center"/>
              <w:rPr>
                <w:rFonts w:ascii="Calibri" w:hAnsi="Calibri" w:cs="Calibri"/>
                <w:sz w:val="18"/>
                <w:szCs w:val="18"/>
              </w:rPr>
            </w:pPr>
            <w:r w:rsidRPr="002F71A3">
              <w:rPr>
                <w:rFonts w:ascii="Calibri" w:hAnsi="Calibri" w:cs="Calibri"/>
                <w:sz w:val="18"/>
                <w:szCs w:val="18"/>
              </w:rPr>
              <w:t>0.94 (0.57-1.54)</w:t>
            </w:r>
          </w:p>
        </w:tc>
        <w:tc>
          <w:tcPr>
            <w:tcW w:w="2070" w:type="dxa"/>
          </w:tcPr>
          <w:p w14:paraId="32195555" w14:textId="65125D0F"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1.38 (0.85-2.24)</w:t>
            </w:r>
          </w:p>
        </w:tc>
        <w:tc>
          <w:tcPr>
            <w:tcW w:w="2069" w:type="dxa"/>
          </w:tcPr>
          <w:p w14:paraId="10EB5FD2" w14:textId="276E02E7" w:rsidR="00E604A2" w:rsidRPr="002F71A3" w:rsidRDefault="00D26B12" w:rsidP="00EC5709">
            <w:pPr>
              <w:jc w:val="center"/>
              <w:rPr>
                <w:rFonts w:ascii="Calibri" w:hAnsi="Calibri" w:cs="Calibri"/>
                <w:sz w:val="18"/>
                <w:szCs w:val="18"/>
              </w:rPr>
            </w:pPr>
            <w:r w:rsidRPr="002F71A3">
              <w:rPr>
                <w:rFonts w:ascii="Calibri" w:hAnsi="Calibri" w:cs="Calibri"/>
                <w:sz w:val="18"/>
                <w:szCs w:val="18"/>
              </w:rPr>
              <w:t>1.13 (0.66-1.94)</w:t>
            </w:r>
          </w:p>
        </w:tc>
        <w:tc>
          <w:tcPr>
            <w:tcW w:w="2070" w:type="dxa"/>
          </w:tcPr>
          <w:p w14:paraId="30C7A8C6" w14:textId="4DA3FA3C" w:rsidR="00E604A2" w:rsidRPr="002F71A3" w:rsidRDefault="00D26B12" w:rsidP="00EC5709">
            <w:pPr>
              <w:jc w:val="center"/>
              <w:rPr>
                <w:rFonts w:ascii="Calibri" w:hAnsi="Calibri" w:cs="Calibri"/>
                <w:sz w:val="18"/>
                <w:szCs w:val="18"/>
              </w:rPr>
            </w:pPr>
            <w:r w:rsidRPr="002F71A3">
              <w:rPr>
                <w:rFonts w:ascii="Calibri" w:hAnsi="Calibri" w:cs="Calibri"/>
                <w:sz w:val="18"/>
                <w:szCs w:val="18"/>
              </w:rPr>
              <w:t>0.99 (0.65-1.51)</w:t>
            </w:r>
          </w:p>
        </w:tc>
        <w:tc>
          <w:tcPr>
            <w:tcW w:w="2070" w:type="dxa"/>
          </w:tcPr>
          <w:p w14:paraId="76A27138" w14:textId="3C70C78B" w:rsidR="00E604A2" w:rsidRPr="002F71A3" w:rsidRDefault="00D26B12" w:rsidP="00EC5709">
            <w:pPr>
              <w:jc w:val="center"/>
              <w:rPr>
                <w:rFonts w:ascii="Calibri" w:hAnsi="Calibri" w:cs="Calibri"/>
                <w:sz w:val="18"/>
                <w:szCs w:val="18"/>
              </w:rPr>
            </w:pPr>
            <w:r w:rsidRPr="002F71A3">
              <w:rPr>
                <w:rFonts w:ascii="Calibri" w:hAnsi="Calibri" w:cs="Calibri"/>
                <w:sz w:val="18"/>
                <w:szCs w:val="18"/>
              </w:rPr>
              <w:t>0.94 (0.59-1.49)</w:t>
            </w:r>
          </w:p>
        </w:tc>
      </w:tr>
      <w:tr w:rsidR="002963EE" w:rsidRPr="002F71A3" w14:paraId="54D1E1A8" w14:textId="77777777" w:rsidTr="00B561E5">
        <w:tc>
          <w:tcPr>
            <w:tcW w:w="1276" w:type="dxa"/>
            <w:vMerge/>
          </w:tcPr>
          <w:p w14:paraId="7E4FB547" w14:textId="77777777" w:rsidR="002963EE" w:rsidRPr="002F71A3" w:rsidRDefault="002963EE" w:rsidP="002963EE">
            <w:pPr>
              <w:rPr>
                <w:rFonts w:ascii="Calibri" w:hAnsi="Calibri" w:cs="Calibri"/>
                <w:sz w:val="18"/>
                <w:szCs w:val="18"/>
              </w:rPr>
            </w:pPr>
          </w:p>
        </w:tc>
        <w:tc>
          <w:tcPr>
            <w:tcW w:w="2268" w:type="dxa"/>
          </w:tcPr>
          <w:p w14:paraId="52EA6B10"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≥65</w:t>
            </w:r>
          </w:p>
        </w:tc>
        <w:tc>
          <w:tcPr>
            <w:tcW w:w="2069" w:type="dxa"/>
          </w:tcPr>
          <w:p w14:paraId="061A31D6" w14:textId="238823FB"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35F69D3C" w14:textId="389ABE6D"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69" w:type="dxa"/>
          </w:tcPr>
          <w:p w14:paraId="50FACD01" w14:textId="6DFA0EC4"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409780C5" w14:textId="59D8D1EB"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0F33E481" w14:textId="38008BDC"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r>
      <w:tr w:rsidR="002963EE" w:rsidRPr="002F71A3" w14:paraId="3CF27AC9" w14:textId="77777777" w:rsidTr="00B561E5">
        <w:tc>
          <w:tcPr>
            <w:tcW w:w="1276" w:type="dxa"/>
            <w:vMerge w:val="restart"/>
          </w:tcPr>
          <w:p w14:paraId="12CADE19" w14:textId="609F4A91" w:rsidR="002963EE" w:rsidRPr="002F71A3" w:rsidRDefault="002963EE" w:rsidP="002963EE">
            <w:pPr>
              <w:rPr>
                <w:rFonts w:ascii="Calibri" w:hAnsi="Calibri" w:cs="Calibri"/>
                <w:sz w:val="18"/>
                <w:szCs w:val="18"/>
              </w:rPr>
            </w:pPr>
            <w:r w:rsidRPr="002F71A3">
              <w:rPr>
                <w:rFonts w:ascii="Calibri" w:hAnsi="Calibri" w:cs="Calibri"/>
                <w:sz w:val="18"/>
                <w:szCs w:val="18"/>
              </w:rPr>
              <w:t>Soci</w:t>
            </w:r>
            <w:r w:rsidR="00F5012B" w:rsidRPr="002F71A3">
              <w:rPr>
                <w:rFonts w:ascii="Calibri" w:eastAsia="Calibri" w:hAnsi="Calibri" w:cs="Calibri"/>
                <w:sz w:val="18"/>
                <w:szCs w:val="18"/>
              </w:rPr>
              <w:t>oeconomic position</w:t>
            </w:r>
          </w:p>
        </w:tc>
        <w:tc>
          <w:tcPr>
            <w:tcW w:w="2268" w:type="dxa"/>
          </w:tcPr>
          <w:p w14:paraId="0BB7266C"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AB</w:t>
            </w:r>
          </w:p>
        </w:tc>
        <w:tc>
          <w:tcPr>
            <w:tcW w:w="2069" w:type="dxa"/>
          </w:tcPr>
          <w:p w14:paraId="0C49BFB3"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044BEDEE"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69" w:type="dxa"/>
          </w:tcPr>
          <w:p w14:paraId="6FF363E7"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674C87B5"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7DFF0F14"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r>
      <w:tr w:rsidR="002963EE" w:rsidRPr="002F71A3" w14:paraId="4D38FF4C" w14:textId="77777777" w:rsidTr="00B561E5">
        <w:tc>
          <w:tcPr>
            <w:tcW w:w="1276" w:type="dxa"/>
            <w:vMerge/>
          </w:tcPr>
          <w:p w14:paraId="3D5D4910" w14:textId="77777777" w:rsidR="002963EE" w:rsidRPr="002F71A3" w:rsidRDefault="002963EE" w:rsidP="002963EE">
            <w:pPr>
              <w:rPr>
                <w:rFonts w:ascii="Calibri" w:hAnsi="Calibri" w:cs="Calibri"/>
                <w:sz w:val="18"/>
                <w:szCs w:val="18"/>
              </w:rPr>
            </w:pPr>
          </w:p>
        </w:tc>
        <w:tc>
          <w:tcPr>
            <w:tcW w:w="2268" w:type="dxa"/>
          </w:tcPr>
          <w:p w14:paraId="3EC8AEB3"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C1C2</w:t>
            </w:r>
          </w:p>
        </w:tc>
        <w:tc>
          <w:tcPr>
            <w:tcW w:w="2069" w:type="dxa"/>
          </w:tcPr>
          <w:p w14:paraId="33E2D23C"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1.52 (1.15-2.</w:t>
            </w:r>
            <w:proofErr w:type="gramStart"/>
            <w:r w:rsidRPr="002F71A3">
              <w:rPr>
                <w:rFonts w:ascii="Calibri" w:hAnsi="Calibri" w:cs="Calibri"/>
                <w:sz w:val="18"/>
                <w:szCs w:val="18"/>
              </w:rPr>
              <w:t>00)*</w:t>
            </w:r>
            <w:proofErr w:type="gramEnd"/>
            <w:r w:rsidRPr="002F71A3">
              <w:rPr>
                <w:rFonts w:ascii="Calibri" w:hAnsi="Calibri" w:cs="Calibri"/>
                <w:sz w:val="18"/>
                <w:szCs w:val="18"/>
              </w:rPr>
              <w:t>*</w:t>
            </w:r>
          </w:p>
        </w:tc>
        <w:tc>
          <w:tcPr>
            <w:tcW w:w="2070" w:type="dxa"/>
          </w:tcPr>
          <w:p w14:paraId="1FA80D08"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1.22 (0.93-1.60)</w:t>
            </w:r>
          </w:p>
        </w:tc>
        <w:tc>
          <w:tcPr>
            <w:tcW w:w="2069" w:type="dxa"/>
          </w:tcPr>
          <w:p w14:paraId="0D08BF74"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1.01 (0.73-1.39)</w:t>
            </w:r>
          </w:p>
        </w:tc>
        <w:tc>
          <w:tcPr>
            <w:tcW w:w="2070" w:type="dxa"/>
          </w:tcPr>
          <w:p w14:paraId="23A58CED"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1.16 (0.90-1.49)</w:t>
            </w:r>
          </w:p>
        </w:tc>
        <w:tc>
          <w:tcPr>
            <w:tcW w:w="2070" w:type="dxa"/>
          </w:tcPr>
          <w:p w14:paraId="211C1406"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1.08 (0.82-1.41)</w:t>
            </w:r>
          </w:p>
        </w:tc>
      </w:tr>
      <w:tr w:rsidR="002963EE" w:rsidRPr="002F71A3" w14:paraId="0A716033" w14:textId="77777777" w:rsidTr="00B561E5">
        <w:tc>
          <w:tcPr>
            <w:tcW w:w="1276" w:type="dxa"/>
            <w:vMerge/>
          </w:tcPr>
          <w:p w14:paraId="1EA6EDA3" w14:textId="77777777" w:rsidR="002963EE" w:rsidRPr="002F71A3" w:rsidRDefault="002963EE" w:rsidP="002963EE">
            <w:pPr>
              <w:rPr>
                <w:rFonts w:ascii="Calibri" w:hAnsi="Calibri" w:cs="Calibri"/>
                <w:sz w:val="18"/>
                <w:szCs w:val="18"/>
              </w:rPr>
            </w:pPr>
          </w:p>
        </w:tc>
        <w:tc>
          <w:tcPr>
            <w:tcW w:w="2268" w:type="dxa"/>
          </w:tcPr>
          <w:p w14:paraId="04F756B1"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DE</w:t>
            </w:r>
          </w:p>
        </w:tc>
        <w:tc>
          <w:tcPr>
            <w:tcW w:w="2069" w:type="dxa"/>
          </w:tcPr>
          <w:p w14:paraId="1FC57AED"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1.44 (1.00-2.</w:t>
            </w:r>
            <w:proofErr w:type="gramStart"/>
            <w:r w:rsidRPr="002F71A3">
              <w:rPr>
                <w:rFonts w:ascii="Calibri" w:hAnsi="Calibri" w:cs="Calibri"/>
                <w:sz w:val="18"/>
                <w:szCs w:val="18"/>
              </w:rPr>
              <w:t>08)*</w:t>
            </w:r>
            <w:proofErr w:type="gramEnd"/>
          </w:p>
        </w:tc>
        <w:tc>
          <w:tcPr>
            <w:tcW w:w="2070" w:type="dxa"/>
          </w:tcPr>
          <w:p w14:paraId="76099988"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1.50 (1.06-2.</w:t>
            </w:r>
            <w:proofErr w:type="gramStart"/>
            <w:r w:rsidRPr="002F71A3">
              <w:rPr>
                <w:rFonts w:ascii="Calibri" w:hAnsi="Calibri" w:cs="Calibri"/>
                <w:sz w:val="18"/>
                <w:szCs w:val="18"/>
              </w:rPr>
              <w:t>14)*</w:t>
            </w:r>
            <w:proofErr w:type="gramEnd"/>
          </w:p>
        </w:tc>
        <w:tc>
          <w:tcPr>
            <w:tcW w:w="2069" w:type="dxa"/>
          </w:tcPr>
          <w:p w14:paraId="6953E287"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1.04 (0.68-1.59)</w:t>
            </w:r>
          </w:p>
        </w:tc>
        <w:tc>
          <w:tcPr>
            <w:tcW w:w="2070" w:type="dxa"/>
          </w:tcPr>
          <w:p w14:paraId="52263314"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1.18 (0.85-1.65)</w:t>
            </w:r>
          </w:p>
        </w:tc>
        <w:tc>
          <w:tcPr>
            <w:tcW w:w="2070" w:type="dxa"/>
          </w:tcPr>
          <w:p w14:paraId="1E825E89"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1.12 (0.78-1.59)</w:t>
            </w:r>
          </w:p>
        </w:tc>
      </w:tr>
      <w:tr w:rsidR="002963EE" w:rsidRPr="002F71A3" w14:paraId="517D127C" w14:textId="77777777" w:rsidTr="00B561E5">
        <w:tc>
          <w:tcPr>
            <w:tcW w:w="1276" w:type="dxa"/>
            <w:vMerge w:val="restart"/>
          </w:tcPr>
          <w:p w14:paraId="3A84415F"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Children in the household</w:t>
            </w:r>
          </w:p>
        </w:tc>
        <w:tc>
          <w:tcPr>
            <w:tcW w:w="2268" w:type="dxa"/>
          </w:tcPr>
          <w:p w14:paraId="7ECC9FDE"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No</w:t>
            </w:r>
          </w:p>
        </w:tc>
        <w:tc>
          <w:tcPr>
            <w:tcW w:w="2069" w:type="dxa"/>
          </w:tcPr>
          <w:p w14:paraId="0B1DF6FF"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1799451E"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69" w:type="dxa"/>
          </w:tcPr>
          <w:p w14:paraId="6DFD5761"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2B0E0905"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547CC421"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REF</w:t>
            </w:r>
          </w:p>
        </w:tc>
      </w:tr>
      <w:tr w:rsidR="002963EE" w:rsidRPr="002F71A3" w14:paraId="74920C69" w14:textId="77777777" w:rsidTr="00B561E5">
        <w:tc>
          <w:tcPr>
            <w:tcW w:w="1276" w:type="dxa"/>
            <w:vMerge/>
          </w:tcPr>
          <w:p w14:paraId="463AF97C" w14:textId="77777777" w:rsidR="002963EE" w:rsidRPr="002F71A3" w:rsidRDefault="002963EE" w:rsidP="002963EE">
            <w:pPr>
              <w:rPr>
                <w:rFonts w:ascii="Calibri" w:hAnsi="Calibri" w:cs="Calibri"/>
                <w:sz w:val="18"/>
                <w:szCs w:val="18"/>
              </w:rPr>
            </w:pPr>
          </w:p>
        </w:tc>
        <w:tc>
          <w:tcPr>
            <w:tcW w:w="2268" w:type="dxa"/>
          </w:tcPr>
          <w:p w14:paraId="5F81ED1A"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Yes</w:t>
            </w:r>
          </w:p>
        </w:tc>
        <w:tc>
          <w:tcPr>
            <w:tcW w:w="2069" w:type="dxa"/>
          </w:tcPr>
          <w:p w14:paraId="1671DD3C"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0.93 (0.69-1.26)</w:t>
            </w:r>
          </w:p>
        </w:tc>
        <w:tc>
          <w:tcPr>
            <w:tcW w:w="2070" w:type="dxa"/>
          </w:tcPr>
          <w:p w14:paraId="2940F1A8"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0.96 (0.72-1.27)</w:t>
            </w:r>
          </w:p>
        </w:tc>
        <w:tc>
          <w:tcPr>
            <w:tcW w:w="2069" w:type="dxa"/>
          </w:tcPr>
          <w:p w14:paraId="3B838FF9"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0.74 (0.52-1.05)</w:t>
            </w:r>
          </w:p>
        </w:tc>
        <w:tc>
          <w:tcPr>
            <w:tcW w:w="2070" w:type="dxa"/>
          </w:tcPr>
          <w:p w14:paraId="41372A69"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0.88 (0.67-1.15)</w:t>
            </w:r>
          </w:p>
        </w:tc>
        <w:tc>
          <w:tcPr>
            <w:tcW w:w="2070" w:type="dxa"/>
          </w:tcPr>
          <w:p w14:paraId="7C62C7A5" w14:textId="77777777" w:rsidR="002963EE" w:rsidRPr="002F71A3" w:rsidRDefault="002963EE" w:rsidP="002963EE">
            <w:pPr>
              <w:jc w:val="center"/>
              <w:rPr>
                <w:rFonts w:ascii="Calibri" w:hAnsi="Calibri" w:cs="Calibri"/>
                <w:sz w:val="18"/>
                <w:szCs w:val="18"/>
              </w:rPr>
            </w:pPr>
            <w:r w:rsidRPr="002F71A3">
              <w:rPr>
                <w:rFonts w:ascii="Calibri" w:hAnsi="Calibri" w:cs="Calibri"/>
                <w:sz w:val="18"/>
                <w:szCs w:val="18"/>
              </w:rPr>
              <w:t>0.79 (0.60-1.06)</w:t>
            </w:r>
          </w:p>
        </w:tc>
      </w:tr>
      <w:tr w:rsidR="002963EE" w:rsidRPr="002F71A3" w14:paraId="61E0397C" w14:textId="77777777" w:rsidTr="00B561E5">
        <w:tc>
          <w:tcPr>
            <w:tcW w:w="1276" w:type="dxa"/>
            <w:vMerge w:val="restart"/>
          </w:tcPr>
          <w:p w14:paraId="21F30192"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Working status</w:t>
            </w:r>
          </w:p>
        </w:tc>
        <w:tc>
          <w:tcPr>
            <w:tcW w:w="2268" w:type="dxa"/>
          </w:tcPr>
          <w:p w14:paraId="02900766"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Full-time</w:t>
            </w:r>
          </w:p>
        </w:tc>
        <w:tc>
          <w:tcPr>
            <w:tcW w:w="2069" w:type="dxa"/>
          </w:tcPr>
          <w:p w14:paraId="6A7880DC" w14:textId="1F16A1FD"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1.01 (0.68-1.48)</w:t>
            </w:r>
          </w:p>
        </w:tc>
        <w:tc>
          <w:tcPr>
            <w:tcW w:w="2070" w:type="dxa"/>
          </w:tcPr>
          <w:p w14:paraId="2BF46998" w14:textId="7E139656"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1.28 (0.90-1.82)</w:t>
            </w:r>
          </w:p>
        </w:tc>
        <w:tc>
          <w:tcPr>
            <w:tcW w:w="2069" w:type="dxa"/>
          </w:tcPr>
          <w:p w14:paraId="5A83A563" w14:textId="56FA0B77"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1.18 (0.76-1.82)</w:t>
            </w:r>
          </w:p>
        </w:tc>
        <w:tc>
          <w:tcPr>
            <w:tcW w:w="2070" w:type="dxa"/>
          </w:tcPr>
          <w:p w14:paraId="076CB783" w14:textId="5196A920"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1.07 (0.76-1.49)</w:t>
            </w:r>
          </w:p>
        </w:tc>
        <w:tc>
          <w:tcPr>
            <w:tcW w:w="2070" w:type="dxa"/>
          </w:tcPr>
          <w:p w14:paraId="70C8C952" w14:textId="4594D396"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1.50 (1.04-2.</w:t>
            </w:r>
            <w:proofErr w:type="gramStart"/>
            <w:r w:rsidRPr="002F71A3">
              <w:rPr>
                <w:rFonts w:ascii="Calibri" w:hAnsi="Calibri" w:cs="Calibri"/>
                <w:sz w:val="18"/>
                <w:szCs w:val="18"/>
              </w:rPr>
              <w:t>17)*</w:t>
            </w:r>
            <w:proofErr w:type="gramEnd"/>
          </w:p>
        </w:tc>
      </w:tr>
      <w:tr w:rsidR="002963EE" w:rsidRPr="002F71A3" w14:paraId="37B7A814" w14:textId="77777777" w:rsidTr="00B561E5">
        <w:tc>
          <w:tcPr>
            <w:tcW w:w="1276" w:type="dxa"/>
            <w:vMerge/>
          </w:tcPr>
          <w:p w14:paraId="720A3D0F" w14:textId="77777777" w:rsidR="002963EE" w:rsidRPr="002F71A3" w:rsidRDefault="002963EE" w:rsidP="002963EE">
            <w:pPr>
              <w:rPr>
                <w:rFonts w:ascii="Calibri" w:hAnsi="Calibri" w:cs="Calibri"/>
                <w:sz w:val="18"/>
                <w:szCs w:val="18"/>
              </w:rPr>
            </w:pPr>
          </w:p>
        </w:tc>
        <w:tc>
          <w:tcPr>
            <w:tcW w:w="2268" w:type="dxa"/>
          </w:tcPr>
          <w:p w14:paraId="0DD561B0"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 xml:space="preserve">Part-time </w:t>
            </w:r>
          </w:p>
        </w:tc>
        <w:tc>
          <w:tcPr>
            <w:tcW w:w="2069" w:type="dxa"/>
          </w:tcPr>
          <w:p w14:paraId="4E114C84" w14:textId="15BD5F18"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0.85 (0.55-1.31)</w:t>
            </w:r>
          </w:p>
        </w:tc>
        <w:tc>
          <w:tcPr>
            <w:tcW w:w="2070" w:type="dxa"/>
          </w:tcPr>
          <w:p w14:paraId="08B14AE9" w14:textId="03AB004F"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1.08 (0.73-1.61)</w:t>
            </w:r>
          </w:p>
        </w:tc>
        <w:tc>
          <w:tcPr>
            <w:tcW w:w="2069" w:type="dxa"/>
          </w:tcPr>
          <w:p w14:paraId="14936FCA" w14:textId="118CCCF4"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1.05 (0.64-1.73)</w:t>
            </w:r>
          </w:p>
        </w:tc>
        <w:tc>
          <w:tcPr>
            <w:tcW w:w="2070" w:type="dxa"/>
          </w:tcPr>
          <w:p w14:paraId="77345320" w14:textId="29138F82"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0.84 (0.57-1.23)</w:t>
            </w:r>
          </w:p>
        </w:tc>
        <w:tc>
          <w:tcPr>
            <w:tcW w:w="2070" w:type="dxa"/>
          </w:tcPr>
          <w:p w14:paraId="2D65DC0D" w14:textId="28FAFE9B"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1.12 (0.74-1.71)</w:t>
            </w:r>
          </w:p>
        </w:tc>
      </w:tr>
      <w:tr w:rsidR="002963EE" w:rsidRPr="002F71A3" w14:paraId="29D62BAB" w14:textId="77777777" w:rsidTr="00B561E5">
        <w:tc>
          <w:tcPr>
            <w:tcW w:w="1276" w:type="dxa"/>
            <w:vMerge/>
          </w:tcPr>
          <w:p w14:paraId="1BB7DA70" w14:textId="77777777" w:rsidR="002963EE" w:rsidRPr="002F71A3" w:rsidRDefault="002963EE" w:rsidP="002963EE">
            <w:pPr>
              <w:rPr>
                <w:rFonts w:ascii="Calibri" w:hAnsi="Calibri" w:cs="Calibri"/>
                <w:sz w:val="18"/>
                <w:szCs w:val="18"/>
              </w:rPr>
            </w:pPr>
          </w:p>
        </w:tc>
        <w:tc>
          <w:tcPr>
            <w:tcW w:w="2268" w:type="dxa"/>
          </w:tcPr>
          <w:p w14:paraId="7743C5FD"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Self-employed</w:t>
            </w:r>
          </w:p>
        </w:tc>
        <w:tc>
          <w:tcPr>
            <w:tcW w:w="2069" w:type="dxa"/>
          </w:tcPr>
          <w:p w14:paraId="7E0F69CD" w14:textId="42A50CD5"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0.80 (0.49-1.33)</w:t>
            </w:r>
          </w:p>
        </w:tc>
        <w:tc>
          <w:tcPr>
            <w:tcW w:w="2070" w:type="dxa"/>
          </w:tcPr>
          <w:p w14:paraId="305AD715" w14:textId="7986A078"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0.93 (0.58-1.48)</w:t>
            </w:r>
          </w:p>
        </w:tc>
        <w:tc>
          <w:tcPr>
            <w:tcW w:w="2069" w:type="dxa"/>
          </w:tcPr>
          <w:p w14:paraId="27FA12FA" w14:textId="737E33FD"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0.87 (0.48-1.58)</w:t>
            </w:r>
          </w:p>
        </w:tc>
        <w:tc>
          <w:tcPr>
            <w:tcW w:w="2070" w:type="dxa"/>
          </w:tcPr>
          <w:p w14:paraId="3FB6CC33" w14:textId="4B9D5863"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0.95 (0.61-1.48)</w:t>
            </w:r>
          </w:p>
        </w:tc>
        <w:tc>
          <w:tcPr>
            <w:tcW w:w="2070" w:type="dxa"/>
          </w:tcPr>
          <w:p w14:paraId="62C49006" w14:textId="130B0ADD"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1.55 (0.97-2.49)</w:t>
            </w:r>
          </w:p>
        </w:tc>
      </w:tr>
      <w:tr w:rsidR="002963EE" w:rsidRPr="002F71A3" w14:paraId="1419B4DC" w14:textId="77777777" w:rsidTr="00B561E5">
        <w:tc>
          <w:tcPr>
            <w:tcW w:w="1276" w:type="dxa"/>
            <w:vMerge/>
          </w:tcPr>
          <w:p w14:paraId="185611C5" w14:textId="77777777" w:rsidR="002963EE" w:rsidRPr="002F71A3" w:rsidRDefault="002963EE" w:rsidP="002963EE">
            <w:pPr>
              <w:rPr>
                <w:rFonts w:ascii="Calibri" w:hAnsi="Calibri" w:cs="Calibri"/>
                <w:sz w:val="18"/>
                <w:szCs w:val="18"/>
              </w:rPr>
            </w:pPr>
          </w:p>
        </w:tc>
        <w:tc>
          <w:tcPr>
            <w:tcW w:w="2268" w:type="dxa"/>
          </w:tcPr>
          <w:p w14:paraId="38F47374" w14:textId="77777777" w:rsidR="002963EE" w:rsidRPr="002F71A3" w:rsidRDefault="002963EE" w:rsidP="002963EE">
            <w:pPr>
              <w:rPr>
                <w:rFonts w:ascii="Calibri" w:hAnsi="Calibri" w:cs="Calibri"/>
                <w:sz w:val="18"/>
                <w:szCs w:val="18"/>
              </w:rPr>
            </w:pPr>
            <w:r w:rsidRPr="002F71A3">
              <w:rPr>
                <w:rFonts w:ascii="Calibri" w:hAnsi="Calibri" w:cs="Calibri"/>
                <w:sz w:val="18"/>
                <w:szCs w:val="18"/>
              </w:rPr>
              <w:t>Retired</w:t>
            </w:r>
          </w:p>
        </w:tc>
        <w:tc>
          <w:tcPr>
            <w:tcW w:w="2069" w:type="dxa"/>
          </w:tcPr>
          <w:p w14:paraId="14FE0E86" w14:textId="4D833D93"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0.90 (0.50-1.60)</w:t>
            </w:r>
          </w:p>
        </w:tc>
        <w:tc>
          <w:tcPr>
            <w:tcW w:w="2070" w:type="dxa"/>
          </w:tcPr>
          <w:p w14:paraId="717FD4F0" w14:textId="7346D584"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0.84 (0.49-1.45)</w:t>
            </w:r>
          </w:p>
        </w:tc>
        <w:tc>
          <w:tcPr>
            <w:tcW w:w="2069" w:type="dxa"/>
          </w:tcPr>
          <w:p w14:paraId="5018E61C" w14:textId="40FD2C1E"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0.93 (0.49-1.76)</w:t>
            </w:r>
          </w:p>
        </w:tc>
        <w:tc>
          <w:tcPr>
            <w:tcW w:w="2070" w:type="dxa"/>
          </w:tcPr>
          <w:p w14:paraId="6640A1CD" w14:textId="22E8E30E" w:rsidR="002963EE" w:rsidRPr="002F71A3" w:rsidRDefault="00B362CF" w:rsidP="002963EE">
            <w:pPr>
              <w:jc w:val="center"/>
              <w:rPr>
                <w:rFonts w:ascii="Calibri" w:hAnsi="Calibri" w:cs="Calibri"/>
                <w:sz w:val="18"/>
                <w:szCs w:val="18"/>
              </w:rPr>
            </w:pPr>
            <w:r w:rsidRPr="002F71A3">
              <w:rPr>
                <w:rFonts w:ascii="Calibri" w:hAnsi="Calibri" w:cs="Calibri"/>
                <w:sz w:val="18"/>
                <w:szCs w:val="18"/>
              </w:rPr>
              <w:t>0.80 (0.49-1.32)</w:t>
            </w:r>
          </w:p>
        </w:tc>
        <w:tc>
          <w:tcPr>
            <w:tcW w:w="2070" w:type="dxa"/>
          </w:tcPr>
          <w:p w14:paraId="588C2950" w14:textId="0238DCD9" w:rsidR="002963EE" w:rsidRPr="002F71A3" w:rsidRDefault="00B362CF" w:rsidP="002963EE">
            <w:pPr>
              <w:jc w:val="center"/>
              <w:rPr>
                <w:rFonts w:ascii="Calibri" w:hAnsi="Calibri" w:cs="Calibri"/>
                <w:sz w:val="18"/>
                <w:szCs w:val="18"/>
              </w:rPr>
            </w:pPr>
            <w:r w:rsidRPr="002F71A3">
              <w:rPr>
                <w:rFonts w:ascii="Calibri" w:hAnsi="Calibri" w:cs="Calibri"/>
                <w:sz w:val="18"/>
                <w:szCs w:val="18"/>
              </w:rPr>
              <w:t>1.02 (0.59-1.76)</w:t>
            </w:r>
          </w:p>
        </w:tc>
      </w:tr>
      <w:tr w:rsidR="002963EE" w:rsidRPr="002F71A3" w14:paraId="22F777B5" w14:textId="77777777" w:rsidTr="00B561E5">
        <w:tc>
          <w:tcPr>
            <w:tcW w:w="1276" w:type="dxa"/>
            <w:vMerge/>
          </w:tcPr>
          <w:p w14:paraId="393C2ABF" w14:textId="77777777" w:rsidR="002963EE" w:rsidRPr="002F71A3" w:rsidRDefault="002963EE" w:rsidP="002963EE">
            <w:pPr>
              <w:rPr>
                <w:rFonts w:ascii="Calibri" w:hAnsi="Calibri" w:cs="Calibri"/>
                <w:sz w:val="18"/>
                <w:szCs w:val="18"/>
              </w:rPr>
            </w:pPr>
          </w:p>
        </w:tc>
        <w:tc>
          <w:tcPr>
            <w:tcW w:w="2268" w:type="dxa"/>
          </w:tcPr>
          <w:p w14:paraId="5440BE86" w14:textId="4A6CFFE6" w:rsidR="002963EE" w:rsidRPr="002F71A3" w:rsidRDefault="00C265F2" w:rsidP="002963EE">
            <w:pPr>
              <w:rPr>
                <w:rFonts w:ascii="Calibri" w:hAnsi="Calibri" w:cs="Calibri"/>
                <w:sz w:val="18"/>
                <w:szCs w:val="18"/>
              </w:rPr>
            </w:pPr>
            <w:r>
              <w:rPr>
                <w:rFonts w:ascii="Calibri" w:hAnsi="Calibri" w:cs="Calibri"/>
                <w:sz w:val="18"/>
                <w:szCs w:val="18"/>
              </w:rPr>
              <w:t>N</w:t>
            </w:r>
            <w:r w:rsidRPr="00CA3DA6">
              <w:rPr>
                <w:rFonts w:ascii="Calibri" w:hAnsi="Calibri" w:cs="Calibri"/>
                <w:sz w:val="18"/>
                <w:szCs w:val="18"/>
              </w:rPr>
              <w:t>ot looking</w:t>
            </w:r>
            <w:r>
              <w:rPr>
                <w:rFonts w:ascii="Calibri" w:hAnsi="Calibri" w:cs="Calibri"/>
                <w:sz w:val="18"/>
                <w:szCs w:val="18"/>
              </w:rPr>
              <w:t>/</w:t>
            </w:r>
            <w:r w:rsidRPr="00CA3DA6">
              <w:rPr>
                <w:rFonts w:ascii="Calibri" w:hAnsi="Calibri" w:cs="Calibri"/>
                <w:sz w:val="18"/>
                <w:szCs w:val="18"/>
              </w:rPr>
              <w:t>unable to work</w:t>
            </w:r>
          </w:p>
        </w:tc>
        <w:tc>
          <w:tcPr>
            <w:tcW w:w="2069" w:type="dxa"/>
          </w:tcPr>
          <w:p w14:paraId="52D9EC0D" w14:textId="34DCB89A" w:rsidR="002963EE" w:rsidRPr="002F71A3" w:rsidRDefault="003E174C" w:rsidP="002963EE">
            <w:pPr>
              <w:jc w:val="center"/>
              <w:rPr>
                <w:rFonts w:ascii="Calibri" w:hAnsi="Calibri" w:cs="Calibri"/>
                <w:sz w:val="18"/>
                <w:szCs w:val="18"/>
              </w:rPr>
            </w:pPr>
            <w:r w:rsidRPr="002F71A3">
              <w:rPr>
                <w:rFonts w:ascii="Calibri" w:hAnsi="Calibri" w:cs="Calibri"/>
                <w:sz w:val="18"/>
                <w:szCs w:val="18"/>
              </w:rPr>
              <w:t>REF</w:t>
            </w:r>
          </w:p>
        </w:tc>
        <w:tc>
          <w:tcPr>
            <w:tcW w:w="2070" w:type="dxa"/>
          </w:tcPr>
          <w:p w14:paraId="0D41929B" w14:textId="41ECEFC9" w:rsidR="002963EE" w:rsidRPr="00B561E5" w:rsidRDefault="003E174C" w:rsidP="002963EE">
            <w:pPr>
              <w:jc w:val="center"/>
              <w:rPr>
                <w:rFonts w:ascii="Calibri" w:hAnsi="Calibri" w:cs="Calibri"/>
                <w:sz w:val="18"/>
                <w:szCs w:val="18"/>
              </w:rPr>
            </w:pPr>
            <w:r w:rsidRPr="00B561E5">
              <w:rPr>
                <w:rFonts w:ascii="Calibri" w:hAnsi="Calibri" w:cs="Calibri"/>
                <w:sz w:val="18"/>
                <w:szCs w:val="18"/>
              </w:rPr>
              <w:t>REF</w:t>
            </w:r>
          </w:p>
        </w:tc>
        <w:tc>
          <w:tcPr>
            <w:tcW w:w="2069" w:type="dxa"/>
          </w:tcPr>
          <w:p w14:paraId="27A1FCA8" w14:textId="5C146A6E" w:rsidR="002963EE" w:rsidRPr="00B561E5" w:rsidRDefault="003E174C" w:rsidP="002963EE">
            <w:pPr>
              <w:jc w:val="center"/>
              <w:rPr>
                <w:rFonts w:ascii="Calibri" w:hAnsi="Calibri" w:cs="Calibri"/>
                <w:sz w:val="18"/>
                <w:szCs w:val="18"/>
              </w:rPr>
            </w:pPr>
            <w:r w:rsidRPr="00B561E5">
              <w:rPr>
                <w:rFonts w:ascii="Calibri" w:hAnsi="Calibri" w:cs="Calibri"/>
                <w:sz w:val="18"/>
                <w:szCs w:val="18"/>
              </w:rPr>
              <w:t>REF</w:t>
            </w:r>
          </w:p>
        </w:tc>
        <w:tc>
          <w:tcPr>
            <w:tcW w:w="2070" w:type="dxa"/>
          </w:tcPr>
          <w:p w14:paraId="0C66834A" w14:textId="018F7F3C" w:rsidR="002963EE" w:rsidRPr="00B561E5" w:rsidRDefault="003E174C" w:rsidP="002963EE">
            <w:pPr>
              <w:jc w:val="center"/>
              <w:rPr>
                <w:rFonts w:ascii="Calibri" w:hAnsi="Calibri" w:cs="Calibri"/>
                <w:sz w:val="18"/>
                <w:szCs w:val="18"/>
              </w:rPr>
            </w:pPr>
            <w:r w:rsidRPr="00B561E5">
              <w:rPr>
                <w:rFonts w:ascii="Calibri" w:hAnsi="Calibri" w:cs="Calibri"/>
                <w:sz w:val="18"/>
                <w:szCs w:val="18"/>
              </w:rPr>
              <w:t>REF</w:t>
            </w:r>
          </w:p>
        </w:tc>
        <w:tc>
          <w:tcPr>
            <w:tcW w:w="2070" w:type="dxa"/>
          </w:tcPr>
          <w:p w14:paraId="53C76195" w14:textId="7CAA7444" w:rsidR="002963EE" w:rsidRPr="00B561E5" w:rsidRDefault="003E174C" w:rsidP="002963EE">
            <w:pPr>
              <w:jc w:val="center"/>
              <w:rPr>
                <w:rFonts w:ascii="Calibri" w:hAnsi="Calibri" w:cs="Calibri"/>
                <w:sz w:val="18"/>
                <w:szCs w:val="18"/>
              </w:rPr>
            </w:pPr>
            <w:r w:rsidRPr="00B561E5">
              <w:rPr>
                <w:rFonts w:ascii="Calibri" w:hAnsi="Calibri" w:cs="Calibri"/>
                <w:sz w:val="18"/>
                <w:szCs w:val="18"/>
              </w:rPr>
              <w:t>REF</w:t>
            </w:r>
          </w:p>
        </w:tc>
      </w:tr>
      <w:tr w:rsidR="002963EE" w:rsidRPr="002F71A3" w14:paraId="13CEE407" w14:textId="77777777" w:rsidTr="00B561E5">
        <w:tc>
          <w:tcPr>
            <w:tcW w:w="1276" w:type="dxa"/>
            <w:vMerge/>
          </w:tcPr>
          <w:p w14:paraId="0AB827C9" w14:textId="77777777" w:rsidR="002963EE" w:rsidRPr="00653C3E" w:rsidRDefault="002963EE" w:rsidP="002963EE">
            <w:pPr>
              <w:rPr>
                <w:rFonts w:ascii="Calibri" w:hAnsi="Calibri" w:cs="Calibri"/>
                <w:sz w:val="18"/>
                <w:szCs w:val="18"/>
              </w:rPr>
            </w:pPr>
          </w:p>
        </w:tc>
        <w:tc>
          <w:tcPr>
            <w:tcW w:w="2268" w:type="dxa"/>
          </w:tcPr>
          <w:p w14:paraId="55DAF301" w14:textId="77777777" w:rsidR="002963EE" w:rsidRPr="00653C3E" w:rsidRDefault="002963EE" w:rsidP="002963EE">
            <w:pPr>
              <w:rPr>
                <w:rFonts w:ascii="Calibri" w:hAnsi="Calibri" w:cs="Calibri"/>
                <w:sz w:val="18"/>
                <w:szCs w:val="18"/>
              </w:rPr>
            </w:pPr>
            <w:r w:rsidRPr="00653C3E">
              <w:rPr>
                <w:rFonts w:ascii="Calibri" w:hAnsi="Calibri" w:cs="Calibri"/>
                <w:sz w:val="18"/>
                <w:szCs w:val="18"/>
              </w:rPr>
              <w:t>Other</w:t>
            </w:r>
          </w:p>
        </w:tc>
        <w:tc>
          <w:tcPr>
            <w:tcW w:w="2069" w:type="dxa"/>
          </w:tcPr>
          <w:p w14:paraId="4BA954EA" w14:textId="58649961" w:rsidR="002963EE" w:rsidRPr="00653C3E" w:rsidRDefault="00B362CF" w:rsidP="002963EE">
            <w:pPr>
              <w:jc w:val="center"/>
              <w:rPr>
                <w:rFonts w:ascii="Calibri" w:hAnsi="Calibri" w:cs="Calibri"/>
                <w:sz w:val="18"/>
                <w:szCs w:val="18"/>
              </w:rPr>
            </w:pPr>
            <w:r w:rsidRPr="00653C3E">
              <w:rPr>
                <w:rFonts w:ascii="Calibri" w:hAnsi="Calibri" w:cs="Calibri"/>
                <w:sz w:val="18"/>
                <w:szCs w:val="18"/>
              </w:rPr>
              <w:t>0.76 (0.32-1.78)</w:t>
            </w:r>
          </w:p>
        </w:tc>
        <w:tc>
          <w:tcPr>
            <w:tcW w:w="2070" w:type="dxa"/>
          </w:tcPr>
          <w:p w14:paraId="3A2B6FE6" w14:textId="0D99AB0F" w:rsidR="002963EE" w:rsidRPr="00653C3E" w:rsidRDefault="00B362CF" w:rsidP="002963EE">
            <w:pPr>
              <w:jc w:val="center"/>
              <w:rPr>
                <w:rFonts w:ascii="Calibri" w:hAnsi="Calibri" w:cs="Calibri"/>
                <w:sz w:val="18"/>
                <w:szCs w:val="18"/>
              </w:rPr>
            </w:pPr>
            <w:r w:rsidRPr="00653C3E">
              <w:rPr>
                <w:rFonts w:ascii="Calibri" w:hAnsi="Calibri" w:cs="Calibri"/>
                <w:sz w:val="18"/>
                <w:szCs w:val="18"/>
              </w:rPr>
              <w:t>0.58 (0.25-1.36)</w:t>
            </w:r>
          </w:p>
        </w:tc>
        <w:tc>
          <w:tcPr>
            <w:tcW w:w="2069" w:type="dxa"/>
          </w:tcPr>
          <w:p w14:paraId="2F708AB2" w14:textId="608E388C" w:rsidR="002963EE" w:rsidRPr="00653C3E" w:rsidRDefault="00B362CF" w:rsidP="002963EE">
            <w:pPr>
              <w:jc w:val="center"/>
              <w:rPr>
                <w:rFonts w:ascii="Calibri" w:hAnsi="Calibri" w:cs="Calibri"/>
                <w:sz w:val="18"/>
                <w:szCs w:val="18"/>
              </w:rPr>
            </w:pPr>
            <w:r w:rsidRPr="00653C3E">
              <w:rPr>
                <w:rFonts w:ascii="Calibri" w:hAnsi="Calibri" w:cs="Calibri"/>
                <w:sz w:val="18"/>
                <w:szCs w:val="18"/>
              </w:rPr>
              <w:t>1.61 (0.66-3.94)</w:t>
            </w:r>
          </w:p>
        </w:tc>
        <w:tc>
          <w:tcPr>
            <w:tcW w:w="2070" w:type="dxa"/>
          </w:tcPr>
          <w:p w14:paraId="0B8594BA" w14:textId="33667D40" w:rsidR="002963EE" w:rsidRPr="00653C3E" w:rsidRDefault="00B362CF" w:rsidP="002963EE">
            <w:pPr>
              <w:jc w:val="center"/>
              <w:rPr>
                <w:rFonts w:ascii="Calibri" w:hAnsi="Calibri" w:cs="Calibri"/>
                <w:sz w:val="18"/>
                <w:szCs w:val="18"/>
              </w:rPr>
            </w:pPr>
            <w:r w:rsidRPr="00653C3E">
              <w:rPr>
                <w:rFonts w:ascii="Calibri" w:hAnsi="Calibri" w:cs="Calibri"/>
                <w:sz w:val="18"/>
                <w:szCs w:val="18"/>
              </w:rPr>
              <w:t>0.85 (0.39-1.84)</w:t>
            </w:r>
          </w:p>
        </w:tc>
        <w:tc>
          <w:tcPr>
            <w:tcW w:w="2070" w:type="dxa"/>
          </w:tcPr>
          <w:p w14:paraId="1EA750AE" w14:textId="6CBE5D8A" w:rsidR="002963EE" w:rsidRPr="00653C3E" w:rsidRDefault="00B362CF" w:rsidP="002963EE">
            <w:pPr>
              <w:jc w:val="center"/>
              <w:rPr>
                <w:rFonts w:ascii="Calibri" w:hAnsi="Calibri" w:cs="Calibri"/>
                <w:sz w:val="18"/>
                <w:szCs w:val="18"/>
              </w:rPr>
            </w:pPr>
            <w:r w:rsidRPr="00653C3E">
              <w:rPr>
                <w:rFonts w:ascii="Calibri" w:hAnsi="Calibri" w:cs="Calibri"/>
                <w:sz w:val="18"/>
                <w:szCs w:val="18"/>
              </w:rPr>
              <w:t>2.18 (0.98-4.86)</w:t>
            </w:r>
          </w:p>
        </w:tc>
      </w:tr>
      <w:tr w:rsidR="002963EE" w:rsidRPr="002F71A3" w14:paraId="3EEE5768" w14:textId="77777777" w:rsidTr="00B561E5">
        <w:tc>
          <w:tcPr>
            <w:tcW w:w="1276" w:type="dxa"/>
            <w:vMerge w:val="restart"/>
          </w:tcPr>
          <w:p w14:paraId="030E9898" w14:textId="77777777" w:rsidR="002963EE" w:rsidRPr="00B561E5" w:rsidRDefault="002963EE" w:rsidP="002963EE">
            <w:pPr>
              <w:rPr>
                <w:rFonts w:ascii="Calibri" w:hAnsi="Calibri" w:cs="Calibri"/>
                <w:sz w:val="18"/>
                <w:szCs w:val="18"/>
              </w:rPr>
            </w:pPr>
            <w:r w:rsidRPr="00B561E5">
              <w:rPr>
                <w:rFonts w:ascii="Calibri" w:hAnsi="Calibri" w:cs="Calibri"/>
                <w:sz w:val="18"/>
                <w:szCs w:val="18"/>
              </w:rPr>
              <w:t>Region</w:t>
            </w:r>
          </w:p>
        </w:tc>
        <w:tc>
          <w:tcPr>
            <w:tcW w:w="2268" w:type="dxa"/>
          </w:tcPr>
          <w:p w14:paraId="6200AD99" w14:textId="77777777" w:rsidR="002963EE" w:rsidRPr="00B561E5" w:rsidRDefault="002963EE" w:rsidP="002963EE">
            <w:pPr>
              <w:rPr>
                <w:rFonts w:ascii="Calibri" w:hAnsi="Calibri" w:cs="Calibri"/>
                <w:sz w:val="18"/>
                <w:szCs w:val="18"/>
              </w:rPr>
            </w:pPr>
            <w:r w:rsidRPr="00B561E5">
              <w:rPr>
                <w:rFonts w:ascii="Calibri" w:hAnsi="Calibri" w:cs="Calibri"/>
                <w:sz w:val="18"/>
                <w:szCs w:val="18"/>
              </w:rPr>
              <w:t>London</w:t>
            </w:r>
          </w:p>
        </w:tc>
        <w:tc>
          <w:tcPr>
            <w:tcW w:w="2069" w:type="dxa"/>
          </w:tcPr>
          <w:p w14:paraId="4F10B122" w14:textId="77777777" w:rsidR="002963EE" w:rsidRPr="00B561E5" w:rsidRDefault="002963EE" w:rsidP="002963EE">
            <w:pPr>
              <w:jc w:val="center"/>
              <w:rPr>
                <w:rFonts w:ascii="Calibri" w:hAnsi="Calibri" w:cs="Calibri"/>
                <w:sz w:val="18"/>
                <w:szCs w:val="18"/>
              </w:rPr>
            </w:pPr>
            <w:r w:rsidRPr="00B561E5">
              <w:rPr>
                <w:rFonts w:ascii="Calibri" w:hAnsi="Calibri" w:cs="Calibri"/>
                <w:sz w:val="18"/>
                <w:szCs w:val="18"/>
              </w:rPr>
              <w:t>REF</w:t>
            </w:r>
          </w:p>
        </w:tc>
        <w:tc>
          <w:tcPr>
            <w:tcW w:w="2070" w:type="dxa"/>
          </w:tcPr>
          <w:p w14:paraId="4E683B12" w14:textId="77777777" w:rsidR="002963EE" w:rsidRPr="00B561E5" w:rsidRDefault="002963EE" w:rsidP="002963EE">
            <w:pPr>
              <w:jc w:val="center"/>
              <w:rPr>
                <w:rFonts w:ascii="Calibri" w:hAnsi="Calibri" w:cs="Calibri"/>
                <w:sz w:val="18"/>
                <w:szCs w:val="18"/>
              </w:rPr>
            </w:pPr>
            <w:r w:rsidRPr="00B561E5">
              <w:rPr>
                <w:rFonts w:ascii="Calibri" w:hAnsi="Calibri" w:cs="Calibri"/>
                <w:sz w:val="18"/>
                <w:szCs w:val="18"/>
              </w:rPr>
              <w:t>REF</w:t>
            </w:r>
          </w:p>
        </w:tc>
        <w:tc>
          <w:tcPr>
            <w:tcW w:w="2069" w:type="dxa"/>
          </w:tcPr>
          <w:p w14:paraId="0FAEF397" w14:textId="77777777" w:rsidR="002963EE" w:rsidRPr="00B561E5" w:rsidRDefault="002963EE" w:rsidP="002963EE">
            <w:pPr>
              <w:jc w:val="center"/>
              <w:rPr>
                <w:rFonts w:ascii="Calibri" w:hAnsi="Calibri" w:cs="Calibri"/>
                <w:sz w:val="18"/>
                <w:szCs w:val="18"/>
              </w:rPr>
            </w:pPr>
            <w:r w:rsidRPr="00B561E5">
              <w:rPr>
                <w:rFonts w:ascii="Calibri" w:hAnsi="Calibri" w:cs="Calibri"/>
                <w:sz w:val="18"/>
                <w:szCs w:val="18"/>
              </w:rPr>
              <w:t>REF</w:t>
            </w:r>
          </w:p>
        </w:tc>
        <w:tc>
          <w:tcPr>
            <w:tcW w:w="2070" w:type="dxa"/>
          </w:tcPr>
          <w:p w14:paraId="45C3975C" w14:textId="77777777" w:rsidR="002963EE" w:rsidRPr="00B561E5" w:rsidRDefault="002963EE" w:rsidP="002963EE">
            <w:pPr>
              <w:jc w:val="center"/>
              <w:rPr>
                <w:rFonts w:ascii="Calibri" w:hAnsi="Calibri" w:cs="Calibri"/>
                <w:sz w:val="18"/>
                <w:szCs w:val="18"/>
              </w:rPr>
            </w:pPr>
            <w:r w:rsidRPr="00B561E5">
              <w:rPr>
                <w:rFonts w:ascii="Calibri" w:hAnsi="Calibri" w:cs="Calibri"/>
                <w:sz w:val="18"/>
                <w:szCs w:val="18"/>
              </w:rPr>
              <w:t>REF</w:t>
            </w:r>
          </w:p>
        </w:tc>
        <w:tc>
          <w:tcPr>
            <w:tcW w:w="2070" w:type="dxa"/>
          </w:tcPr>
          <w:p w14:paraId="7B928467" w14:textId="77777777" w:rsidR="002963EE" w:rsidRPr="00B561E5" w:rsidRDefault="002963EE" w:rsidP="002963EE">
            <w:pPr>
              <w:jc w:val="center"/>
              <w:rPr>
                <w:rFonts w:ascii="Calibri" w:hAnsi="Calibri" w:cs="Calibri"/>
                <w:sz w:val="18"/>
                <w:szCs w:val="18"/>
              </w:rPr>
            </w:pPr>
            <w:r w:rsidRPr="00B561E5">
              <w:rPr>
                <w:rFonts w:ascii="Calibri" w:hAnsi="Calibri" w:cs="Calibri"/>
                <w:sz w:val="18"/>
                <w:szCs w:val="18"/>
              </w:rPr>
              <w:t>REF</w:t>
            </w:r>
          </w:p>
        </w:tc>
      </w:tr>
      <w:tr w:rsidR="002963EE" w:rsidRPr="002F71A3" w14:paraId="0CC719BF" w14:textId="77777777" w:rsidTr="00B561E5">
        <w:tc>
          <w:tcPr>
            <w:tcW w:w="1276" w:type="dxa"/>
            <w:vMerge/>
          </w:tcPr>
          <w:p w14:paraId="589C1183" w14:textId="77777777" w:rsidR="002963EE" w:rsidRPr="00653C3E" w:rsidRDefault="002963EE" w:rsidP="002963EE">
            <w:pPr>
              <w:rPr>
                <w:rFonts w:ascii="Calibri" w:hAnsi="Calibri" w:cs="Calibri"/>
                <w:sz w:val="18"/>
                <w:szCs w:val="18"/>
              </w:rPr>
            </w:pPr>
          </w:p>
        </w:tc>
        <w:tc>
          <w:tcPr>
            <w:tcW w:w="2268" w:type="dxa"/>
          </w:tcPr>
          <w:p w14:paraId="7658BB88" w14:textId="367EF06A" w:rsidR="002963EE" w:rsidRPr="00653C3E" w:rsidRDefault="002963EE" w:rsidP="002963EE">
            <w:pPr>
              <w:rPr>
                <w:rFonts w:ascii="Calibri" w:hAnsi="Calibri" w:cs="Calibri"/>
                <w:sz w:val="18"/>
                <w:szCs w:val="18"/>
              </w:rPr>
            </w:pPr>
            <w:r w:rsidRPr="00653C3E">
              <w:rPr>
                <w:rFonts w:ascii="Calibri" w:hAnsi="Calibri" w:cs="Calibri"/>
                <w:sz w:val="18"/>
                <w:szCs w:val="18"/>
              </w:rPr>
              <w:t>North</w:t>
            </w:r>
          </w:p>
        </w:tc>
        <w:tc>
          <w:tcPr>
            <w:tcW w:w="2069" w:type="dxa"/>
          </w:tcPr>
          <w:p w14:paraId="451F54A8" w14:textId="5148A0FB" w:rsidR="002963EE" w:rsidRPr="00653C3E" w:rsidRDefault="002963EE" w:rsidP="002963EE">
            <w:pPr>
              <w:jc w:val="center"/>
              <w:rPr>
                <w:rFonts w:ascii="Calibri" w:hAnsi="Calibri" w:cs="Calibri"/>
                <w:sz w:val="18"/>
                <w:szCs w:val="18"/>
              </w:rPr>
            </w:pPr>
            <w:r w:rsidRPr="00653C3E">
              <w:rPr>
                <w:rFonts w:ascii="Calibri" w:hAnsi="Calibri" w:cs="Calibri"/>
                <w:sz w:val="18"/>
                <w:szCs w:val="18"/>
              </w:rPr>
              <w:t>1.13 (0.90-1.43)</w:t>
            </w:r>
          </w:p>
        </w:tc>
        <w:tc>
          <w:tcPr>
            <w:tcW w:w="2070" w:type="dxa"/>
          </w:tcPr>
          <w:p w14:paraId="5DFF7B6F" w14:textId="02BA82FF" w:rsidR="002963EE" w:rsidRPr="00653C3E" w:rsidRDefault="002963EE" w:rsidP="002963EE">
            <w:pPr>
              <w:jc w:val="center"/>
              <w:rPr>
                <w:rFonts w:ascii="Calibri" w:hAnsi="Calibri" w:cs="Calibri"/>
                <w:sz w:val="18"/>
                <w:szCs w:val="18"/>
              </w:rPr>
            </w:pPr>
            <w:r w:rsidRPr="00653C3E">
              <w:rPr>
                <w:rFonts w:ascii="Calibri" w:hAnsi="Calibri" w:cs="Calibri"/>
                <w:sz w:val="18"/>
                <w:szCs w:val="18"/>
              </w:rPr>
              <w:t>1.20 (0.97-1.49)</w:t>
            </w:r>
          </w:p>
        </w:tc>
        <w:tc>
          <w:tcPr>
            <w:tcW w:w="2069" w:type="dxa"/>
          </w:tcPr>
          <w:p w14:paraId="2D2F3953" w14:textId="49230B1D" w:rsidR="002963EE" w:rsidRPr="00653C3E" w:rsidRDefault="002963EE" w:rsidP="002963EE">
            <w:pPr>
              <w:jc w:val="center"/>
              <w:rPr>
                <w:rFonts w:ascii="Calibri" w:hAnsi="Calibri" w:cs="Calibri"/>
                <w:sz w:val="18"/>
                <w:szCs w:val="18"/>
              </w:rPr>
            </w:pPr>
            <w:r w:rsidRPr="00653C3E">
              <w:rPr>
                <w:rFonts w:ascii="Calibri" w:hAnsi="Calibri" w:cs="Calibri"/>
                <w:sz w:val="18"/>
                <w:szCs w:val="18"/>
              </w:rPr>
              <w:t>1.11 (0.86-1.45)</w:t>
            </w:r>
          </w:p>
        </w:tc>
        <w:tc>
          <w:tcPr>
            <w:tcW w:w="2070" w:type="dxa"/>
          </w:tcPr>
          <w:p w14:paraId="07B7037E" w14:textId="542DCAA0" w:rsidR="002963EE" w:rsidRPr="00653C3E" w:rsidRDefault="002963EE" w:rsidP="002963EE">
            <w:pPr>
              <w:jc w:val="center"/>
              <w:rPr>
                <w:rFonts w:ascii="Calibri" w:hAnsi="Calibri" w:cs="Calibri"/>
                <w:sz w:val="18"/>
                <w:szCs w:val="18"/>
              </w:rPr>
            </w:pPr>
            <w:r w:rsidRPr="00653C3E">
              <w:rPr>
                <w:rFonts w:ascii="Calibri" w:hAnsi="Calibri" w:cs="Calibri"/>
                <w:sz w:val="18"/>
                <w:szCs w:val="18"/>
              </w:rPr>
              <w:t>1.16 (0.94-1.42)</w:t>
            </w:r>
          </w:p>
        </w:tc>
        <w:tc>
          <w:tcPr>
            <w:tcW w:w="2070" w:type="dxa"/>
          </w:tcPr>
          <w:p w14:paraId="130DA030" w14:textId="3DBA9581" w:rsidR="002963EE" w:rsidRPr="00653C3E" w:rsidRDefault="002963EE" w:rsidP="002963EE">
            <w:pPr>
              <w:jc w:val="center"/>
              <w:rPr>
                <w:rFonts w:ascii="Calibri" w:hAnsi="Calibri" w:cs="Calibri"/>
                <w:sz w:val="18"/>
                <w:szCs w:val="18"/>
              </w:rPr>
            </w:pPr>
            <w:r w:rsidRPr="00653C3E">
              <w:rPr>
                <w:rFonts w:ascii="Calibri" w:hAnsi="Calibri" w:cs="Calibri"/>
                <w:sz w:val="18"/>
                <w:szCs w:val="18"/>
              </w:rPr>
              <w:t>2.05 (1.65-2.</w:t>
            </w:r>
            <w:proofErr w:type="gramStart"/>
            <w:r w:rsidRPr="00653C3E">
              <w:rPr>
                <w:rFonts w:ascii="Calibri" w:hAnsi="Calibri" w:cs="Calibri"/>
                <w:sz w:val="18"/>
                <w:szCs w:val="18"/>
              </w:rPr>
              <w:t>54)*</w:t>
            </w:r>
            <w:proofErr w:type="gramEnd"/>
            <w:r w:rsidRPr="00653C3E">
              <w:rPr>
                <w:rFonts w:ascii="Calibri" w:hAnsi="Calibri" w:cs="Calibri"/>
                <w:sz w:val="18"/>
                <w:szCs w:val="18"/>
              </w:rPr>
              <w:t>**</w:t>
            </w:r>
          </w:p>
        </w:tc>
      </w:tr>
      <w:tr w:rsidR="002963EE" w:rsidRPr="002F71A3" w14:paraId="49C52834" w14:textId="77777777" w:rsidTr="00966F60">
        <w:tc>
          <w:tcPr>
            <w:tcW w:w="13892" w:type="dxa"/>
            <w:gridSpan w:val="7"/>
          </w:tcPr>
          <w:p w14:paraId="289A99F7" w14:textId="77777777" w:rsidR="002963EE" w:rsidRPr="00B561E5" w:rsidRDefault="002963EE" w:rsidP="002963EE">
            <w:pPr>
              <w:rPr>
                <w:rFonts w:ascii="Calibri" w:hAnsi="Calibri" w:cs="Calibri"/>
                <w:sz w:val="18"/>
                <w:szCs w:val="18"/>
              </w:rPr>
            </w:pPr>
            <w:r w:rsidRPr="00B561E5">
              <w:rPr>
                <w:rFonts w:ascii="Calibri" w:hAnsi="Calibri" w:cs="Calibri"/>
                <w:sz w:val="18"/>
                <w:szCs w:val="18"/>
              </w:rPr>
              <w:t>Models adjusted for sex, age group, social class, children in the household, working status and region</w:t>
            </w:r>
          </w:p>
          <w:p w14:paraId="4D3372BA" w14:textId="28D8C8C4" w:rsidR="002963EE" w:rsidRPr="00B561E5" w:rsidRDefault="002963EE" w:rsidP="002963EE">
            <w:pPr>
              <w:rPr>
                <w:rFonts w:ascii="Calibri" w:hAnsi="Calibri" w:cs="Calibri"/>
                <w:sz w:val="18"/>
                <w:szCs w:val="18"/>
              </w:rPr>
            </w:pPr>
            <w:r w:rsidRPr="00B561E5">
              <w:rPr>
                <w:rFonts w:ascii="Calibri" w:hAnsi="Calibri" w:cs="Calibri"/>
                <w:sz w:val="18"/>
                <w:szCs w:val="18"/>
              </w:rPr>
              <w:t>* P&lt;0.05, ** P&lt;0.01, *** P&lt;0.001</w:t>
            </w:r>
          </w:p>
        </w:tc>
      </w:tr>
    </w:tbl>
    <w:p w14:paraId="2BA43C8B" w14:textId="77777777" w:rsidR="00E604A2" w:rsidRDefault="00E604A2" w:rsidP="00E604A2">
      <w:pPr>
        <w:rPr>
          <w:rFonts w:ascii="Calibri" w:hAnsi="Calibri" w:cs="Calibri"/>
        </w:rPr>
      </w:pPr>
    </w:p>
    <w:p w14:paraId="770164E4" w14:textId="2F697913" w:rsidR="00E604A2" w:rsidRDefault="00D821F5">
      <w:r>
        <w:br w:type="page"/>
      </w:r>
    </w:p>
    <w:p w14:paraId="57AE14F1" w14:textId="77777777" w:rsidR="00E604A2" w:rsidRDefault="00E604A2" w:rsidP="00E604A2">
      <w:pPr>
        <w:rPr>
          <w:rFonts w:ascii="Calibri" w:hAnsi="Calibri" w:cs="Calibri"/>
          <w:b/>
          <w:bCs/>
        </w:rPr>
        <w:sectPr w:rsidR="00E604A2" w:rsidSect="002A0FEE">
          <w:pgSz w:w="16840" w:h="11900" w:orient="landscape"/>
          <w:pgMar w:top="1440" w:right="1440" w:bottom="1440" w:left="1440" w:header="709" w:footer="709" w:gutter="0"/>
          <w:cols w:space="708"/>
          <w:docGrid w:linePitch="360"/>
        </w:sectPr>
      </w:pPr>
    </w:p>
    <w:p w14:paraId="54F88653" w14:textId="21DDEC04" w:rsidR="00E604A2" w:rsidRPr="009870C0" w:rsidRDefault="00E604A2" w:rsidP="00E604A2">
      <w:pPr>
        <w:rPr>
          <w:rFonts w:ascii="Calibri" w:hAnsi="Calibri" w:cs="Calibri"/>
        </w:rPr>
      </w:pPr>
      <w:r w:rsidRPr="009870C0">
        <w:rPr>
          <w:rFonts w:ascii="Calibri" w:hAnsi="Calibri" w:cs="Calibri"/>
          <w:b/>
          <w:bCs/>
        </w:rPr>
        <w:lastRenderedPageBreak/>
        <w:t xml:space="preserve">Table </w:t>
      </w:r>
      <w:r w:rsidR="001164DF">
        <w:rPr>
          <w:rFonts w:ascii="Calibri" w:hAnsi="Calibri" w:cs="Calibri"/>
          <w:b/>
          <w:bCs/>
        </w:rPr>
        <w:t>4</w:t>
      </w:r>
      <w:r w:rsidRPr="009870C0">
        <w:rPr>
          <w:rFonts w:ascii="Calibri" w:hAnsi="Calibri" w:cs="Calibri"/>
          <w:b/>
          <w:bCs/>
        </w:rPr>
        <w:t>.</w:t>
      </w:r>
      <w:r w:rsidRPr="009870C0">
        <w:rPr>
          <w:rFonts w:ascii="Calibri" w:hAnsi="Calibri" w:cs="Calibri"/>
        </w:rPr>
        <w:t xml:space="preserve"> </w:t>
      </w:r>
      <w:r w:rsidR="00B561E5">
        <w:rPr>
          <w:rFonts w:ascii="Calibri" w:hAnsi="Calibri" w:cs="Calibri"/>
        </w:rPr>
        <w:t>Weight status</w:t>
      </w:r>
      <w:r w:rsidRPr="009870C0">
        <w:rPr>
          <w:rFonts w:ascii="Calibri" w:hAnsi="Calibri" w:cs="Calibri"/>
        </w:rPr>
        <w:t xml:space="preserve"> </w:t>
      </w:r>
      <w:r w:rsidR="00B561E5">
        <w:rPr>
          <w:rFonts w:ascii="Calibri" w:hAnsi="Calibri" w:cs="Calibri"/>
        </w:rPr>
        <w:t>by exposure to</w:t>
      </w:r>
      <w:r w:rsidRPr="009870C0">
        <w:rPr>
          <w:rFonts w:ascii="Calibri" w:hAnsi="Calibri" w:cs="Calibri"/>
        </w:rPr>
        <w:t xml:space="preserve"> </w:t>
      </w:r>
      <w:r w:rsidR="00B561E5">
        <w:rPr>
          <w:rFonts w:ascii="Calibri" w:hAnsi="Calibri" w:cs="Calibri"/>
        </w:rPr>
        <w:t>advertising for less healthy</w:t>
      </w:r>
      <w:r w:rsidR="00B561E5" w:rsidRPr="009870C0">
        <w:rPr>
          <w:rFonts w:ascii="Calibri" w:hAnsi="Calibri" w:cs="Calibri"/>
        </w:rPr>
        <w:t xml:space="preserve"> </w:t>
      </w:r>
      <w:r w:rsidRPr="009870C0">
        <w:rPr>
          <w:rFonts w:ascii="Calibri" w:hAnsi="Calibri" w:cs="Calibri"/>
        </w:rPr>
        <w:t>food</w:t>
      </w:r>
      <w:r w:rsidR="00C31372">
        <w:rPr>
          <w:rFonts w:ascii="Calibri" w:hAnsi="Calibri" w:cs="Calibri"/>
        </w:rPr>
        <w:t>s</w:t>
      </w:r>
      <w:r w:rsidRPr="009870C0">
        <w:rPr>
          <w:rFonts w:ascii="Calibri" w:hAnsi="Calibri" w:cs="Calibri"/>
        </w:rPr>
        <w:t xml:space="preserve"> and drink</w:t>
      </w:r>
      <w:r w:rsidR="00C31372">
        <w:rPr>
          <w:rFonts w:ascii="Calibri" w:hAnsi="Calibri" w:cs="Calibri"/>
        </w:rPr>
        <w:t>s</w:t>
      </w:r>
      <w:r w:rsidR="00B561E5">
        <w:rPr>
          <w:rFonts w:ascii="Calibri" w:hAnsi="Calibri" w:cs="Calibri"/>
        </w:rPr>
        <w:t xml:space="preserve"> (</w:t>
      </w:r>
      <w:r w:rsidRPr="009870C0">
        <w:rPr>
          <w:rFonts w:ascii="Calibri" w:hAnsi="Calibri" w:cs="Calibri"/>
          <w:i/>
          <w:iCs/>
        </w:rPr>
        <w:t>n</w:t>
      </w:r>
      <w:r w:rsidRPr="009870C0">
        <w:rPr>
          <w:rFonts w:ascii="Calibri" w:hAnsi="Calibri" w:cs="Calibri"/>
        </w:rPr>
        <w:t>=</w:t>
      </w:r>
      <w:r w:rsidR="00491365">
        <w:rPr>
          <w:rFonts w:ascii="Calibri" w:hAnsi="Calibri" w:cs="Calibri"/>
        </w:rPr>
        <w:t>1552</w:t>
      </w:r>
      <w:r w:rsidR="00C31372">
        <w:rPr>
          <w:rFonts w:ascii="Calibri" w:hAnsi="Calibri" w:cs="Calibri"/>
        </w:rPr>
        <w:t>)</w:t>
      </w:r>
    </w:p>
    <w:p w14:paraId="5D45F9A3" w14:textId="77777777" w:rsidR="00E604A2" w:rsidRPr="009870C0" w:rsidRDefault="00E604A2" w:rsidP="00E604A2">
      <w:pPr>
        <w:rPr>
          <w:rFonts w:ascii="Calibri" w:hAnsi="Calibri" w:cs="Calibri"/>
        </w:rPr>
      </w:pPr>
    </w:p>
    <w:tbl>
      <w:tblPr>
        <w:tblStyle w:val="TableGrid"/>
        <w:tblW w:w="0" w:type="auto"/>
        <w:tblLook w:val="04A0" w:firstRow="1" w:lastRow="0" w:firstColumn="1" w:lastColumn="0" w:noHBand="0" w:noVBand="1"/>
      </w:tblPr>
      <w:tblGrid>
        <w:gridCol w:w="1470"/>
        <w:gridCol w:w="2156"/>
        <w:gridCol w:w="2455"/>
        <w:gridCol w:w="2497"/>
        <w:gridCol w:w="2700"/>
        <w:gridCol w:w="2672"/>
      </w:tblGrid>
      <w:tr w:rsidR="00E55E56" w:rsidRPr="006E497A" w14:paraId="69326805" w14:textId="738A643F" w:rsidTr="00B9753C">
        <w:tc>
          <w:tcPr>
            <w:tcW w:w="3626" w:type="dxa"/>
            <w:gridSpan w:val="2"/>
          </w:tcPr>
          <w:p w14:paraId="6086DA19" w14:textId="77777777" w:rsidR="00E55E56" w:rsidRPr="006E497A" w:rsidRDefault="00E55E56" w:rsidP="00EC5709">
            <w:pPr>
              <w:rPr>
                <w:rFonts w:ascii="Calibri" w:hAnsi="Calibri" w:cs="Calibri"/>
                <w:b/>
                <w:bCs/>
                <w:sz w:val="20"/>
                <w:szCs w:val="20"/>
              </w:rPr>
            </w:pPr>
            <w:r w:rsidRPr="006E497A">
              <w:rPr>
                <w:rFonts w:ascii="Calibri" w:hAnsi="Calibri" w:cs="Calibri"/>
                <w:b/>
                <w:bCs/>
                <w:sz w:val="20"/>
                <w:szCs w:val="20"/>
              </w:rPr>
              <w:t>Type of advertising</w:t>
            </w:r>
          </w:p>
        </w:tc>
        <w:tc>
          <w:tcPr>
            <w:tcW w:w="2455" w:type="dxa"/>
          </w:tcPr>
          <w:p w14:paraId="43C3E176" w14:textId="19368851" w:rsidR="00E55E56" w:rsidRDefault="00E55E56" w:rsidP="00EC5709">
            <w:pPr>
              <w:jc w:val="center"/>
              <w:rPr>
                <w:rFonts w:ascii="Calibri" w:hAnsi="Calibri" w:cs="Calibri"/>
                <w:b/>
                <w:bCs/>
                <w:sz w:val="20"/>
                <w:szCs w:val="20"/>
              </w:rPr>
            </w:pPr>
            <w:r>
              <w:rPr>
                <w:rFonts w:ascii="Calibri" w:hAnsi="Calibri" w:cs="Calibri"/>
                <w:b/>
                <w:bCs/>
                <w:sz w:val="20"/>
                <w:szCs w:val="20"/>
              </w:rPr>
              <w:t xml:space="preserve">Underweight, </w:t>
            </w:r>
            <w:r w:rsidRPr="00AB7623">
              <w:rPr>
                <w:rFonts w:ascii="Calibri" w:hAnsi="Calibri" w:cs="Calibri"/>
                <w:sz w:val="20"/>
                <w:szCs w:val="20"/>
              </w:rPr>
              <w:t>OR (95% CI)</w:t>
            </w:r>
          </w:p>
        </w:tc>
        <w:tc>
          <w:tcPr>
            <w:tcW w:w="2497" w:type="dxa"/>
          </w:tcPr>
          <w:p w14:paraId="3069E2E6" w14:textId="6581E891" w:rsidR="00E55E56" w:rsidRPr="006E497A" w:rsidRDefault="00E55E56" w:rsidP="00EC5709">
            <w:pPr>
              <w:jc w:val="center"/>
              <w:rPr>
                <w:rFonts w:ascii="Calibri" w:hAnsi="Calibri" w:cs="Calibri"/>
                <w:b/>
                <w:bCs/>
                <w:sz w:val="20"/>
                <w:szCs w:val="20"/>
              </w:rPr>
            </w:pPr>
            <w:r>
              <w:rPr>
                <w:rFonts w:ascii="Calibri" w:hAnsi="Calibri" w:cs="Calibri"/>
                <w:b/>
                <w:bCs/>
                <w:sz w:val="20"/>
                <w:szCs w:val="20"/>
              </w:rPr>
              <w:t xml:space="preserve">Overweight, </w:t>
            </w:r>
            <w:r w:rsidRPr="00AB7623">
              <w:rPr>
                <w:rFonts w:ascii="Calibri" w:hAnsi="Calibri" w:cs="Calibri"/>
                <w:sz w:val="20"/>
                <w:szCs w:val="20"/>
              </w:rPr>
              <w:t>OR (95% CI)</w:t>
            </w:r>
          </w:p>
        </w:tc>
        <w:tc>
          <w:tcPr>
            <w:tcW w:w="2700" w:type="dxa"/>
          </w:tcPr>
          <w:p w14:paraId="74827BD5" w14:textId="38BCEFA3" w:rsidR="00E55E56" w:rsidRPr="006E497A" w:rsidRDefault="00E55E56" w:rsidP="00EC5709">
            <w:pPr>
              <w:jc w:val="center"/>
              <w:rPr>
                <w:rFonts w:ascii="Calibri" w:hAnsi="Calibri" w:cs="Calibri"/>
                <w:b/>
                <w:bCs/>
                <w:sz w:val="20"/>
                <w:szCs w:val="20"/>
              </w:rPr>
            </w:pPr>
            <w:r>
              <w:rPr>
                <w:rFonts w:ascii="Calibri" w:hAnsi="Calibri" w:cs="Calibri"/>
                <w:b/>
                <w:bCs/>
                <w:sz w:val="20"/>
                <w:szCs w:val="20"/>
              </w:rPr>
              <w:t>Obes</w:t>
            </w:r>
            <w:r w:rsidR="00C63DD9">
              <w:rPr>
                <w:rFonts w:ascii="Calibri" w:hAnsi="Calibri" w:cs="Calibri"/>
                <w:b/>
                <w:bCs/>
                <w:sz w:val="20"/>
                <w:szCs w:val="20"/>
              </w:rPr>
              <w:t>ity</w:t>
            </w:r>
            <w:r>
              <w:rPr>
                <w:rFonts w:ascii="Calibri" w:hAnsi="Calibri" w:cs="Calibri"/>
                <w:b/>
                <w:bCs/>
                <w:sz w:val="20"/>
                <w:szCs w:val="20"/>
              </w:rPr>
              <w:t xml:space="preserve">, </w:t>
            </w:r>
            <w:r w:rsidRPr="00AB7623">
              <w:rPr>
                <w:rFonts w:ascii="Calibri" w:hAnsi="Calibri" w:cs="Calibri"/>
                <w:sz w:val="20"/>
                <w:szCs w:val="20"/>
              </w:rPr>
              <w:t>OR (95% CI)</w:t>
            </w:r>
          </w:p>
        </w:tc>
        <w:tc>
          <w:tcPr>
            <w:tcW w:w="2672" w:type="dxa"/>
          </w:tcPr>
          <w:p w14:paraId="1F34B282" w14:textId="56F248B5" w:rsidR="00E55E56" w:rsidRDefault="00E55E56" w:rsidP="00EC5709">
            <w:pPr>
              <w:jc w:val="center"/>
              <w:rPr>
                <w:rFonts w:ascii="Calibri" w:hAnsi="Calibri" w:cs="Calibri"/>
                <w:b/>
                <w:bCs/>
                <w:sz w:val="20"/>
                <w:szCs w:val="20"/>
              </w:rPr>
            </w:pPr>
            <w:r>
              <w:rPr>
                <w:rFonts w:ascii="Calibri" w:hAnsi="Calibri" w:cs="Calibri"/>
                <w:b/>
                <w:bCs/>
                <w:sz w:val="20"/>
                <w:szCs w:val="20"/>
              </w:rPr>
              <w:t xml:space="preserve">Missing, </w:t>
            </w:r>
            <w:r w:rsidRPr="00AB7623">
              <w:rPr>
                <w:rFonts w:ascii="Calibri" w:hAnsi="Calibri" w:cs="Calibri"/>
                <w:sz w:val="20"/>
                <w:szCs w:val="20"/>
              </w:rPr>
              <w:t>OR (95% CI)</w:t>
            </w:r>
          </w:p>
        </w:tc>
      </w:tr>
      <w:tr w:rsidR="00E55E56" w:rsidRPr="006E497A" w14:paraId="73E52372" w14:textId="43B0F52D" w:rsidTr="00B9753C">
        <w:tc>
          <w:tcPr>
            <w:tcW w:w="3626" w:type="dxa"/>
            <w:gridSpan w:val="2"/>
          </w:tcPr>
          <w:p w14:paraId="4DCD792F" w14:textId="77777777" w:rsidR="00E55E56" w:rsidRPr="006E497A" w:rsidRDefault="00E55E56" w:rsidP="00EC5709">
            <w:pPr>
              <w:rPr>
                <w:rFonts w:ascii="Calibri" w:hAnsi="Calibri" w:cs="Calibri"/>
                <w:sz w:val="20"/>
                <w:szCs w:val="20"/>
              </w:rPr>
            </w:pPr>
            <w:r w:rsidRPr="006E497A">
              <w:rPr>
                <w:rFonts w:ascii="Calibri" w:hAnsi="Calibri" w:cs="Calibri"/>
                <w:sz w:val="20"/>
                <w:szCs w:val="20"/>
              </w:rPr>
              <w:t>Any advertising exposure</w:t>
            </w:r>
          </w:p>
        </w:tc>
        <w:tc>
          <w:tcPr>
            <w:tcW w:w="2455" w:type="dxa"/>
          </w:tcPr>
          <w:p w14:paraId="2D0D714D" w14:textId="1E846FAB" w:rsidR="00E55E56" w:rsidRPr="006E497A" w:rsidRDefault="00E55E56" w:rsidP="00EC5709">
            <w:pPr>
              <w:jc w:val="center"/>
              <w:rPr>
                <w:rFonts w:ascii="Calibri" w:hAnsi="Calibri" w:cs="Calibri"/>
                <w:sz w:val="20"/>
                <w:szCs w:val="20"/>
              </w:rPr>
            </w:pPr>
            <w:r>
              <w:rPr>
                <w:rFonts w:ascii="Calibri" w:hAnsi="Calibri" w:cs="Calibri"/>
                <w:sz w:val="20"/>
                <w:szCs w:val="20"/>
              </w:rPr>
              <w:t>0.94 (0.35-2.57)</w:t>
            </w:r>
          </w:p>
        </w:tc>
        <w:tc>
          <w:tcPr>
            <w:tcW w:w="2497" w:type="dxa"/>
          </w:tcPr>
          <w:p w14:paraId="5EAED318" w14:textId="42536B49"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1.0</w:t>
            </w:r>
            <w:r>
              <w:rPr>
                <w:rFonts w:ascii="Calibri" w:hAnsi="Calibri" w:cs="Calibri"/>
                <w:sz w:val="20"/>
                <w:szCs w:val="20"/>
              </w:rPr>
              <w:t>8</w:t>
            </w:r>
            <w:r w:rsidRPr="006E497A">
              <w:rPr>
                <w:rFonts w:ascii="Calibri" w:hAnsi="Calibri" w:cs="Calibri"/>
                <w:sz w:val="20"/>
                <w:szCs w:val="20"/>
              </w:rPr>
              <w:t xml:space="preserve"> (0.7</w:t>
            </w:r>
            <w:r>
              <w:rPr>
                <w:rFonts w:ascii="Calibri" w:hAnsi="Calibri" w:cs="Calibri"/>
                <w:sz w:val="20"/>
                <w:szCs w:val="20"/>
              </w:rPr>
              <w:t>5</w:t>
            </w:r>
            <w:r w:rsidRPr="006E497A">
              <w:rPr>
                <w:rFonts w:ascii="Calibri" w:hAnsi="Calibri" w:cs="Calibri"/>
                <w:sz w:val="20"/>
                <w:szCs w:val="20"/>
              </w:rPr>
              <w:t>-1.</w:t>
            </w:r>
            <w:r>
              <w:rPr>
                <w:rFonts w:ascii="Calibri" w:hAnsi="Calibri" w:cs="Calibri"/>
                <w:sz w:val="20"/>
                <w:szCs w:val="20"/>
              </w:rPr>
              <w:t>57</w:t>
            </w:r>
            <w:r w:rsidRPr="006E497A">
              <w:rPr>
                <w:rFonts w:ascii="Calibri" w:hAnsi="Calibri" w:cs="Calibri"/>
                <w:sz w:val="20"/>
                <w:szCs w:val="20"/>
              </w:rPr>
              <w:t>)</w:t>
            </w:r>
          </w:p>
        </w:tc>
        <w:tc>
          <w:tcPr>
            <w:tcW w:w="2700" w:type="dxa"/>
          </w:tcPr>
          <w:p w14:paraId="39085E58" w14:textId="341776EE" w:rsidR="00E55E56" w:rsidRPr="006E497A" w:rsidRDefault="00E55E56" w:rsidP="00EC5709">
            <w:pPr>
              <w:jc w:val="center"/>
              <w:rPr>
                <w:rFonts w:ascii="Calibri" w:hAnsi="Calibri" w:cs="Calibri"/>
                <w:sz w:val="20"/>
                <w:szCs w:val="20"/>
              </w:rPr>
            </w:pPr>
            <w:r>
              <w:rPr>
                <w:rFonts w:ascii="Calibri" w:hAnsi="Calibri" w:cs="Calibri"/>
                <w:sz w:val="20"/>
                <w:szCs w:val="20"/>
              </w:rPr>
              <w:t>1.08 (0.72-1.60)</w:t>
            </w:r>
          </w:p>
        </w:tc>
        <w:tc>
          <w:tcPr>
            <w:tcW w:w="2672" w:type="dxa"/>
          </w:tcPr>
          <w:p w14:paraId="76BA91EA" w14:textId="2EA62E0D" w:rsidR="00E55E56" w:rsidRPr="006E497A" w:rsidRDefault="00E55E56" w:rsidP="00EC5709">
            <w:pPr>
              <w:jc w:val="center"/>
              <w:rPr>
                <w:rFonts w:ascii="Calibri" w:hAnsi="Calibri" w:cs="Calibri"/>
                <w:sz w:val="20"/>
                <w:szCs w:val="20"/>
              </w:rPr>
            </w:pPr>
            <w:r>
              <w:rPr>
                <w:rFonts w:ascii="Calibri" w:hAnsi="Calibri" w:cs="Calibri"/>
                <w:sz w:val="20"/>
                <w:szCs w:val="20"/>
              </w:rPr>
              <w:t>0.94 (0.63-1.41)</w:t>
            </w:r>
          </w:p>
        </w:tc>
      </w:tr>
      <w:tr w:rsidR="00E55E56" w:rsidRPr="006E497A" w14:paraId="148295F0" w14:textId="6E7CC4A7" w:rsidTr="00B9753C">
        <w:tc>
          <w:tcPr>
            <w:tcW w:w="1470" w:type="dxa"/>
            <w:vMerge w:val="restart"/>
          </w:tcPr>
          <w:p w14:paraId="388DC38D" w14:textId="3249D30D" w:rsidR="00E55E56" w:rsidRPr="006E497A" w:rsidRDefault="00E55E56" w:rsidP="00EC5709">
            <w:pPr>
              <w:rPr>
                <w:rStyle w:val="CommentReference"/>
                <w:rFonts w:ascii="Calibri" w:hAnsi="Calibri" w:cs="Calibri"/>
                <w:sz w:val="20"/>
                <w:szCs w:val="20"/>
              </w:rPr>
            </w:pPr>
            <w:r>
              <w:rPr>
                <w:rFonts w:ascii="Calibri" w:hAnsi="Calibri" w:cs="Calibri"/>
                <w:sz w:val="20"/>
                <w:szCs w:val="20"/>
              </w:rPr>
              <w:t>By p</w:t>
            </w:r>
            <w:r w:rsidRPr="006E497A">
              <w:rPr>
                <w:rFonts w:ascii="Calibri" w:hAnsi="Calibri" w:cs="Calibri"/>
                <w:sz w:val="20"/>
                <w:szCs w:val="20"/>
              </w:rPr>
              <w:t xml:space="preserve">roduct </w:t>
            </w:r>
            <w:r>
              <w:rPr>
                <w:rFonts w:ascii="Calibri" w:hAnsi="Calibri" w:cs="Calibri"/>
                <w:sz w:val="20"/>
                <w:szCs w:val="20"/>
              </w:rPr>
              <w:t>category</w:t>
            </w:r>
          </w:p>
        </w:tc>
        <w:tc>
          <w:tcPr>
            <w:tcW w:w="2156" w:type="dxa"/>
          </w:tcPr>
          <w:p w14:paraId="3193CADF" w14:textId="518FD378" w:rsidR="00E55E56" w:rsidRPr="006E497A" w:rsidRDefault="00E55E56" w:rsidP="00EC5709">
            <w:pPr>
              <w:rPr>
                <w:rFonts w:ascii="Calibri" w:hAnsi="Calibri" w:cs="Calibri"/>
                <w:sz w:val="20"/>
                <w:szCs w:val="20"/>
              </w:rPr>
            </w:pPr>
            <w:r w:rsidRPr="006E497A">
              <w:rPr>
                <w:rFonts w:ascii="Calibri" w:hAnsi="Calibri" w:cs="Calibri"/>
                <w:sz w:val="20"/>
                <w:szCs w:val="20"/>
              </w:rPr>
              <w:t>Processed HFSS food</w:t>
            </w:r>
            <w:r>
              <w:rPr>
                <w:rFonts w:ascii="Calibri" w:hAnsi="Calibri" w:cs="Calibri"/>
                <w:sz w:val="20"/>
                <w:szCs w:val="20"/>
              </w:rPr>
              <w:t>s</w:t>
            </w:r>
          </w:p>
        </w:tc>
        <w:tc>
          <w:tcPr>
            <w:tcW w:w="2455" w:type="dxa"/>
          </w:tcPr>
          <w:p w14:paraId="28EBF8D2" w14:textId="31DE1B07" w:rsidR="00E55E56" w:rsidRPr="006E497A" w:rsidRDefault="00E55E56" w:rsidP="00EC5709">
            <w:pPr>
              <w:jc w:val="center"/>
              <w:rPr>
                <w:rFonts w:ascii="Calibri" w:hAnsi="Calibri" w:cs="Calibri"/>
                <w:sz w:val="20"/>
                <w:szCs w:val="20"/>
              </w:rPr>
            </w:pPr>
            <w:r>
              <w:rPr>
                <w:rFonts w:ascii="Calibri" w:hAnsi="Calibri" w:cs="Calibri"/>
                <w:sz w:val="20"/>
                <w:szCs w:val="20"/>
              </w:rPr>
              <w:t>1.31 (0.56-3.04)</w:t>
            </w:r>
          </w:p>
        </w:tc>
        <w:tc>
          <w:tcPr>
            <w:tcW w:w="2497" w:type="dxa"/>
          </w:tcPr>
          <w:p w14:paraId="0DDA8DE7" w14:textId="2055ABFF"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1.1</w:t>
            </w:r>
            <w:r>
              <w:rPr>
                <w:rFonts w:ascii="Calibri" w:hAnsi="Calibri" w:cs="Calibri"/>
                <w:sz w:val="20"/>
                <w:szCs w:val="20"/>
              </w:rPr>
              <w:t>7</w:t>
            </w:r>
            <w:r w:rsidRPr="006E497A">
              <w:rPr>
                <w:rFonts w:ascii="Calibri" w:hAnsi="Calibri" w:cs="Calibri"/>
                <w:sz w:val="20"/>
                <w:szCs w:val="20"/>
              </w:rPr>
              <w:t xml:space="preserve"> (0.8</w:t>
            </w:r>
            <w:r>
              <w:rPr>
                <w:rFonts w:ascii="Calibri" w:hAnsi="Calibri" w:cs="Calibri"/>
                <w:sz w:val="20"/>
                <w:szCs w:val="20"/>
              </w:rPr>
              <w:t>7</w:t>
            </w:r>
            <w:r w:rsidRPr="006E497A">
              <w:rPr>
                <w:rFonts w:ascii="Calibri" w:hAnsi="Calibri" w:cs="Calibri"/>
                <w:sz w:val="20"/>
                <w:szCs w:val="20"/>
              </w:rPr>
              <w:t>-1.</w:t>
            </w:r>
            <w:r>
              <w:rPr>
                <w:rFonts w:ascii="Calibri" w:hAnsi="Calibri" w:cs="Calibri"/>
                <w:sz w:val="20"/>
                <w:szCs w:val="20"/>
              </w:rPr>
              <w:t>5</w:t>
            </w:r>
            <w:r w:rsidRPr="006E497A">
              <w:rPr>
                <w:rFonts w:ascii="Calibri" w:hAnsi="Calibri" w:cs="Calibri"/>
                <w:sz w:val="20"/>
                <w:szCs w:val="20"/>
              </w:rPr>
              <w:t>6)</w:t>
            </w:r>
          </w:p>
        </w:tc>
        <w:tc>
          <w:tcPr>
            <w:tcW w:w="2700" w:type="dxa"/>
          </w:tcPr>
          <w:p w14:paraId="654B6843" w14:textId="43E3EF38" w:rsidR="00E55E56" w:rsidRPr="006E497A" w:rsidRDefault="00E55E56" w:rsidP="00EC5709">
            <w:pPr>
              <w:jc w:val="center"/>
              <w:rPr>
                <w:rFonts w:ascii="Calibri" w:hAnsi="Calibri" w:cs="Calibri"/>
                <w:sz w:val="20"/>
                <w:szCs w:val="20"/>
              </w:rPr>
            </w:pPr>
            <w:r>
              <w:rPr>
                <w:rFonts w:ascii="Calibri" w:hAnsi="Calibri" w:cs="Calibri"/>
                <w:sz w:val="20"/>
                <w:szCs w:val="20"/>
              </w:rPr>
              <w:t>1.12 (0.82-1.53)</w:t>
            </w:r>
          </w:p>
        </w:tc>
        <w:tc>
          <w:tcPr>
            <w:tcW w:w="2672" w:type="dxa"/>
          </w:tcPr>
          <w:p w14:paraId="4391243E" w14:textId="60F55459" w:rsidR="00E55E56" w:rsidRPr="006E497A" w:rsidRDefault="00E55E56" w:rsidP="00EC5709">
            <w:pPr>
              <w:jc w:val="center"/>
              <w:rPr>
                <w:rFonts w:ascii="Calibri" w:hAnsi="Calibri" w:cs="Calibri"/>
                <w:sz w:val="20"/>
                <w:szCs w:val="20"/>
              </w:rPr>
            </w:pPr>
            <w:r>
              <w:rPr>
                <w:rFonts w:ascii="Calibri" w:hAnsi="Calibri" w:cs="Calibri"/>
                <w:sz w:val="20"/>
                <w:szCs w:val="20"/>
              </w:rPr>
              <w:t>0.89 (0.65-1.21)</w:t>
            </w:r>
          </w:p>
        </w:tc>
      </w:tr>
      <w:tr w:rsidR="00E55E56" w:rsidRPr="006E497A" w14:paraId="587A5CDA" w14:textId="322835D1" w:rsidTr="00B9753C">
        <w:tc>
          <w:tcPr>
            <w:tcW w:w="1470" w:type="dxa"/>
            <w:vMerge/>
          </w:tcPr>
          <w:p w14:paraId="70BEC272" w14:textId="77777777" w:rsidR="00E55E56" w:rsidRPr="006E497A" w:rsidRDefault="00E55E56" w:rsidP="00EC5709">
            <w:pPr>
              <w:rPr>
                <w:rStyle w:val="CommentReference"/>
                <w:rFonts w:ascii="Calibri" w:hAnsi="Calibri" w:cs="Calibri"/>
                <w:sz w:val="20"/>
                <w:szCs w:val="20"/>
              </w:rPr>
            </w:pPr>
          </w:p>
        </w:tc>
        <w:tc>
          <w:tcPr>
            <w:tcW w:w="2156" w:type="dxa"/>
          </w:tcPr>
          <w:p w14:paraId="61367A56" w14:textId="77777777" w:rsidR="00E55E56" w:rsidRPr="006E497A" w:rsidRDefault="00E55E56" w:rsidP="00EC5709">
            <w:pPr>
              <w:rPr>
                <w:rFonts w:ascii="Calibri" w:hAnsi="Calibri" w:cs="Calibri"/>
                <w:sz w:val="20"/>
                <w:szCs w:val="20"/>
              </w:rPr>
            </w:pPr>
            <w:r w:rsidRPr="006E497A">
              <w:rPr>
                <w:rFonts w:ascii="Calibri" w:hAnsi="Calibri" w:cs="Calibri"/>
                <w:sz w:val="20"/>
                <w:szCs w:val="20"/>
              </w:rPr>
              <w:t>Sugary drinks</w:t>
            </w:r>
          </w:p>
        </w:tc>
        <w:tc>
          <w:tcPr>
            <w:tcW w:w="2455" w:type="dxa"/>
          </w:tcPr>
          <w:p w14:paraId="690F3B33" w14:textId="06E7C3A1" w:rsidR="00E55E56" w:rsidRPr="006E497A" w:rsidRDefault="00E55E56" w:rsidP="00EC5709">
            <w:pPr>
              <w:jc w:val="center"/>
              <w:rPr>
                <w:rFonts w:ascii="Calibri" w:hAnsi="Calibri" w:cs="Calibri"/>
                <w:sz w:val="20"/>
                <w:szCs w:val="20"/>
              </w:rPr>
            </w:pPr>
            <w:r>
              <w:rPr>
                <w:rFonts w:ascii="Calibri" w:hAnsi="Calibri" w:cs="Calibri"/>
                <w:sz w:val="20"/>
                <w:szCs w:val="20"/>
              </w:rPr>
              <w:t>1.07 (0.51-2.24)</w:t>
            </w:r>
          </w:p>
        </w:tc>
        <w:tc>
          <w:tcPr>
            <w:tcW w:w="2497" w:type="dxa"/>
          </w:tcPr>
          <w:p w14:paraId="020016E1" w14:textId="73127CC4"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1.0</w:t>
            </w:r>
            <w:r>
              <w:rPr>
                <w:rFonts w:ascii="Calibri" w:hAnsi="Calibri" w:cs="Calibri"/>
                <w:sz w:val="20"/>
                <w:szCs w:val="20"/>
              </w:rPr>
              <w:t>9</w:t>
            </w:r>
            <w:r w:rsidRPr="006E497A">
              <w:rPr>
                <w:rFonts w:ascii="Calibri" w:hAnsi="Calibri" w:cs="Calibri"/>
                <w:sz w:val="20"/>
                <w:szCs w:val="20"/>
              </w:rPr>
              <w:t xml:space="preserve"> (0.8</w:t>
            </w:r>
            <w:r>
              <w:rPr>
                <w:rFonts w:ascii="Calibri" w:hAnsi="Calibri" w:cs="Calibri"/>
                <w:sz w:val="20"/>
                <w:szCs w:val="20"/>
              </w:rPr>
              <w:t>4</w:t>
            </w:r>
            <w:r w:rsidRPr="006E497A">
              <w:rPr>
                <w:rFonts w:ascii="Calibri" w:hAnsi="Calibri" w:cs="Calibri"/>
                <w:sz w:val="20"/>
                <w:szCs w:val="20"/>
              </w:rPr>
              <w:t>-1.</w:t>
            </w:r>
            <w:r>
              <w:rPr>
                <w:rFonts w:ascii="Calibri" w:hAnsi="Calibri" w:cs="Calibri"/>
                <w:sz w:val="20"/>
                <w:szCs w:val="20"/>
              </w:rPr>
              <w:t>43</w:t>
            </w:r>
            <w:r w:rsidRPr="006E497A">
              <w:rPr>
                <w:rFonts w:ascii="Calibri" w:hAnsi="Calibri" w:cs="Calibri"/>
                <w:sz w:val="20"/>
                <w:szCs w:val="20"/>
              </w:rPr>
              <w:t>)</w:t>
            </w:r>
          </w:p>
        </w:tc>
        <w:tc>
          <w:tcPr>
            <w:tcW w:w="2700" w:type="dxa"/>
          </w:tcPr>
          <w:p w14:paraId="258F42FF" w14:textId="470B9648" w:rsidR="00E55E56" w:rsidRPr="006E497A" w:rsidRDefault="00E55E56" w:rsidP="00EC5709">
            <w:pPr>
              <w:jc w:val="center"/>
              <w:rPr>
                <w:rFonts w:ascii="Calibri" w:hAnsi="Calibri" w:cs="Calibri"/>
                <w:sz w:val="20"/>
                <w:szCs w:val="20"/>
              </w:rPr>
            </w:pPr>
            <w:r>
              <w:rPr>
                <w:rFonts w:ascii="Calibri" w:hAnsi="Calibri" w:cs="Calibri"/>
                <w:sz w:val="20"/>
                <w:szCs w:val="20"/>
              </w:rPr>
              <w:t>1.00 (0.75-1.33)</w:t>
            </w:r>
          </w:p>
        </w:tc>
        <w:tc>
          <w:tcPr>
            <w:tcW w:w="2672" w:type="dxa"/>
          </w:tcPr>
          <w:p w14:paraId="4BA55DDB" w14:textId="7DAB0C17" w:rsidR="00E55E56" w:rsidRPr="006E497A" w:rsidRDefault="00E55E56" w:rsidP="00EC5709">
            <w:pPr>
              <w:jc w:val="center"/>
              <w:rPr>
                <w:rFonts w:ascii="Calibri" w:hAnsi="Calibri" w:cs="Calibri"/>
                <w:sz w:val="20"/>
                <w:szCs w:val="20"/>
              </w:rPr>
            </w:pPr>
            <w:r>
              <w:rPr>
                <w:rFonts w:ascii="Calibri" w:hAnsi="Calibri" w:cs="Calibri"/>
                <w:sz w:val="20"/>
                <w:szCs w:val="20"/>
              </w:rPr>
              <w:t>1.04 (0.78-1.41)</w:t>
            </w:r>
          </w:p>
        </w:tc>
      </w:tr>
      <w:tr w:rsidR="00E55E56" w:rsidRPr="006E497A" w14:paraId="7FBF8225" w14:textId="220E669D" w:rsidTr="00B9753C">
        <w:tc>
          <w:tcPr>
            <w:tcW w:w="1470" w:type="dxa"/>
            <w:vMerge/>
          </w:tcPr>
          <w:p w14:paraId="6948E9FE" w14:textId="77777777" w:rsidR="00E55E56" w:rsidRPr="006E497A" w:rsidRDefault="00E55E56" w:rsidP="00EC5709">
            <w:pPr>
              <w:rPr>
                <w:rStyle w:val="CommentReference"/>
                <w:rFonts w:ascii="Calibri" w:hAnsi="Calibri" w:cs="Calibri"/>
                <w:sz w:val="20"/>
                <w:szCs w:val="20"/>
              </w:rPr>
            </w:pPr>
          </w:p>
        </w:tc>
        <w:tc>
          <w:tcPr>
            <w:tcW w:w="2156" w:type="dxa"/>
          </w:tcPr>
          <w:p w14:paraId="2D459B1A" w14:textId="77777777" w:rsidR="00E55E56" w:rsidRPr="006E497A" w:rsidRDefault="00E55E56" w:rsidP="00EC5709">
            <w:pPr>
              <w:rPr>
                <w:rFonts w:ascii="Calibri" w:hAnsi="Calibri" w:cs="Calibri"/>
                <w:sz w:val="20"/>
                <w:szCs w:val="20"/>
              </w:rPr>
            </w:pPr>
            <w:r w:rsidRPr="006E497A">
              <w:rPr>
                <w:rFonts w:ascii="Calibri" w:hAnsi="Calibri" w:cs="Calibri"/>
                <w:sz w:val="20"/>
                <w:szCs w:val="20"/>
              </w:rPr>
              <w:t>Sugary cereals</w:t>
            </w:r>
          </w:p>
        </w:tc>
        <w:tc>
          <w:tcPr>
            <w:tcW w:w="2455" w:type="dxa"/>
          </w:tcPr>
          <w:p w14:paraId="3F6B624D" w14:textId="45844E94" w:rsidR="00E55E56" w:rsidRPr="006E497A" w:rsidRDefault="00FF4E03" w:rsidP="00EC5709">
            <w:pPr>
              <w:jc w:val="center"/>
              <w:rPr>
                <w:rFonts w:ascii="Calibri" w:hAnsi="Calibri" w:cs="Calibri"/>
                <w:sz w:val="20"/>
                <w:szCs w:val="20"/>
              </w:rPr>
            </w:pPr>
            <w:r>
              <w:rPr>
                <w:rFonts w:ascii="Calibri" w:hAnsi="Calibri" w:cs="Calibri"/>
                <w:sz w:val="20"/>
                <w:szCs w:val="20"/>
              </w:rPr>
              <w:t>1.03 (0.49-2.20)</w:t>
            </w:r>
          </w:p>
        </w:tc>
        <w:tc>
          <w:tcPr>
            <w:tcW w:w="2497" w:type="dxa"/>
          </w:tcPr>
          <w:p w14:paraId="625C0883" w14:textId="6B4B8FDB"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FF4E03" w:rsidRPr="006E497A">
              <w:rPr>
                <w:rFonts w:ascii="Calibri" w:hAnsi="Calibri" w:cs="Calibri"/>
                <w:sz w:val="20"/>
                <w:szCs w:val="20"/>
              </w:rPr>
              <w:t>2</w:t>
            </w:r>
            <w:r w:rsidR="00FF4E03">
              <w:rPr>
                <w:rFonts w:ascii="Calibri" w:hAnsi="Calibri" w:cs="Calibri"/>
                <w:sz w:val="20"/>
                <w:szCs w:val="20"/>
              </w:rPr>
              <w:t>1</w:t>
            </w:r>
            <w:r w:rsidR="00FF4E03" w:rsidRPr="006E497A">
              <w:rPr>
                <w:rFonts w:ascii="Calibri" w:hAnsi="Calibri" w:cs="Calibri"/>
                <w:sz w:val="20"/>
                <w:szCs w:val="20"/>
              </w:rPr>
              <w:t xml:space="preserve"> </w:t>
            </w:r>
            <w:r w:rsidRPr="006E497A">
              <w:rPr>
                <w:rFonts w:ascii="Calibri" w:hAnsi="Calibri" w:cs="Calibri"/>
                <w:sz w:val="20"/>
                <w:szCs w:val="20"/>
              </w:rPr>
              <w:t>(0.</w:t>
            </w:r>
            <w:r w:rsidR="00FF4E03" w:rsidRPr="006E497A">
              <w:rPr>
                <w:rFonts w:ascii="Calibri" w:hAnsi="Calibri" w:cs="Calibri"/>
                <w:sz w:val="20"/>
                <w:szCs w:val="20"/>
              </w:rPr>
              <w:t>9</w:t>
            </w:r>
            <w:r w:rsidR="00FF4E03">
              <w:rPr>
                <w:rFonts w:ascii="Calibri" w:hAnsi="Calibri" w:cs="Calibri"/>
                <w:sz w:val="20"/>
                <w:szCs w:val="20"/>
              </w:rPr>
              <w:t>2</w:t>
            </w:r>
            <w:r w:rsidRPr="006E497A">
              <w:rPr>
                <w:rFonts w:ascii="Calibri" w:hAnsi="Calibri" w:cs="Calibri"/>
                <w:sz w:val="20"/>
                <w:szCs w:val="20"/>
              </w:rPr>
              <w:t>-1.</w:t>
            </w:r>
            <w:r w:rsidR="00FF4E03" w:rsidRPr="006E497A">
              <w:rPr>
                <w:rFonts w:ascii="Calibri" w:hAnsi="Calibri" w:cs="Calibri"/>
                <w:sz w:val="20"/>
                <w:szCs w:val="20"/>
              </w:rPr>
              <w:t>5</w:t>
            </w:r>
            <w:r w:rsidR="00FF4E03">
              <w:rPr>
                <w:rFonts w:ascii="Calibri" w:hAnsi="Calibri" w:cs="Calibri"/>
                <w:sz w:val="20"/>
                <w:szCs w:val="20"/>
              </w:rPr>
              <w:t>9</w:t>
            </w:r>
            <w:r w:rsidRPr="006E497A">
              <w:rPr>
                <w:rFonts w:ascii="Calibri" w:hAnsi="Calibri" w:cs="Calibri"/>
                <w:sz w:val="20"/>
                <w:szCs w:val="20"/>
              </w:rPr>
              <w:t>)</w:t>
            </w:r>
          </w:p>
        </w:tc>
        <w:tc>
          <w:tcPr>
            <w:tcW w:w="2700" w:type="dxa"/>
          </w:tcPr>
          <w:p w14:paraId="0BAED0A2" w14:textId="67F4A0AA" w:rsidR="00E55E56" w:rsidRPr="006E497A" w:rsidRDefault="00FF4E03" w:rsidP="00EC5709">
            <w:pPr>
              <w:jc w:val="center"/>
              <w:rPr>
                <w:rFonts w:ascii="Calibri" w:hAnsi="Calibri" w:cs="Calibri"/>
                <w:sz w:val="20"/>
                <w:szCs w:val="20"/>
              </w:rPr>
            </w:pPr>
            <w:r>
              <w:rPr>
                <w:rFonts w:ascii="Calibri" w:hAnsi="Calibri" w:cs="Calibri"/>
                <w:sz w:val="20"/>
                <w:szCs w:val="20"/>
              </w:rPr>
              <w:t>1.29 (0.97-1.72)</w:t>
            </w:r>
          </w:p>
        </w:tc>
        <w:tc>
          <w:tcPr>
            <w:tcW w:w="2672" w:type="dxa"/>
          </w:tcPr>
          <w:p w14:paraId="1D835686" w14:textId="0EE7DBFD" w:rsidR="00E55E56" w:rsidRPr="006E497A" w:rsidRDefault="00FF4E03" w:rsidP="00EC5709">
            <w:pPr>
              <w:jc w:val="center"/>
              <w:rPr>
                <w:rFonts w:ascii="Calibri" w:hAnsi="Calibri" w:cs="Calibri"/>
                <w:sz w:val="20"/>
                <w:szCs w:val="20"/>
              </w:rPr>
            </w:pPr>
            <w:r>
              <w:rPr>
                <w:rFonts w:ascii="Calibri" w:hAnsi="Calibri" w:cs="Calibri"/>
                <w:sz w:val="20"/>
                <w:szCs w:val="20"/>
              </w:rPr>
              <w:t>1.03 (0.76-1.40)</w:t>
            </w:r>
          </w:p>
        </w:tc>
      </w:tr>
      <w:tr w:rsidR="00E55E56" w:rsidRPr="006E497A" w14:paraId="7EF18AA8" w14:textId="529B2314" w:rsidTr="00B9753C">
        <w:tc>
          <w:tcPr>
            <w:tcW w:w="1470" w:type="dxa"/>
            <w:vMerge/>
          </w:tcPr>
          <w:p w14:paraId="70F0CF9B" w14:textId="77777777" w:rsidR="00E55E56" w:rsidRPr="006E497A" w:rsidRDefault="00E55E56" w:rsidP="00EC5709">
            <w:pPr>
              <w:rPr>
                <w:rStyle w:val="CommentReference"/>
                <w:rFonts w:ascii="Calibri" w:hAnsi="Calibri" w:cs="Calibri"/>
                <w:sz w:val="20"/>
                <w:szCs w:val="20"/>
              </w:rPr>
            </w:pPr>
          </w:p>
        </w:tc>
        <w:tc>
          <w:tcPr>
            <w:tcW w:w="2156" w:type="dxa"/>
          </w:tcPr>
          <w:p w14:paraId="61596B69" w14:textId="77777777" w:rsidR="00E55E56" w:rsidRPr="006E497A" w:rsidRDefault="00E55E56" w:rsidP="00EC5709">
            <w:pPr>
              <w:rPr>
                <w:rFonts w:ascii="Calibri" w:hAnsi="Calibri" w:cs="Calibri"/>
                <w:sz w:val="20"/>
                <w:szCs w:val="20"/>
              </w:rPr>
            </w:pPr>
            <w:r w:rsidRPr="006E497A">
              <w:rPr>
                <w:rFonts w:ascii="Calibri" w:hAnsi="Calibri" w:cs="Calibri"/>
                <w:sz w:val="20"/>
                <w:szCs w:val="20"/>
              </w:rPr>
              <w:t xml:space="preserve">Sweet snacks </w:t>
            </w:r>
          </w:p>
        </w:tc>
        <w:tc>
          <w:tcPr>
            <w:tcW w:w="2455" w:type="dxa"/>
          </w:tcPr>
          <w:p w14:paraId="404D3E4A" w14:textId="51DFA87E" w:rsidR="00E55E56" w:rsidRPr="006E497A" w:rsidRDefault="00FF4E03" w:rsidP="00EC5709">
            <w:pPr>
              <w:jc w:val="center"/>
              <w:rPr>
                <w:rFonts w:ascii="Calibri" w:hAnsi="Calibri" w:cs="Calibri"/>
                <w:sz w:val="20"/>
                <w:szCs w:val="20"/>
              </w:rPr>
            </w:pPr>
            <w:r>
              <w:rPr>
                <w:rFonts w:ascii="Calibri" w:hAnsi="Calibri" w:cs="Calibri"/>
                <w:sz w:val="20"/>
                <w:szCs w:val="20"/>
              </w:rPr>
              <w:t>1.14 (0.54-2.39)</w:t>
            </w:r>
          </w:p>
        </w:tc>
        <w:tc>
          <w:tcPr>
            <w:tcW w:w="2497" w:type="dxa"/>
          </w:tcPr>
          <w:p w14:paraId="3E7A8FF5" w14:textId="12A76E89"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FF4E03" w:rsidRPr="006E497A">
              <w:rPr>
                <w:rFonts w:ascii="Calibri" w:hAnsi="Calibri" w:cs="Calibri"/>
                <w:sz w:val="20"/>
                <w:szCs w:val="20"/>
              </w:rPr>
              <w:t>0</w:t>
            </w:r>
            <w:r w:rsidR="00FF4E03">
              <w:rPr>
                <w:rFonts w:ascii="Calibri" w:hAnsi="Calibri" w:cs="Calibri"/>
                <w:sz w:val="20"/>
                <w:szCs w:val="20"/>
              </w:rPr>
              <w:t>3</w:t>
            </w:r>
            <w:r w:rsidR="00FF4E03" w:rsidRPr="006E497A">
              <w:rPr>
                <w:rFonts w:ascii="Calibri" w:hAnsi="Calibri" w:cs="Calibri"/>
                <w:sz w:val="20"/>
                <w:szCs w:val="20"/>
              </w:rPr>
              <w:t xml:space="preserve"> </w:t>
            </w:r>
            <w:r w:rsidRPr="006E497A">
              <w:rPr>
                <w:rFonts w:ascii="Calibri" w:hAnsi="Calibri" w:cs="Calibri"/>
                <w:sz w:val="20"/>
                <w:szCs w:val="20"/>
              </w:rPr>
              <w:t>(0.</w:t>
            </w:r>
            <w:r w:rsidR="00FF4E03">
              <w:rPr>
                <w:rFonts w:ascii="Calibri" w:hAnsi="Calibri" w:cs="Calibri"/>
                <w:sz w:val="20"/>
                <w:szCs w:val="20"/>
              </w:rPr>
              <w:t>79</w:t>
            </w:r>
            <w:r w:rsidRPr="006E497A">
              <w:rPr>
                <w:rFonts w:ascii="Calibri" w:hAnsi="Calibri" w:cs="Calibri"/>
                <w:sz w:val="20"/>
                <w:szCs w:val="20"/>
              </w:rPr>
              <w:t>-1.35)</w:t>
            </w:r>
          </w:p>
        </w:tc>
        <w:tc>
          <w:tcPr>
            <w:tcW w:w="2700" w:type="dxa"/>
          </w:tcPr>
          <w:p w14:paraId="5EC93D75" w14:textId="78EE30DE" w:rsidR="00E55E56" w:rsidRPr="006E497A" w:rsidRDefault="00FF4E03" w:rsidP="00EC5709">
            <w:pPr>
              <w:jc w:val="center"/>
              <w:rPr>
                <w:rFonts w:ascii="Calibri" w:hAnsi="Calibri" w:cs="Calibri"/>
                <w:sz w:val="20"/>
                <w:szCs w:val="20"/>
              </w:rPr>
            </w:pPr>
            <w:r>
              <w:rPr>
                <w:rFonts w:ascii="Calibri" w:hAnsi="Calibri" w:cs="Calibri"/>
                <w:sz w:val="20"/>
                <w:szCs w:val="20"/>
              </w:rPr>
              <w:t>1.11 (0.83-1.47)</w:t>
            </w:r>
          </w:p>
        </w:tc>
        <w:tc>
          <w:tcPr>
            <w:tcW w:w="2672" w:type="dxa"/>
          </w:tcPr>
          <w:p w14:paraId="249D8C49" w14:textId="000E7974" w:rsidR="00E55E56" w:rsidRPr="006E497A" w:rsidRDefault="00FF4E03" w:rsidP="00EC5709">
            <w:pPr>
              <w:jc w:val="center"/>
              <w:rPr>
                <w:rFonts w:ascii="Calibri" w:hAnsi="Calibri" w:cs="Calibri"/>
                <w:sz w:val="20"/>
                <w:szCs w:val="20"/>
              </w:rPr>
            </w:pPr>
            <w:r>
              <w:rPr>
                <w:rFonts w:ascii="Calibri" w:hAnsi="Calibri" w:cs="Calibri"/>
                <w:sz w:val="20"/>
                <w:szCs w:val="20"/>
              </w:rPr>
              <w:t>0.79 (0.58-1.06)</w:t>
            </w:r>
          </w:p>
        </w:tc>
      </w:tr>
      <w:tr w:rsidR="00E55E56" w:rsidRPr="006E497A" w14:paraId="5FFFD282" w14:textId="4B1B9413" w:rsidTr="00B9753C">
        <w:tc>
          <w:tcPr>
            <w:tcW w:w="1470" w:type="dxa"/>
            <w:vMerge/>
          </w:tcPr>
          <w:p w14:paraId="13615B60" w14:textId="77777777" w:rsidR="00E55E56" w:rsidRPr="006E497A" w:rsidRDefault="00E55E56" w:rsidP="00EC5709">
            <w:pPr>
              <w:rPr>
                <w:rStyle w:val="CommentReference"/>
                <w:rFonts w:ascii="Calibri" w:hAnsi="Calibri" w:cs="Calibri"/>
                <w:sz w:val="20"/>
                <w:szCs w:val="20"/>
              </w:rPr>
            </w:pPr>
          </w:p>
        </w:tc>
        <w:tc>
          <w:tcPr>
            <w:tcW w:w="2156" w:type="dxa"/>
          </w:tcPr>
          <w:p w14:paraId="18FB2D98" w14:textId="5B9706AD" w:rsidR="00E55E56" w:rsidRPr="006E497A" w:rsidRDefault="00E55E56" w:rsidP="00EC5709">
            <w:pPr>
              <w:rPr>
                <w:rFonts w:ascii="Calibri" w:hAnsi="Calibri" w:cs="Calibri"/>
                <w:sz w:val="20"/>
                <w:szCs w:val="20"/>
              </w:rPr>
            </w:pPr>
            <w:r w:rsidRPr="006E497A">
              <w:rPr>
                <w:rFonts w:ascii="Calibri" w:hAnsi="Calibri" w:cs="Calibri"/>
                <w:sz w:val="20"/>
                <w:szCs w:val="20"/>
              </w:rPr>
              <w:t>Fast food</w:t>
            </w:r>
          </w:p>
        </w:tc>
        <w:tc>
          <w:tcPr>
            <w:tcW w:w="2455" w:type="dxa"/>
          </w:tcPr>
          <w:p w14:paraId="45B86AF3" w14:textId="6FA2729A" w:rsidR="00E55E56" w:rsidRPr="006E497A" w:rsidRDefault="00FF4E03" w:rsidP="00EC5709">
            <w:pPr>
              <w:jc w:val="center"/>
              <w:rPr>
                <w:rFonts w:ascii="Calibri" w:hAnsi="Calibri" w:cs="Calibri"/>
                <w:sz w:val="20"/>
                <w:szCs w:val="20"/>
              </w:rPr>
            </w:pPr>
            <w:r>
              <w:rPr>
                <w:rFonts w:ascii="Calibri" w:hAnsi="Calibri" w:cs="Calibri"/>
                <w:sz w:val="20"/>
                <w:szCs w:val="20"/>
              </w:rPr>
              <w:t>0.69 (0.32-1.47)</w:t>
            </w:r>
          </w:p>
        </w:tc>
        <w:tc>
          <w:tcPr>
            <w:tcW w:w="2497" w:type="dxa"/>
          </w:tcPr>
          <w:p w14:paraId="7710F123" w14:textId="612FD0BA"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FF4E03">
              <w:rPr>
                <w:rFonts w:ascii="Calibri" w:hAnsi="Calibri" w:cs="Calibri"/>
                <w:sz w:val="20"/>
                <w:szCs w:val="20"/>
              </w:rPr>
              <w:t>18</w:t>
            </w:r>
            <w:r w:rsidRPr="006E497A">
              <w:rPr>
                <w:rFonts w:ascii="Calibri" w:hAnsi="Calibri" w:cs="Calibri"/>
                <w:sz w:val="20"/>
                <w:szCs w:val="20"/>
              </w:rPr>
              <w:t xml:space="preserve"> (0.</w:t>
            </w:r>
            <w:r w:rsidR="00FF4E03">
              <w:rPr>
                <w:rFonts w:ascii="Calibri" w:hAnsi="Calibri" w:cs="Calibri"/>
                <w:sz w:val="20"/>
                <w:szCs w:val="20"/>
              </w:rPr>
              <w:t>88</w:t>
            </w:r>
            <w:r w:rsidRPr="006E497A">
              <w:rPr>
                <w:rFonts w:ascii="Calibri" w:hAnsi="Calibri" w:cs="Calibri"/>
                <w:sz w:val="20"/>
                <w:szCs w:val="20"/>
              </w:rPr>
              <w:t>-1.</w:t>
            </w:r>
            <w:r w:rsidR="00FF4E03">
              <w:rPr>
                <w:rFonts w:ascii="Calibri" w:hAnsi="Calibri" w:cs="Calibri"/>
                <w:sz w:val="20"/>
                <w:szCs w:val="20"/>
              </w:rPr>
              <w:t>58</w:t>
            </w:r>
            <w:r w:rsidRPr="006E497A">
              <w:rPr>
                <w:rFonts w:ascii="Calibri" w:hAnsi="Calibri" w:cs="Calibri"/>
                <w:sz w:val="20"/>
                <w:szCs w:val="20"/>
              </w:rPr>
              <w:t>)</w:t>
            </w:r>
          </w:p>
        </w:tc>
        <w:tc>
          <w:tcPr>
            <w:tcW w:w="2700" w:type="dxa"/>
          </w:tcPr>
          <w:p w14:paraId="78B0E107" w14:textId="5468B2B4" w:rsidR="00E55E56" w:rsidRPr="006E497A" w:rsidRDefault="00FF4E03" w:rsidP="00EC5709">
            <w:pPr>
              <w:jc w:val="center"/>
              <w:rPr>
                <w:rFonts w:ascii="Calibri" w:hAnsi="Calibri" w:cs="Calibri"/>
                <w:sz w:val="20"/>
                <w:szCs w:val="20"/>
              </w:rPr>
            </w:pPr>
            <w:r>
              <w:rPr>
                <w:rFonts w:ascii="Calibri" w:hAnsi="Calibri" w:cs="Calibri"/>
                <w:sz w:val="20"/>
                <w:szCs w:val="20"/>
              </w:rPr>
              <w:t>1.31 (0.95-1.80)</w:t>
            </w:r>
          </w:p>
        </w:tc>
        <w:tc>
          <w:tcPr>
            <w:tcW w:w="2672" w:type="dxa"/>
          </w:tcPr>
          <w:p w14:paraId="7C0C88A5" w14:textId="2CD7034D" w:rsidR="00E55E56" w:rsidRPr="006E497A" w:rsidRDefault="00FF4E03" w:rsidP="00EC5709">
            <w:pPr>
              <w:jc w:val="center"/>
              <w:rPr>
                <w:rFonts w:ascii="Calibri" w:hAnsi="Calibri" w:cs="Calibri"/>
                <w:sz w:val="20"/>
                <w:szCs w:val="20"/>
              </w:rPr>
            </w:pPr>
            <w:r>
              <w:rPr>
                <w:rFonts w:ascii="Calibri" w:hAnsi="Calibri" w:cs="Calibri"/>
                <w:sz w:val="20"/>
                <w:szCs w:val="20"/>
              </w:rPr>
              <w:t>1.00 (0.72-1.38)</w:t>
            </w:r>
          </w:p>
        </w:tc>
      </w:tr>
      <w:tr w:rsidR="00E55E56" w:rsidRPr="006E497A" w14:paraId="7215D957" w14:textId="07E329CA" w:rsidTr="00B9753C">
        <w:tc>
          <w:tcPr>
            <w:tcW w:w="3626" w:type="dxa"/>
            <w:gridSpan w:val="2"/>
          </w:tcPr>
          <w:p w14:paraId="33C3F7DF" w14:textId="60C298B9" w:rsidR="00E55E56" w:rsidRPr="006E497A" w:rsidRDefault="002841EB" w:rsidP="00EC5709">
            <w:pPr>
              <w:rPr>
                <w:rFonts w:ascii="Calibri" w:hAnsi="Calibri" w:cs="Calibri"/>
                <w:sz w:val="20"/>
                <w:szCs w:val="20"/>
              </w:rPr>
            </w:pPr>
            <w:r>
              <w:rPr>
                <w:rFonts w:ascii="Calibri" w:hAnsi="Calibri" w:cs="Calibri"/>
                <w:sz w:val="20"/>
                <w:szCs w:val="20"/>
              </w:rPr>
              <w:t>Digital food delivery service</w:t>
            </w:r>
            <w:r w:rsidR="00E55E56" w:rsidRPr="006E497A">
              <w:rPr>
                <w:rFonts w:ascii="Calibri" w:hAnsi="Calibri" w:cs="Calibri"/>
                <w:sz w:val="20"/>
                <w:szCs w:val="20"/>
              </w:rPr>
              <w:t>s</w:t>
            </w:r>
          </w:p>
        </w:tc>
        <w:tc>
          <w:tcPr>
            <w:tcW w:w="2455" w:type="dxa"/>
          </w:tcPr>
          <w:p w14:paraId="4472D1B6" w14:textId="7FEA5B8E" w:rsidR="00E55E56" w:rsidRPr="006E497A" w:rsidRDefault="00FF4E03" w:rsidP="00EC5709">
            <w:pPr>
              <w:jc w:val="center"/>
              <w:rPr>
                <w:rFonts w:ascii="Calibri" w:hAnsi="Calibri" w:cs="Calibri"/>
                <w:sz w:val="20"/>
                <w:szCs w:val="20"/>
              </w:rPr>
            </w:pPr>
            <w:r>
              <w:rPr>
                <w:rFonts w:ascii="Calibri" w:hAnsi="Calibri" w:cs="Calibri"/>
                <w:sz w:val="20"/>
                <w:szCs w:val="20"/>
              </w:rPr>
              <w:t>0.71 (0.33-1.49)</w:t>
            </w:r>
          </w:p>
        </w:tc>
        <w:tc>
          <w:tcPr>
            <w:tcW w:w="2497" w:type="dxa"/>
          </w:tcPr>
          <w:p w14:paraId="0008F118" w14:textId="00725BEF"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1.2</w:t>
            </w:r>
            <w:r w:rsidR="00FF4E03">
              <w:rPr>
                <w:rFonts w:ascii="Calibri" w:hAnsi="Calibri" w:cs="Calibri"/>
                <w:sz w:val="20"/>
                <w:szCs w:val="20"/>
              </w:rPr>
              <w:t>2</w:t>
            </w:r>
            <w:r w:rsidRPr="006E497A">
              <w:rPr>
                <w:rFonts w:ascii="Calibri" w:hAnsi="Calibri" w:cs="Calibri"/>
                <w:sz w:val="20"/>
                <w:szCs w:val="20"/>
              </w:rPr>
              <w:t xml:space="preserve"> (</w:t>
            </w:r>
            <w:r w:rsidR="00FF4E03">
              <w:rPr>
                <w:rFonts w:ascii="Calibri" w:hAnsi="Calibri" w:cs="Calibri"/>
                <w:sz w:val="20"/>
                <w:szCs w:val="20"/>
              </w:rPr>
              <w:t>0.93</w:t>
            </w:r>
            <w:r w:rsidRPr="006E497A">
              <w:rPr>
                <w:rFonts w:ascii="Calibri" w:hAnsi="Calibri" w:cs="Calibri"/>
                <w:sz w:val="20"/>
                <w:szCs w:val="20"/>
              </w:rPr>
              <w:t>-1.</w:t>
            </w:r>
            <w:r w:rsidR="00FF4E03">
              <w:rPr>
                <w:rFonts w:ascii="Calibri" w:hAnsi="Calibri" w:cs="Calibri"/>
                <w:sz w:val="20"/>
                <w:szCs w:val="20"/>
              </w:rPr>
              <w:t>60</w:t>
            </w:r>
            <w:r w:rsidRPr="006E497A">
              <w:rPr>
                <w:rFonts w:ascii="Calibri" w:hAnsi="Calibri" w:cs="Calibri"/>
                <w:sz w:val="20"/>
                <w:szCs w:val="20"/>
              </w:rPr>
              <w:t>)</w:t>
            </w:r>
          </w:p>
        </w:tc>
        <w:tc>
          <w:tcPr>
            <w:tcW w:w="2700" w:type="dxa"/>
          </w:tcPr>
          <w:p w14:paraId="3912C3DC" w14:textId="15A471AD" w:rsidR="00E55E56" w:rsidRPr="006E497A" w:rsidRDefault="00FF4E03" w:rsidP="00EC5709">
            <w:pPr>
              <w:jc w:val="center"/>
              <w:rPr>
                <w:rFonts w:ascii="Calibri" w:hAnsi="Calibri" w:cs="Calibri"/>
                <w:sz w:val="20"/>
                <w:szCs w:val="20"/>
              </w:rPr>
            </w:pPr>
            <w:r>
              <w:rPr>
                <w:rFonts w:ascii="Calibri" w:hAnsi="Calibri" w:cs="Calibri"/>
                <w:sz w:val="20"/>
                <w:szCs w:val="20"/>
              </w:rPr>
              <w:t>1.40 (1.05-1.</w:t>
            </w:r>
            <w:proofErr w:type="gramStart"/>
            <w:r>
              <w:rPr>
                <w:rFonts w:ascii="Calibri" w:hAnsi="Calibri" w:cs="Calibri"/>
                <w:sz w:val="20"/>
                <w:szCs w:val="20"/>
              </w:rPr>
              <w:t>88)*</w:t>
            </w:r>
            <w:proofErr w:type="gramEnd"/>
          </w:p>
        </w:tc>
        <w:tc>
          <w:tcPr>
            <w:tcW w:w="2672" w:type="dxa"/>
          </w:tcPr>
          <w:p w14:paraId="30C6EA00" w14:textId="3E7475CE" w:rsidR="00E55E56" w:rsidRPr="006E497A" w:rsidRDefault="00FF4E03" w:rsidP="00EC5709">
            <w:pPr>
              <w:jc w:val="center"/>
              <w:rPr>
                <w:rFonts w:ascii="Calibri" w:hAnsi="Calibri" w:cs="Calibri"/>
                <w:sz w:val="20"/>
                <w:szCs w:val="20"/>
              </w:rPr>
            </w:pPr>
            <w:r>
              <w:rPr>
                <w:rFonts w:ascii="Calibri" w:hAnsi="Calibri" w:cs="Calibri"/>
                <w:sz w:val="20"/>
                <w:szCs w:val="20"/>
              </w:rPr>
              <w:t>1.05 (0.78-1.43)</w:t>
            </w:r>
          </w:p>
        </w:tc>
      </w:tr>
      <w:tr w:rsidR="00E55E56" w:rsidRPr="006E497A" w14:paraId="37767C2A" w14:textId="5A0BBDA4" w:rsidTr="00B9753C">
        <w:tc>
          <w:tcPr>
            <w:tcW w:w="1470" w:type="dxa"/>
            <w:vMerge w:val="restart"/>
          </w:tcPr>
          <w:p w14:paraId="21FAFC7C" w14:textId="17BCDC56" w:rsidR="00E55E56" w:rsidRPr="00AB7623" w:rsidRDefault="00E55E56" w:rsidP="00EC5709">
            <w:pPr>
              <w:rPr>
                <w:rStyle w:val="CommentReference"/>
                <w:rFonts w:ascii="Calibri" w:hAnsi="Calibri" w:cs="Calibri"/>
                <w:sz w:val="20"/>
                <w:szCs w:val="20"/>
              </w:rPr>
            </w:pPr>
            <w:r w:rsidRPr="00AB7623">
              <w:rPr>
                <w:rStyle w:val="CommentReference"/>
                <w:rFonts w:ascii="Calibri" w:hAnsi="Calibri" w:cs="Calibri"/>
                <w:sz w:val="20"/>
                <w:szCs w:val="20"/>
              </w:rPr>
              <w:t>B</w:t>
            </w:r>
            <w:r w:rsidRPr="00AB7623">
              <w:rPr>
                <w:rStyle w:val="CommentReference"/>
                <w:sz w:val="20"/>
                <w:szCs w:val="20"/>
              </w:rPr>
              <w:t>y a</w:t>
            </w:r>
            <w:r w:rsidRPr="00AB7623">
              <w:rPr>
                <w:rStyle w:val="CommentReference"/>
                <w:rFonts w:ascii="Calibri" w:hAnsi="Calibri" w:cs="Calibri"/>
                <w:sz w:val="20"/>
                <w:szCs w:val="20"/>
              </w:rPr>
              <w:t>dvertising setting</w:t>
            </w:r>
          </w:p>
        </w:tc>
        <w:tc>
          <w:tcPr>
            <w:tcW w:w="2156" w:type="dxa"/>
          </w:tcPr>
          <w:p w14:paraId="34B4D31A" w14:textId="70BE1D37" w:rsidR="00E55E56" w:rsidRPr="006E497A" w:rsidRDefault="00E55E56" w:rsidP="00EC5709">
            <w:pPr>
              <w:rPr>
                <w:rFonts w:ascii="Calibri" w:hAnsi="Calibri" w:cs="Calibri"/>
                <w:sz w:val="20"/>
                <w:szCs w:val="20"/>
              </w:rPr>
            </w:pPr>
            <w:r w:rsidRPr="006E497A">
              <w:rPr>
                <w:rFonts w:ascii="Calibri" w:hAnsi="Calibri" w:cs="Calibri"/>
                <w:sz w:val="20"/>
                <w:szCs w:val="20"/>
              </w:rPr>
              <w:t xml:space="preserve">Traditional </w:t>
            </w:r>
          </w:p>
        </w:tc>
        <w:tc>
          <w:tcPr>
            <w:tcW w:w="2455" w:type="dxa"/>
          </w:tcPr>
          <w:p w14:paraId="5E2B2C2D" w14:textId="60E6A2A1" w:rsidR="00E55E56" w:rsidRPr="006E497A" w:rsidRDefault="00FF4E03" w:rsidP="00EC5709">
            <w:pPr>
              <w:jc w:val="center"/>
              <w:rPr>
                <w:rFonts w:ascii="Calibri" w:hAnsi="Calibri" w:cs="Calibri"/>
                <w:sz w:val="20"/>
                <w:szCs w:val="20"/>
              </w:rPr>
            </w:pPr>
            <w:r>
              <w:rPr>
                <w:rFonts w:ascii="Calibri" w:hAnsi="Calibri" w:cs="Calibri"/>
                <w:sz w:val="20"/>
                <w:szCs w:val="20"/>
              </w:rPr>
              <w:t>0.88 (0.40-1.94)</w:t>
            </w:r>
          </w:p>
        </w:tc>
        <w:tc>
          <w:tcPr>
            <w:tcW w:w="2497" w:type="dxa"/>
          </w:tcPr>
          <w:p w14:paraId="18134CD0" w14:textId="028CD2AD"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1.3</w:t>
            </w:r>
            <w:r w:rsidR="00FF4E03">
              <w:rPr>
                <w:rFonts w:ascii="Calibri" w:hAnsi="Calibri" w:cs="Calibri"/>
                <w:sz w:val="20"/>
                <w:szCs w:val="20"/>
              </w:rPr>
              <w:t>2</w:t>
            </w:r>
            <w:r w:rsidRPr="006E497A">
              <w:rPr>
                <w:rFonts w:ascii="Calibri" w:hAnsi="Calibri" w:cs="Calibri"/>
                <w:sz w:val="20"/>
                <w:szCs w:val="20"/>
              </w:rPr>
              <w:t xml:space="preserve"> (</w:t>
            </w:r>
            <w:r w:rsidR="00FF4E03">
              <w:rPr>
                <w:rFonts w:ascii="Calibri" w:hAnsi="Calibri" w:cs="Calibri"/>
                <w:sz w:val="20"/>
                <w:szCs w:val="20"/>
              </w:rPr>
              <w:t>0.98</w:t>
            </w:r>
            <w:r w:rsidRPr="006E497A">
              <w:rPr>
                <w:rFonts w:ascii="Calibri" w:hAnsi="Calibri" w:cs="Calibri"/>
                <w:sz w:val="20"/>
                <w:szCs w:val="20"/>
              </w:rPr>
              <w:t>-1.</w:t>
            </w:r>
            <w:r w:rsidR="00FF4E03">
              <w:rPr>
                <w:rFonts w:ascii="Calibri" w:hAnsi="Calibri" w:cs="Calibri"/>
                <w:sz w:val="20"/>
                <w:szCs w:val="20"/>
              </w:rPr>
              <w:t>7</w:t>
            </w:r>
            <w:r w:rsidRPr="006E497A">
              <w:rPr>
                <w:rFonts w:ascii="Calibri" w:hAnsi="Calibri" w:cs="Calibri"/>
                <w:sz w:val="20"/>
                <w:szCs w:val="20"/>
              </w:rPr>
              <w:t>9)</w:t>
            </w:r>
          </w:p>
        </w:tc>
        <w:tc>
          <w:tcPr>
            <w:tcW w:w="2700" w:type="dxa"/>
          </w:tcPr>
          <w:p w14:paraId="7016A088" w14:textId="0192F8DA" w:rsidR="00E55E56" w:rsidRPr="006E497A" w:rsidRDefault="00FF4E03" w:rsidP="00EC5709">
            <w:pPr>
              <w:jc w:val="center"/>
              <w:rPr>
                <w:rFonts w:ascii="Calibri" w:hAnsi="Calibri" w:cs="Calibri"/>
                <w:sz w:val="20"/>
                <w:szCs w:val="20"/>
              </w:rPr>
            </w:pPr>
            <w:r>
              <w:rPr>
                <w:rFonts w:ascii="Calibri" w:hAnsi="Calibri" w:cs="Calibri"/>
                <w:sz w:val="20"/>
                <w:szCs w:val="20"/>
              </w:rPr>
              <w:t>1.28 (0.93-1.77)</w:t>
            </w:r>
          </w:p>
        </w:tc>
        <w:tc>
          <w:tcPr>
            <w:tcW w:w="2672" w:type="dxa"/>
          </w:tcPr>
          <w:p w14:paraId="0F772CE6" w14:textId="6B136276" w:rsidR="00E55E56" w:rsidRPr="006E497A" w:rsidRDefault="00FF4E03" w:rsidP="00EC5709">
            <w:pPr>
              <w:jc w:val="center"/>
              <w:rPr>
                <w:rFonts w:ascii="Calibri" w:hAnsi="Calibri" w:cs="Calibri"/>
                <w:sz w:val="20"/>
                <w:szCs w:val="20"/>
              </w:rPr>
            </w:pPr>
            <w:r>
              <w:rPr>
                <w:rFonts w:ascii="Calibri" w:hAnsi="Calibri" w:cs="Calibri"/>
                <w:sz w:val="20"/>
                <w:szCs w:val="20"/>
              </w:rPr>
              <w:t>1.24 (0.89-1.74)</w:t>
            </w:r>
          </w:p>
        </w:tc>
      </w:tr>
      <w:tr w:rsidR="00E55E56" w:rsidRPr="006E497A" w14:paraId="4D3C6665" w14:textId="6A0231BE" w:rsidTr="00B9753C">
        <w:tc>
          <w:tcPr>
            <w:tcW w:w="1470" w:type="dxa"/>
            <w:vMerge/>
          </w:tcPr>
          <w:p w14:paraId="57861E5D" w14:textId="77777777" w:rsidR="00E55E56" w:rsidRPr="006E497A" w:rsidRDefault="00E55E56" w:rsidP="00EC5709">
            <w:pPr>
              <w:rPr>
                <w:rFonts w:ascii="Calibri" w:hAnsi="Calibri" w:cs="Calibri"/>
                <w:sz w:val="20"/>
                <w:szCs w:val="20"/>
              </w:rPr>
            </w:pPr>
          </w:p>
        </w:tc>
        <w:tc>
          <w:tcPr>
            <w:tcW w:w="2156" w:type="dxa"/>
          </w:tcPr>
          <w:p w14:paraId="4F47BE16" w14:textId="55B1B237" w:rsidR="00E55E56" w:rsidRPr="006E497A" w:rsidRDefault="00E55E56" w:rsidP="00EC5709">
            <w:pPr>
              <w:rPr>
                <w:rFonts w:ascii="Calibri" w:hAnsi="Calibri" w:cs="Calibri"/>
                <w:sz w:val="20"/>
                <w:szCs w:val="20"/>
              </w:rPr>
            </w:pPr>
            <w:r w:rsidRPr="006E497A">
              <w:rPr>
                <w:rFonts w:ascii="Calibri" w:hAnsi="Calibri" w:cs="Calibri"/>
                <w:sz w:val="20"/>
                <w:szCs w:val="20"/>
              </w:rPr>
              <w:t xml:space="preserve">Digital </w:t>
            </w:r>
          </w:p>
        </w:tc>
        <w:tc>
          <w:tcPr>
            <w:tcW w:w="2455" w:type="dxa"/>
          </w:tcPr>
          <w:p w14:paraId="7E65B89F" w14:textId="64C5FCDE" w:rsidR="00E55E56" w:rsidRPr="006E497A" w:rsidRDefault="00FF4E03" w:rsidP="00EC5709">
            <w:pPr>
              <w:jc w:val="center"/>
              <w:rPr>
                <w:rFonts w:ascii="Calibri" w:hAnsi="Calibri" w:cs="Calibri"/>
                <w:sz w:val="20"/>
                <w:szCs w:val="20"/>
              </w:rPr>
            </w:pPr>
            <w:r>
              <w:rPr>
                <w:rFonts w:ascii="Calibri" w:hAnsi="Calibri" w:cs="Calibri"/>
                <w:sz w:val="20"/>
                <w:szCs w:val="20"/>
              </w:rPr>
              <w:t>1.12 (0.51-2.47)</w:t>
            </w:r>
          </w:p>
        </w:tc>
        <w:tc>
          <w:tcPr>
            <w:tcW w:w="2497" w:type="dxa"/>
          </w:tcPr>
          <w:p w14:paraId="0E5425D7" w14:textId="51A678B9" w:rsidR="00E55E56" w:rsidRPr="006E497A" w:rsidRDefault="00FF4E03" w:rsidP="00EC5709">
            <w:pPr>
              <w:jc w:val="center"/>
              <w:rPr>
                <w:rFonts w:ascii="Calibri" w:hAnsi="Calibri" w:cs="Calibri"/>
                <w:sz w:val="20"/>
                <w:szCs w:val="20"/>
              </w:rPr>
            </w:pPr>
            <w:r>
              <w:rPr>
                <w:rFonts w:ascii="Calibri" w:hAnsi="Calibri" w:cs="Calibri"/>
                <w:sz w:val="20"/>
                <w:szCs w:val="20"/>
              </w:rPr>
              <w:t>1.28 (0.96-1.71)</w:t>
            </w:r>
          </w:p>
        </w:tc>
        <w:tc>
          <w:tcPr>
            <w:tcW w:w="2700" w:type="dxa"/>
          </w:tcPr>
          <w:p w14:paraId="00E16B99" w14:textId="48AA340A" w:rsidR="00E55E56" w:rsidRPr="006E497A" w:rsidRDefault="00FF4E03" w:rsidP="00EC5709">
            <w:pPr>
              <w:jc w:val="center"/>
              <w:rPr>
                <w:rFonts w:ascii="Calibri" w:hAnsi="Calibri" w:cs="Calibri"/>
                <w:sz w:val="20"/>
                <w:szCs w:val="20"/>
              </w:rPr>
            </w:pPr>
            <w:r>
              <w:rPr>
                <w:rFonts w:ascii="Calibri" w:hAnsi="Calibri" w:cs="Calibri"/>
                <w:sz w:val="20"/>
                <w:szCs w:val="20"/>
              </w:rPr>
              <w:t>1.80 (1.33-2.</w:t>
            </w:r>
            <w:proofErr w:type="gramStart"/>
            <w:r>
              <w:rPr>
                <w:rFonts w:ascii="Calibri" w:hAnsi="Calibri" w:cs="Calibri"/>
                <w:sz w:val="20"/>
                <w:szCs w:val="20"/>
              </w:rPr>
              <w:t>44)*</w:t>
            </w:r>
            <w:proofErr w:type="gramEnd"/>
            <w:r>
              <w:rPr>
                <w:rFonts w:ascii="Calibri" w:hAnsi="Calibri" w:cs="Calibri"/>
                <w:sz w:val="20"/>
                <w:szCs w:val="20"/>
              </w:rPr>
              <w:t>**</w:t>
            </w:r>
          </w:p>
        </w:tc>
        <w:tc>
          <w:tcPr>
            <w:tcW w:w="2672" w:type="dxa"/>
          </w:tcPr>
          <w:p w14:paraId="713B3D15" w14:textId="3D99F7FD" w:rsidR="00E55E56" w:rsidRPr="006E497A" w:rsidRDefault="00FF4E03" w:rsidP="00EC5709">
            <w:pPr>
              <w:jc w:val="center"/>
              <w:rPr>
                <w:rFonts w:ascii="Calibri" w:hAnsi="Calibri" w:cs="Calibri"/>
                <w:sz w:val="20"/>
                <w:szCs w:val="20"/>
              </w:rPr>
            </w:pPr>
            <w:r>
              <w:rPr>
                <w:rFonts w:ascii="Calibri" w:hAnsi="Calibri" w:cs="Calibri"/>
                <w:sz w:val="20"/>
                <w:szCs w:val="20"/>
              </w:rPr>
              <w:t>1.12 (0.82-1.54)</w:t>
            </w:r>
          </w:p>
        </w:tc>
      </w:tr>
      <w:tr w:rsidR="00E55E56" w:rsidRPr="006E497A" w14:paraId="314A0CC2" w14:textId="08A34086" w:rsidTr="00B9753C">
        <w:tc>
          <w:tcPr>
            <w:tcW w:w="1470" w:type="dxa"/>
            <w:vMerge/>
          </w:tcPr>
          <w:p w14:paraId="213120DC" w14:textId="77777777" w:rsidR="00E55E56" w:rsidRPr="006E497A" w:rsidRDefault="00E55E56" w:rsidP="00EC5709">
            <w:pPr>
              <w:rPr>
                <w:rFonts w:ascii="Calibri" w:hAnsi="Calibri" w:cs="Calibri"/>
                <w:sz w:val="20"/>
                <w:szCs w:val="20"/>
              </w:rPr>
            </w:pPr>
          </w:p>
        </w:tc>
        <w:tc>
          <w:tcPr>
            <w:tcW w:w="2156" w:type="dxa"/>
          </w:tcPr>
          <w:p w14:paraId="74C66E89" w14:textId="5F2B4C73" w:rsidR="00E55E56" w:rsidRPr="006E497A" w:rsidRDefault="00E55E56" w:rsidP="00EC5709">
            <w:pPr>
              <w:rPr>
                <w:rFonts w:ascii="Calibri" w:hAnsi="Calibri" w:cs="Calibri"/>
                <w:sz w:val="20"/>
                <w:szCs w:val="20"/>
              </w:rPr>
            </w:pPr>
            <w:r>
              <w:rPr>
                <w:rFonts w:ascii="Calibri" w:hAnsi="Calibri" w:cs="Calibri"/>
                <w:sz w:val="20"/>
                <w:szCs w:val="20"/>
              </w:rPr>
              <w:t>R</w:t>
            </w:r>
            <w:r w:rsidRPr="006E497A">
              <w:rPr>
                <w:rFonts w:ascii="Calibri" w:hAnsi="Calibri" w:cs="Calibri"/>
                <w:sz w:val="20"/>
                <w:szCs w:val="20"/>
              </w:rPr>
              <w:t>ecreational</w:t>
            </w:r>
          </w:p>
        </w:tc>
        <w:tc>
          <w:tcPr>
            <w:tcW w:w="2455" w:type="dxa"/>
          </w:tcPr>
          <w:p w14:paraId="0D5AB753" w14:textId="2B5A0CC2" w:rsidR="00E55E56" w:rsidRPr="006E497A" w:rsidRDefault="00FF4E03" w:rsidP="00EC5709">
            <w:pPr>
              <w:jc w:val="center"/>
              <w:rPr>
                <w:rFonts w:ascii="Calibri" w:hAnsi="Calibri" w:cs="Calibri"/>
                <w:sz w:val="20"/>
                <w:szCs w:val="20"/>
              </w:rPr>
            </w:pPr>
            <w:r>
              <w:rPr>
                <w:rFonts w:ascii="Calibri" w:hAnsi="Calibri" w:cs="Calibri"/>
                <w:sz w:val="20"/>
                <w:szCs w:val="20"/>
              </w:rPr>
              <w:t>1.05 (0.41-2.66)</w:t>
            </w:r>
          </w:p>
        </w:tc>
        <w:tc>
          <w:tcPr>
            <w:tcW w:w="2497" w:type="dxa"/>
          </w:tcPr>
          <w:p w14:paraId="7B8B7D12" w14:textId="01F72C5F"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FF4E03">
              <w:rPr>
                <w:rFonts w:ascii="Calibri" w:hAnsi="Calibri" w:cs="Calibri"/>
                <w:sz w:val="20"/>
                <w:szCs w:val="20"/>
              </w:rPr>
              <w:t>15</w:t>
            </w:r>
            <w:r w:rsidR="00FF4E03" w:rsidRPr="006E497A">
              <w:rPr>
                <w:rFonts w:ascii="Calibri" w:hAnsi="Calibri" w:cs="Calibri"/>
                <w:sz w:val="20"/>
                <w:szCs w:val="20"/>
              </w:rPr>
              <w:t xml:space="preserve"> </w:t>
            </w:r>
            <w:r w:rsidRPr="006E497A">
              <w:rPr>
                <w:rFonts w:ascii="Calibri" w:hAnsi="Calibri" w:cs="Calibri"/>
                <w:sz w:val="20"/>
                <w:szCs w:val="20"/>
              </w:rPr>
              <w:t>(0.</w:t>
            </w:r>
            <w:r w:rsidR="00FF4E03">
              <w:rPr>
                <w:rFonts w:ascii="Calibri" w:hAnsi="Calibri" w:cs="Calibri"/>
                <w:sz w:val="20"/>
                <w:szCs w:val="20"/>
              </w:rPr>
              <w:t>81</w:t>
            </w:r>
            <w:r w:rsidRPr="006E497A">
              <w:rPr>
                <w:rFonts w:ascii="Calibri" w:hAnsi="Calibri" w:cs="Calibri"/>
                <w:sz w:val="20"/>
                <w:szCs w:val="20"/>
              </w:rPr>
              <w:t>-1.</w:t>
            </w:r>
            <w:r w:rsidR="00FF4E03">
              <w:rPr>
                <w:rFonts w:ascii="Calibri" w:hAnsi="Calibri" w:cs="Calibri"/>
                <w:sz w:val="20"/>
                <w:szCs w:val="20"/>
              </w:rPr>
              <w:t>63)</w:t>
            </w:r>
          </w:p>
        </w:tc>
        <w:tc>
          <w:tcPr>
            <w:tcW w:w="2700" w:type="dxa"/>
          </w:tcPr>
          <w:p w14:paraId="3227B988" w14:textId="33F8F7B9" w:rsidR="00E55E56" w:rsidRPr="006E497A" w:rsidRDefault="00FF4E03" w:rsidP="00EC5709">
            <w:pPr>
              <w:jc w:val="center"/>
              <w:rPr>
                <w:rFonts w:ascii="Calibri" w:hAnsi="Calibri" w:cs="Calibri"/>
                <w:sz w:val="20"/>
                <w:szCs w:val="20"/>
              </w:rPr>
            </w:pPr>
            <w:r>
              <w:rPr>
                <w:rFonts w:ascii="Calibri" w:hAnsi="Calibri" w:cs="Calibri"/>
                <w:sz w:val="20"/>
                <w:szCs w:val="20"/>
              </w:rPr>
              <w:t>1.46 (1.02-2.</w:t>
            </w:r>
            <w:proofErr w:type="gramStart"/>
            <w:r>
              <w:rPr>
                <w:rFonts w:ascii="Calibri" w:hAnsi="Calibri" w:cs="Calibri"/>
                <w:sz w:val="20"/>
                <w:szCs w:val="20"/>
              </w:rPr>
              <w:t>09)*</w:t>
            </w:r>
            <w:proofErr w:type="gramEnd"/>
          </w:p>
        </w:tc>
        <w:tc>
          <w:tcPr>
            <w:tcW w:w="2672" w:type="dxa"/>
          </w:tcPr>
          <w:p w14:paraId="79EF0BC0" w14:textId="16EDB5A7" w:rsidR="00E55E56" w:rsidRPr="006E497A" w:rsidRDefault="00FF4E03" w:rsidP="00EC5709">
            <w:pPr>
              <w:jc w:val="center"/>
              <w:rPr>
                <w:rFonts w:ascii="Calibri" w:hAnsi="Calibri" w:cs="Calibri"/>
                <w:sz w:val="20"/>
                <w:szCs w:val="20"/>
              </w:rPr>
            </w:pPr>
            <w:r>
              <w:rPr>
                <w:rFonts w:ascii="Calibri" w:hAnsi="Calibri" w:cs="Calibri"/>
                <w:sz w:val="20"/>
                <w:szCs w:val="20"/>
              </w:rPr>
              <w:t>1.07 (0.72-1.58)</w:t>
            </w:r>
          </w:p>
        </w:tc>
      </w:tr>
      <w:tr w:rsidR="00E55E56" w:rsidRPr="006E497A" w14:paraId="2B6280B8" w14:textId="62A2B1FE" w:rsidTr="00B9753C">
        <w:trPr>
          <w:trHeight w:val="71"/>
        </w:trPr>
        <w:tc>
          <w:tcPr>
            <w:tcW w:w="1470" w:type="dxa"/>
            <w:vMerge/>
          </w:tcPr>
          <w:p w14:paraId="00D833A4" w14:textId="77777777" w:rsidR="00E55E56" w:rsidRPr="006E497A" w:rsidRDefault="00E55E56" w:rsidP="00EC5709">
            <w:pPr>
              <w:rPr>
                <w:rFonts w:ascii="Calibri" w:hAnsi="Calibri" w:cs="Calibri"/>
                <w:sz w:val="20"/>
                <w:szCs w:val="20"/>
              </w:rPr>
            </w:pPr>
          </w:p>
        </w:tc>
        <w:tc>
          <w:tcPr>
            <w:tcW w:w="2156" w:type="dxa"/>
          </w:tcPr>
          <w:p w14:paraId="0141C0CC" w14:textId="1AA8E3BE" w:rsidR="00E55E56" w:rsidRPr="006E497A" w:rsidRDefault="00E55E56" w:rsidP="00EC5709">
            <w:pPr>
              <w:rPr>
                <w:rFonts w:ascii="Calibri" w:hAnsi="Calibri" w:cs="Calibri"/>
                <w:sz w:val="20"/>
                <w:szCs w:val="20"/>
              </w:rPr>
            </w:pPr>
            <w:r>
              <w:rPr>
                <w:rFonts w:ascii="Calibri" w:hAnsi="Calibri" w:cs="Calibri"/>
                <w:sz w:val="20"/>
                <w:szCs w:val="20"/>
              </w:rPr>
              <w:t>F</w:t>
            </w:r>
            <w:r w:rsidRPr="006E497A">
              <w:rPr>
                <w:rFonts w:ascii="Calibri" w:hAnsi="Calibri" w:cs="Calibri"/>
                <w:sz w:val="20"/>
                <w:szCs w:val="20"/>
              </w:rPr>
              <w:t xml:space="preserve">unctional </w:t>
            </w:r>
          </w:p>
        </w:tc>
        <w:tc>
          <w:tcPr>
            <w:tcW w:w="2455" w:type="dxa"/>
          </w:tcPr>
          <w:p w14:paraId="2FDE14DB" w14:textId="23F2CED8" w:rsidR="00E55E56" w:rsidRPr="006E497A" w:rsidRDefault="007C4F16" w:rsidP="00EC5709">
            <w:pPr>
              <w:jc w:val="center"/>
              <w:rPr>
                <w:rFonts w:ascii="Calibri" w:hAnsi="Calibri" w:cs="Calibri"/>
                <w:sz w:val="20"/>
                <w:szCs w:val="20"/>
              </w:rPr>
            </w:pPr>
            <w:r>
              <w:rPr>
                <w:rFonts w:ascii="Calibri" w:hAnsi="Calibri" w:cs="Calibri"/>
                <w:sz w:val="20"/>
                <w:szCs w:val="20"/>
              </w:rPr>
              <w:t>0.65 (0.31-1.38)</w:t>
            </w:r>
          </w:p>
        </w:tc>
        <w:tc>
          <w:tcPr>
            <w:tcW w:w="2497" w:type="dxa"/>
          </w:tcPr>
          <w:p w14:paraId="528DF7A6" w14:textId="295DEA22"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7C4F16">
              <w:rPr>
                <w:rFonts w:ascii="Calibri" w:hAnsi="Calibri" w:cs="Calibri"/>
                <w:sz w:val="20"/>
                <w:szCs w:val="20"/>
              </w:rPr>
              <w:t>01</w:t>
            </w:r>
            <w:r w:rsidR="007C4F16" w:rsidRPr="006E497A">
              <w:rPr>
                <w:rFonts w:ascii="Calibri" w:hAnsi="Calibri" w:cs="Calibri"/>
                <w:sz w:val="20"/>
                <w:szCs w:val="20"/>
              </w:rPr>
              <w:t xml:space="preserve"> </w:t>
            </w:r>
            <w:r w:rsidRPr="006E497A">
              <w:rPr>
                <w:rFonts w:ascii="Calibri" w:hAnsi="Calibri" w:cs="Calibri"/>
                <w:sz w:val="20"/>
                <w:szCs w:val="20"/>
              </w:rPr>
              <w:t>(0.</w:t>
            </w:r>
            <w:r w:rsidR="007C4F16">
              <w:rPr>
                <w:rFonts w:ascii="Calibri" w:hAnsi="Calibri" w:cs="Calibri"/>
                <w:sz w:val="20"/>
                <w:szCs w:val="20"/>
              </w:rPr>
              <w:t>78</w:t>
            </w:r>
            <w:r w:rsidRPr="006E497A">
              <w:rPr>
                <w:rFonts w:ascii="Calibri" w:hAnsi="Calibri" w:cs="Calibri"/>
                <w:sz w:val="20"/>
                <w:szCs w:val="20"/>
              </w:rPr>
              <w:t>-1.3</w:t>
            </w:r>
            <w:r w:rsidR="007C4F16">
              <w:rPr>
                <w:rFonts w:ascii="Calibri" w:hAnsi="Calibri" w:cs="Calibri"/>
                <w:sz w:val="20"/>
                <w:szCs w:val="20"/>
              </w:rPr>
              <w:t>2</w:t>
            </w:r>
            <w:r w:rsidRPr="006E497A">
              <w:rPr>
                <w:rFonts w:ascii="Calibri" w:hAnsi="Calibri" w:cs="Calibri"/>
                <w:sz w:val="20"/>
                <w:szCs w:val="20"/>
              </w:rPr>
              <w:t>)</w:t>
            </w:r>
          </w:p>
        </w:tc>
        <w:tc>
          <w:tcPr>
            <w:tcW w:w="2700" w:type="dxa"/>
          </w:tcPr>
          <w:p w14:paraId="1C7CE2EE" w14:textId="13F97335" w:rsidR="00E55E56" w:rsidRPr="006E497A" w:rsidRDefault="007C4F16" w:rsidP="00EC5709">
            <w:pPr>
              <w:jc w:val="center"/>
              <w:rPr>
                <w:rFonts w:ascii="Calibri" w:hAnsi="Calibri" w:cs="Calibri"/>
                <w:sz w:val="20"/>
                <w:szCs w:val="20"/>
              </w:rPr>
            </w:pPr>
            <w:r>
              <w:rPr>
                <w:rFonts w:ascii="Calibri" w:hAnsi="Calibri" w:cs="Calibri"/>
                <w:sz w:val="20"/>
                <w:szCs w:val="20"/>
              </w:rPr>
              <w:t>1.15 (0.86-1.52)</w:t>
            </w:r>
          </w:p>
        </w:tc>
        <w:tc>
          <w:tcPr>
            <w:tcW w:w="2672" w:type="dxa"/>
          </w:tcPr>
          <w:p w14:paraId="1693572F" w14:textId="24BA7D95" w:rsidR="00E55E56" w:rsidRPr="006E497A" w:rsidRDefault="007C4F16" w:rsidP="00EC5709">
            <w:pPr>
              <w:jc w:val="center"/>
              <w:rPr>
                <w:rFonts w:ascii="Calibri" w:hAnsi="Calibri" w:cs="Calibri"/>
                <w:sz w:val="20"/>
                <w:szCs w:val="20"/>
              </w:rPr>
            </w:pPr>
            <w:r>
              <w:rPr>
                <w:rFonts w:ascii="Calibri" w:hAnsi="Calibri" w:cs="Calibri"/>
                <w:sz w:val="20"/>
                <w:szCs w:val="20"/>
              </w:rPr>
              <w:t>1.06 (0.79-1.43)</w:t>
            </w:r>
          </w:p>
        </w:tc>
      </w:tr>
      <w:tr w:rsidR="00E55E56" w:rsidRPr="006E497A" w14:paraId="252EA924" w14:textId="2D846DDB" w:rsidTr="00B9753C">
        <w:tc>
          <w:tcPr>
            <w:tcW w:w="1470" w:type="dxa"/>
            <w:vMerge/>
          </w:tcPr>
          <w:p w14:paraId="7CF0E32A" w14:textId="77777777" w:rsidR="00E55E56" w:rsidRPr="006E497A" w:rsidRDefault="00E55E56" w:rsidP="00EC5709">
            <w:pPr>
              <w:rPr>
                <w:rFonts w:ascii="Calibri" w:hAnsi="Calibri" w:cs="Calibri"/>
                <w:sz w:val="20"/>
                <w:szCs w:val="20"/>
              </w:rPr>
            </w:pPr>
          </w:p>
        </w:tc>
        <w:tc>
          <w:tcPr>
            <w:tcW w:w="2156" w:type="dxa"/>
          </w:tcPr>
          <w:p w14:paraId="4047B7AC" w14:textId="779F6299" w:rsidR="00E55E56" w:rsidRPr="006E497A" w:rsidRDefault="00E55E56" w:rsidP="00EC5709">
            <w:pPr>
              <w:rPr>
                <w:rFonts w:ascii="Calibri" w:hAnsi="Calibri" w:cs="Calibri"/>
                <w:sz w:val="20"/>
                <w:szCs w:val="20"/>
              </w:rPr>
            </w:pPr>
            <w:r>
              <w:rPr>
                <w:rFonts w:ascii="Calibri" w:hAnsi="Calibri" w:cs="Calibri"/>
                <w:sz w:val="20"/>
                <w:szCs w:val="20"/>
              </w:rPr>
              <w:t>T</w:t>
            </w:r>
            <w:r w:rsidRPr="006E497A">
              <w:rPr>
                <w:rFonts w:ascii="Calibri" w:hAnsi="Calibri" w:cs="Calibri"/>
                <w:sz w:val="20"/>
                <w:szCs w:val="20"/>
              </w:rPr>
              <w:t xml:space="preserve">ransport </w:t>
            </w:r>
          </w:p>
        </w:tc>
        <w:tc>
          <w:tcPr>
            <w:tcW w:w="2455" w:type="dxa"/>
          </w:tcPr>
          <w:p w14:paraId="364883F9" w14:textId="51510753" w:rsidR="00E55E56" w:rsidRPr="006E497A" w:rsidRDefault="007C4F16" w:rsidP="00EC5709">
            <w:pPr>
              <w:jc w:val="center"/>
              <w:rPr>
                <w:rFonts w:ascii="Calibri" w:hAnsi="Calibri" w:cs="Calibri"/>
                <w:sz w:val="20"/>
                <w:szCs w:val="20"/>
              </w:rPr>
            </w:pPr>
            <w:r>
              <w:rPr>
                <w:rFonts w:ascii="Calibri" w:hAnsi="Calibri" w:cs="Calibri"/>
                <w:sz w:val="20"/>
                <w:szCs w:val="20"/>
              </w:rPr>
              <w:t>0.63 (0.28-1.41)</w:t>
            </w:r>
          </w:p>
        </w:tc>
        <w:tc>
          <w:tcPr>
            <w:tcW w:w="2497" w:type="dxa"/>
          </w:tcPr>
          <w:p w14:paraId="1A5E0D3D" w14:textId="49D3ECD7" w:rsidR="00E55E56" w:rsidRPr="006E497A" w:rsidRDefault="00E55E56" w:rsidP="00EC5709">
            <w:pPr>
              <w:jc w:val="center"/>
              <w:rPr>
                <w:rFonts w:ascii="Calibri" w:hAnsi="Calibri" w:cs="Calibri"/>
                <w:sz w:val="20"/>
                <w:szCs w:val="20"/>
              </w:rPr>
            </w:pPr>
            <w:r w:rsidRPr="006E497A">
              <w:rPr>
                <w:rFonts w:ascii="Calibri" w:hAnsi="Calibri" w:cs="Calibri"/>
                <w:sz w:val="20"/>
                <w:szCs w:val="20"/>
              </w:rPr>
              <w:t>1.</w:t>
            </w:r>
            <w:r w:rsidR="007C4F16">
              <w:rPr>
                <w:rFonts w:ascii="Calibri" w:hAnsi="Calibri" w:cs="Calibri"/>
                <w:sz w:val="20"/>
                <w:szCs w:val="20"/>
              </w:rPr>
              <w:t>07</w:t>
            </w:r>
            <w:r w:rsidRPr="006E497A">
              <w:rPr>
                <w:rFonts w:ascii="Calibri" w:hAnsi="Calibri" w:cs="Calibri"/>
                <w:sz w:val="20"/>
                <w:szCs w:val="20"/>
              </w:rPr>
              <w:t xml:space="preserve"> (0.8</w:t>
            </w:r>
            <w:r w:rsidR="007C4F16">
              <w:rPr>
                <w:rFonts w:ascii="Calibri" w:hAnsi="Calibri" w:cs="Calibri"/>
                <w:sz w:val="20"/>
                <w:szCs w:val="20"/>
              </w:rPr>
              <w:t>0</w:t>
            </w:r>
            <w:r w:rsidRPr="006E497A">
              <w:rPr>
                <w:rFonts w:ascii="Calibri" w:hAnsi="Calibri" w:cs="Calibri"/>
                <w:sz w:val="20"/>
                <w:szCs w:val="20"/>
              </w:rPr>
              <w:t>-1.4</w:t>
            </w:r>
            <w:r w:rsidR="007C4F16">
              <w:rPr>
                <w:rFonts w:ascii="Calibri" w:hAnsi="Calibri" w:cs="Calibri"/>
                <w:sz w:val="20"/>
                <w:szCs w:val="20"/>
              </w:rPr>
              <w:t>2</w:t>
            </w:r>
            <w:r w:rsidRPr="006E497A">
              <w:rPr>
                <w:rFonts w:ascii="Calibri" w:hAnsi="Calibri" w:cs="Calibri"/>
                <w:sz w:val="20"/>
                <w:szCs w:val="20"/>
              </w:rPr>
              <w:t>)</w:t>
            </w:r>
          </w:p>
        </w:tc>
        <w:tc>
          <w:tcPr>
            <w:tcW w:w="2700" w:type="dxa"/>
          </w:tcPr>
          <w:p w14:paraId="596978FF" w14:textId="4687695B" w:rsidR="00E55E56" w:rsidRPr="006E497A" w:rsidRDefault="007C4F16" w:rsidP="00EC5709">
            <w:pPr>
              <w:jc w:val="center"/>
              <w:rPr>
                <w:rFonts w:ascii="Calibri" w:hAnsi="Calibri" w:cs="Calibri"/>
                <w:sz w:val="20"/>
                <w:szCs w:val="20"/>
              </w:rPr>
            </w:pPr>
            <w:r>
              <w:rPr>
                <w:rFonts w:ascii="Calibri" w:hAnsi="Calibri" w:cs="Calibri"/>
                <w:sz w:val="20"/>
                <w:szCs w:val="20"/>
              </w:rPr>
              <w:t>1.20 (0.89-1.63)</w:t>
            </w:r>
          </w:p>
        </w:tc>
        <w:tc>
          <w:tcPr>
            <w:tcW w:w="2672" w:type="dxa"/>
          </w:tcPr>
          <w:p w14:paraId="4C7744D9" w14:textId="0F73D359" w:rsidR="00E55E56" w:rsidRPr="006E497A" w:rsidRDefault="007C4F16" w:rsidP="00EC5709">
            <w:pPr>
              <w:jc w:val="center"/>
              <w:rPr>
                <w:rFonts w:ascii="Calibri" w:hAnsi="Calibri" w:cs="Calibri"/>
                <w:sz w:val="20"/>
                <w:szCs w:val="20"/>
              </w:rPr>
            </w:pPr>
            <w:r>
              <w:rPr>
                <w:rFonts w:ascii="Calibri" w:hAnsi="Calibri" w:cs="Calibri"/>
                <w:sz w:val="20"/>
                <w:szCs w:val="20"/>
              </w:rPr>
              <w:t>0.78 (0.57-1.08)</w:t>
            </w:r>
          </w:p>
        </w:tc>
      </w:tr>
      <w:tr w:rsidR="00E55E56" w:rsidRPr="006E497A" w14:paraId="5CBAB61A" w14:textId="16990DF4" w:rsidTr="00AA7478">
        <w:tc>
          <w:tcPr>
            <w:tcW w:w="13950" w:type="dxa"/>
            <w:gridSpan w:val="6"/>
          </w:tcPr>
          <w:p w14:paraId="0130699A" w14:textId="1E5EEAF1" w:rsidR="00E55E56" w:rsidRDefault="00E55E56" w:rsidP="00EC5709">
            <w:pPr>
              <w:rPr>
                <w:rFonts w:ascii="Calibri" w:hAnsi="Calibri" w:cs="Calibri"/>
                <w:sz w:val="20"/>
                <w:szCs w:val="20"/>
              </w:rPr>
            </w:pPr>
            <w:r w:rsidRPr="006E497A">
              <w:rPr>
                <w:rFonts w:ascii="Calibri" w:hAnsi="Calibri" w:cs="Calibri"/>
                <w:sz w:val="20"/>
                <w:szCs w:val="20"/>
              </w:rPr>
              <w:t>Model adjusted for sex, age group, social class, children in the household</w:t>
            </w:r>
            <w:r w:rsidR="00E85DF0">
              <w:rPr>
                <w:rFonts w:ascii="Calibri" w:hAnsi="Calibri" w:cs="Calibri"/>
                <w:sz w:val="20"/>
                <w:szCs w:val="20"/>
              </w:rPr>
              <w:t xml:space="preserve">, </w:t>
            </w:r>
            <w:r w:rsidRPr="006E497A">
              <w:rPr>
                <w:rFonts w:ascii="Calibri" w:hAnsi="Calibri" w:cs="Calibri"/>
                <w:sz w:val="20"/>
                <w:szCs w:val="20"/>
              </w:rPr>
              <w:t>working status</w:t>
            </w:r>
            <w:r w:rsidR="00E85DF0">
              <w:rPr>
                <w:rFonts w:ascii="Calibri" w:hAnsi="Calibri" w:cs="Calibri"/>
                <w:sz w:val="20"/>
                <w:szCs w:val="20"/>
              </w:rPr>
              <w:t xml:space="preserve"> and region </w:t>
            </w:r>
          </w:p>
          <w:p w14:paraId="08B90A4F" w14:textId="394FEE12" w:rsidR="00E55E56" w:rsidRPr="006E497A" w:rsidRDefault="00E55E56" w:rsidP="00EC5709">
            <w:pPr>
              <w:rPr>
                <w:rFonts w:ascii="Calibri" w:hAnsi="Calibri" w:cs="Calibri"/>
                <w:sz w:val="20"/>
                <w:szCs w:val="20"/>
              </w:rPr>
            </w:pPr>
            <w:r w:rsidRPr="00F3541C">
              <w:rPr>
                <w:rFonts w:ascii="Calibri" w:hAnsi="Calibri" w:cs="Calibri"/>
                <w:sz w:val="20"/>
                <w:szCs w:val="20"/>
              </w:rPr>
              <w:t>*</w:t>
            </w:r>
            <w:r>
              <w:rPr>
                <w:rFonts w:ascii="Calibri" w:hAnsi="Calibri" w:cs="Calibri"/>
                <w:sz w:val="20"/>
                <w:szCs w:val="20"/>
              </w:rPr>
              <w:t xml:space="preserve"> </w:t>
            </w:r>
            <w:r w:rsidRPr="00D61E63">
              <w:rPr>
                <w:rFonts w:ascii="Calibri" w:hAnsi="Calibri" w:cs="Calibri"/>
                <w:sz w:val="20"/>
                <w:szCs w:val="20"/>
              </w:rPr>
              <w:t>P&lt;0.05, ** P&lt;0.01</w:t>
            </w:r>
            <w:r>
              <w:rPr>
                <w:rFonts w:ascii="Calibri" w:hAnsi="Calibri" w:cs="Calibri"/>
                <w:sz w:val="20"/>
                <w:szCs w:val="20"/>
              </w:rPr>
              <w:t>, *** P&lt;0.001</w:t>
            </w:r>
          </w:p>
        </w:tc>
      </w:tr>
    </w:tbl>
    <w:p w14:paraId="271CCEED" w14:textId="7352B971" w:rsidR="002F67B6" w:rsidRPr="006E497A" w:rsidRDefault="002F67B6" w:rsidP="005C270D">
      <w:pPr>
        <w:rPr>
          <w:rFonts w:ascii="Calibri" w:hAnsi="Calibri" w:cs="Calibri"/>
        </w:rPr>
      </w:pPr>
    </w:p>
    <w:sectPr w:rsidR="002F67B6" w:rsidRPr="006E497A" w:rsidSect="002A0FEE">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60DA" w14:textId="77777777" w:rsidR="008B411A" w:rsidRDefault="008B411A" w:rsidP="009B7069">
      <w:r>
        <w:separator/>
      </w:r>
    </w:p>
  </w:endnote>
  <w:endnote w:type="continuationSeparator" w:id="0">
    <w:p w14:paraId="72E4A0CC" w14:textId="77777777" w:rsidR="008B411A" w:rsidRDefault="008B411A" w:rsidP="009B7069">
      <w:r>
        <w:continuationSeparator/>
      </w:r>
    </w:p>
  </w:endnote>
  <w:endnote w:type="continuationNotice" w:id="1">
    <w:p w14:paraId="4EF2F2FD" w14:textId="77777777" w:rsidR="008B411A" w:rsidRDefault="008B4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462951"/>
      <w:docPartObj>
        <w:docPartGallery w:val="Page Numbers (Bottom of Page)"/>
        <w:docPartUnique/>
      </w:docPartObj>
    </w:sdtPr>
    <w:sdtEndPr>
      <w:rPr>
        <w:rStyle w:val="PageNumber"/>
      </w:rPr>
    </w:sdtEndPr>
    <w:sdtContent>
      <w:p w14:paraId="2D152B9E" w14:textId="7A30D877" w:rsidR="00F73FD9" w:rsidRDefault="00F73FD9" w:rsidP="00D173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39843" w14:textId="77777777" w:rsidR="00F73FD9" w:rsidRDefault="00F73FD9" w:rsidP="009B7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73105"/>
      <w:docPartObj>
        <w:docPartGallery w:val="Page Numbers (Bottom of Page)"/>
        <w:docPartUnique/>
      </w:docPartObj>
    </w:sdtPr>
    <w:sdtEndPr>
      <w:rPr>
        <w:rStyle w:val="PageNumber"/>
      </w:rPr>
    </w:sdtEndPr>
    <w:sdtContent>
      <w:p w14:paraId="729375BE" w14:textId="2D54CC8B" w:rsidR="00F73FD9" w:rsidRDefault="00F73FD9" w:rsidP="00D173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6CED9C56" w14:textId="77777777" w:rsidR="00F73FD9" w:rsidRDefault="00F73FD9" w:rsidP="009B70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EE3E" w14:textId="77777777" w:rsidR="008B411A" w:rsidRDefault="008B411A" w:rsidP="009B7069">
      <w:r>
        <w:separator/>
      </w:r>
    </w:p>
  </w:footnote>
  <w:footnote w:type="continuationSeparator" w:id="0">
    <w:p w14:paraId="0B1F2A9C" w14:textId="77777777" w:rsidR="008B411A" w:rsidRDefault="008B411A" w:rsidP="009B7069">
      <w:r>
        <w:continuationSeparator/>
      </w:r>
    </w:p>
  </w:footnote>
  <w:footnote w:type="continuationNotice" w:id="1">
    <w:p w14:paraId="66DED31F" w14:textId="77777777" w:rsidR="008B411A" w:rsidRDefault="008B41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E54"/>
    <w:multiLevelType w:val="hybridMultilevel"/>
    <w:tmpl w:val="F5C88BF4"/>
    <w:lvl w:ilvl="0" w:tplc="38F099C8">
      <w:start w:val="1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4545"/>
    <w:multiLevelType w:val="hybridMultilevel"/>
    <w:tmpl w:val="3712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5520"/>
    <w:multiLevelType w:val="hybridMultilevel"/>
    <w:tmpl w:val="7D0CAEEA"/>
    <w:lvl w:ilvl="0" w:tplc="1ECCFEB8">
      <w:start w:val="1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65CB7"/>
    <w:multiLevelType w:val="hybridMultilevel"/>
    <w:tmpl w:val="43C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6219"/>
    <w:multiLevelType w:val="hybridMultilevel"/>
    <w:tmpl w:val="454E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62E45"/>
    <w:multiLevelType w:val="hybridMultilevel"/>
    <w:tmpl w:val="81B0BE7C"/>
    <w:lvl w:ilvl="0" w:tplc="B382198C">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46B4C"/>
    <w:multiLevelType w:val="hybridMultilevel"/>
    <w:tmpl w:val="965CC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C6BF5"/>
    <w:multiLevelType w:val="hybridMultilevel"/>
    <w:tmpl w:val="B31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95D7C"/>
    <w:multiLevelType w:val="hybridMultilevel"/>
    <w:tmpl w:val="0570E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F701D"/>
    <w:multiLevelType w:val="hybridMultilevel"/>
    <w:tmpl w:val="B636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F5103"/>
    <w:multiLevelType w:val="hybridMultilevel"/>
    <w:tmpl w:val="39E0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3474"/>
    <w:multiLevelType w:val="hybridMultilevel"/>
    <w:tmpl w:val="61543C9A"/>
    <w:lvl w:ilvl="0" w:tplc="0BF61732">
      <w:start w:val="3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30A0A"/>
    <w:multiLevelType w:val="hybridMultilevel"/>
    <w:tmpl w:val="8ACAF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21126"/>
    <w:multiLevelType w:val="hybridMultilevel"/>
    <w:tmpl w:val="81B0BE7C"/>
    <w:lvl w:ilvl="0" w:tplc="B382198C">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34E58"/>
    <w:multiLevelType w:val="hybridMultilevel"/>
    <w:tmpl w:val="7B90C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36E58"/>
    <w:multiLevelType w:val="hybridMultilevel"/>
    <w:tmpl w:val="DAAA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47E"/>
    <w:multiLevelType w:val="hybridMultilevel"/>
    <w:tmpl w:val="CCC8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1214B"/>
    <w:multiLevelType w:val="hybridMultilevel"/>
    <w:tmpl w:val="DF2C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10"/>
  </w:num>
  <w:num w:numId="5">
    <w:abstractNumId w:val="9"/>
  </w:num>
  <w:num w:numId="6">
    <w:abstractNumId w:val="16"/>
  </w:num>
  <w:num w:numId="7">
    <w:abstractNumId w:val="8"/>
  </w:num>
  <w:num w:numId="8">
    <w:abstractNumId w:val="3"/>
  </w:num>
  <w:num w:numId="9">
    <w:abstractNumId w:val="17"/>
  </w:num>
  <w:num w:numId="10">
    <w:abstractNumId w:val="1"/>
  </w:num>
  <w:num w:numId="11">
    <w:abstractNumId w:val="5"/>
  </w:num>
  <w:num w:numId="12">
    <w:abstractNumId w:val="13"/>
  </w:num>
  <w:num w:numId="13">
    <w:abstractNumId w:val="15"/>
  </w:num>
  <w:num w:numId="14">
    <w:abstractNumId w:val="6"/>
  </w:num>
  <w:num w:numId="15">
    <w:abstractNumId w:val="11"/>
  </w:num>
  <w:num w:numId="16">
    <w:abstractNumId w:val="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77"/>
    <w:rsid w:val="00004F0E"/>
    <w:rsid w:val="000051EB"/>
    <w:rsid w:val="000053C2"/>
    <w:rsid w:val="00012596"/>
    <w:rsid w:val="00014561"/>
    <w:rsid w:val="00014BD7"/>
    <w:rsid w:val="00016915"/>
    <w:rsid w:val="00016AF1"/>
    <w:rsid w:val="000200A9"/>
    <w:rsid w:val="00021794"/>
    <w:rsid w:val="000246FD"/>
    <w:rsid w:val="00026F88"/>
    <w:rsid w:val="000276D8"/>
    <w:rsid w:val="000308F3"/>
    <w:rsid w:val="00031828"/>
    <w:rsid w:val="00041F4C"/>
    <w:rsid w:val="00042DA6"/>
    <w:rsid w:val="00044963"/>
    <w:rsid w:val="0005208B"/>
    <w:rsid w:val="00055109"/>
    <w:rsid w:val="0005669B"/>
    <w:rsid w:val="00057A80"/>
    <w:rsid w:val="00060D0C"/>
    <w:rsid w:val="000623BB"/>
    <w:rsid w:val="00062BAD"/>
    <w:rsid w:val="00063A14"/>
    <w:rsid w:val="00064465"/>
    <w:rsid w:val="000664F1"/>
    <w:rsid w:val="000671E8"/>
    <w:rsid w:val="00070559"/>
    <w:rsid w:val="00074A0E"/>
    <w:rsid w:val="00074EDD"/>
    <w:rsid w:val="00076254"/>
    <w:rsid w:val="00076564"/>
    <w:rsid w:val="000773B9"/>
    <w:rsid w:val="00080C76"/>
    <w:rsid w:val="00082C45"/>
    <w:rsid w:val="00083487"/>
    <w:rsid w:val="00083F0F"/>
    <w:rsid w:val="0008776A"/>
    <w:rsid w:val="0008776B"/>
    <w:rsid w:val="00097DE9"/>
    <w:rsid w:val="000A04C8"/>
    <w:rsid w:val="000A077A"/>
    <w:rsid w:val="000A4F11"/>
    <w:rsid w:val="000A5C7B"/>
    <w:rsid w:val="000A5F3B"/>
    <w:rsid w:val="000B061F"/>
    <w:rsid w:val="000B11A1"/>
    <w:rsid w:val="000B1A91"/>
    <w:rsid w:val="000B1BB9"/>
    <w:rsid w:val="000B1C35"/>
    <w:rsid w:val="000B7E03"/>
    <w:rsid w:val="000C2A2A"/>
    <w:rsid w:val="000C40DB"/>
    <w:rsid w:val="000C4959"/>
    <w:rsid w:val="000C6756"/>
    <w:rsid w:val="000D0346"/>
    <w:rsid w:val="000D0949"/>
    <w:rsid w:val="000D167A"/>
    <w:rsid w:val="000D197B"/>
    <w:rsid w:val="000E1BB6"/>
    <w:rsid w:val="000E1EB6"/>
    <w:rsid w:val="000E26AE"/>
    <w:rsid w:val="000E2A2A"/>
    <w:rsid w:val="000E4E72"/>
    <w:rsid w:val="000E57B1"/>
    <w:rsid w:val="000E6742"/>
    <w:rsid w:val="000E795C"/>
    <w:rsid w:val="000F09B1"/>
    <w:rsid w:val="000F1BD8"/>
    <w:rsid w:val="000F5534"/>
    <w:rsid w:val="000F5F12"/>
    <w:rsid w:val="00102FF6"/>
    <w:rsid w:val="00104BC7"/>
    <w:rsid w:val="00106800"/>
    <w:rsid w:val="00107806"/>
    <w:rsid w:val="001078BD"/>
    <w:rsid w:val="001101DB"/>
    <w:rsid w:val="00111910"/>
    <w:rsid w:val="00111E2C"/>
    <w:rsid w:val="0011207B"/>
    <w:rsid w:val="00114DE4"/>
    <w:rsid w:val="001164DF"/>
    <w:rsid w:val="0012283D"/>
    <w:rsid w:val="00123E14"/>
    <w:rsid w:val="00124FDE"/>
    <w:rsid w:val="001258D4"/>
    <w:rsid w:val="00127EA8"/>
    <w:rsid w:val="001319CE"/>
    <w:rsid w:val="0013266D"/>
    <w:rsid w:val="0013402D"/>
    <w:rsid w:val="001352EF"/>
    <w:rsid w:val="001367F9"/>
    <w:rsid w:val="001376BA"/>
    <w:rsid w:val="00137AB9"/>
    <w:rsid w:val="00141635"/>
    <w:rsid w:val="00141B84"/>
    <w:rsid w:val="00144328"/>
    <w:rsid w:val="00146E8C"/>
    <w:rsid w:val="00147858"/>
    <w:rsid w:val="001501CE"/>
    <w:rsid w:val="00152288"/>
    <w:rsid w:val="00152880"/>
    <w:rsid w:val="001542A8"/>
    <w:rsid w:val="00154B6B"/>
    <w:rsid w:val="0015598E"/>
    <w:rsid w:val="0015714F"/>
    <w:rsid w:val="001616B6"/>
    <w:rsid w:val="00161893"/>
    <w:rsid w:val="00162024"/>
    <w:rsid w:val="00163904"/>
    <w:rsid w:val="00167F7E"/>
    <w:rsid w:val="00173684"/>
    <w:rsid w:val="00174A8D"/>
    <w:rsid w:val="00185839"/>
    <w:rsid w:val="00186033"/>
    <w:rsid w:val="001869B4"/>
    <w:rsid w:val="00190BA6"/>
    <w:rsid w:val="00192653"/>
    <w:rsid w:val="0019560E"/>
    <w:rsid w:val="001A0487"/>
    <w:rsid w:val="001A0CDD"/>
    <w:rsid w:val="001A16A3"/>
    <w:rsid w:val="001B01A6"/>
    <w:rsid w:val="001B46C6"/>
    <w:rsid w:val="001B6AF8"/>
    <w:rsid w:val="001B7404"/>
    <w:rsid w:val="001C03FF"/>
    <w:rsid w:val="001C20D6"/>
    <w:rsid w:val="001D1066"/>
    <w:rsid w:val="001D2991"/>
    <w:rsid w:val="001D3BFA"/>
    <w:rsid w:val="001D6F98"/>
    <w:rsid w:val="001E0465"/>
    <w:rsid w:val="001E1BD9"/>
    <w:rsid w:val="001E29A5"/>
    <w:rsid w:val="001E54E1"/>
    <w:rsid w:val="001E577E"/>
    <w:rsid w:val="001E630D"/>
    <w:rsid w:val="001F2B0C"/>
    <w:rsid w:val="001F3BD6"/>
    <w:rsid w:val="001F427F"/>
    <w:rsid w:val="00200DF5"/>
    <w:rsid w:val="00201659"/>
    <w:rsid w:val="0020243C"/>
    <w:rsid w:val="00203BD3"/>
    <w:rsid w:val="002108F6"/>
    <w:rsid w:val="002126C9"/>
    <w:rsid w:val="00213268"/>
    <w:rsid w:val="0021597C"/>
    <w:rsid w:val="00221B7B"/>
    <w:rsid w:val="002226C4"/>
    <w:rsid w:val="00227BDE"/>
    <w:rsid w:val="00231F79"/>
    <w:rsid w:val="00232D59"/>
    <w:rsid w:val="00234E69"/>
    <w:rsid w:val="002371A3"/>
    <w:rsid w:val="002521F2"/>
    <w:rsid w:val="002528C6"/>
    <w:rsid w:val="002542A3"/>
    <w:rsid w:val="002604BA"/>
    <w:rsid w:val="00260903"/>
    <w:rsid w:val="0026396A"/>
    <w:rsid w:val="00266980"/>
    <w:rsid w:val="002703F3"/>
    <w:rsid w:val="00273A7B"/>
    <w:rsid w:val="00273DFD"/>
    <w:rsid w:val="00274EC7"/>
    <w:rsid w:val="0027763B"/>
    <w:rsid w:val="002841EB"/>
    <w:rsid w:val="002845A0"/>
    <w:rsid w:val="00291013"/>
    <w:rsid w:val="0029135C"/>
    <w:rsid w:val="002944C6"/>
    <w:rsid w:val="0029563E"/>
    <w:rsid w:val="002963EE"/>
    <w:rsid w:val="00297AFD"/>
    <w:rsid w:val="002A0F19"/>
    <w:rsid w:val="002A0FEE"/>
    <w:rsid w:val="002A214B"/>
    <w:rsid w:val="002A3521"/>
    <w:rsid w:val="002A38D0"/>
    <w:rsid w:val="002A3D16"/>
    <w:rsid w:val="002A6500"/>
    <w:rsid w:val="002A7D8F"/>
    <w:rsid w:val="002B0757"/>
    <w:rsid w:val="002B39F8"/>
    <w:rsid w:val="002B44A8"/>
    <w:rsid w:val="002B4739"/>
    <w:rsid w:val="002B7550"/>
    <w:rsid w:val="002C0E39"/>
    <w:rsid w:val="002C11C9"/>
    <w:rsid w:val="002C2E74"/>
    <w:rsid w:val="002C3D0A"/>
    <w:rsid w:val="002C41AE"/>
    <w:rsid w:val="002C51AF"/>
    <w:rsid w:val="002C541E"/>
    <w:rsid w:val="002C6526"/>
    <w:rsid w:val="002C696C"/>
    <w:rsid w:val="002C7897"/>
    <w:rsid w:val="002E752C"/>
    <w:rsid w:val="002F00D1"/>
    <w:rsid w:val="002F0EBC"/>
    <w:rsid w:val="002F19B7"/>
    <w:rsid w:val="002F2A71"/>
    <w:rsid w:val="002F3A02"/>
    <w:rsid w:val="002F4B25"/>
    <w:rsid w:val="002F4D81"/>
    <w:rsid w:val="002F52BA"/>
    <w:rsid w:val="002F67B6"/>
    <w:rsid w:val="002F6CD3"/>
    <w:rsid w:val="002F71A3"/>
    <w:rsid w:val="00300094"/>
    <w:rsid w:val="0030338F"/>
    <w:rsid w:val="00303B5B"/>
    <w:rsid w:val="00304A61"/>
    <w:rsid w:val="00305D1E"/>
    <w:rsid w:val="00306DD3"/>
    <w:rsid w:val="00307C89"/>
    <w:rsid w:val="00312376"/>
    <w:rsid w:val="00321CAD"/>
    <w:rsid w:val="00326986"/>
    <w:rsid w:val="003302A4"/>
    <w:rsid w:val="00332089"/>
    <w:rsid w:val="00332E19"/>
    <w:rsid w:val="003339FD"/>
    <w:rsid w:val="003351E8"/>
    <w:rsid w:val="00335220"/>
    <w:rsid w:val="0033541A"/>
    <w:rsid w:val="00342729"/>
    <w:rsid w:val="00344585"/>
    <w:rsid w:val="00345E08"/>
    <w:rsid w:val="003464A3"/>
    <w:rsid w:val="00346ACE"/>
    <w:rsid w:val="003500E9"/>
    <w:rsid w:val="003504B2"/>
    <w:rsid w:val="0035270F"/>
    <w:rsid w:val="0035596E"/>
    <w:rsid w:val="003561B8"/>
    <w:rsid w:val="003574AF"/>
    <w:rsid w:val="003579E8"/>
    <w:rsid w:val="00362730"/>
    <w:rsid w:val="003657E2"/>
    <w:rsid w:val="00366989"/>
    <w:rsid w:val="00371C07"/>
    <w:rsid w:val="003723D3"/>
    <w:rsid w:val="00373603"/>
    <w:rsid w:val="0037534B"/>
    <w:rsid w:val="00375770"/>
    <w:rsid w:val="00376560"/>
    <w:rsid w:val="0038071F"/>
    <w:rsid w:val="003819A0"/>
    <w:rsid w:val="003845A3"/>
    <w:rsid w:val="00387E87"/>
    <w:rsid w:val="003900B0"/>
    <w:rsid w:val="003903DF"/>
    <w:rsid w:val="00390A42"/>
    <w:rsid w:val="003938A8"/>
    <w:rsid w:val="00393E1F"/>
    <w:rsid w:val="003961D1"/>
    <w:rsid w:val="00397176"/>
    <w:rsid w:val="003A085D"/>
    <w:rsid w:val="003A2F79"/>
    <w:rsid w:val="003A4016"/>
    <w:rsid w:val="003A57FB"/>
    <w:rsid w:val="003A666C"/>
    <w:rsid w:val="003B2044"/>
    <w:rsid w:val="003B20C6"/>
    <w:rsid w:val="003B264B"/>
    <w:rsid w:val="003B6741"/>
    <w:rsid w:val="003B6861"/>
    <w:rsid w:val="003B7270"/>
    <w:rsid w:val="003B77C4"/>
    <w:rsid w:val="003B79DA"/>
    <w:rsid w:val="003C1759"/>
    <w:rsid w:val="003C49AF"/>
    <w:rsid w:val="003C6396"/>
    <w:rsid w:val="003C6737"/>
    <w:rsid w:val="003D182B"/>
    <w:rsid w:val="003D2E1E"/>
    <w:rsid w:val="003D53A7"/>
    <w:rsid w:val="003D60C3"/>
    <w:rsid w:val="003D7F48"/>
    <w:rsid w:val="003E0032"/>
    <w:rsid w:val="003E0979"/>
    <w:rsid w:val="003E174C"/>
    <w:rsid w:val="003E3C11"/>
    <w:rsid w:val="003E4A95"/>
    <w:rsid w:val="003E5AC2"/>
    <w:rsid w:val="003F0B96"/>
    <w:rsid w:val="003F27C4"/>
    <w:rsid w:val="003F5BD6"/>
    <w:rsid w:val="003F66F5"/>
    <w:rsid w:val="003F721E"/>
    <w:rsid w:val="00401BF3"/>
    <w:rsid w:val="00401E7B"/>
    <w:rsid w:val="00405182"/>
    <w:rsid w:val="00405ADC"/>
    <w:rsid w:val="0041076C"/>
    <w:rsid w:val="00411F60"/>
    <w:rsid w:val="00412B46"/>
    <w:rsid w:val="00413A90"/>
    <w:rsid w:val="00413D16"/>
    <w:rsid w:val="00413ECA"/>
    <w:rsid w:val="00414860"/>
    <w:rsid w:val="00416250"/>
    <w:rsid w:val="00416269"/>
    <w:rsid w:val="00417538"/>
    <w:rsid w:val="00423362"/>
    <w:rsid w:val="00425306"/>
    <w:rsid w:val="00430085"/>
    <w:rsid w:val="00432813"/>
    <w:rsid w:val="004333F9"/>
    <w:rsid w:val="004369B8"/>
    <w:rsid w:val="0044347F"/>
    <w:rsid w:val="00443A0B"/>
    <w:rsid w:val="00443EDA"/>
    <w:rsid w:val="0044506C"/>
    <w:rsid w:val="00445C79"/>
    <w:rsid w:val="00451D02"/>
    <w:rsid w:val="00452FD0"/>
    <w:rsid w:val="00455037"/>
    <w:rsid w:val="0045642A"/>
    <w:rsid w:val="00457594"/>
    <w:rsid w:val="00460C64"/>
    <w:rsid w:val="00462509"/>
    <w:rsid w:val="004632BB"/>
    <w:rsid w:val="004640A6"/>
    <w:rsid w:val="00465A1D"/>
    <w:rsid w:val="00467042"/>
    <w:rsid w:val="004727DE"/>
    <w:rsid w:val="00475434"/>
    <w:rsid w:val="00476731"/>
    <w:rsid w:val="00476A0E"/>
    <w:rsid w:val="00481B65"/>
    <w:rsid w:val="00482794"/>
    <w:rsid w:val="00485685"/>
    <w:rsid w:val="00486033"/>
    <w:rsid w:val="00490A0A"/>
    <w:rsid w:val="00491365"/>
    <w:rsid w:val="00491EDC"/>
    <w:rsid w:val="00493DEF"/>
    <w:rsid w:val="004940FC"/>
    <w:rsid w:val="00494991"/>
    <w:rsid w:val="004A0401"/>
    <w:rsid w:val="004A04CA"/>
    <w:rsid w:val="004A6AC7"/>
    <w:rsid w:val="004B0CBB"/>
    <w:rsid w:val="004C1B24"/>
    <w:rsid w:val="004C639A"/>
    <w:rsid w:val="004C6981"/>
    <w:rsid w:val="004C7883"/>
    <w:rsid w:val="004E0814"/>
    <w:rsid w:val="004E19D1"/>
    <w:rsid w:val="004E19EA"/>
    <w:rsid w:val="004E2D49"/>
    <w:rsid w:val="004E5BB9"/>
    <w:rsid w:val="004E7328"/>
    <w:rsid w:val="004F00EF"/>
    <w:rsid w:val="004F05F6"/>
    <w:rsid w:val="004F2FC4"/>
    <w:rsid w:val="004F31FF"/>
    <w:rsid w:val="004F4400"/>
    <w:rsid w:val="004F6AE1"/>
    <w:rsid w:val="0050040D"/>
    <w:rsid w:val="00501016"/>
    <w:rsid w:val="0050132C"/>
    <w:rsid w:val="00502F76"/>
    <w:rsid w:val="00504B76"/>
    <w:rsid w:val="005079DC"/>
    <w:rsid w:val="00510B52"/>
    <w:rsid w:val="0051183F"/>
    <w:rsid w:val="0051212A"/>
    <w:rsid w:val="00516847"/>
    <w:rsid w:val="005211FC"/>
    <w:rsid w:val="00522BA8"/>
    <w:rsid w:val="00523C05"/>
    <w:rsid w:val="0053175C"/>
    <w:rsid w:val="005344E5"/>
    <w:rsid w:val="00536A35"/>
    <w:rsid w:val="00536A43"/>
    <w:rsid w:val="0053793C"/>
    <w:rsid w:val="00541A39"/>
    <w:rsid w:val="00542ADD"/>
    <w:rsid w:val="005436E2"/>
    <w:rsid w:val="0054470A"/>
    <w:rsid w:val="00544775"/>
    <w:rsid w:val="00545D0F"/>
    <w:rsid w:val="00545F9B"/>
    <w:rsid w:val="005525B1"/>
    <w:rsid w:val="005530CB"/>
    <w:rsid w:val="00554B81"/>
    <w:rsid w:val="005555F1"/>
    <w:rsid w:val="005608A2"/>
    <w:rsid w:val="005633ED"/>
    <w:rsid w:val="00564780"/>
    <w:rsid w:val="0056529B"/>
    <w:rsid w:val="0057273B"/>
    <w:rsid w:val="00582DF5"/>
    <w:rsid w:val="00587B83"/>
    <w:rsid w:val="00590457"/>
    <w:rsid w:val="00590DE6"/>
    <w:rsid w:val="005919CC"/>
    <w:rsid w:val="00593F8E"/>
    <w:rsid w:val="00595FE7"/>
    <w:rsid w:val="005969DC"/>
    <w:rsid w:val="005A0F98"/>
    <w:rsid w:val="005A12C3"/>
    <w:rsid w:val="005A265E"/>
    <w:rsid w:val="005A43A3"/>
    <w:rsid w:val="005A7F7F"/>
    <w:rsid w:val="005B273D"/>
    <w:rsid w:val="005B3C8E"/>
    <w:rsid w:val="005B5070"/>
    <w:rsid w:val="005C270D"/>
    <w:rsid w:val="005C4A5C"/>
    <w:rsid w:val="005D0A2D"/>
    <w:rsid w:val="005D2E8A"/>
    <w:rsid w:val="005D4062"/>
    <w:rsid w:val="005D4199"/>
    <w:rsid w:val="005E069A"/>
    <w:rsid w:val="005E2578"/>
    <w:rsid w:val="005E2CC3"/>
    <w:rsid w:val="005E2DC2"/>
    <w:rsid w:val="005E52A7"/>
    <w:rsid w:val="005E5CFE"/>
    <w:rsid w:val="005E6852"/>
    <w:rsid w:val="005F2E67"/>
    <w:rsid w:val="005F77F7"/>
    <w:rsid w:val="00601508"/>
    <w:rsid w:val="00601906"/>
    <w:rsid w:val="0060745A"/>
    <w:rsid w:val="0060756F"/>
    <w:rsid w:val="00611B83"/>
    <w:rsid w:val="006132BC"/>
    <w:rsid w:val="00613DCA"/>
    <w:rsid w:val="00614B29"/>
    <w:rsid w:val="00615BAD"/>
    <w:rsid w:val="00615C44"/>
    <w:rsid w:val="006220CB"/>
    <w:rsid w:val="00624121"/>
    <w:rsid w:val="006322A3"/>
    <w:rsid w:val="00632DAC"/>
    <w:rsid w:val="00635C46"/>
    <w:rsid w:val="006407A6"/>
    <w:rsid w:val="00642B38"/>
    <w:rsid w:val="00642C6F"/>
    <w:rsid w:val="006432AD"/>
    <w:rsid w:val="00644F89"/>
    <w:rsid w:val="006458B6"/>
    <w:rsid w:val="006470AE"/>
    <w:rsid w:val="006507CD"/>
    <w:rsid w:val="00651764"/>
    <w:rsid w:val="00652F0C"/>
    <w:rsid w:val="00653006"/>
    <w:rsid w:val="00653C3E"/>
    <w:rsid w:val="00654EF6"/>
    <w:rsid w:val="00655D3B"/>
    <w:rsid w:val="00656437"/>
    <w:rsid w:val="00660845"/>
    <w:rsid w:val="006652E0"/>
    <w:rsid w:val="006670F0"/>
    <w:rsid w:val="00667A24"/>
    <w:rsid w:val="00673A86"/>
    <w:rsid w:val="00674574"/>
    <w:rsid w:val="006753B0"/>
    <w:rsid w:val="006757B9"/>
    <w:rsid w:val="00681910"/>
    <w:rsid w:val="006902D0"/>
    <w:rsid w:val="00690BDC"/>
    <w:rsid w:val="00693733"/>
    <w:rsid w:val="00693D08"/>
    <w:rsid w:val="00693E57"/>
    <w:rsid w:val="00696CF9"/>
    <w:rsid w:val="006A09D5"/>
    <w:rsid w:val="006A4655"/>
    <w:rsid w:val="006A4A2F"/>
    <w:rsid w:val="006A4C17"/>
    <w:rsid w:val="006A7629"/>
    <w:rsid w:val="006B0531"/>
    <w:rsid w:val="006B2B58"/>
    <w:rsid w:val="006B301E"/>
    <w:rsid w:val="006B34EA"/>
    <w:rsid w:val="006B3E77"/>
    <w:rsid w:val="006C4774"/>
    <w:rsid w:val="006D56AA"/>
    <w:rsid w:val="006D593F"/>
    <w:rsid w:val="006D73E7"/>
    <w:rsid w:val="006E1642"/>
    <w:rsid w:val="006E3DFE"/>
    <w:rsid w:val="006E412E"/>
    <w:rsid w:val="006E497A"/>
    <w:rsid w:val="006E6725"/>
    <w:rsid w:val="006E7129"/>
    <w:rsid w:val="006F1C87"/>
    <w:rsid w:val="006F2EBA"/>
    <w:rsid w:val="006F30A1"/>
    <w:rsid w:val="006F4282"/>
    <w:rsid w:val="006F629D"/>
    <w:rsid w:val="006F69A2"/>
    <w:rsid w:val="00703011"/>
    <w:rsid w:val="00705C96"/>
    <w:rsid w:val="007076FF"/>
    <w:rsid w:val="00710E97"/>
    <w:rsid w:val="00711A18"/>
    <w:rsid w:val="00711E46"/>
    <w:rsid w:val="007151DB"/>
    <w:rsid w:val="0071592D"/>
    <w:rsid w:val="00722862"/>
    <w:rsid w:val="00723B16"/>
    <w:rsid w:val="00724145"/>
    <w:rsid w:val="0072574F"/>
    <w:rsid w:val="00725E13"/>
    <w:rsid w:val="007271D7"/>
    <w:rsid w:val="007307A0"/>
    <w:rsid w:val="00731978"/>
    <w:rsid w:val="007375BE"/>
    <w:rsid w:val="00743466"/>
    <w:rsid w:val="0074509F"/>
    <w:rsid w:val="0074797B"/>
    <w:rsid w:val="007506D6"/>
    <w:rsid w:val="007531B7"/>
    <w:rsid w:val="00754328"/>
    <w:rsid w:val="00754608"/>
    <w:rsid w:val="00760FBD"/>
    <w:rsid w:val="007613A9"/>
    <w:rsid w:val="0076411D"/>
    <w:rsid w:val="007641F2"/>
    <w:rsid w:val="00765503"/>
    <w:rsid w:val="00772524"/>
    <w:rsid w:val="00774502"/>
    <w:rsid w:val="00774715"/>
    <w:rsid w:val="007752D8"/>
    <w:rsid w:val="0077675F"/>
    <w:rsid w:val="00781138"/>
    <w:rsid w:val="007855CC"/>
    <w:rsid w:val="00785AD8"/>
    <w:rsid w:val="00787B52"/>
    <w:rsid w:val="007901E0"/>
    <w:rsid w:val="00792287"/>
    <w:rsid w:val="00793884"/>
    <w:rsid w:val="00793BA2"/>
    <w:rsid w:val="007A0046"/>
    <w:rsid w:val="007A227E"/>
    <w:rsid w:val="007A379E"/>
    <w:rsid w:val="007B28C4"/>
    <w:rsid w:val="007B2F22"/>
    <w:rsid w:val="007B56CB"/>
    <w:rsid w:val="007B638E"/>
    <w:rsid w:val="007B659F"/>
    <w:rsid w:val="007C07E6"/>
    <w:rsid w:val="007C22A4"/>
    <w:rsid w:val="007C28EB"/>
    <w:rsid w:val="007C39EB"/>
    <w:rsid w:val="007C3E0A"/>
    <w:rsid w:val="007C4F16"/>
    <w:rsid w:val="007C611A"/>
    <w:rsid w:val="007C6D56"/>
    <w:rsid w:val="007C794F"/>
    <w:rsid w:val="007D0973"/>
    <w:rsid w:val="007D0ECA"/>
    <w:rsid w:val="007D3E13"/>
    <w:rsid w:val="007D40CD"/>
    <w:rsid w:val="007D47B2"/>
    <w:rsid w:val="007D6C3D"/>
    <w:rsid w:val="007F10E1"/>
    <w:rsid w:val="007F2268"/>
    <w:rsid w:val="007F511F"/>
    <w:rsid w:val="0080553A"/>
    <w:rsid w:val="0080615A"/>
    <w:rsid w:val="00806C35"/>
    <w:rsid w:val="0081007F"/>
    <w:rsid w:val="00810C9F"/>
    <w:rsid w:val="0081103E"/>
    <w:rsid w:val="008218C5"/>
    <w:rsid w:val="0082771A"/>
    <w:rsid w:val="00830A7C"/>
    <w:rsid w:val="00830D7D"/>
    <w:rsid w:val="0083341C"/>
    <w:rsid w:val="008338BA"/>
    <w:rsid w:val="00840210"/>
    <w:rsid w:val="00841F0B"/>
    <w:rsid w:val="00850B0B"/>
    <w:rsid w:val="008527AB"/>
    <w:rsid w:val="00853C64"/>
    <w:rsid w:val="00856041"/>
    <w:rsid w:val="00857D8B"/>
    <w:rsid w:val="00860C25"/>
    <w:rsid w:val="0086115D"/>
    <w:rsid w:val="00861AA3"/>
    <w:rsid w:val="00861B15"/>
    <w:rsid w:val="0086218A"/>
    <w:rsid w:val="00862FD7"/>
    <w:rsid w:val="00864AC9"/>
    <w:rsid w:val="00864BD9"/>
    <w:rsid w:val="00864C7B"/>
    <w:rsid w:val="00864EB8"/>
    <w:rsid w:val="008666AA"/>
    <w:rsid w:val="00867AE8"/>
    <w:rsid w:val="008706A8"/>
    <w:rsid w:val="00870C20"/>
    <w:rsid w:val="00871AD6"/>
    <w:rsid w:val="00872085"/>
    <w:rsid w:val="008722DE"/>
    <w:rsid w:val="00873F70"/>
    <w:rsid w:val="008759FA"/>
    <w:rsid w:val="00881556"/>
    <w:rsid w:val="00884D78"/>
    <w:rsid w:val="00885D93"/>
    <w:rsid w:val="00890A3C"/>
    <w:rsid w:val="00892435"/>
    <w:rsid w:val="008935C6"/>
    <w:rsid w:val="008953E6"/>
    <w:rsid w:val="008961B6"/>
    <w:rsid w:val="00896A83"/>
    <w:rsid w:val="00897D20"/>
    <w:rsid w:val="008A346C"/>
    <w:rsid w:val="008A5155"/>
    <w:rsid w:val="008A53A8"/>
    <w:rsid w:val="008A562F"/>
    <w:rsid w:val="008A7E7C"/>
    <w:rsid w:val="008B0953"/>
    <w:rsid w:val="008B1C04"/>
    <w:rsid w:val="008B230B"/>
    <w:rsid w:val="008B33B5"/>
    <w:rsid w:val="008B3DCA"/>
    <w:rsid w:val="008B411A"/>
    <w:rsid w:val="008D0C5F"/>
    <w:rsid w:val="008D6171"/>
    <w:rsid w:val="008D7527"/>
    <w:rsid w:val="008E090F"/>
    <w:rsid w:val="008E1C64"/>
    <w:rsid w:val="008E453D"/>
    <w:rsid w:val="008E4799"/>
    <w:rsid w:val="008E6312"/>
    <w:rsid w:val="008E72D5"/>
    <w:rsid w:val="008F1CC5"/>
    <w:rsid w:val="008F1E7F"/>
    <w:rsid w:val="008F32FD"/>
    <w:rsid w:val="008F6FF7"/>
    <w:rsid w:val="0090304C"/>
    <w:rsid w:val="00903276"/>
    <w:rsid w:val="00906127"/>
    <w:rsid w:val="00907188"/>
    <w:rsid w:val="00907A53"/>
    <w:rsid w:val="009103F1"/>
    <w:rsid w:val="0091151C"/>
    <w:rsid w:val="00911A99"/>
    <w:rsid w:val="00911D2F"/>
    <w:rsid w:val="00911F60"/>
    <w:rsid w:val="00912306"/>
    <w:rsid w:val="009137F7"/>
    <w:rsid w:val="009215E2"/>
    <w:rsid w:val="009219B1"/>
    <w:rsid w:val="00921AF8"/>
    <w:rsid w:val="009254E7"/>
    <w:rsid w:val="00927269"/>
    <w:rsid w:val="00930219"/>
    <w:rsid w:val="00930288"/>
    <w:rsid w:val="009312C3"/>
    <w:rsid w:val="00934887"/>
    <w:rsid w:val="00936692"/>
    <w:rsid w:val="00940ECD"/>
    <w:rsid w:val="009416DD"/>
    <w:rsid w:val="00941ABF"/>
    <w:rsid w:val="00941DB9"/>
    <w:rsid w:val="009432DE"/>
    <w:rsid w:val="00950BAD"/>
    <w:rsid w:val="0095269C"/>
    <w:rsid w:val="0095491E"/>
    <w:rsid w:val="009557C0"/>
    <w:rsid w:val="009557DD"/>
    <w:rsid w:val="00956AD0"/>
    <w:rsid w:val="009579AA"/>
    <w:rsid w:val="009621E7"/>
    <w:rsid w:val="0096388F"/>
    <w:rsid w:val="00963C1B"/>
    <w:rsid w:val="009648C0"/>
    <w:rsid w:val="009648FC"/>
    <w:rsid w:val="00966F60"/>
    <w:rsid w:val="00967CAC"/>
    <w:rsid w:val="009715BF"/>
    <w:rsid w:val="00973DBE"/>
    <w:rsid w:val="009755CA"/>
    <w:rsid w:val="00975DFE"/>
    <w:rsid w:val="009806D0"/>
    <w:rsid w:val="009806DC"/>
    <w:rsid w:val="00980842"/>
    <w:rsid w:val="0098566C"/>
    <w:rsid w:val="00985B1B"/>
    <w:rsid w:val="009870A8"/>
    <w:rsid w:val="009870C0"/>
    <w:rsid w:val="0098774C"/>
    <w:rsid w:val="00991647"/>
    <w:rsid w:val="00995E0B"/>
    <w:rsid w:val="0099707B"/>
    <w:rsid w:val="00997F89"/>
    <w:rsid w:val="009A04EA"/>
    <w:rsid w:val="009A2F7C"/>
    <w:rsid w:val="009A32FC"/>
    <w:rsid w:val="009A59DB"/>
    <w:rsid w:val="009B07D2"/>
    <w:rsid w:val="009B1B98"/>
    <w:rsid w:val="009B2AB8"/>
    <w:rsid w:val="009B409C"/>
    <w:rsid w:val="009B420C"/>
    <w:rsid w:val="009B468F"/>
    <w:rsid w:val="009B4EED"/>
    <w:rsid w:val="009B7069"/>
    <w:rsid w:val="009C18D1"/>
    <w:rsid w:val="009C1FDA"/>
    <w:rsid w:val="009C6E4C"/>
    <w:rsid w:val="009C706F"/>
    <w:rsid w:val="009C7B66"/>
    <w:rsid w:val="009D1A71"/>
    <w:rsid w:val="009D49FC"/>
    <w:rsid w:val="009D4EAE"/>
    <w:rsid w:val="009D6A5B"/>
    <w:rsid w:val="009D6A84"/>
    <w:rsid w:val="009D6B02"/>
    <w:rsid w:val="009E0084"/>
    <w:rsid w:val="009E0F4D"/>
    <w:rsid w:val="009E3959"/>
    <w:rsid w:val="009E3D3C"/>
    <w:rsid w:val="009E480C"/>
    <w:rsid w:val="009F0D06"/>
    <w:rsid w:val="009F2137"/>
    <w:rsid w:val="009F595D"/>
    <w:rsid w:val="009F6E8D"/>
    <w:rsid w:val="00A035B5"/>
    <w:rsid w:val="00A03A01"/>
    <w:rsid w:val="00A062AA"/>
    <w:rsid w:val="00A1156D"/>
    <w:rsid w:val="00A11D6D"/>
    <w:rsid w:val="00A12732"/>
    <w:rsid w:val="00A1581A"/>
    <w:rsid w:val="00A21629"/>
    <w:rsid w:val="00A22CF8"/>
    <w:rsid w:val="00A23A44"/>
    <w:rsid w:val="00A26FF3"/>
    <w:rsid w:val="00A36B25"/>
    <w:rsid w:val="00A4235C"/>
    <w:rsid w:val="00A4446D"/>
    <w:rsid w:val="00A5016B"/>
    <w:rsid w:val="00A51D2D"/>
    <w:rsid w:val="00A52A57"/>
    <w:rsid w:val="00A537A2"/>
    <w:rsid w:val="00A54756"/>
    <w:rsid w:val="00A5587B"/>
    <w:rsid w:val="00A56B92"/>
    <w:rsid w:val="00A577BD"/>
    <w:rsid w:val="00A60216"/>
    <w:rsid w:val="00A6034F"/>
    <w:rsid w:val="00A60FA3"/>
    <w:rsid w:val="00A62AB1"/>
    <w:rsid w:val="00A63FE1"/>
    <w:rsid w:val="00A65C0B"/>
    <w:rsid w:val="00A67065"/>
    <w:rsid w:val="00A704CC"/>
    <w:rsid w:val="00A72F78"/>
    <w:rsid w:val="00A7582E"/>
    <w:rsid w:val="00A800A4"/>
    <w:rsid w:val="00A80DD9"/>
    <w:rsid w:val="00A811EB"/>
    <w:rsid w:val="00A8214C"/>
    <w:rsid w:val="00A84B2C"/>
    <w:rsid w:val="00A86562"/>
    <w:rsid w:val="00A9149A"/>
    <w:rsid w:val="00A94275"/>
    <w:rsid w:val="00A94967"/>
    <w:rsid w:val="00A955AD"/>
    <w:rsid w:val="00A95869"/>
    <w:rsid w:val="00A95B4E"/>
    <w:rsid w:val="00A9614C"/>
    <w:rsid w:val="00AA2D3D"/>
    <w:rsid w:val="00AA3521"/>
    <w:rsid w:val="00AA3D4F"/>
    <w:rsid w:val="00AA7478"/>
    <w:rsid w:val="00AB1BAA"/>
    <w:rsid w:val="00AB55A2"/>
    <w:rsid w:val="00AB7623"/>
    <w:rsid w:val="00AC156B"/>
    <w:rsid w:val="00AC2BD3"/>
    <w:rsid w:val="00AC3709"/>
    <w:rsid w:val="00AC7B2E"/>
    <w:rsid w:val="00AD0D93"/>
    <w:rsid w:val="00AD1C5A"/>
    <w:rsid w:val="00AD36F0"/>
    <w:rsid w:val="00AD4382"/>
    <w:rsid w:val="00AD44B1"/>
    <w:rsid w:val="00AD4D50"/>
    <w:rsid w:val="00AD7A75"/>
    <w:rsid w:val="00AD7CF3"/>
    <w:rsid w:val="00AE1787"/>
    <w:rsid w:val="00AE290C"/>
    <w:rsid w:val="00AE530E"/>
    <w:rsid w:val="00AE6927"/>
    <w:rsid w:val="00AF0087"/>
    <w:rsid w:val="00AF3F37"/>
    <w:rsid w:val="00AF3F70"/>
    <w:rsid w:val="00AF4EA9"/>
    <w:rsid w:val="00AF507D"/>
    <w:rsid w:val="00AF70C8"/>
    <w:rsid w:val="00B03D17"/>
    <w:rsid w:val="00B0773C"/>
    <w:rsid w:val="00B10C7A"/>
    <w:rsid w:val="00B11254"/>
    <w:rsid w:val="00B11AF7"/>
    <w:rsid w:val="00B17103"/>
    <w:rsid w:val="00B25AB9"/>
    <w:rsid w:val="00B261D6"/>
    <w:rsid w:val="00B32B88"/>
    <w:rsid w:val="00B33887"/>
    <w:rsid w:val="00B34EF0"/>
    <w:rsid w:val="00B35EF4"/>
    <w:rsid w:val="00B362CF"/>
    <w:rsid w:val="00B41110"/>
    <w:rsid w:val="00B46E6C"/>
    <w:rsid w:val="00B473C9"/>
    <w:rsid w:val="00B47AAF"/>
    <w:rsid w:val="00B531D4"/>
    <w:rsid w:val="00B53740"/>
    <w:rsid w:val="00B54888"/>
    <w:rsid w:val="00B561E5"/>
    <w:rsid w:val="00B56AC0"/>
    <w:rsid w:val="00B6246D"/>
    <w:rsid w:val="00B62A76"/>
    <w:rsid w:val="00B6372B"/>
    <w:rsid w:val="00B63C03"/>
    <w:rsid w:val="00B641BD"/>
    <w:rsid w:val="00B70655"/>
    <w:rsid w:val="00B7110E"/>
    <w:rsid w:val="00B72623"/>
    <w:rsid w:val="00B74630"/>
    <w:rsid w:val="00B746DB"/>
    <w:rsid w:val="00B74E6F"/>
    <w:rsid w:val="00B83885"/>
    <w:rsid w:val="00B90682"/>
    <w:rsid w:val="00B9417F"/>
    <w:rsid w:val="00B94319"/>
    <w:rsid w:val="00B94675"/>
    <w:rsid w:val="00B9753C"/>
    <w:rsid w:val="00BA1D11"/>
    <w:rsid w:val="00BA4B51"/>
    <w:rsid w:val="00BA5B14"/>
    <w:rsid w:val="00BB6405"/>
    <w:rsid w:val="00BB6989"/>
    <w:rsid w:val="00BB7E01"/>
    <w:rsid w:val="00BC0C00"/>
    <w:rsid w:val="00BC3D3F"/>
    <w:rsid w:val="00BD1114"/>
    <w:rsid w:val="00BD2F49"/>
    <w:rsid w:val="00BD341A"/>
    <w:rsid w:val="00BD3759"/>
    <w:rsid w:val="00BD4D6E"/>
    <w:rsid w:val="00BD5F52"/>
    <w:rsid w:val="00BD7C84"/>
    <w:rsid w:val="00BE017E"/>
    <w:rsid w:val="00BE0E8E"/>
    <w:rsid w:val="00BE154E"/>
    <w:rsid w:val="00BE159D"/>
    <w:rsid w:val="00BE1C9A"/>
    <w:rsid w:val="00BE22A4"/>
    <w:rsid w:val="00BE274A"/>
    <w:rsid w:val="00BE4951"/>
    <w:rsid w:val="00BF0430"/>
    <w:rsid w:val="00BF08DE"/>
    <w:rsid w:val="00BF35B6"/>
    <w:rsid w:val="00BF5011"/>
    <w:rsid w:val="00BF52C9"/>
    <w:rsid w:val="00BF73F5"/>
    <w:rsid w:val="00C0023D"/>
    <w:rsid w:val="00C011D6"/>
    <w:rsid w:val="00C04CFC"/>
    <w:rsid w:val="00C0623A"/>
    <w:rsid w:val="00C11389"/>
    <w:rsid w:val="00C12A93"/>
    <w:rsid w:val="00C14562"/>
    <w:rsid w:val="00C147A6"/>
    <w:rsid w:val="00C14FC3"/>
    <w:rsid w:val="00C15488"/>
    <w:rsid w:val="00C20126"/>
    <w:rsid w:val="00C203DC"/>
    <w:rsid w:val="00C21AE7"/>
    <w:rsid w:val="00C22842"/>
    <w:rsid w:val="00C23633"/>
    <w:rsid w:val="00C265F2"/>
    <w:rsid w:val="00C267AB"/>
    <w:rsid w:val="00C31372"/>
    <w:rsid w:val="00C3644E"/>
    <w:rsid w:val="00C36C44"/>
    <w:rsid w:val="00C40737"/>
    <w:rsid w:val="00C41D6C"/>
    <w:rsid w:val="00C421FE"/>
    <w:rsid w:val="00C423B9"/>
    <w:rsid w:val="00C45B77"/>
    <w:rsid w:val="00C50761"/>
    <w:rsid w:val="00C50A14"/>
    <w:rsid w:val="00C50E69"/>
    <w:rsid w:val="00C56EDB"/>
    <w:rsid w:val="00C5797F"/>
    <w:rsid w:val="00C60294"/>
    <w:rsid w:val="00C63DD9"/>
    <w:rsid w:val="00C65F77"/>
    <w:rsid w:val="00C66C9F"/>
    <w:rsid w:val="00C7236B"/>
    <w:rsid w:val="00C800BF"/>
    <w:rsid w:val="00C81FFE"/>
    <w:rsid w:val="00C84F5A"/>
    <w:rsid w:val="00C86B45"/>
    <w:rsid w:val="00C9110D"/>
    <w:rsid w:val="00C915A0"/>
    <w:rsid w:val="00C916CC"/>
    <w:rsid w:val="00C92AD0"/>
    <w:rsid w:val="00C92C39"/>
    <w:rsid w:val="00C930D8"/>
    <w:rsid w:val="00C93722"/>
    <w:rsid w:val="00C96403"/>
    <w:rsid w:val="00C97DAD"/>
    <w:rsid w:val="00CA11F1"/>
    <w:rsid w:val="00CA506D"/>
    <w:rsid w:val="00CA6E35"/>
    <w:rsid w:val="00CA7233"/>
    <w:rsid w:val="00CA73FC"/>
    <w:rsid w:val="00CA7C4D"/>
    <w:rsid w:val="00CC65B7"/>
    <w:rsid w:val="00CC6B4C"/>
    <w:rsid w:val="00CC731D"/>
    <w:rsid w:val="00CC7CFD"/>
    <w:rsid w:val="00CD08BF"/>
    <w:rsid w:val="00CD303B"/>
    <w:rsid w:val="00CD30F2"/>
    <w:rsid w:val="00CD540A"/>
    <w:rsid w:val="00CD5847"/>
    <w:rsid w:val="00CE1A80"/>
    <w:rsid w:val="00CE6007"/>
    <w:rsid w:val="00CF156D"/>
    <w:rsid w:val="00CF301B"/>
    <w:rsid w:val="00CF3BAC"/>
    <w:rsid w:val="00CF41EA"/>
    <w:rsid w:val="00CF630E"/>
    <w:rsid w:val="00CF6914"/>
    <w:rsid w:val="00CF7670"/>
    <w:rsid w:val="00CF795A"/>
    <w:rsid w:val="00D0305D"/>
    <w:rsid w:val="00D05746"/>
    <w:rsid w:val="00D11609"/>
    <w:rsid w:val="00D122B9"/>
    <w:rsid w:val="00D13ED5"/>
    <w:rsid w:val="00D141D0"/>
    <w:rsid w:val="00D14D0C"/>
    <w:rsid w:val="00D1733D"/>
    <w:rsid w:val="00D17FB1"/>
    <w:rsid w:val="00D20DAB"/>
    <w:rsid w:val="00D21013"/>
    <w:rsid w:val="00D21272"/>
    <w:rsid w:val="00D21C23"/>
    <w:rsid w:val="00D24FDC"/>
    <w:rsid w:val="00D2555D"/>
    <w:rsid w:val="00D26040"/>
    <w:rsid w:val="00D26B12"/>
    <w:rsid w:val="00D26D5C"/>
    <w:rsid w:val="00D277D8"/>
    <w:rsid w:val="00D31AEF"/>
    <w:rsid w:val="00D33677"/>
    <w:rsid w:val="00D3571A"/>
    <w:rsid w:val="00D370B8"/>
    <w:rsid w:val="00D45211"/>
    <w:rsid w:val="00D46723"/>
    <w:rsid w:val="00D520D9"/>
    <w:rsid w:val="00D56454"/>
    <w:rsid w:val="00D56AF3"/>
    <w:rsid w:val="00D57A41"/>
    <w:rsid w:val="00D62BE9"/>
    <w:rsid w:val="00D64497"/>
    <w:rsid w:val="00D71D66"/>
    <w:rsid w:val="00D730BD"/>
    <w:rsid w:val="00D73F51"/>
    <w:rsid w:val="00D755C9"/>
    <w:rsid w:val="00D81FB6"/>
    <w:rsid w:val="00D821F5"/>
    <w:rsid w:val="00D82FB5"/>
    <w:rsid w:val="00D86ABE"/>
    <w:rsid w:val="00D86E2E"/>
    <w:rsid w:val="00D87D9E"/>
    <w:rsid w:val="00D92B4D"/>
    <w:rsid w:val="00D93620"/>
    <w:rsid w:val="00D93667"/>
    <w:rsid w:val="00D9503E"/>
    <w:rsid w:val="00D9522D"/>
    <w:rsid w:val="00D95DFE"/>
    <w:rsid w:val="00DA2B9D"/>
    <w:rsid w:val="00DA4175"/>
    <w:rsid w:val="00DA42BB"/>
    <w:rsid w:val="00DB248B"/>
    <w:rsid w:val="00DB41E2"/>
    <w:rsid w:val="00DB7DD1"/>
    <w:rsid w:val="00DC1091"/>
    <w:rsid w:val="00DC311C"/>
    <w:rsid w:val="00DC40B0"/>
    <w:rsid w:val="00DD084E"/>
    <w:rsid w:val="00DD2471"/>
    <w:rsid w:val="00DD4546"/>
    <w:rsid w:val="00DD4B19"/>
    <w:rsid w:val="00DD711A"/>
    <w:rsid w:val="00DE0B03"/>
    <w:rsid w:val="00DE1339"/>
    <w:rsid w:val="00DE4EC2"/>
    <w:rsid w:val="00DF003F"/>
    <w:rsid w:val="00DF033B"/>
    <w:rsid w:val="00DF0C8C"/>
    <w:rsid w:val="00DF5E19"/>
    <w:rsid w:val="00DF6A00"/>
    <w:rsid w:val="00DF7763"/>
    <w:rsid w:val="00E035C8"/>
    <w:rsid w:val="00E03D56"/>
    <w:rsid w:val="00E04967"/>
    <w:rsid w:val="00E07F65"/>
    <w:rsid w:val="00E11BCF"/>
    <w:rsid w:val="00E134F3"/>
    <w:rsid w:val="00E13AB7"/>
    <w:rsid w:val="00E14328"/>
    <w:rsid w:val="00E164E0"/>
    <w:rsid w:val="00E20557"/>
    <w:rsid w:val="00E21212"/>
    <w:rsid w:val="00E2233D"/>
    <w:rsid w:val="00E22E81"/>
    <w:rsid w:val="00E265F0"/>
    <w:rsid w:val="00E326E9"/>
    <w:rsid w:val="00E33506"/>
    <w:rsid w:val="00E35BD5"/>
    <w:rsid w:val="00E36799"/>
    <w:rsid w:val="00E36AB0"/>
    <w:rsid w:val="00E40BDA"/>
    <w:rsid w:val="00E40FCE"/>
    <w:rsid w:val="00E4151D"/>
    <w:rsid w:val="00E4158B"/>
    <w:rsid w:val="00E42BC9"/>
    <w:rsid w:val="00E43F08"/>
    <w:rsid w:val="00E447A2"/>
    <w:rsid w:val="00E47F2E"/>
    <w:rsid w:val="00E50018"/>
    <w:rsid w:val="00E506E2"/>
    <w:rsid w:val="00E51139"/>
    <w:rsid w:val="00E51E41"/>
    <w:rsid w:val="00E5451C"/>
    <w:rsid w:val="00E54D0E"/>
    <w:rsid w:val="00E551D5"/>
    <w:rsid w:val="00E55E56"/>
    <w:rsid w:val="00E60361"/>
    <w:rsid w:val="00E604A2"/>
    <w:rsid w:val="00E62BF9"/>
    <w:rsid w:val="00E6343F"/>
    <w:rsid w:val="00E63BDE"/>
    <w:rsid w:val="00E64098"/>
    <w:rsid w:val="00E64115"/>
    <w:rsid w:val="00E67CF3"/>
    <w:rsid w:val="00E7036B"/>
    <w:rsid w:val="00E707FF"/>
    <w:rsid w:val="00E71874"/>
    <w:rsid w:val="00E72108"/>
    <w:rsid w:val="00E737C0"/>
    <w:rsid w:val="00E7424D"/>
    <w:rsid w:val="00E77546"/>
    <w:rsid w:val="00E80E25"/>
    <w:rsid w:val="00E83A1F"/>
    <w:rsid w:val="00E84B99"/>
    <w:rsid w:val="00E85DF0"/>
    <w:rsid w:val="00E91D97"/>
    <w:rsid w:val="00E92183"/>
    <w:rsid w:val="00E936BE"/>
    <w:rsid w:val="00E93C33"/>
    <w:rsid w:val="00E94AFD"/>
    <w:rsid w:val="00E963BF"/>
    <w:rsid w:val="00E96C75"/>
    <w:rsid w:val="00E97E3A"/>
    <w:rsid w:val="00EA0ED2"/>
    <w:rsid w:val="00EA22DC"/>
    <w:rsid w:val="00EA38D7"/>
    <w:rsid w:val="00EA403A"/>
    <w:rsid w:val="00EA463B"/>
    <w:rsid w:val="00EB1F12"/>
    <w:rsid w:val="00EB555C"/>
    <w:rsid w:val="00EB55E5"/>
    <w:rsid w:val="00EB5901"/>
    <w:rsid w:val="00EB6755"/>
    <w:rsid w:val="00EB7890"/>
    <w:rsid w:val="00EC08CB"/>
    <w:rsid w:val="00EC0A99"/>
    <w:rsid w:val="00EC2626"/>
    <w:rsid w:val="00EC5364"/>
    <w:rsid w:val="00EC5709"/>
    <w:rsid w:val="00EC6283"/>
    <w:rsid w:val="00EC63B5"/>
    <w:rsid w:val="00ED179C"/>
    <w:rsid w:val="00ED32FE"/>
    <w:rsid w:val="00ED37E0"/>
    <w:rsid w:val="00ED3BAD"/>
    <w:rsid w:val="00ED3BC4"/>
    <w:rsid w:val="00EE0909"/>
    <w:rsid w:val="00EE30BF"/>
    <w:rsid w:val="00EE428A"/>
    <w:rsid w:val="00EE55FF"/>
    <w:rsid w:val="00EF018A"/>
    <w:rsid w:val="00EF13CD"/>
    <w:rsid w:val="00EF2403"/>
    <w:rsid w:val="00EF3356"/>
    <w:rsid w:val="00EF5E3C"/>
    <w:rsid w:val="00F00244"/>
    <w:rsid w:val="00F03013"/>
    <w:rsid w:val="00F036DC"/>
    <w:rsid w:val="00F07988"/>
    <w:rsid w:val="00F10167"/>
    <w:rsid w:val="00F1054B"/>
    <w:rsid w:val="00F1118E"/>
    <w:rsid w:val="00F137A7"/>
    <w:rsid w:val="00F157AD"/>
    <w:rsid w:val="00F16799"/>
    <w:rsid w:val="00F2328C"/>
    <w:rsid w:val="00F24E82"/>
    <w:rsid w:val="00F27031"/>
    <w:rsid w:val="00F27A9E"/>
    <w:rsid w:val="00F30A98"/>
    <w:rsid w:val="00F33154"/>
    <w:rsid w:val="00F334EE"/>
    <w:rsid w:val="00F3375F"/>
    <w:rsid w:val="00F3541C"/>
    <w:rsid w:val="00F35940"/>
    <w:rsid w:val="00F36166"/>
    <w:rsid w:val="00F43A72"/>
    <w:rsid w:val="00F5012B"/>
    <w:rsid w:val="00F51A1A"/>
    <w:rsid w:val="00F53EBB"/>
    <w:rsid w:val="00F53EEF"/>
    <w:rsid w:val="00F5409D"/>
    <w:rsid w:val="00F54E6B"/>
    <w:rsid w:val="00F55292"/>
    <w:rsid w:val="00F576BF"/>
    <w:rsid w:val="00F6016B"/>
    <w:rsid w:val="00F6178F"/>
    <w:rsid w:val="00F619F0"/>
    <w:rsid w:val="00F647C5"/>
    <w:rsid w:val="00F6698F"/>
    <w:rsid w:val="00F72286"/>
    <w:rsid w:val="00F73FD9"/>
    <w:rsid w:val="00F7470F"/>
    <w:rsid w:val="00F75E9B"/>
    <w:rsid w:val="00F76E00"/>
    <w:rsid w:val="00F770C7"/>
    <w:rsid w:val="00F77457"/>
    <w:rsid w:val="00F83558"/>
    <w:rsid w:val="00F83EE2"/>
    <w:rsid w:val="00F926F1"/>
    <w:rsid w:val="00F93BFE"/>
    <w:rsid w:val="00F9413E"/>
    <w:rsid w:val="00F964CF"/>
    <w:rsid w:val="00F965AC"/>
    <w:rsid w:val="00FA279C"/>
    <w:rsid w:val="00FA6B8A"/>
    <w:rsid w:val="00FB7877"/>
    <w:rsid w:val="00FB7DDE"/>
    <w:rsid w:val="00FC070D"/>
    <w:rsid w:val="00FC263C"/>
    <w:rsid w:val="00FC272C"/>
    <w:rsid w:val="00FC55F2"/>
    <w:rsid w:val="00FC5BBA"/>
    <w:rsid w:val="00FD16AA"/>
    <w:rsid w:val="00FD6025"/>
    <w:rsid w:val="00FD71F9"/>
    <w:rsid w:val="00FD74EB"/>
    <w:rsid w:val="00FE13CD"/>
    <w:rsid w:val="00FE5216"/>
    <w:rsid w:val="00FE5B91"/>
    <w:rsid w:val="00FE6853"/>
    <w:rsid w:val="00FE68BD"/>
    <w:rsid w:val="00FE6EBD"/>
    <w:rsid w:val="00FE7EBA"/>
    <w:rsid w:val="00FF118E"/>
    <w:rsid w:val="00FF22E3"/>
    <w:rsid w:val="00FF23C4"/>
    <w:rsid w:val="00FF2AA1"/>
    <w:rsid w:val="00FF4E03"/>
    <w:rsid w:val="00FF68CD"/>
    <w:rsid w:val="00FF7756"/>
    <w:rsid w:val="00FF79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2AE7"/>
  <w15:docId w15:val="{86C82AB4-A0E9-994B-98D2-CE96B932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C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77"/>
    <w:pPr>
      <w:ind w:left="720"/>
      <w:contextualSpacing/>
    </w:pPr>
  </w:style>
  <w:style w:type="paragraph" w:styleId="BalloonText">
    <w:name w:val="Balloon Text"/>
    <w:basedOn w:val="Normal"/>
    <w:link w:val="BalloonTextChar"/>
    <w:uiPriority w:val="99"/>
    <w:semiHidden/>
    <w:unhideWhenUsed/>
    <w:rsid w:val="00DD7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1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3A0B"/>
    <w:rPr>
      <w:sz w:val="16"/>
      <w:szCs w:val="16"/>
    </w:rPr>
  </w:style>
  <w:style w:type="paragraph" w:styleId="CommentText">
    <w:name w:val="annotation text"/>
    <w:basedOn w:val="Normal"/>
    <w:link w:val="CommentTextChar"/>
    <w:uiPriority w:val="99"/>
    <w:unhideWhenUsed/>
    <w:rsid w:val="00443A0B"/>
    <w:rPr>
      <w:sz w:val="20"/>
      <w:szCs w:val="20"/>
    </w:rPr>
  </w:style>
  <w:style w:type="character" w:customStyle="1" w:styleId="CommentTextChar">
    <w:name w:val="Comment Text Char"/>
    <w:basedOn w:val="DefaultParagraphFont"/>
    <w:link w:val="CommentText"/>
    <w:uiPriority w:val="99"/>
    <w:rsid w:val="00443A0B"/>
    <w:rPr>
      <w:sz w:val="20"/>
      <w:szCs w:val="20"/>
    </w:rPr>
  </w:style>
  <w:style w:type="table" w:customStyle="1" w:styleId="GridTable1Light1">
    <w:name w:val="Grid Table 1 Light1"/>
    <w:basedOn w:val="TableNormal"/>
    <w:uiPriority w:val="46"/>
    <w:rsid w:val="00443A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4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5669B"/>
    <w:rPr>
      <w:b/>
      <w:bCs/>
    </w:rPr>
  </w:style>
  <w:style w:type="character" w:customStyle="1" w:styleId="CommentSubjectChar">
    <w:name w:val="Comment Subject Char"/>
    <w:basedOn w:val="CommentTextChar"/>
    <w:link w:val="CommentSubject"/>
    <w:uiPriority w:val="99"/>
    <w:semiHidden/>
    <w:rsid w:val="0005669B"/>
    <w:rPr>
      <w:b/>
      <w:bCs/>
      <w:sz w:val="20"/>
      <w:szCs w:val="20"/>
    </w:rPr>
  </w:style>
  <w:style w:type="paragraph" w:styleId="NormalWeb">
    <w:name w:val="Normal (Web)"/>
    <w:basedOn w:val="Normal"/>
    <w:uiPriority w:val="99"/>
    <w:unhideWhenUsed/>
    <w:rsid w:val="00B0773C"/>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9B7069"/>
  </w:style>
  <w:style w:type="paragraph" w:styleId="Footer">
    <w:name w:val="footer"/>
    <w:basedOn w:val="Normal"/>
    <w:link w:val="FooterChar"/>
    <w:uiPriority w:val="99"/>
    <w:unhideWhenUsed/>
    <w:rsid w:val="009B7069"/>
    <w:pPr>
      <w:tabs>
        <w:tab w:val="center" w:pos="4513"/>
        <w:tab w:val="right" w:pos="9026"/>
      </w:tabs>
    </w:pPr>
  </w:style>
  <w:style w:type="character" w:customStyle="1" w:styleId="FooterChar">
    <w:name w:val="Footer Char"/>
    <w:basedOn w:val="DefaultParagraphFont"/>
    <w:link w:val="Footer"/>
    <w:uiPriority w:val="99"/>
    <w:rsid w:val="009B7069"/>
  </w:style>
  <w:style w:type="character" w:styleId="PageNumber">
    <w:name w:val="page number"/>
    <w:basedOn w:val="DefaultParagraphFont"/>
    <w:uiPriority w:val="99"/>
    <w:semiHidden/>
    <w:unhideWhenUsed/>
    <w:rsid w:val="009B7069"/>
  </w:style>
  <w:style w:type="paragraph" w:styleId="Revision">
    <w:name w:val="Revision"/>
    <w:hidden/>
    <w:uiPriority w:val="99"/>
    <w:semiHidden/>
    <w:rsid w:val="00867AE8"/>
  </w:style>
  <w:style w:type="character" w:styleId="Hyperlink">
    <w:name w:val="Hyperlink"/>
    <w:basedOn w:val="DefaultParagraphFont"/>
    <w:uiPriority w:val="99"/>
    <w:unhideWhenUsed/>
    <w:rsid w:val="00200DF5"/>
    <w:rPr>
      <w:color w:val="0563C1" w:themeColor="hyperlink"/>
      <w:u w:val="single"/>
    </w:rPr>
  </w:style>
  <w:style w:type="character" w:customStyle="1" w:styleId="UnresolvedMention1">
    <w:name w:val="Unresolved Mention1"/>
    <w:basedOn w:val="DefaultParagraphFont"/>
    <w:uiPriority w:val="99"/>
    <w:semiHidden/>
    <w:unhideWhenUsed/>
    <w:rsid w:val="00200DF5"/>
    <w:rPr>
      <w:color w:val="605E5C"/>
      <w:shd w:val="clear" w:color="auto" w:fill="E1DFDD"/>
    </w:rPr>
  </w:style>
  <w:style w:type="character" w:styleId="FollowedHyperlink">
    <w:name w:val="FollowedHyperlink"/>
    <w:basedOn w:val="DefaultParagraphFont"/>
    <w:uiPriority w:val="99"/>
    <w:semiHidden/>
    <w:unhideWhenUsed/>
    <w:rsid w:val="00F9413E"/>
    <w:rPr>
      <w:color w:val="954F72" w:themeColor="followedHyperlink"/>
      <w:u w:val="single"/>
    </w:rPr>
  </w:style>
  <w:style w:type="table" w:customStyle="1" w:styleId="TableGridLight1">
    <w:name w:val="Table Grid Light1"/>
    <w:basedOn w:val="TableNormal"/>
    <w:uiPriority w:val="40"/>
    <w:rsid w:val="00B943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1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10C7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A7C4D"/>
    <w:pPr>
      <w:tabs>
        <w:tab w:val="center" w:pos="4513"/>
        <w:tab w:val="right" w:pos="9026"/>
      </w:tabs>
    </w:pPr>
  </w:style>
  <w:style w:type="character" w:customStyle="1" w:styleId="HeaderChar">
    <w:name w:val="Header Char"/>
    <w:basedOn w:val="DefaultParagraphFont"/>
    <w:link w:val="Header"/>
    <w:uiPriority w:val="99"/>
    <w:rsid w:val="00CA7C4D"/>
  </w:style>
  <w:style w:type="character" w:customStyle="1" w:styleId="UnresolvedMention2">
    <w:name w:val="Unresolved Mention2"/>
    <w:basedOn w:val="DefaultParagraphFont"/>
    <w:uiPriority w:val="99"/>
    <w:semiHidden/>
    <w:unhideWhenUsed/>
    <w:rsid w:val="00E63BDE"/>
    <w:rPr>
      <w:color w:val="605E5C"/>
      <w:shd w:val="clear" w:color="auto" w:fill="E1DFDD"/>
    </w:rPr>
  </w:style>
  <w:style w:type="character" w:styleId="UnresolvedMention">
    <w:name w:val="Unresolved Mention"/>
    <w:basedOn w:val="DefaultParagraphFont"/>
    <w:uiPriority w:val="99"/>
    <w:semiHidden/>
    <w:unhideWhenUsed/>
    <w:rsid w:val="000E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82">
      <w:bodyDiv w:val="1"/>
      <w:marLeft w:val="0"/>
      <w:marRight w:val="0"/>
      <w:marTop w:val="0"/>
      <w:marBottom w:val="0"/>
      <w:divBdr>
        <w:top w:val="none" w:sz="0" w:space="0" w:color="auto"/>
        <w:left w:val="none" w:sz="0" w:space="0" w:color="auto"/>
        <w:bottom w:val="none" w:sz="0" w:space="0" w:color="auto"/>
        <w:right w:val="none" w:sz="0" w:space="0" w:color="auto"/>
      </w:divBdr>
    </w:div>
    <w:div w:id="212426116">
      <w:bodyDiv w:val="1"/>
      <w:marLeft w:val="0"/>
      <w:marRight w:val="0"/>
      <w:marTop w:val="0"/>
      <w:marBottom w:val="0"/>
      <w:divBdr>
        <w:top w:val="none" w:sz="0" w:space="0" w:color="auto"/>
        <w:left w:val="none" w:sz="0" w:space="0" w:color="auto"/>
        <w:bottom w:val="none" w:sz="0" w:space="0" w:color="auto"/>
        <w:right w:val="none" w:sz="0" w:space="0" w:color="auto"/>
      </w:divBdr>
    </w:div>
    <w:div w:id="279654493">
      <w:bodyDiv w:val="1"/>
      <w:marLeft w:val="0"/>
      <w:marRight w:val="0"/>
      <w:marTop w:val="0"/>
      <w:marBottom w:val="0"/>
      <w:divBdr>
        <w:top w:val="none" w:sz="0" w:space="0" w:color="auto"/>
        <w:left w:val="none" w:sz="0" w:space="0" w:color="auto"/>
        <w:bottom w:val="none" w:sz="0" w:space="0" w:color="auto"/>
        <w:right w:val="none" w:sz="0" w:space="0" w:color="auto"/>
      </w:divBdr>
    </w:div>
    <w:div w:id="314648341">
      <w:bodyDiv w:val="1"/>
      <w:marLeft w:val="0"/>
      <w:marRight w:val="0"/>
      <w:marTop w:val="0"/>
      <w:marBottom w:val="0"/>
      <w:divBdr>
        <w:top w:val="none" w:sz="0" w:space="0" w:color="auto"/>
        <w:left w:val="none" w:sz="0" w:space="0" w:color="auto"/>
        <w:bottom w:val="none" w:sz="0" w:space="0" w:color="auto"/>
        <w:right w:val="none" w:sz="0" w:space="0" w:color="auto"/>
      </w:divBdr>
    </w:div>
    <w:div w:id="325715892">
      <w:bodyDiv w:val="1"/>
      <w:marLeft w:val="0"/>
      <w:marRight w:val="0"/>
      <w:marTop w:val="0"/>
      <w:marBottom w:val="0"/>
      <w:divBdr>
        <w:top w:val="none" w:sz="0" w:space="0" w:color="auto"/>
        <w:left w:val="none" w:sz="0" w:space="0" w:color="auto"/>
        <w:bottom w:val="none" w:sz="0" w:space="0" w:color="auto"/>
        <w:right w:val="none" w:sz="0" w:space="0" w:color="auto"/>
      </w:divBdr>
      <w:divsChild>
        <w:div w:id="593707415">
          <w:marLeft w:val="0"/>
          <w:marRight w:val="0"/>
          <w:marTop w:val="0"/>
          <w:marBottom w:val="0"/>
          <w:divBdr>
            <w:top w:val="none" w:sz="0" w:space="0" w:color="auto"/>
            <w:left w:val="none" w:sz="0" w:space="0" w:color="auto"/>
            <w:bottom w:val="none" w:sz="0" w:space="0" w:color="auto"/>
            <w:right w:val="none" w:sz="0" w:space="0" w:color="auto"/>
          </w:divBdr>
        </w:div>
        <w:div w:id="669135369">
          <w:marLeft w:val="0"/>
          <w:marRight w:val="0"/>
          <w:marTop w:val="0"/>
          <w:marBottom w:val="0"/>
          <w:divBdr>
            <w:top w:val="none" w:sz="0" w:space="0" w:color="auto"/>
            <w:left w:val="none" w:sz="0" w:space="0" w:color="auto"/>
            <w:bottom w:val="none" w:sz="0" w:space="0" w:color="auto"/>
            <w:right w:val="none" w:sz="0" w:space="0" w:color="auto"/>
          </w:divBdr>
        </w:div>
        <w:div w:id="1290362260">
          <w:marLeft w:val="0"/>
          <w:marRight w:val="0"/>
          <w:marTop w:val="0"/>
          <w:marBottom w:val="0"/>
          <w:divBdr>
            <w:top w:val="none" w:sz="0" w:space="0" w:color="auto"/>
            <w:left w:val="none" w:sz="0" w:space="0" w:color="auto"/>
            <w:bottom w:val="none" w:sz="0" w:space="0" w:color="auto"/>
            <w:right w:val="none" w:sz="0" w:space="0" w:color="auto"/>
          </w:divBdr>
        </w:div>
      </w:divsChild>
    </w:div>
    <w:div w:id="353507942">
      <w:bodyDiv w:val="1"/>
      <w:marLeft w:val="0"/>
      <w:marRight w:val="0"/>
      <w:marTop w:val="0"/>
      <w:marBottom w:val="0"/>
      <w:divBdr>
        <w:top w:val="none" w:sz="0" w:space="0" w:color="auto"/>
        <w:left w:val="none" w:sz="0" w:space="0" w:color="auto"/>
        <w:bottom w:val="none" w:sz="0" w:space="0" w:color="auto"/>
        <w:right w:val="none" w:sz="0" w:space="0" w:color="auto"/>
      </w:divBdr>
    </w:div>
    <w:div w:id="375475645">
      <w:bodyDiv w:val="1"/>
      <w:marLeft w:val="0"/>
      <w:marRight w:val="0"/>
      <w:marTop w:val="0"/>
      <w:marBottom w:val="0"/>
      <w:divBdr>
        <w:top w:val="none" w:sz="0" w:space="0" w:color="auto"/>
        <w:left w:val="none" w:sz="0" w:space="0" w:color="auto"/>
        <w:bottom w:val="none" w:sz="0" w:space="0" w:color="auto"/>
        <w:right w:val="none" w:sz="0" w:space="0" w:color="auto"/>
      </w:divBdr>
    </w:div>
    <w:div w:id="395931906">
      <w:bodyDiv w:val="1"/>
      <w:marLeft w:val="0"/>
      <w:marRight w:val="0"/>
      <w:marTop w:val="0"/>
      <w:marBottom w:val="0"/>
      <w:divBdr>
        <w:top w:val="none" w:sz="0" w:space="0" w:color="auto"/>
        <w:left w:val="none" w:sz="0" w:space="0" w:color="auto"/>
        <w:bottom w:val="none" w:sz="0" w:space="0" w:color="auto"/>
        <w:right w:val="none" w:sz="0" w:space="0" w:color="auto"/>
      </w:divBdr>
    </w:div>
    <w:div w:id="397438568">
      <w:bodyDiv w:val="1"/>
      <w:marLeft w:val="0"/>
      <w:marRight w:val="0"/>
      <w:marTop w:val="0"/>
      <w:marBottom w:val="0"/>
      <w:divBdr>
        <w:top w:val="none" w:sz="0" w:space="0" w:color="auto"/>
        <w:left w:val="none" w:sz="0" w:space="0" w:color="auto"/>
        <w:bottom w:val="none" w:sz="0" w:space="0" w:color="auto"/>
        <w:right w:val="none" w:sz="0" w:space="0" w:color="auto"/>
      </w:divBdr>
    </w:div>
    <w:div w:id="412969363">
      <w:bodyDiv w:val="1"/>
      <w:marLeft w:val="0"/>
      <w:marRight w:val="0"/>
      <w:marTop w:val="0"/>
      <w:marBottom w:val="0"/>
      <w:divBdr>
        <w:top w:val="none" w:sz="0" w:space="0" w:color="auto"/>
        <w:left w:val="none" w:sz="0" w:space="0" w:color="auto"/>
        <w:bottom w:val="none" w:sz="0" w:space="0" w:color="auto"/>
        <w:right w:val="none" w:sz="0" w:space="0" w:color="auto"/>
      </w:divBdr>
    </w:div>
    <w:div w:id="478811187">
      <w:bodyDiv w:val="1"/>
      <w:marLeft w:val="0"/>
      <w:marRight w:val="0"/>
      <w:marTop w:val="0"/>
      <w:marBottom w:val="0"/>
      <w:divBdr>
        <w:top w:val="none" w:sz="0" w:space="0" w:color="auto"/>
        <w:left w:val="none" w:sz="0" w:space="0" w:color="auto"/>
        <w:bottom w:val="none" w:sz="0" w:space="0" w:color="auto"/>
        <w:right w:val="none" w:sz="0" w:space="0" w:color="auto"/>
      </w:divBdr>
    </w:div>
    <w:div w:id="628825779">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936131132">
      <w:bodyDiv w:val="1"/>
      <w:marLeft w:val="0"/>
      <w:marRight w:val="0"/>
      <w:marTop w:val="0"/>
      <w:marBottom w:val="0"/>
      <w:divBdr>
        <w:top w:val="none" w:sz="0" w:space="0" w:color="auto"/>
        <w:left w:val="none" w:sz="0" w:space="0" w:color="auto"/>
        <w:bottom w:val="none" w:sz="0" w:space="0" w:color="auto"/>
        <w:right w:val="none" w:sz="0" w:space="0" w:color="auto"/>
      </w:divBdr>
    </w:div>
    <w:div w:id="991835031">
      <w:bodyDiv w:val="1"/>
      <w:marLeft w:val="0"/>
      <w:marRight w:val="0"/>
      <w:marTop w:val="0"/>
      <w:marBottom w:val="0"/>
      <w:divBdr>
        <w:top w:val="none" w:sz="0" w:space="0" w:color="auto"/>
        <w:left w:val="none" w:sz="0" w:space="0" w:color="auto"/>
        <w:bottom w:val="none" w:sz="0" w:space="0" w:color="auto"/>
        <w:right w:val="none" w:sz="0" w:space="0" w:color="auto"/>
      </w:divBdr>
    </w:div>
    <w:div w:id="1142966018">
      <w:bodyDiv w:val="1"/>
      <w:marLeft w:val="0"/>
      <w:marRight w:val="0"/>
      <w:marTop w:val="0"/>
      <w:marBottom w:val="0"/>
      <w:divBdr>
        <w:top w:val="none" w:sz="0" w:space="0" w:color="auto"/>
        <w:left w:val="none" w:sz="0" w:space="0" w:color="auto"/>
        <w:bottom w:val="none" w:sz="0" w:space="0" w:color="auto"/>
        <w:right w:val="none" w:sz="0" w:space="0" w:color="auto"/>
      </w:divBdr>
    </w:div>
    <w:div w:id="1337994581">
      <w:bodyDiv w:val="1"/>
      <w:marLeft w:val="0"/>
      <w:marRight w:val="0"/>
      <w:marTop w:val="0"/>
      <w:marBottom w:val="0"/>
      <w:divBdr>
        <w:top w:val="none" w:sz="0" w:space="0" w:color="auto"/>
        <w:left w:val="none" w:sz="0" w:space="0" w:color="auto"/>
        <w:bottom w:val="none" w:sz="0" w:space="0" w:color="auto"/>
        <w:right w:val="none" w:sz="0" w:space="0" w:color="auto"/>
      </w:divBdr>
    </w:div>
    <w:div w:id="1553997557">
      <w:bodyDiv w:val="1"/>
      <w:marLeft w:val="0"/>
      <w:marRight w:val="0"/>
      <w:marTop w:val="0"/>
      <w:marBottom w:val="0"/>
      <w:divBdr>
        <w:top w:val="none" w:sz="0" w:space="0" w:color="auto"/>
        <w:left w:val="none" w:sz="0" w:space="0" w:color="auto"/>
        <w:bottom w:val="none" w:sz="0" w:space="0" w:color="auto"/>
        <w:right w:val="none" w:sz="0" w:space="0" w:color="auto"/>
      </w:divBdr>
      <w:divsChild>
        <w:div w:id="1271283308">
          <w:marLeft w:val="0"/>
          <w:marRight w:val="0"/>
          <w:marTop w:val="0"/>
          <w:marBottom w:val="0"/>
          <w:divBdr>
            <w:top w:val="none" w:sz="0" w:space="0" w:color="auto"/>
            <w:left w:val="none" w:sz="0" w:space="0" w:color="auto"/>
            <w:bottom w:val="none" w:sz="0" w:space="0" w:color="auto"/>
            <w:right w:val="none" w:sz="0" w:space="0" w:color="auto"/>
          </w:divBdr>
          <w:divsChild>
            <w:div w:id="2005815547">
              <w:marLeft w:val="0"/>
              <w:marRight w:val="0"/>
              <w:marTop w:val="0"/>
              <w:marBottom w:val="0"/>
              <w:divBdr>
                <w:top w:val="none" w:sz="0" w:space="0" w:color="auto"/>
                <w:left w:val="none" w:sz="0" w:space="0" w:color="auto"/>
                <w:bottom w:val="none" w:sz="0" w:space="0" w:color="auto"/>
                <w:right w:val="none" w:sz="0" w:space="0" w:color="auto"/>
              </w:divBdr>
              <w:divsChild>
                <w:div w:id="16542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234">
      <w:bodyDiv w:val="1"/>
      <w:marLeft w:val="0"/>
      <w:marRight w:val="0"/>
      <w:marTop w:val="0"/>
      <w:marBottom w:val="0"/>
      <w:divBdr>
        <w:top w:val="none" w:sz="0" w:space="0" w:color="auto"/>
        <w:left w:val="none" w:sz="0" w:space="0" w:color="auto"/>
        <w:bottom w:val="none" w:sz="0" w:space="0" w:color="auto"/>
        <w:right w:val="none" w:sz="0" w:space="0" w:color="auto"/>
      </w:divBdr>
    </w:div>
    <w:div w:id="1611739281">
      <w:bodyDiv w:val="1"/>
      <w:marLeft w:val="0"/>
      <w:marRight w:val="0"/>
      <w:marTop w:val="0"/>
      <w:marBottom w:val="0"/>
      <w:divBdr>
        <w:top w:val="none" w:sz="0" w:space="0" w:color="auto"/>
        <w:left w:val="none" w:sz="0" w:space="0" w:color="auto"/>
        <w:bottom w:val="none" w:sz="0" w:space="0" w:color="auto"/>
        <w:right w:val="none" w:sz="0" w:space="0" w:color="auto"/>
      </w:divBdr>
    </w:div>
    <w:div w:id="1899828225">
      <w:bodyDiv w:val="1"/>
      <w:marLeft w:val="0"/>
      <w:marRight w:val="0"/>
      <w:marTop w:val="0"/>
      <w:marBottom w:val="0"/>
      <w:divBdr>
        <w:top w:val="none" w:sz="0" w:space="0" w:color="auto"/>
        <w:left w:val="none" w:sz="0" w:space="0" w:color="auto"/>
        <w:bottom w:val="none" w:sz="0" w:space="0" w:color="auto"/>
        <w:right w:val="none" w:sz="0" w:space="0" w:color="auto"/>
      </w:divBdr>
    </w:div>
    <w:div w:id="2021395677">
      <w:bodyDiv w:val="1"/>
      <w:marLeft w:val="0"/>
      <w:marRight w:val="0"/>
      <w:marTop w:val="0"/>
      <w:marBottom w:val="0"/>
      <w:divBdr>
        <w:top w:val="none" w:sz="0" w:space="0" w:color="auto"/>
        <w:left w:val="none" w:sz="0" w:space="0" w:color="auto"/>
        <w:bottom w:val="none" w:sz="0" w:space="0" w:color="auto"/>
        <w:right w:val="none" w:sz="0" w:space="0" w:color="auto"/>
      </w:divBdr>
    </w:div>
    <w:div w:id="2056158729">
      <w:bodyDiv w:val="1"/>
      <w:marLeft w:val="0"/>
      <w:marRight w:val="0"/>
      <w:marTop w:val="0"/>
      <w:marBottom w:val="0"/>
      <w:divBdr>
        <w:top w:val="none" w:sz="0" w:space="0" w:color="auto"/>
        <w:left w:val="none" w:sz="0" w:space="0" w:color="auto"/>
        <w:bottom w:val="none" w:sz="0" w:space="0" w:color="auto"/>
        <w:right w:val="none" w:sz="0" w:space="0" w:color="auto"/>
      </w:divBdr>
    </w:div>
    <w:div w:id="2097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yau@lshtm.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science/article/pii/S13538292193078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658C09E409B4A88D3857D9AE33E6D" ma:contentTypeVersion="13" ma:contentTypeDescription="Create a new document." ma:contentTypeScope="" ma:versionID="53e3b9d991b8ae08aacbcf8ff3263646">
  <xsd:schema xmlns:xsd="http://www.w3.org/2001/XMLSchema" xmlns:xs="http://www.w3.org/2001/XMLSchema" xmlns:p="http://schemas.microsoft.com/office/2006/metadata/properties" xmlns:ns3="e23cad41-b631-4c76-81ff-5c9767003a18" xmlns:ns4="da7a1796-449e-4369-b06e-51ec35933961" targetNamespace="http://schemas.microsoft.com/office/2006/metadata/properties" ma:root="true" ma:fieldsID="72abc441df5e8d22266bb8bed0433c56" ns3:_="" ns4:_="">
    <xsd:import namespace="e23cad41-b631-4c76-81ff-5c9767003a18"/>
    <xsd:import namespace="da7a1796-449e-4369-b06e-51ec359339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ad41-b631-4c76-81ff-5c9767003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1796-449e-4369-b06e-51ec35933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5566F-1E5A-4A14-9281-5AC95E82FB4A}">
  <ds:schemaRefs>
    <ds:schemaRef ds:uri="http://schemas.microsoft.com/sharepoint/v3/contenttype/forms"/>
  </ds:schemaRefs>
</ds:datastoreItem>
</file>

<file path=customXml/itemProps2.xml><?xml version="1.0" encoding="utf-8"?>
<ds:datastoreItem xmlns:ds="http://schemas.openxmlformats.org/officeDocument/2006/customXml" ds:itemID="{E591D2E3-C3D3-4585-9653-BCC53192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cad41-b631-4c76-81ff-5c9767003a18"/>
    <ds:schemaRef ds:uri="da7a1796-449e-4369-b06e-51ec35933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7378A-3F6D-4A5F-A14F-D0EC8A0C01BF}">
  <ds:schemaRefs>
    <ds:schemaRef ds:uri="http://schemas.openxmlformats.org/officeDocument/2006/bibliography"/>
  </ds:schemaRefs>
</ds:datastoreItem>
</file>

<file path=customXml/itemProps4.xml><?xml version="1.0" encoding="utf-8"?>
<ds:datastoreItem xmlns:ds="http://schemas.openxmlformats.org/officeDocument/2006/customXml" ds:itemID="{965B827F-6D22-44F2-B5C8-9801BB465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36667</Words>
  <Characters>209006</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245183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Yau</dc:creator>
  <cp:keywords/>
  <dc:description/>
  <cp:lastModifiedBy>Emma Boyland</cp:lastModifiedBy>
  <cp:revision>2</cp:revision>
  <dcterms:created xsi:type="dcterms:W3CDTF">2021-04-19T08:38:00Z</dcterms:created>
  <dcterms:modified xsi:type="dcterms:W3CDTF">2021-04-19T08:38:00Z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http://www.zotero.org/styles/bmc-public-health</vt:lpwstr>
  </property>
  <property fmtid="{D5CDD505-2E9C-101B-9397-08002B2CF9AE}" pid="11" name="Mendeley Recent Style Name 4_1">
    <vt:lpwstr>BMC Public Health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http://www.zotero.org/styles/european-journal-of-clinical-nutrition</vt:lpwstr>
  </property>
  <property fmtid="{D5CDD505-2E9C-101B-9397-08002B2CF9AE}" pid="15" name="Mendeley Recent Style Name 6_1">
    <vt:lpwstr>European Journal of Clinical Nutrition</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http://www.zotero.org/styles/international-journal-of-behavioral-nutrition-and-physical-activity</vt:lpwstr>
  </property>
  <property fmtid="{D5CDD505-2E9C-101B-9397-08002B2CF9AE}" pid="19" name="Mendeley Recent Style Name 8_1">
    <vt:lpwstr>International Journal of Behavioral Nutrition and Physical Activity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20ea6c9b-599b-3be7-9546-ad9b6a33adc7</vt:lpwstr>
  </property>
  <property fmtid="{D5CDD505-2E9C-101B-9397-08002B2CF9AE}" pid="24" name="ContentTypeId">
    <vt:lpwstr>0x010100782658C09E409B4A88D3857D9AE33E6D</vt:lpwstr>
  </property>
  <property fmtid="{D5CDD505-2E9C-101B-9397-08002B2CF9AE}" pid="25" name="Mendeley Citation Style_1">
    <vt:lpwstr>http://www.zotero.org/styles/international-journal-of-behavioral-nutrition-and-physical-activity</vt:lpwstr>
  </property>
</Properties>
</file>